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633B36F2"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0A37501D"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DAB6C7B"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257AA814" w14:textId="6433ACE7" w:rsidR="00EF1775" w:rsidRPr="001C4E67"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rPr>
        <w:t>PROYECTO DE</w:t>
      </w:r>
      <w:r w:rsidR="00F95A19">
        <w:rPr>
          <w:rFonts w:ascii="Arial" w:hAnsi="Arial" w:cs="Arial"/>
          <w:b/>
          <w:bCs/>
          <w:sz w:val="24"/>
          <w:szCs w:val="24"/>
        </w:rPr>
        <w:t xml:space="preserve"> CIRCULAR EXTERNA: </w:t>
      </w:r>
      <w:r w:rsidR="004E39D8">
        <w:rPr>
          <w:rFonts w:ascii="Arial" w:hAnsi="Arial" w:cs="Arial"/>
          <w:sz w:val="24"/>
          <w:szCs w:val="24"/>
        </w:rPr>
        <w:t xml:space="preserve">Régimen </w:t>
      </w:r>
      <w:r w:rsidR="005E77F3" w:rsidRPr="005E77F3">
        <w:rPr>
          <w:rFonts w:ascii="Arial" w:hAnsi="Arial" w:cs="Arial"/>
          <w:sz w:val="24"/>
          <w:szCs w:val="24"/>
        </w:rPr>
        <w:t>de inversión de los recursos de los fondos de pensiones obligatorias y cesantías, y de las reservas de las entidades aseguradoras y sociedades de capitalización.</w:t>
      </w:r>
    </w:p>
    <w:p w14:paraId="1CF43F45" w14:textId="77777777" w:rsidR="00EF1775" w:rsidRDefault="00EF1775">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6D343DF" w14:textId="77777777" w:rsidR="005B22B4" w:rsidRDefault="005B22B4">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B14A2F0" w14:textId="189FE086" w:rsidR="005B22B4" w:rsidRDefault="00B51F39" w:rsidP="005B22B4">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PROPÓSITO: </w:t>
      </w:r>
      <w:r w:rsidR="00815E25">
        <w:rPr>
          <w:rFonts w:ascii="Arial" w:hAnsi="Arial" w:cs="Arial"/>
          <w:sz w:val="24"/>
          <w:szCs w:val="24"/>
        </w:rPr>
        <w:t xml:space="preserve">Impartir instrucciones </w:t>
      </w:r>
      <w:r w:rsidR="005B22B4" w:rsidRPr="005B22B4">
        <w:rPr>
          <w:rFonts w:ascii="Arial" w:hAnsi="Arial" w:cs="Arial"/>
          <w:bCs/>
          <w:sz w:val="24"/>
          <w:szCs w:val="24"/>
        </w:rPr>
        <w:t xml:space="preserve">relacionadas con </w:t>
      </w:r>
      <w:r w:rsidR="005E77F3">
        <w:rPr>
          <w:rFonts w:ascii="Arial" w:hAnsi="Arial" w:cs="Arial"/>
          <w:bCs/>
          <w:sz w:val="24"/>
          <w:szCs w:val="24"/>
        </w:rPr>
        <w:t xml:space="preserve">el </w:t>
      </w:r>
      <w:r w:rsidR="005E77F3">
        <w:rPr>
          <w:rFonts w:ascii="Arial" w:hAnsi="Arial" w:cs="Arial"/>
          <w:sz w:val="24"/>
          <w:szCs w:val="24"/>
        </w:rPr>
        <w:t xml:space="preserve">régimen </w:t>
      </w:r>
      <w:r w:rsidR="005E77F3" w:rsidRPr="005E77F3">
        <w:rPr>
          <w:rFonts w:ascii="Arial" w:hAnsi="Arial" w:cs="Arial"/>
          <w:sz w:val="24"/>
          <w:szCs w:val="24"/>
        </w:rPr>
        <w:t>de inversión de los recursos de los fondos de pensiones obligatorias y cesantías, y de las reservas de las entidades aseguradoras y sociedades de capitalización.</w:t>
      </w:r>
    </w:p>
    <w:p w14:paraId="5A69D53E" w14:textId="11BBC764" w:rsidR="002446F6" w:rsidRPr="00815E25" w:rsidRDefault="002446F6" w:rsidP="00022F23">
      <w:pPr>
        <w:pBdr>
          <w:top w:val="single" w:sz="4" w:space="0" w:color="auto"/>
          <w:left w:val="single" w:sz="4" w:space="4" w:color="auto"/>
          <w:bottom w:val="single" w:sz="4" w:space="1" w:color="auto"/>
          <w:right w:val="single" w:sz="4" w:space="4" w:color="auto"/>
        </w:pBdr>
        <w:jc w:val="both"/>
        <w:rPr>
          <w:rFonts w:ascii="Arial" w:hAnsi="Arial" w:cs="Arial"/>
          <w:sz w:val="24"/>
          <w:szCs w:val="24"/>
        </w:rPr>
      </w:pPr>
    </w:p>
    <w:p w14:paraId="56187F4A" w14:textId="77777777" w:rsidR="00A53326" w:rsidRDefault="00A5332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635C6EE" w14:textId="0998269A" w:rsidR="00F95A19" w:rsidRDefault="00B51F39" w:rsidP="00F95A19">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sidRPr="67DAE626">
        <w:rPr>
          <w:rFonts w:ascii="Arial" w:hAnsi="Arial" w:cs="Arial"/>
          <w:b/>
          <w:bCs/>
          <w:sz w:val="24"/>
          <w:szCs w:val="24"/>
        </w:rPr>
        <w:t xml:space="preserve">PLAZO PARA COMENTARIOS: </w:t>
      </w:r>
      <w:r w:rsidR="00F95A19" w:rsidRPr="00022F23">
        <w:rPr>
          <w:rFonts w:ascii="Arial" w:hAnsi="Arial" w:cs="Arial"/>
          <w:b/>
          <w:bCs/>
          <w:sz w:val="24"/>
          <w:szCs w:val="24"/>
          <w:u w:val="single"/>
        </w:rPr>
        <w:t>5:00</w:t>
      </w:r>
      <w:r w:rsidR="005B22B4">
        <w:rPr>
          <w:rFonts w:ascii="Arial" w:hAnsi="Arial" w:cs="Arial"/>
          <w:b/>
          <w:bCs/>
          <w:sz w:val="24"/>
          <w:szCs w:val="24"/>
          <w:u w:val="single"/>
        </w:rPr>
        <w:t xml:space="preserve"> </w:t>
      </w:r>
      <w:r w:rsidR="00F95A19" w:rsidRPr="00022F23">
        <w:rPr>
          <w:rFonts w:ascii="Arial" w:hAnsi="Arial" w:cs="Arial"/>
          <w:b/>
          <w:bCs/>
          <w:sz w:val="24"/>
          <w:szCs w:val="24"/>
          <w:u w:val="single"/>
        </w:rPr>
        <w:t>pm</w:t>
      </w:r>
      <w:r w:rsidR="00F95A19" w:rsidRPr="67DAE626">
        <w:rPr>
          <w:rFonts w:ascii="Arial" w:hAnsi="Arial" w:cs="Arial"/>
          <w:b/>
          <w:bCs/>
          <w:sz w:val="24"/>
          <w:szCs w:val="24"/>
        </w:rPr>
        <w:t xml:space="preserve"> del </w:t>
      </w:r>
      <w:r w:rsidR="00387DE5">
        <w:rPr>
          <w:rFonts w:ascii="Arial" w:hAnsi="Arial" w:cs="Arial"/>
          <w:b/>
          <w:bCs/>
          <w:sz w:val="24"/>
          <w:szCs w:val="24"/>
        </w:rPr>
        <w:t xml:space="preserve">lunes </w:t>
      </w:r>
      <w:r w:rsidR="00820B7B">
        <w:rPr>
          <w:rFonts w:ascii="Arial" w:hAnsi="Arial" w:cs="Arial"/>
          <w:b/>
          <w:bCs/>
          <w:sz w:val="24"/>
          <w:szCs w:val="24"/>
        </w:rPr>
        <w:t>12</w:t>
      </w:r>
      <w:r w:rsidR="00F95A19" w:rsidRPr="67DAE626">
        <w:rPr>
          <w:rFonts w:ascii="Arial" w:hAnsi="Arial" w:cs="Arial"/>
          <w:b/>
          <w:bCs/>
          <w:sz w:val="24"/>
          <w:szCs w:val="24"/>
        </w:rPr>
        <w:t xml:space="preserve"> de </w:t>
      </w:r>
      <w:r w:rsidR="00346477">
        <w:rPr>
          <w:rFonts w:ascii="Arial" w:hAnsi="Arial" w:cs="Arial"/>
          <w:b/>
          <w:bCs/>
          <w:sz w:val="24"/>
          <w:szCs w:val="24"/>
        </w:rPr>
        <w:t>abril</w:t>
      </w:r>
      <w:r w:rsidR="00F95A19" w:rsidRPr="67DAE626">
        <w:rPr>
          <w:rFonts w:ascii="Arial" w:hAnsi="Arial" w:cs="Arial"/>
          <w:b/>
          <w:bCs/>
          <w:sz w:val="24"/>
          <w:szCs w:val="24"/>
        </w:rPr>
        <w:t xml:space="preserve"> de 202</w:t>
      </w:r>
      <w:r w:rsidR="00813305">
        <w:rPr>
          <w:rFonts w:ascii="Arial" w:hAnsi="Arial" w:cs="Arial"/>
          <w:b/>
          <w:bCs/>
          <w:sz w:val="24"/>
          <w:szCs w:val="24"/>
        </w:rPr>
        <w:t>1</w:t>
      </w:r>
      <w:r w:rsidR="00CF0C2B">
        <w:rPr>
          <w:rFonts w:ascii="Arial" w:hAnsi="Arial" w:cs="Arial"/>
          <w:b/>
          <w:bCs/>
          <w:sz w:val="24"/>
          <w:szCs w:val="24"/>
        </w:rPr>
        <w:t>.</w:t>
      </w:r>
    </w:p>
    <w:p w14:paraId="72A3D3EC" w14:textId="77777777" w:rsidR="00F95A19" w:rsidRDefault="00F95A19" w:rsidP="00F95A1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8E863E6" w14:textId="77777777" w:rsidR="003D4522"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D4522">
        <w:rPr>
          <w:rFonts w:ascii="Arial" w:hAnsi="Arial" w:cs="Arial"/>
          <w:b/>
          <w:bCs/>
          <w:sz w:val="24"/>
          <w:szCs w:val="24"/>
        </w:rPr>
        <w:t xml:space="preserve">REMISIÓN DE COMENTARIOS: </w:t>
      </w:r>
      <w:r w:rsidRPr="00022F23">
        <w:rPr>
          <w:rFonts w:ascii="Arial" w:hAnsi="Arial" w:cs="Arial"/>
          <w:sz w:val="24"/>
          <w:szCs w:val="24"/>
        </w:rPr>
        <w:t>Por favor diligenciar la proforma adjunta “MATRIZ PARA COMENTARIOS EXTERNOS - PUBLICACION WEB”.</w:t>
      </w:r>
      <w:r w:rsidRPr="003C1EDF">
        <w:rPr>
          <w:rFonts w:ascii="Arial" w:hAnsi="Arial" w:cs="Arial"/>
          <w:sz w:val="24"/>
          <w:szCs w:val="24"/>
        </w:rPr>
        <w:t xml:space="preserve"> </w:t>
      </w:r>
    </w:p>
    <w:p w14:paraId="364D4CBE" w14:textId="77777777" w:rsidR="003D4522"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 xml:space="preserve"> </w:t>
      </w:r>
    </w:p>
    <w:p w14:paraId="10CD95C1" w14:textId="77777777" w:rsidR="000B5678"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 xml:space="preserve">La proforma en formato Word puede ser radicada vía e-mail por medio del correo electrónico </w:t>
      </w:r>
      <w:hyperlink r:id="rId10" w:history="1">
        <w:r w:rsidR="005B22B4" w:rsidRPr="00BE1B02">
          <w:rPr>
            <w:rStyle w:val="Hipervnculo"/>
            <w:rFonts w:ascii="Arial" w:hAnsi="Arial" w:cs="Arial"/>
            <w:sz w:val="24"/>
            <w:szCs w:val="24"/>
          </w:rPr>
          <w:t>normativa@superfinanciera.gov.co</w:t>
        </w:r>
      </w:hyperlink>
      <w:r w:rsidR="005B22B4">
        <w:rPr>
          <w:rFonts w:ascii="Arial" w:hAnsi="Arial" w:cs="Arial"/>
          <w:sz w:val="24"/>
          <w:szCs w:val="24"/>
        </w:rPr>
        <w:t xml:space="preserve"> </w:t>
      </w:r>
    </w:p>
    <w:p w14:paraId="491C3FFA" w14:textId="77777777" w:rsidR="000B5678" w:rsidRDefault="000B5678"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p>
    <w:p w14:paraId="0E27B00A" w14:textId="5BCF39CD" w:rsidR="00CC4604"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En el asunto</w:t>
      </w:r>
      <w:r w:rsidRPr="003D4522">
        <w:rPr>
          <w:rFonts w:ascii="Arial" w:hAnsi="Arial" w:cs="Arial"/>
          <w:b/>
          <w:bCs/>
          <w:sz w:val="24"/>
          <w:szCs w:val="24"/>
        </w:rPr>
        <w:t xml:space="preserve"> únicamente </w:t>
      </w:r>
      <w:r w:rsidRPr="003C1EDF">
        <w:rPr>
          <w:rFonts w:ascii="Arial" w:hAnsi="Arial" w:cs="Arial"/>
          <w:sz w:val="24"/>
          <w:szCs w:val="24"/>
        </w:rPr>
        <w:t>incluir el siguiente número de radicación:</w:t>
      </w:r>
    </w:p>
    <w:p w14:paraId="27FC3412" w14:textId="77777777" w:rsidR="00C96050" w:rsidRPr="003C1EDF" w:rsidRDefault="00C96050"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lang w:val="es-ES"/>
        </w:rPr>
      </w:pPr>
    </w:p>
    <w:p w14:paraId="4455D184" w14:textId="08B90683" w:rsidR="00B51F39" w:rsidRPr="00F95A19"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u w:val="thick"/>
          <w:lang w:val="es-ES"/>
        </w:rPr>
      </w:pPr>
      <w:r w:rsidRPr="003870A8">
        <w:rPr>
          <w:rFonts w:ascii="Arial" w:hAnsi="Arial" w:cs="Arial"/>
          <w:b/>
          <w:bCs/>
          <w:sz w:val="24"/>
          <w:szCs w:val="24"/>
          <w:lang w:val="es-ES"/>
        </w:rPr>
        <w:t>R</w:t>
      </w:r>
      <w:r>
        <w:rPr>
          <w:rFonts w:ascii="Arial" w:hAnsi="Arial" w:cs="Arial"/>
          <w:b/>
          <w:bCs/>
          <w:sz w:val="24"/>
          <w:szCs w:val="24"/>
          <w:lang w:val="es-ES"/>
        </w:rPr>
        <w:t xml:space="preserve">ADICADO No. </w:t>
      </w:r>
      <w:r w:rsidR="00FB7DFB" w:rsidRPr="00FB7DFB">
        <w:rPr>
          <w:rFonts w:ascii="Arial" w:hAnsi="Arial" w:cs="Arial"/>
          <w:b/>
          <w:bCs/>
          <w:sz w:val="24"/>
          <w:szCs w:val="24"/>
          <w:lang w:val="es-ES"/>
        </w:rPr>
        <w:t>202</w:t>
      </w:r>
      <w:r w:rsidR="000B5678">
        <w:rPr>
          <w:rFonts w:ascii="Arial" w:hAnsi="Arial" w:cs="Arial"/>
          <w:b/>
          <w:bCs/>
          <w:sz w:val="24"/>
          <w:szCs w:val="24"/>
          <w:lang w:val="es-ES"/>
        </w:rPr>
        <w:t>1</w:t>
      </w:r>
      <w:r w:rsidR="00391A33">
        <w:rPr>
          <w:rFonts w:ascii="Arial" w:hAnsi="Arial" w:cs="Arial"/>
          <w:b/>
          <w:bCs/>
          <w:sz w:val="24"/>
          <w:szCs w:val="24"/>
          <w:lang w:val="es-ES"/>
        </w:rPr>
        <w:t>031168</w:t>
      </w:r>
    </w:p>
    <w:p w14:paraId="60061E4C"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1D6DD68D" w14:textId="4A60D4BC" w:rsidR="00B51F39" w:rsidRPr="00E77E01" w:rsidRDefault="00E77E01" w:rsidP="00CC4604">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0B5678">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r w:rsidR="00B51F39" w:rsidRPr="00E77E01">
        <w:rPr>
          <w:rFonts w:ascii="Arial" w:hAnsi="Arial" w:cs="Arial"/>
          <w:bCs/>
          <w:sz w:val="24"/>
          <w:szCs w:val="24"/>
        </w:rPr>
        <w:tab/>
      </w:r>
      <w:r w:rsidR="00B51F39" w:rsidRPr="00E77E01">
        <w:rPr>
          <w:rFonts w:ascii="Arial" w:hAnsi="Arial" w:cs="Arial"/>
          <w:bCs/>
          <w:sz w:val="24"/>
          <w:szCs w:val="24"/>
        </w:rPr>
        <w:tab/>
        <w:t xml:space="preserve"> </w:t>
      </w:r>
    </w:p>
    <w:p w14:paraId="44EAFD9C"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C6EFA5E"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4B94D5A5"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DEEC669"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656B9A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5FB081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49F31C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3128261"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2486C05"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4101652C"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4D47DD1C"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4B99056E" w14:textId="263D3217" w:rsidR="00E77E01" w:rsidRDefault="004E39D8"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r>
        <w:rPr>
          <w:rFonts w:ascii="Arial" w:hAnsi="Arial" w:cs="Arial"/>
          <w:b/>
          <w:bCs/>
          <w:sz w:val="28"/>
          <w:szCs w:val="28"/>
        </w:rPr>
        <w:t>Circular Externa.</w:t>
      </w:r>
    </w:p>
    <w:p w14:paraId="1299C43A"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D855ACA" w14:textId="60CBC896" w:rsidR="00EF1775" w:rsidRPr="00501130" w:rsidRDefault="00F95A19" w:rsidP="007368A1">
      <w:pPr>
        <w:tabs>
          <w:tab w:val="left" w:pos="4002"/>
        </w:tabs>
        <w:jc w:val="center"/>
        <w:rPr>
          <w:rFonts w:ascii="Arial" w:hAnsi="Arial" w:cs="Arial"/>
          <w:b/>
          <w:bCs/>
          <w:sz w:val="24"/>
          <w:szCs w:val="24"/>
        </w:rPr>
      </w:pPr>
      <w:r>
        <w:rPr>
          <w:rFonts w:cs="Arial"/>
          <w:b/>
          <w:bCs/>
          <w:sz w:val="22"/>
          <w:szCs w:val="22"/>
        </w:rPr>
        <w:br w:type="page"/>
      </w:r>
    </w:p>
    <w:p w14:paraId="79B86FD8" w14:textId="77777777" w:rsidR="00EF1775" w:rsidRPr="00010E00" w:rsidRDefault="00EF1775" w:rsidP="00EF1775">
      <w:pPr>
        <w:pStyle w:val="Encabezado"/>
        <w:jc w:val="both"/>
        <w:rPr>
          <w:rFonts w:ascii="Arial" w:hAnsi="Arial" w:cs="Arial"/>
          <w:b/>
          <w:bCs/>
          <w:szCs w:val="24"/>
        </w:rPr>
      </w:pPr>
    </w:p>
    <w:p w14:paraId="3CBC139A" w14:textId="77777777" w:rsidR="001309F0" w:rsidRPr="002354A9" w:rsidRDefault="001309F0" w:rsidP="001309F0">
      <w:pPr>
        <w:widowControl w:val="0"/>
        <w:adjustRightInd w:val="0"/>
        <w:jc w:val="center"/>
        <w:rPr>
          <w:rFonts w:ascii="Arial" w:hAnsi="Arial" w:cs="Arial"/>
          <w:b/>
          <w:bCs/>
          <w:sz w:val="22"/>
          <w:szCs w:val="22"/>
          <w:lang w:val="es-ES" w:eastAsia="es-CO"/>
        </w:rPr>
      </w:pPr>
      <w:r w:rsidRPr="002354A9">
        <w:rPr>
          <w:rFonts w:ascii="Arial" w:hAnsi="Arial" w:cs="Arial"/>
          <w:b/>
          <w:bCs/>
          <w:sz w:val="22"/>
          <w:szCs w:val="22"/>
          <w:lang w:val="es-ES" w:eastAsia="es-CO"/>
        </w:rPr>
        <w:t>CIRCULAR EXTERNA          DE 2021</w:t>
      </w:r>
    </w:p>
    <w:p w14:paraId="1648D037" w14:textId="77777777" w:rsidR="001309F0" w:rsidRPr="002354A9" w:rsidRDefault="001309F0" w:rsidP="001309F0">
      <w:pPr>
        <w:widowControl w:val="0"/>
        <w:adjustRightInd w:val="0"/>
        <w:jc w:val="center"/>
        <w:rPr>
          <w:rFonts w:ascii="Arial" w:hAnsi="Arial" w:cs="Arial"/>
          <w:b/>
          <w:bCs/>
          <w:sz w:val="22"/>
          <w:szCs w:val="22"/>
          <w:lang w:val="es-ES" w:eastAsia="es-CO"/>
        </w:rPr>
      </w:pPr>
      <w:r w:rsidRPr="002354A9">
        <w:rPr>
          <w:rFonts w:ascii="Arial" w:hAnsi="Arial" w:cs="Arial"/>
          <w:b/>
          <w:bCs/>
          <w:sz w:val="22"/>
          <w:szCs w:val="22"/>
          <w:lang w:val="es-ES" w:eastAsia="es-CO"/>
        </w:rPr>
        <w:t>(                    )</w:t>
      </w:r>
    </w:p>
    <w:p w14:paraId="02689C96" w14:textId="77777777" w:rsidR="001309F0" w:rsidRPr="002354A9" w:rsidRDefault="001309F0" w:rsidP="001309F0">
      <w:pPr>
        <w:widowControl w:val="0"/>
        <w:adjustRightInd w:val="0"/>
        <w:rPr>
          <w:rFonts w:ascii="Arial" w:hAnsi="Arial" w:cs="Arial"/>
          <w:sz w:val="22"/>
          <w:szCs w:val="22"/>
          <w:lang w:val="es-ES" w:eastAsia="es-CO"/>
        </w:rPr>
      </w:pPr>
    </w:p>
    <w:p w14:paraId="024BC85D" w14:textId="77777777" w:rsidR="001309F0" w:rsidRPr="002354A9" w:rsidRDefault="001309F0" w:rsidP="001309F0">
      <w:pPr>
        <w:widowControl w:val="0"/>
        <w:adjustRightInd w:val="0"/>
        <w:outlineLvl w:val="0"/>
        <w:rPr>
          <w:rFonts w:ascii="Arial" w:hAnsi="Arial" w:cs="Arial"/>
          <w:b/>
          <w:bCs/>
          <w:sz w:val="22"/>
          <w:szCs w:val="22"/>
          <w:lang w:val="es-ES" w:eastAsia="es-CO"/>
        </w:rPr>
      </w:pPr>
      <w:r w:rsidRPr="002354A9">
        <w:rPr>
          <w:rFonts w:ascii="Arial" w:hAnsi="Arial" w:cs="Arial"/>
          <w:b/>
          <w:bCs/>
          <w:sz w:val="22"/>
          <w:szCs w:val="22"/>
          <w:lang w:val="es-ES" w:eastAsia="es-CO"/>
        </w:rPr>
        <w:t>Señores</w:t>
      </w:r>
    </w:p>
    <w:p w14:paraId="30524F29" w14:textId="77777777" w:rsidR="001309F0" w:rsidRPr="002354A9" w:rsidRDefault="001309F0" w:rsidP="001309F0">
      <w:pPr>
        <w:widowControl w:val="0"/>
        <w:adjustRightInd w:val="0"/>
        <w:jc w:val="both"/>
        <w:rPr>
          <w:rFonts w:ascii="Arial" w:hAnsi="Arial" w:cs="Arial"/>
          <w:sz w:val="22"/>
          <w:szCs w:val="22"/>
          <w:lang w:val="es-ES" w:eastAsia="es-CO"/>
        </w:rPr>
      </w:pPr>
      <w:r w:rsidRPr="002354A9">
        <w:rPr>
          <w:rFonts w:ascii="Arial" w:hAnsi="Arial" w:cs="Arial"/>
          <w:sz w:val="22"/>
          <w:szCs w:val="22"/>
          <w:lang w:val="es-ES" w:eastAsia="es-CO"/>
        </w:rPr>
        <w:t>REPRESENTANTES LEGALES Y REVISORES FISCALES DE LAS ENTIDADES ASEGURADORAS, SOCIEDADES DE CAPITALIZACIÓN Y SOCIEDADES ADMINISTRADORAS DE FONDOS DE PENSIONES Y CESANTÍAS</w:t>
      </w:r>
    </w:p>
    <w:p w14:paraId="60B3AB49" w14:textId="77777777" w:rsidR="001309F0" w:rsidRPr="002354A9" w:rsidRDefault="001309F0" w:rsidP="001309F0">
      <w:pPr>
        <w:widowControl w:val="0"/>
        <w:adjustRightInd w:val="0"/>
        <w:rPr>
          <w:rFonts w:ascii="Arial" w:hAnsi="Arial" w:cs="Arial"/>
          <w:bCs/>
          <w:sz w:val="22"/>
          <w:szCs w:val="22"/>
          <w:lang w:val="es-ES" w:eastAsia="es-CO"/>
        </w:rPr>
      </w:pPr>
    </w:p>
    <w:p w14:paraId="67BEE815" w14:textId="77777777" w:rsidR="001309F0" w:rsidRPr="002354A9" w:rsidRDefault="001309F0" w:rsidP="001309F0">
      <w:pPr>
        <w:widowControl w:val="0"/>
        <w:adjustRightInd w:val="0"/>
        <w:jc w:val="both"/>
        <w:rPr>
          <w:rFonts w:ascii="Arial" w:hAnsi="Arial" w:cs="Arial"/>
          <w:b/>
          <w:sz w:val="22"/>
          <w:szCs w:val="22"/>
          <w:lang w:val="es-ES" w:eastAsia="es-CO"/>
        </w:rPr>
      </w:pPr>
      <w:r w:rsidRPr="002354A9">
        <w:rPr>
          <w:rFonts w:ascii="Arial" w:hAnsi="Arial" w:cs="Arial"/>
          <w:b/>
          <w:bCs/>
          <w:sz w:val="22"/>
          <w:szCs w:val="22"/>
          <w:lang w:val="es-ES" w:eastAsia="es-CO"/>
        </w:rPr>
        <w:t>Referencia: Instrucciones relacionadas con el régimen de inversión de los recursos de los fondos de pensiones obligatorias y cesantías, y de las reservas de las entidades aseguradoras y sociedades de capitalización.</w:t>
      </w:r>
    </w:p>
    <w:p w14:paraId="21DA624B" w14:textId="77777777" w:rsidR="001309F0" w:rsidRPr="002354A9" w:rsidRDefault="001309F0" w:rsidP="001309F0">
      <w:pPr>
        <w:widowControl w:val="0"/>
        <w:adjustRightInd w:val="0"/>
        <w:rPr>
          <w:rFonts w:ascii="Arial" w:hAnsi="Arial" w:cs="Arial"/>
          <w:sz w:val="22"/>
          <w:szCs w:val="22"/>
          <w:lang w:val="es-ES" w:eastAsia="es-CO"/>
        </w:rPr>
      </w:pPr>
    </w:p>
    <w:p w14:paraId="51F9A9F7"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sz w:val="22"/>
          <w:szCs w:val="22"/>
          <w:lang w:val="es-ES" w:eastAsia="es-CO"/>
        </w:rPr>
        <w:t>Apreciados señores:</w:t>
      </w:r>
    </w:p>
    <w:p w14:paraId="71FA56F2" w14:textId="77777777" w:rsidR="001309F0" w:rsidRPr="002354A9" w:rsidRDefault="001309F0" w:rsidP="001309F0">
      <w:pPr>
        <w:jc w:val="both"/>
        <w:rPr>
          <w:rFonts w:ascii="Arial" w:hAnsi="Arial" w:cs="Arial"/>
          <w:sz w:val="22"/>
          <w:szCs w:val="22"/>
          <w:lang w:val="es-ES" w:eastAsia="es-CO"/>
        </w:rPr>
      </w:pPr>
    </w:p>
    <w:p w14:paraId="2BE68989"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sz w:val="22"/>
          <w:szCs w:val="22"/>
          <w:lang w:val="es-ES" w:eastAsia="es-CO"/>
        </w:rPr>
        <w:t xml:space="preserve">El Decreto 1393 de 2020 adoptó unos cambios en el régimen de inversión de las sociedades administradoras de fondos de pensiones y cesantías, y de las reservas de las entidades aseguradoras y sociedades de capitalización. Estos cambios se orientan a promover una adecuada diversificación de los portafolios de inversión y el calce del balance. </w:t>
      </w:r>
    </w:p>
    <w:p w14:paraId="46371DEB" w14:textId="77777777" w:rsidR="001309F0" w:rsidRPr="002354A9" w:rsidRDefault="001309F0" w:rsidP="001309F0">
      <w:pPr>
        <w:jc w:val="both"/>
        <w:rPr>
          <w:rFonts w:ascii="Arial" w:hAnsi="Arial" w:cs="Arial"/>
          <w:sz w:val="22"/>
          <w:szCs w:val="22"/>
          <w:lang w:val="es-ES" w:eastAsia="es-CO"/>
        </w:rPr>
      </w:pPr>
    </w:p>
    <w:p w14:paraId="4B838F58"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sz w:val="22"/>
          <w:szCs w:val="22"/>
          <w:lang w:val="es-ES" w:eastAsia="es-CO"/>
        </w:rPr>
        <w:t xml:space="preserve">Con el fin de desarrollar los ajustes incorporados por el Decreto 1393 de 2020, esta Superintendencia, en ejercicio de las facultades incorporadas en los artículos 2.6.12.1.3, 2.6.13.1.1 y 2.31.3.1.3 </w:t>
      </w:r>
      <w:r w:rsidRPr="002354A9">
        <w:rPr>
          <w:rFonts w:ascii="Arial" w:hAnsi="Arial" w:cs="Arial"/>
          <w:sz w:val="22"/>
          <w:szCs w:val="22"/>
          <w:lang w:val="es-CO" w:eastAsia="es-CO"/>
        </w:rPr>
        <w:t xml:space="preserve">y los numerales 4 y 5 del artículo 11.2.1.4.2. del Decreto 2555 de 2010, </w:t>
      </w:r>
      <w:r w:rsidRPr="002354A9">
        <w:rPr>
          <w:rFonts w:ascii="Arial" w:hAnsi="Arial" w:cs="Arial"/>
          <w:sz w:val="22"/>
          <w:szCs w:val="22"/>
          <w:lang w:val="es-ES" w:eastAsia="es-CO"/>
        </w:rPr>
        <w:t>imparte las siguientes instrucciones:</w:t>
      </w:r>
    </w:p>
    <w:p w14:paraId="111F0E0B" w14:textId="77777777" w:rsidR="001309F0" w:rsidRPr="002354A9" w:rsidRDefault="001309F0" w:rsidP="001309F0">
      <w:pPr>
        <w:jc w:val="both"/>
        <w:rPr>
          <w:rFonts w:ascii="Arial" w:hAnsi="Arial" w:cs="Arial"/>
          <w:sz w:val="22"/>
          <w:szCs w:val="22"/>
          <w:lang w:val="es-ES" w:eastAsia="es-CO"/>
        </w:rPr>
      </w:pPr>
    </w:p>
    <w:p w14:paraId="6F6A8520"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b/>
          <w:bCs/>
          <w:sz w:val="22"/>
          <w:szCs w:val="22"/>
          <w:lang w:val="es-ES" w:eastAsia="es-CO"/>
        </w:rPr>
        <w:t>PRIMERA.</w:t>
      </w:r>
      <w:r w:rsidRPr="002354A9">
        <w:rPr>
          <w:rFonts w:ascii="Arial" w:hAnsi="Arial" w:cs="Arial"/>
          <w:sz w:val="22"/>
          <w:szCs w:val="22"/>
          <w:lang w:val="es-ES" w:eastAsia="es-CO"/>
        </w:rPr>
        <w:t xml:space="preserve"> Modificar el Capítulo IV del Título III de la Parte II de la Circular Básica Jurídica, en lo relativo a las políticas de inversión, asignación estratégica de activos y funciones de los comités de inversiones y de riesgos de las sociedades administradoras de fondos de pensiones y cesantías. </w:t>
      </w:r>
    </w:p>
    <w:p w14:paraId="64820140" w14:textId="77777777" w:rsidR="001309F0" w:rsidRPr="002354A9" w:rsidRDefault="001309F0" w:rsidP="001309F0">
      <w:pPr>
        <w:jc w:val="both"/>
        <w:rPr>
          <w:rFonts w:ascii="Arial" w:hAnsi="Arial" w:cs="Arial"/>
          <w:sz w:val="22"/>
          <w:szCs w:val="22"/>
          <w:lang w:val="es-ES" w:eastAsia="es-CO"/>
        </w:rPr>
      </w:pPr>
    </w:p>
    <w:p w14:paraId="6A76F25A"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b/>
          <w:bCs/>
          <w:sz w:val="22"/>
          <w:szCs w:val="22"/>
          <w:lang w:val="es-ES" w:eastAsia="es-CO"/>
        </w:rPr>
        <w:t xml:space="preserve">SEGUNDA. </w:t>
      </w:r>
      <w:r w:rsidRPr="002354A9">
        <w:rPr>
          <w:rFonts w:ascii="Arial" w:hAnsi="Arial" w:cs="Arial"/>
          <w:sz w:val="22"/>
          <w:szCs w:val="22"/>
          <w:lang w:val="es-ES" w:eastAsia="es-CO"/>
        </w:rPr>
        <w:t xml:space="preserve">Adicionar los </w:t>
      </w:r>
      <w:proofErr w:type="spellStart"/>
      <w:r w:rsidRPr="002354A9">
        <w:rPr>
          <w:rFonts w:ascii="Arial" w:hAnsi="Arial" w:cs="Arial"/>
          <w:sz w:val="22"/>
          <w:szCs w:val="22"/>
          <w:lang w:val="es-ES" w:eastAsia="es-CO"/>
        </w:rPr>
        <w:t>subnumerales</w:t>
      </w:r>
      <w:proofErr w:type="spellEnd"/>
      <w:r w:rsidRPr="002354A9">
        <w:rPr>
          <w:rFonts w:ascii="Arial" w:hAnsi="Arial" w:cs="Arial"/>
          <w:sz w:val="22"/>
          <w:szCs w:val="22"/>
          <w:lang w:val="es-ES" w:eastAsia="es-CO"/>
        </w:rPr>
        <w:t xml:space="preserve"> 2.2.8 y 2.2.9 al Capítulo II del Título IV de la Parte II de la Circular Básica Jurídica, relacionado con el proceso de inversiones del portafolio que respalda las reservas técnicas de las entidades aseguradoras.</w:t>
      </w:r>
    </w:p>
    <w:p w14:paraId="703C5B6E" w14:textId="77777777" w:rsidR="001309F0" w:rsidRPr="002354A9" w:rsidRDefault="001309F0" w:rsidP="001309F0">
      <w:pPr>
        <w:jc w:val="both"/>
        <w:rPr>
          <w:rFonts w:ascii="Arial" w:hAnsi="Arial" w:cs="Arial"/>
          <w:sz w:val="22"/>
          <w:szCs w:val="22"/>
          <w:lang w:val="es-ES" w:eastAsia="es-CO"/>
        </w:rPr>
      </w:pPr>
    </w:p>
    <w:p w14:paraId="568C8B03"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b/>
          <w:bCs/>
          <w:sz w:val="22"/>
          <w:szCs w:val="22"/>
          <w:lang w:val="es-ES" w:eastAsia="es-CO"/>
        </w:rPr>
        <w:t xml:space="preserve">TERCERA. </w:t>
      </w:r>
      <w:r w:rsidRPr="002354A9">
        <w:rPr>
          <w:rFonts w:ascii="Arial" w:hAnsi="Arial" w:cs="Arial"/>
          <w:sz w:val="22"/>
          <w:szCs w:val="22"/>
          <w:lang w:val="es-ES" w:eastAsia="es-CO"/>
        </w:rPr>
        <w:t>Crear el Anexo 15 del Título IV de la Parte II de la Circular Básica Jurídica, denominado “Política de inversión y gobernanza de la gestión de las inversiones de las entidades aseguradoras”.</w:t>
      </w:r>
    </w:p>
    <w:p w14:paraId="68BDDC43" w14:textId="77777777" w:rsidR="001309F0" w:rsidRPr="002354A9" w:rsidRDefault="001309F0" w:rsidP="001309F0">
      <w:pPr>
        <w:jc w:val="both"/>
        <w:rPr>
          <w:rFonts w:ascii="Arial" w:hAnsi="Arial" w:cs="Arial"/>
          <w:sz w:val="22"/>
          <w:szCs w:val="22"/>
          <w:lang w:val="es-ES" w:eastAsia="es-CO"/>
        </w:rPr>
      </w:pPr>
    </w:p>
    <w:p w14:paraId="56B7DEF0"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b/>
          <w:bCs/>
          <w:sz w:val="22"/>
          <w:szCs w:val="22"/>
          <w:lang w:val="es-ES" w:eastAsia="es-CO"/>
        </w:rPr>
        <w:t>CUARTA.</w:t>
      </w:r>
      <w:r w:rsidRPr="002354A9">
        <w:rPr>
          <w:rFonts w:ascii="Arial" w:hAnsi="Arial" w:cs="Arial"/>
          <w:sz w:val="22"/>
          <w:szCs w:val="22"/>
          <w:lang w:val="es-ES" w:eastAsia="es-CO"/>
        </w:rPr>
        <w:t xml:space="preserve"> Adicionar los </w:t>
      </w:r>
      <w:proofErr w:type="spellStart"/>
      <w:r w:rsidRPr="002354A9">
        <w:rPr>
          <w:rFonts w:ascii="Arial" w:hAnsi="Arial" w:cs="Arial"/>
          <w:sz w:val="22"/>
          <w:szCs w:val="22"/>
          <w:lang w:val="es-ES" w:eastAsia="es-CO"/>
        </w:rPr>
        <w:t>subnumerales</w:t>
      </w:r>
      <w:proofErr w:type="spellEnd"/>
      <w:r w:rsidRPr="002354A9">
        <w:rPr>
          <w:rFonts w:ascii="Arial" w:hAnsi="Arial" w:cs="Arial"/>
          <w:sz w:val="22"/>
          <w:szCs w:val="22"/>
          <w:lang w:val="es-ES" w:eastAsia="es-CO"/>
        </w:rPr>
        <w:t xml:space="preserve"> 3.4, 3.5, 3.6 y 3.7 al Capítulo I del Título IV de la Parte II de la Circular Básica Jurídica, relativo al proceso de inversiones del portafolio que respalda las reservas técnicas de las sociedades capitalizadoras.</w:t>
      </w:r>
    </w:p>
    <w:p w14:paraId="66F08CE7" w14:textId="77777777" w:rsidR="001309F0" w:rsidRPr="002354A9" w:rsidRDefault="001309F0" w:rsidP="001309F0">
      <w:pPr>
        <w:jc w:val="both"/>
        <w:rPr>
          <w:rFonts w:ascii="Arial" w:hAnsi="Arial" w:cs="Arial"/>
          <w:sz w:val="22"/>
          <w:szCs w:val="22"/>
          <w:lang w:val="es-ES" w:eastAsia="es-CO"/>
        </w:rPr>
      </w:pPr>
    </w:p>
    <w:p w14:paraId="355A7374" w14:textId="2A8AFFF8" w:rsidR="001309F0" w:rsidRPr="002354A9" w:rsidRDefault="001309F0" w:rsidP="001309F0">
      <w:pPr>
        <w:jc w:val="both"/>
        <w:rPr>
          <w:rFonts w:ascii="Arial" w:hAnsi="Arial" w:cs="Arial"/>
          <w:sz w:val="22"/>
          <w:szCs w:val="22"/>
          <w:lang w:val="es-ES" w:eastAsia="es-CO"/>
        </w:rPr>
      </w:pPr>
      <w:r w:rsidRPr="002354A9">
        <w:rPr>
          <w:rFonts w:ascii="Arial" w:hAnsi="Arial" w:cs="Arial"/>
          <w:b/>
          <w:sz w:val="22"/>
          <w:szCs w:val="22"/>
          <w:lang w:val="es-ES" w:eastAsia="es-CO"/>
        </w:rPr>
        <w:t>QUINTA.</w:t>
      </w:r>
      <w:r w:rsidRPr="002354A9">
        <w:rPr>
          <w:rFonts w:ascii="Arial" w:hAnsi="Arial" w:cs="Arial"/>
          <w:sz w:val="22"/>
          <w:szCs w:val="22"/>
          <w:lang w:val="es-ES" w:eastAsia="es-CO"/>
        </w:rPr>
        <w:t xml:space="preserve"> </w:t>
      </w:r>
      <w:r w:rsidRPr="002354A9">
        <w:rPr>
          <w:rFonts w:ascii="Arial" w:hAnsi="Arial" w:cs="Arial"/>
          <w:b/>
          <w:bCs/>
          <w:sz w:val="22"/>
          <w:szCs w:val="22"/>
          <w:lang w:val="es-ES" w:eastAsia="es-CO"/>
        </w:rPr>
        <w:t>REGIMEN DE TRANSICI</w:t>
      </w:r>
      <w:r w:rsidR="00026223">
        <w:rPr>
          <w:rFonts w:ascii="Arial" w:hAnsi="Arial" w:cs="Arial"/>
          <w:b/>
          <w:bCs/>
          <w:sz w:val="22"/>
          <w:szCs w:val="22"/>
          <w:lang w:val="es-ES" w:eastAsia="es-CO"/>
        </w:rPr>
        <w:t>Ó</w:t>
      </w:r>
      <w:r w:rsidRPr="002354A9">
        <w:rPr>
          <w:rFonts w:ascii="Arial" w:hAnsi="Arial" w:cs="Arial"/>
          <w:b/>
          <w:bCs/>
          <w:sz w:val="22"/>
          <w:szCs w:val="22"/>
          <w:lang w:val="es-ES" w:eastAsia="es-CO"/>
        </w:rPr>
        <w:t>N.</w:t>
      </w:r>
      <w:r w:rsidRPr="002354A9">
        <w:rPr>
          <w:rFonts w:ascii="Arial" w:hAnsi="Arial" w:cs="Arial"/>
          <w:sz w:val="22"/>
          <w:szCs w:val="22"/>
          <w:lang w:val="es-ES" w:eastAsia="es-CO"/>
        </w:rPr>
        <w:t xml:space="preserve"> En virtud del artículo 22 del Decreto 1393 de 2020, las sociedades administradoras de fondos de pensiones y cesantías, entidades aseguradoras y sociedades de capitalización deben implementar las modificaciones necesarias para el cumplimiento del mencionado Decreto a más tardar el 26 de julio de 2021.</w:t>
      </w:r>
    </w:p>
    <w:p w14:paraId="6A0BF471" w14:textId="77777777" w:rsidR="001309F0" w:rsidRPr="002354A9" w:rsidRDefault="001309F0" w:rsidP="001309F0">
      <w:pPr>
        <w:jc w:val="both"/>
        <w:rPr>
          <w:rFonts w:ascii="Arial" w:hAnsi="Arial" w:cs="Arial"/>
          <w:sz w:val="22"/>
          <w:szCs w:val="22"/>
          <w:lang w:val="es-ES" w:eastAsia="es-CO"/>
        </w:rPr>
      </w:pPr>
    </w:p>
    <w:p w14:paraId="67AD81F1" w14:textId="77777777" w:rsidR="001309F0" w:rsidRPr="002354A9" w:rsidRDefault="001309F0" w:rsidP="001309F0">
      <w:pPr>
        <w:jc w:val="both"/>
        <w:rPr>
          <w:rFonts w:ascii="Arial" w:hAnsi="Arial" w:cs="Arial"/>
          <w:b/>
          <w:sz w:val="22"/>
          <w:szCs w:val="22"/>
          <w:lang w:val="es-CO" w:eastAsia="es-CO"/>
        </w:rPr>
      </w:pPr>
    </w:p>
    <w:p w14:paraId="065EF42A" w14:textId="77777777" w:rsidR="001309F0" w:rsidRPr="002354A9" w:rsidRDefault="001309F0" w:rsidP="001309F0">
      <w:pPr>
        <w:jc w:val="both"/>
        <w:rPr>
          <w:rFonts w:ascii="Arial" w:hAnsi="Arial" w:cs="Arial"/>
          <w:sz w:val="22"/>
          <w:szCs w:val="22"/>
          <w:lang w:val="es-CO" w:eastAsia="es-CO"/>
        </w:rPr>
      </w:pPr>
      <w:r w:rsidRPr="002354A9">
        <w:rPr>
          <w:rFonts w:ascii="Arial" w:hAnsi="Arial" w:cs="Arial"/>
          <w:sz w:val="22"/>
          <w:szCs w:val="22"/>
          <w:lang w:val="es-CO" w:eastAsia="es-CO"/>
        </w:rPr>
        <w:t>La presente Circular entra en vigencia a partir de su expedición.</w:t>
      </w:r>
    </w:p>
    <w:p w14:paraId="03C99B2B" w14:textId="77777777" w:rsidR="001309F0" w:rsidRPr="002354A9" w:rsidRDefault="001309F0" w:rsidP="001309F0">
      <w:pPr>
        <w:jc w:val="both"/>
        <w:rPr>
          <w:rFonts w:ascii="Arial" w:hAnsi="Arial" w:cs="Arial"/>
          <w:sz w:val="22"/>
          <w:szCs w:val="22"/>
          <w:lang w:val="es-CO" w:eastAsia="es-CO"/>
        </w:rPr>
      </w:pPr>
    </w:p>
    <w:p w14:paraId="68528507" w14:textId="77777777" w:rsidR="001309F0" w:rsidRPr="002354A9" w:rsidRDefault="001309F0" w:rsidP="001309F0">
      <w:pPr>
        <w:jc w:val="both"/>
        <w:rPr>
          <w:rFonts w:ascii="Arial" w:hAnsi="Arial" w:cs="Arial"/>
          <w:sz w:val="22"/>
          <w:szCs w:val="22"/>
          <w:lang w:val="es-ES" w:eastAsia="es-CO"/>
        </w:rPr>
      </w:pPr>
      <w:r w:rsidRPr="002354A9">
        <w:rPr>
          <w:rFonts w:ascii="Arial" w:hAnsi="Arial" w:cs="Arial"/>
          <w:sz w:val="22"/>
          <w:szCs w:val="22"/>
          <w:lang w:val="es-ES" w:eastAsia="es-CO"/>
        </w:rPr>
        <w:t>Se anexan las paginas objeto de modificación.</w:t>
      </w:r>
    </w:p>
    <w:p w14:paraId="40C65787" w14:textId="77777777" w:rsidR="001309F0" w:rsidRPr="002354A9" w:rsidRDefault="001309F0" w:rsidP="001309F0">
      <w:pPr>
        <w:jc w:val="both"/>
        <w:rPr>
          <w:rFonts w:ascii="Arial" w:hAnsi="Arial" w:cs="Arial"/>
          <w:sz w:val="22"/>
          <w:szCs w:val="22"/>
          <w:lang w:val="es-ES" w:eastAsia="es-CO"/>
        </w:rPr>
      </w:pPr>
    </w:p>
    <w:p w14:paraId="1418A4CC" w14:textId="77777777" w:rsidR="001309F0" w:rsidRPr="002354A9" w:rsidRDefault="001309F0" w:rsidP="001309F0">
      <w:pPr>
        <w:widowControl w:val="0"/>
        <w:adjustRightInd w:val="0"/>
        <w:jc w:val="both"/>
        <w:rPr>
          <w:rFonts w:ascii="Arial" w:hAnsi="Arial" w:cs="Arial"/>
          <w:sz w:val="22"/>
          <w:szCs w:val="22"/>
          <w:lang w:val="pt-BR" w:eastAsia="es-CO"/>
        </w:rPr>
      </w:pPr>
      <w:r w:rsidRPr="002354A9">
        <w:rPr>
          <w:rFonts w:ascii="Arial" w:hAnsi="Arial" w:cs="Arial"/>
          <w:sz w:val="22"/>
          <w:szCs w:val="22"/>
          <w:lang w:val="pt-BR" w:eastAsia="es-CO"/>
        </w:rPr>
        <w:t>Cordialmente,</w:t>
      </w:r>
    </w:p>
    <w:p w14:paraId="1076D5EB" w14:textId="77777777" w:rsidR="001309F0" w:rsidRPr="002354A9" w:rsidRDefault="001309F0" w:rsidP="001309F0">
      <w:pPr>
        <w:widowControl w:val="0"/>
        <w:adjustRightInd w:val="0"/>
        <w:rPr>
          <w:rFonts w:ascii="Arial" w:hAnsi="Arial" w:cs="Arial"/>
          <w:sz w:val="22"/>
          <w:szCs w:val="22"/>
          <w:lang w:val="pt-BR" w:eastAsia="es-CO"/>
        </w:rPr>
      </w:pPr>
    </w:p>
    <w:p w14:paraId="39F94780" w14:textId="77777777" w:rsidR="001309F0" w:rsidRPr="002354A9" w:rsidRDefault="001309F0" w:rsidP="001309F0">
      <w:pPr>
        <w:widowControl w:val="0"/>
        <w:adjustRightInd w:val="0"/>
        <w:rPr>
          <w:rFonts w:ascii="Arial" w:hAnsi="Arial" w:cs="Arial"/>
          <w:sz w:val="22"/>
          <w:szCs w:val="22"/>
          <w:lang w:val="pt-BR" w:eastAsia="es-CO"/>
        </w:rPr>
      </w:pPr>
    </w:p>
    <w:p w14:paraId="2B38DD02" w14:textId="77777777" w:rsidR="001309F0" w:rsidRPr="002354A9" w:rsidRDefault="001309F0" w:rsidP="001309F0">
      <w:pPr>
        <w:widowControl w:val="0"/>
        <w:adjustRightInd w:val="0"/>
        <w:outlineLvl w:val="0"/>
        <w:rPr>
          <w:rFonts w:ascii="Arial" w:hAnsi="Arial" w:cs="Arial"/>
          <w:b/>
          <w:bCs/>
          <w:sz w:val="22"/>
          <w:szCs w:val="22"/>
          <w:lang w:val="pt-BR" w:eastAsia="es-CO"/>
        </w:rPr>
      </w:pPr>
      <w:r w:rsidRPr="002354A9">
        <w:rPr>
          <w:rFonts w:ascii="Arial" w:hAnsi="Arial" w:cs="Arial"/>
          <w:b/>
          <w:bCs/>
          <w:sz w:val="22"/>
          <w:szCs w:val="22"/>
          <w:lang w:val="pt-BR" w:eastAsia="es-CO"/>
        </w:rPr>
        <w:t>JORGE CASTAÑO GUTIÉRREZ</w:t>
      </w:r>
    </w:p>
    <w:p w14:paraId="3F835198" w14:textId="77777777" w:rsidR="001309F0" w:rsidRPr="002354A9" w:rsidRDefault="001309F0" w:rsidP="001309F0">
      <w:pPr>
        <w:ind w:right="-160"/>
        <w:outlineLvl w:val="0"/>
        <w:rPr>
          <w:rFonts w:ascii="Arial" w:hAnsi="Arial" w:cs="Arial"/>
          <w:sz w:val="22"/>
          <w:szCs w:val="22"/>
          <w:lang w:val="pt-BR" w:eastAsia="es-CO"/>
        </w:rPr>
      </w:pPr>
      <w:r w:rsidRPr="002354A9">
        <w:rPr>
          <w:rFonts w:ascii="Arial" w:hAnsi="Arial" w:cs="Arial"/>
          <w:sz w:val="22"/>
          <w:szCs w:val="22"/>
          <w:lang w:val="pt-BR" w:eastAsia="es-CO"/>
        </w:rPr>
        <w:t xml:space="preserve">Superintendente </w:t>
      </w:r>
      <w:r w:rsidRPr="002354A9">
        <w:rPr>
          <w:rFonts w:ascii="Arial" w:hAnsi="Arial" w:cs="Arial"/>
          <w:sz w:val="22"/>
          <w:szCs w:val="22"/>
          <w:lang w:val="es-ES" w:eastAsia="es-CO"/>
        </w:rPr>
        <w:t>Financiero</w:t>
      </w:r>
    </w:p>
    <w:p w14:paraId="44E871BC" w14:textId="1DDAD1ED" w:rsidR="00B51F39" w:rsidRPr="00022F23" w:rsidRDefault="001309F0" w:rsidP="00026223">
      <w:pPr>
        <w:ind w:right="-160"/>
        <w:rPr>
          <w:rFonts w:ascii="Arial" w:hAnsi="Arial" w:cs="Arial"/>
          <w:sz w:val="22"/>
          <w:szCs w:val="24"/>
          <w:lang w:val="es-CO"/>
        </w:rPr>
      </w:pPr>
      <w:r w:rsidRPr="002354A9">
        <w:rPr>
          <w:rFonts w:ascii="Arial" w:hAnsi="Arial" w:cs="Arial"/>
          <w:sz w:val="22"/>
          <w:szCs w:val="22"/>
          <w:lang w:val="pt-BR" w:eastAsia="es-CO"/>
        </w:rPr>
        <w:t>50000</w:t>
      </w:r>
    </w:p>
    <w:sectPr w:rsidR="00B51F39" w:rsidRPr="00022F23" w:rsidSect="00EF1775">
      <w:headerReference w:type="default" r:id="rId11"/>
      <w:footerReference w:type="default" r:id="rId12"/>
      <w:headerReference w:type="first" r:id="rId13"/>
      <w:footerReference w:type="first" r:id="rId14"/>
      <w:pgSz w:w="12242" w:h="18722" w:code="14"/>
      <w:pgMar w:top="1800" w:right="1701" w:bottom="1701" w:left="2268"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E78A0" w14:textId="77777777" w:rsidR="0093749E" w:rsidRDefault="0093749E">
      <w:r>
        <w:separator/>
      </w:r>
    </w:p>
  </w:endnote>
  <w:endnote w:type="continuationSeparator" w:id="0">
    <w:p w14:paraId="4E66EE65" w14:textId="77777777" w:rsidR="0093749E" w:rsidRDefault="0093749E">
      <w:r>
        <w:continuationSeparator/>
      </w:r>
    </w:p>
  </w:endnote>
  <w:endnote w:type="continuationNotice" w:id="1">
    <w:p w14:paraId="3D9056AB" w14:textId="77777777" w:rsidR="0093749E" w:rsidRDefault="0093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DBDC" w14:textId="77777777" w:rsidR="00564B20" w:rsidRDefault="00564B20">
    <w:pPr>
      <w:widowControl w:val="0"/>
      <w:autoSpaceDE w:val="0"/>
      <w:autoSpaceDN w:val="0"/>
      <w:adjustRightInd w:val="0"/>
      <w:jc w:val="both"/>
      <w:rPr>
        <w:rFonts w:ascii="Arial" w:hAnsi="Arial" w:cs="Arial"/>
        <w:sz w:val="22"/>
        <w:szCs w:val="22"/>
      </w:rPr>
    </w:pPr>
  </w:p>
  <w:p w14:paraId="769D0D3C"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9076" w14:textId="77777777" w:rsidR="00564B20" w:rsidRDefault="00564B20">
    <w:pPr>
      <w:widowControl w:val="0"/>
      <w:autoSpaceDE w:val="0"/>
      <w:autoSpaceDN w:val="0"/>
      <w:adjustRightInd w:val="0"/>
      <w:jc w:val="both"/>
      <w:rPr>
        <w:rFonts w:ascii="Arial" w:hAnsi="Arial" w:cs="Arial"/>
        <w:sz w:val="22"/>
        <w:szCs w:val="22"/>
      </w:rPr>
    </w:pPr>
  </w:p>
  <w:p w14:paraId="2BA226A1" w14:textId="77777777" w:rsidR="00564B20" w:rsidRDefault="00564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B5972" w14:textId="77777777" w:rsidR="0093749E" w:rsidRDefault="0093749E">
      <w:r>
        <w:separator/>
      </w:r>
    </w:p>
  </w:footnote>
  <w:footnote w:type="continuationSeparator" w:id="0">
    <w:p w14:paraId="3706C7F1" w14:textId="77777777" w:rsidR="0093749E" w:rsidRDefault="0093749E">
      <w:r>
        <w:continuationSeparator/>
      </w:r>
    </w:p>
  </w:footnote>
  <w:footnote w:type="continuationNotice" w:id="1">
    <w:p w14:paraId="6DF81191" w14:textId="77777777" w:rsidR="0093749E" w:rsidRDefault="00937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A78D"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63F29E8" w14:textId="77777777" w:rsidR="00564B20" w:rsidRDefault="00564B20">
    <w:pPr>
      <w:pStyle w:val="Encabezado"/>
      <w:jc w:val="center"/>
      <w:rPr>
        <w:rFonts w:ascii="Arial" w:hAnsi="Arial" w:cs="Arial"/>
        <w:b/>
        <w:bCs/>
        <w:sz w:val="24"/>
        <w:szCs w:val="24"/>
        <w:lang w:val="es-CO"/>
      </w:rPr>
    </w:pPr>
  </w:p>
  <w:p w14:paraId="178D78F1" w14:textId="756D3D93" w:rsidR="000414B7" w:rsidRDefault="000414B7" w:rsidP="000414B7">
    <w:pPr>
      <w:pStyle w:val="Encabezado"/>
      <w:tabs>
        <w:tab w:val="center" w:pos="4135"/>
        <w:tab w:val="right" w:pos="8271"/>
      </w:tabs>
      <w:rPr>
        <w:rFonts w:ascii="Arial" w:hAnsi="Arial" w:cs="Arial"/>
        <w:b/>
        <w:sz w:val="24"/>
        <w:szCs w:val="24"/>
      </w:rPr>
    </w:pPr>
  </w:p>
  <w:p w14:paraId="3B7B4B86" w14:textId="77777777" w:rsidR="00564B20" w:rsidRPr="000414B7" w:rsidRDefault="00564B20">
    <w:pPr>
      <w:pStyle w:val="Encabezado"/>
      <w:jc w:val="both"/>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090"/>
      <w:gridCol w:w="4399"/>
      <w:gridCol w:w="2052"/>
    </w:tblGrid>
    <w:tr w:rsidR="00564B20" w14:paraId="3B57F441" w14:textId="77777777" w:rsidTr="67DAE626">
      <w:trPr>
        <w:cantSplit/>
        <w:trHeight w:val="850"/>
      </w:trPr>
      <w:tc>
        <w:tcPr>
          <w:tcW w:w="2055" w:type="dxa"/>
          <w:vMerge w:val="restart"/>
          <w:noWrap/>
          <w:vAlign w:val="bottom"/>
        </w:tcPr>
        <w:p w14:paraId="66204FF1" w14:textId="77777777" w:rsidR="00564B20" w:rsidRDefault="67DAE626" w:rsidP="000F6CB5">
          <w:pPr>
            <w:rPr>
              <w:rFonts w:cs="Arial"/>
              <w:sz w:val="2"/>
              <w:szCs w:val="2"/>
              <w:lang w:val="es-CO"/>
            </w:rPr>
          </w:pPr>
          <w:r>
            <w:rPr>
              <w:noProof/>
            </w:rPr>
            <w:drawing>
              <wp:inline distT="0" distB="0" distL="0" distR="0" wp14:anchorId="44171D4D" wp14:editId="342E29A6">
                <wp:extent cx="1238250" cy="666750"/>
                <wp:effectExtent l="0" t="0" r="0" b="0"/>
                <wp:docPr id="5" name="Imagen 2" descr="C:\Users\maariza\AppData\Local\Microsoft\Windows\INetCache\Content.Word\Logo Definitivo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238250" cy="666750"/>
                        </a:xfrm>
                        <a:prstGeom prst="rect">
                          <a:avLst/>
                        </a:prstGeom>
                      </pic:spPr>
                    </pic:pic>
                  </a:graphicData>
                </a:graphic>
              </wp:inline>
            </w:drawing>
          </w:r>
        </w:p>
        <w:p w14:paraId="2DBF0D7D" w14:textId="77777777" w:rsidR="00564B20" w:rsidRDefault="00564B20" w:rsidP="000F6CB5">
          <w:pPr>
            <w:rPr>
              <w:rFonts w:cs="Arial"/>
              <w:sz w:val="2"/>
              <w:szCs w:val="2"/>
              <w:lang w:val="es-CO"/>
            </w:rPr>
          </w:pPr>
        </w:p>
        <w:p w14:paraId="6B62F1B3" w14:textId="77777777" w:rsidR="00564B20" w:rsidRDefault="00564B20" w:rsidP="000F6CB5">
          <w:pPr>
            <w:rPr>
              <w:rFonts w:cs="Arial"/>
              <w:sz w:val="2"/>
              <w:szCs w:val="2"/>
              <w:lang w:val="es-CO"/>
            </w:rPr>
          </w:pPr>
        </w:p>
        <w:p w14:paraId="02F2C34E" w14:textId="77777777" w:rsidR="00564B20" w:rsidRDefault="00564B20" w:rsidP="000F6CB5">
          <w:pPr>
            <w:rPr>
              <w:rFonts w:cs="Arial"/>
              <w:sz w:val="2"/>
              <w:szCs w:val="2"/>
              <w:lang w:val="es-CO"/>
            </w:rPr>
          </w:pPr>
        </w:p>
        <w:p w14:paraId="680A4E5D" w14:textId="77777777" w:rsidR="00564B20" w:rsidRDefault="00564B20" w:rsidP="000F6CB5">
          <w:pPr>
            <w:rPr>
              <w:rFonts w:cs="Arial"/>
              <w:sz w:val="2"/>
              <w:szCs w:val="2"/>
              <w:lang w:val="es-CO"/>
            </w:rPr>
          </w:pPr>
        </w:p>
      </w:tc>
      <w:tc>
        <w:tcPr>
          <w:tcW w:w="4399" w:type="dxa"/>
          <w:shd w:val="clear" w:color="auto" w:fill="FFFFFF" w:themeFill="background1"/>
          <w:noWrap/>
          <w:vAlign w:val="center"/>
        </w:tcPr>
        <w:p w14:paraId="286C4139"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themeFill="background1"/>
          <w:noWrap/>
          <w:vAlign w:val="center"/>
        </w:tcPr>
        <w:p w14:paraId="7F94DA32" w14:textId="77777777" w:rsidR="00564B20" w:rsidRDefault="00564B20" w:rsidP="000F6CB5">
          <w:pPr>
            <w:jc w:val="center"/>
            <w:rPr>
              <w:rFonts w:ascii="Arial" w:hAnsi="Arial" w:cs="Arial"/>
              <w:lang w:val="es-CO"/>
            </w:rPr>
          </w:pPr>
          <w:r>
            <w:rPr>
              <w:rFonts w:ascii="Arial" w:hAnsi="Arial" w:cs="Arial"/>
              <w:bCs/>
            </w:rPr>
            <w:t>E-PI-DDS-002</w:t>
          </w:r>
        </w:p>
      </w:tc>
    </w:tr>
    <w:tr w:rsidR="00564B20" w14:paraId="28E362ED" w14:textId="77777777" w:rsidTr="67DAE626">
      <w:trPr>
        <w:cantSplit/>
        <w:trHeight w:val="378"/>
      </w:trPr>
      <w:tc>
        <w:tcPr>
          <w:tcW w:w="2055" w:type="dxa"/>
          <w:vMerge/>
          <w:noWrap/>
          <w:vAlign w:val="bottom"/>
        </w:tcPr>
        <w:p w14:paraId="19219836" w14:textId="77777777" w:rsidR="00564B20" w:rsidRDefault="00564B20" w:rsidP="000F6CB5">
          <w:pPr>
            <w:rPr>
              <w:rFonts w:cs="Arial"/>
              <w:color w:val="FFFFFF"/>
              <w:lang w:val="es-CO"/>
            </w:rPr>
          </w:pPr>
        </w:p>
      </w:tc>
      <w:tc>
        <w:tcPr>
          <w:tcW w:w="4399" w:type="dxa"/>
          <w:vAlign w:val="center"/>
        </w:tcPr>
        <w:p w14:paraId="08462A8F"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themeFill="background1"/>
          <w:noWrap/>
          <w:vAlign w:val="center"/>
        </w:tcPr>
        <w:p w14:paraId="2EC57B1D" w14:textId="7EADAECA" w:rsidR="00564B20" w:rsidRDefault="00564B20" w:rsidP="000F6CB5">
          <w:pPr>
            <w:jc w:val="center"/>
            <w:rPr>
              <w:rFonts w:ascii="Arial" w:hAnsi="Arial" w:cs="Arial"/>
              <w:lang w:val="es-CO"/>
            </w:rPr>
          </w:pPr>
          <w:r>
            <w:rPr>
              <w:rFonts w:ascii="Arial" w:hAnsi="Arial" w:cs="Arial"/>
              <w:bCs/>
            </w:rPr>
            <w:t xml:space="preserve">Versión </w:t>
          </w:r>
          <w:r w:rsidR="009761C2">
            <w:rPr>
              <w:rFonts w:ascii="Arial" w:hAnsi="Arial" w:cs="Arial"/>
              <w:bCs/>
            </w:rPr>
            <w:t>4</w:t>
          </w:r>
        </w:p>
      </w:tc>
    </w:tr>
  </w:tbl>
  <w:p w14:paraId="296FEF7D" w14:textId="77777777" w:rsidR="00564B20" w:rsidRDefault="00564B20" w:rsidP="00564B20">
    <w:pPr>
      <w:pStyle w:val="Encabezado"/>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hybridMultilevel"/>
    <w:tmpl w:val="EDF2FD7A"/>
    <w:lvl w:ilvl="0" w:tplc="F5BCAF84">
      <w:start w:val="1"/>
      <w:numFmt w:val="bullet"/>
      <w:pStyle w:val="Listaconvietas3"/>
      <w:lvlText w:val=""/>
      <w:lvlJc w:val="left"/>
      <w:pPr>
        <w:tabs>
          <w:tab w:val="num" w:pos="926"/>
        </w:tabs>
        <w:ind w:left="926" w:hanging="360"/>
      </w:pPr>
      <w:rPr>
        <w:rFonts w:ascii="Symbol" w:hAnsi="Symbol" w:hint="default"/>
      </w:rPr>
    </w:lvl>
    <w:lvl w:ilvl="1" w:tplc="C9C2BDFA">
      <w:numFmt w:val="decimal"/>
      <w:lvlText w:val=""/>
      <w:lvlJc w:val="left"/>
    </w:lvl>
    <w:lvl w:ilvl="2" w:tplc="94168E92">
      <w:numFmt w:val="decimal"/>
      <w:lvlText w:val=""/>
      <w:lvlJc w:val="left"/>
    </w:lvl>
    <w:lvl w:ilvl="3" w:tplc="F8E87058">
      <w:numFmt w:val="decimal"/>
      <w:lvlText w:val=""/>
      <w:lvlJc w:val="left"/>
    </w:lvl>
    <w:lvl w:ilvl="4" w:tplc="7988D5CA">
      <w:numFmt w:val="decimal"/>
      <w:lvlText w:val=""/>
      <w:lvlJc w:val="left"/>
    </w:lvl>
    <w:lvl w:ilvl="5" w:tplc="4196A414">
      <w:numFmt w:val="decimal"/>
      <w:lvlText w:val=""/>
      <w:lvlJc w:val="left"/>
    </w:lvl>
    <w:lvl w:ilvl="6" w:tplc="2E085EB2">
      <w:numFmt w:val="decimal"/>
      <w:lvlText w:val=""/>
      <w:lvlJc w:val="left"/>
    </w:lvl>
    <w:lvl w:ilvl="7" w:tplc="3738A8EE">
      <w:numFmt w:val="decimal"/>
      <w:lvlText w:val=""/>
      <w:lvlJc w:val="left"/>
    </w:lvl>
    <w:lvl w:ilvl="8" w:tplc="37AE8D3E">
      <w:numFmt w:val="decimal"/>
      <w:lvlText w:val=""/>
      <w:lvlJc w:val="left"/>
    </w:lvl>
  </w:abstractNum>
  <w:abstractNum w:abstractNumId="2" w15:restartNumberingAfterBreak="0">
    <w:nsid w:val="FFFFFF83"/>
    <w:multiLevelType w:val="hybridMultilevel"/>
    <w:tmpl w:val="2E8C2D0C"/>
    <w:lvl w:ilvl="0" w:tplc="2C44BB40">
      <w:start w:val="1"/>
      <w:numFmt w:val="bullet"/>
      <w:pStyle w:val="Listaconvietas2"/>
      <w:lvlText w:val=""/>
      <w:lvlJc w:val="left"/>
      <w:pPr>
        <w:tabs>
          <w:tab w:val="num" w:pos="643"/>
        </w:tabs>
        <w:ind w:left="643" w:hanging="360"/>
      </w:pPr>
      <w:rPr>
        <w:rFonts w:ascii="Symbol" w:hAnsi="Symbol" w:hint="default"/>
      </w:rPr>
    </w:lvl>
    <w:lvl w:ilvl="1" w:tplc="0D54C2DA">
      <w:numFmt w:val="decimal"/>
      <w:lvlText w:val=""/>
      <w:lvlJc w:val="left"/>
    </w:lvl>
    <w:lvl w:ilvl="2" w:tplc="A1C81926">
      <w:numFmt w:val="decimal"/>
      <w:lvlText w:val=""/>
      <w:lvlJc w:val="left"/>
    </w:lvl>
    <w:lvl w:ilvl="3" w:tplc="2ABA8D0A">
      <w:numFmt w:val="decimal"/>
      <w:lvlText w:val=""/>
      <w:lvlJc w:val="left"/>
    </w:lvl>
    <w:lvl w:ilvl="4" w:tplc="1AD49AE8">
      <w:numFmt w:val="decimal"/>
      <w:lvlText w:val=""/>
      <w:lvlJc w:val="left"/>
    </w:lvl>
    <w:lvl w:ilvl="5" w:tplc="3482DCCE">
      <w:numFmt w:val="decimal"/>
      <w:lvlText w:val=""/>
      <w:lvlJc w:val="left"/>
    </w:lvl>
    <w:lvl w:ilvl="6" w:tplc="60261B84">
      <w:numFmt w:val="decimal"/>
      <w:lvlText w:val=""/>
      <w:lvlJc w:val="left"/>
    </w:lvl>
    <w:lvl w:ilvl="7" w:tplc="EBE44B56">
      <w:numFmt w:val="decimal"/>
      <w:lvlText w:val=""/>
      <w:lvlJc w:val="left"/>
    </w:lvl>
    <w:lvl w:ilvl="8" w:tplc="AC98DD9E">
      <w:numFmt w:val="decimal"/>
      <w:lvlText w:val=""/>
      <w:lvlJc w:val="left"/>
    </w:lvl>
  </w:abstractNum>
  <w:abstractNum w:abstractNumId="3" w15:restartNumberingAfterBreak="0">
    <w:nsid w:val="FFFFFF89"/>
    <w:multiLevelType w:val="hybridMultilevel"/>
    <w:tmpl w:val="D88E663A"/>
    <w:lvl w:ilvl="0" w:tplc="BA40C738">
      <w:start w:val="1"/>
      <w:numFmt w:val="bullet"/>
      <w:pStyle w:val="Listaconvietas"/>
      <w:lvlText w:val=""/>
      <w:lvlJc w:val="left"/>
      <w:pPr>
        <w:tabs>
          <w:tab w:val="num" w:pos="360"/>
        </w:tabs>
        <w:ind w:left="360" w:hanging="360"/>
      </w:pPr>
      <w:rPr>
        <w:rFonts w:ascii="Symbol" w:hAnsi="Symbol" w:hint="default"/>
      </w:rPr>
    </w:lvl>
    <w:lvl w:ilvl="1" w:tplc="4C8AC808">
      <w:numFmt w:val="decimal"/>
      <w:lvlText w:val=""/>
      <w:lvlJc w:val="left"/>
    </w:lvl>
    <w:lvl w:ilvl="2" w:tplc="68588E0E">
      <w:numFmt w:val="decimal"/>
      <w:lvlText w:val=""/>
      <w:lvlJc w:val="left"/>
    </w:lvl>
    <w:lvl w:ilvl="3" w:tplc="19201FA0">
      <w:numFmt w:val="decimal"/>
      <w:lvlText w:val=""/>
      <w:lvlJc w:val="left"/>
    </w:lvl>
    <w:lvl w:ilvl="4" w:tplc="B6069674">
      <w:numFmt w:val="decimal"/>
      <w:lvlText w:val=""/>
      <w:lvlJc w:val="left"/>
    </w:lvl>
    <w:lvl w:ilvl="5" w:tplc="5BA0664C">
      <w:numFmt w:val="decimal"/>
      <w:lvlText w:val=""/>
      <w:lvlJc w:val="left"/>
    </w:lvl>
    <w:lvl w:ilvl="6" w:tplc="D17ADC3E">
      <w:numFmt w:val="decimal"/>
      <w:lvlText w:val=""/>
      <w:lvlJc w:val="left"/>
    </w:lvl>
    <w:lvl w:ilvl="7" w:tplc="BB8EB88C">
      <w:numFmt w:val="decimal"/>
      <w:lvlText w:val=""/>
      <w:lvlJc w:val="left"/>
    </w:lvl>
    <w:lvl w:ilvl="8" w:tplc="59903CF6">
      <w:numFmt w:val="decimal"/>
      <w:lvlText w:val=""/>
      <w:lvlJc w:val="left"/>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hybridMultilevel"/>
    <w:tmpl w:val="8A0E9EF0"/>
    <w:lvl w:ilvl="0" w:tplc="8D56A8D6">
      <w:start w:val="1"/>
      <w:numFmt w:val="decimal"/>
      <w:lvlText w:val="%1)"/>
      <w:lvlJc w:val="left"/>
      <w:pPr>
        <w:tabs>
          <w:tab w:val="num" w:pos="720"/>
        </w:tabs>
        <w:ind w:left="720" w:hanging="360"/>
      </w:pPr>
    </w:lvl>
    <w:lvl w:ilvl="1" w:tplc="86D08096">
      <w:start w:val="1"/>
      <w:numFmt w:val="lowerLetter"/>
      <w:lvlText w:val="%2."/>
      <w:lvlJc w:val="left"/>
      <w:pPr>
        <w:tabs>
          <w:tab w:val="num" w:pos="1440"/>
        </w:tabs>
        <w:ind w:left="1440" w:hanging="360"/>
      </w:pPr>
    </w:lvl>
    <w:lvl w:ilvl="2" w:tplc="67CA434C">
      <w:start w:val="1"/>
      <w:numFmt w:val="lowerRoman"/>
      <w:lvlText w:val="%3."/>
      <w:lvlJc w:val="right"/>
      <w:pPr>
        <w:tabs>
          <w:tab w:val="num" w:pos="2160"/>
        </w:tabs>
        <w:ind w:left="2160" w:hanging="180"/>
      </w:pPr>
    </w:lvl>
    <w:lvl w:ilvl="3" w:tplc="334E8D4E">
      <w:start w:val="1"/>
      <w:numFmt w:val="decimal"/>
      <w:lvlText w:val="%4."/>
      <w:lvlJc w:val="left"/>
      <w:pPr>
        <w:tabs>
          <w:tab w:val="num" w:pos="2880"/>
        </w:tabs>
        <w:ind w:left="2880" w:hanging="360"/>
      </w:pPr>
    </w:lvl>
    <w:lvl w:ilvl="4" w:tplc="59E2A980">
      <w:start w:val="1"/>
      <w:numFmt w:val="lowerLetter"/>
      <w:lvlText w:val="%5."/>
      <w:lvlJc w:val="left"/>
      <w:pPr>
        <w:tabs>
          <w:tab w:val="num" w:pos="3600"/>
        </w:tabs>
        <w:ind w:left="3600" w:hanging="360"/>
      </w:pPr>
    </w:lvl>
    <w:lvl w:ilvl="5" w:tplc="15F82D92">
      <w:start w:val="1"/>
      <w:numFmt w:val="lowerRoman"/>
      <w:lvlText w:val="%6."/>
      <w:lvlJc w:val="right"/>
      <w:pPr>
        <w:tabs>
          <w:tab w:val="num" w:pos="4320"/>
        </w:tabs>
        <w:ind w:left="4320" w:hanging="180"/>
      </w:pPr>
    </w:lvl>
    <w:lvl w:ilvl="6" w:tplc="AA78421E">
      <w:start w:val="1"/>
      <w:numFmt w:val="decimal"/>
      <w:lvlText w:val="%7."/>
      <w:lvlJc w:val="left"/>
      <w:pPr>
        <w:tabs>
          <w:tab w:val="num" w:pos="5040"/>
        </w:tabs>
        <w:ind w:left="5040" w:hanging="360"/>
      </w:pPr>
    </w:lvl>
    <w:lvl w:ilvl="7" w:tplc="00E81590">
      <w:start w:val="1"/>
      <w:numFmt w:val="lowerLetter"/>
      <w:lvlText w:val="%8."/>
      <w:lvlJc w:val="left"/>
      <w:pPr>
        <w:tabs>
          <w:tab w:val="num" w:pos="5760"/>
        </w:tabs>
        <w:ind w:left="5760" w:hanging="360"/>
      </w:pPr>
    </w:lvl>
    <w:lvl w:ilvl="8" w:tplc="B1B86F96">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22F23"/>
    <w:rsid w:val="00026223"/>
    <w:rsid w:val="000414B7"/>
    <w:rsid w:val="00043B3D"/>
    <w:rsid w:val="00047316"/>
    <w:rsid w:val="000779CA"/>
    <w:rsid w:val="000A622D"/>
    <w:rsid w:val="000B5678"/>
    <w:rsid w:val="000D147B"/>
    <w:rsid w:val="000F6CB5"/>
    <w:rsid w:val="00100E75"/>
    <w:rsid w:val="00120DA4"/>
    <w:rsid w:val="001309F0"/>
    <w:rsid w:val="001543F0"/>
    <w:rsid w:val="00190EE7"/>
    <w:rsid w:val="001C4E67"/>
    <w:rsid w:val="001D3081"/>
    <w:rsid w:val="00224433"/>
    <w:rsid w:val="002446F6"/>
    <w:rsid w:val="002A3FA4"/>
    <w:rsid w:val="002B6E99"/>
    <w:rsid w:val="002E5948"/>
    <w:rsid w:val="002F4A2A"/>
    <w:rsid w:val="00305E02"/>
    <w:rsid w:val="00313F2E"/>
    <w:rsid w:val="00316E05"/>
    <w:rsid w:val="00346477"/>
    <w:rsid w:val="0037411F"/>
    <w:rsid w:val="00374F5A"/>
    <w:rsid w:val="003760B7"/>
    <w:rsid w:val="003870A8"/>
    <w:rsid w:val="00387DE5"/>
    <w:rsid w:val="003918C3"/>
    <w:rsid w:val="00391A33"/>
    <w:rsid w:val="003C1EDF"/>
    <w:rsid w:val="003D4522"/>
    <w:rsid w:val="003E3CC3"/>
    <w:rsid w:val="00404235"/>
    <w:rsid w:val="004043B0"/>
    <w:rsid w:val="0040661C"/>
    <w:rsid w:val="00410CAB"/>
    <w:rsid w:val="00414B14"/>
    <w:rsid w:val="004312D8"/>
    <w:rsid w:val="00451E47"/>
    <w:rsid w:val="004737AA"/>
    <w:rsid w:val="004B0EFB"/>
    <w:rsid w:val="004C2087"/>
    <w:rsid w:val="004D5BBF"/>
    <w:rsid w:val="004E39D8"/>
    <w:rsid w:val="004F111A"/>
    <w:rsid w:val="00500862"/>
    <w:rsid w:val="00502BE2"/>
    <w:rsid w:val="00513233"/>
    <w:rsid w:val="0052666F"/>
    <w:rsid w:val="005272FA"/>
    <w:rsid w:val="00564B20"/>
    <w:rsid w:val="00581497"/>
    <w:rsid w:val="00592A99"/>
    <w:rsid w:val="005B19E7"/>
    <w:rsid w:val="005B22B4"/>
    <w:rsid w:val="005D51F0"/>
    <w:rsid w:val="005E77F3"/>
    <w:rsid w:val="00610908"/>
    <w:rsid w:val="00621A24"/>
    <w:rsid w:val="0064423D"/>
    <w:rsid w:val="00655C9D"/>
    <w:rsid w:val="006611AD"/>
    <w:rsid w:val="00664B83"/>
    <w:rsid w:val="00672F08"/>
    <w:rsid w:val="006B29A5"/>
    <w:rsid w:val="006B56BB"/>
    <w:rsid w:val="006C2208"/>
    <w:rsid w:val="006D2615"/>
    <w:rsid w:val="006D42A3"/>
    <w:rsid w:val="006E5D34"/>
    <w:rsid w:val="006F70A6"/>
    <w:rsid w:val="007228D8"/>
    <w:rsid w:val="007368A1"/>
    <w:rsid w:val="0075215C"/>
    <w:rsid w:val="007A55C7"/>
    <w:rsid w:val="007C0F8A"/>
    <w:rsid w:val="007C7B1A"/>
    <w:rsid w:val="007E4209"/>
    <w:rsid w:val="007F77DE"/>
    <w:rsid w:val="00804C62"/>
    <w:rsid w:val="008078CF"/>
    <w:rsid w:val="00813305"/>
    <w:rsid w:val="0081388E"/>
    <w:rsid w:val="00815E25"/>
    <w:rsid w:val="00820B7B"/>
    <w:rsid w:val="00824B7C"/>
    <w:rsid w:val="00836A72"/>
    <w:rsid w:val="0084010C"/>
    <w:rsid w:val="008443EF"/>
    <w:rsid w:val="008B697F"/>
    <w:rsid w:val="008C78C6"/>
    <w:rsid w:val="008D1DF6"/>
    <w:rsid w:val="008E4990"/>
    <w:rsid w:val="008F7C8D"/>
    <w:rsid w:val="00903F36"/>
    <w:rsid w:val="0093749E"/>
    <w:rsid w:val="00944767"/>
    <w:rsid w:val="009761C2"/>
    <w:rsid w:val="009960BF"/>
    <w:rsid w:val="00997CB7"/>
    <w:rsid w:val="009A55F6"/>
    <w:rsid w:val="00A164B8"/>
    <w:rsid w:val="00A4745E"/>
    <w:rsid w:val="00A53326"/>
    <w:rsid w:val="00A57330"/>
    <w:rsid w:val="00A61CAF"/>
    <w:rsid w:val="00A84C1F"/>
    <w:rsid w:val="00A94DEA"/>
    <w:rsid w:val="00AB1C36"/>
    <w:rsid w:val="00AC0FDE"/>
    <w:rsid w:val="00AF4C81"/>
    <w:rsid w:val="00B05C8F"/>
    <w:rsid w:val="00B14D17"/>
    <w:rsid w:val="00B51F39"/>
    <w:rsid w:val="00B95D61"/>
    <w:rsid w:val="00BA3E39"/>
    <w:rsid w:val="00BB3603"/>
    <w:rsid w:val="00BB37DA"/>
    <w:rsid w:val="00BC13D7"/>
    <w:rsid w:val="00BF1048"/>
    <w:rsid w:val="00C340E1"/>
    <w:rsid w:val="00C350E4"/>
    <w:rsid w:val="00C518CA"/>
    <w:rsid w:val="00C66797"/>
    <w:rsid w:val="00C7603C"/>
    <w:rsid w:val="00C8742D"/>
    <w:rsid w:val="00C96050"/>
    <w:rsid w:val="00CA3357"/>
    <w:rsid w:val="00CB6F8A"/>
    <w:rsid w:val="00CC4604"/>
    <w:rsid w:val="00CD1B4E"/>
    <w:rsid w:val="00CD33D4"/>
    <w:rsid w:val="00CF0C2B"/>
    <w:rsid w:val="00D071C4"/>
    <w:rsid w:val="00D42523"/>
    <w:rsid w:val="00D42D4C"/>
    <w:rsid w:val="00D46E0C"/>
    <w:rsid w:val="00DB71F8"/>
    <w:rsid w:val="00DB7B95"/>
    <w:rsid w:val="00DF3624"/>
    <w:rsid w:val="00E416CF"/>
    <w:rsid w:val="00E435E8"/>
    <w:rsid w:val="00E47C9B"/>
    <w:rsid w:val="00E530A0"/>
    <w:rsid w:val="00E66DC8"/>
    <w:rsid w:val="00E7083B"/>
    <w:rsid w:val="00E77E01"/>
    <w:rsid w:val="00E84444"/>
    <w:rsid w:val="00E8735F"/>
    <w:rsid w:val="00E91ADD"/>
    <w:rsid w:val="00E93C1D"/>
    <w:rsid w:val="00E979D9"/>
    <w:rsid w:val="00EA1049"/>
    <w:rsid w:val="00EA2FDC"/>
    <w:rsid w:val="00EB26B9"/>
    <w:rsid w:val="00EC6395"/>
    <w:rsid w:val="00ED37AC"/>
    <w:rsid w:val="00EE3537"/>
    <w:rsid w:val="00EF1775"/>
    <w:rsid w:val="00F27EF6"/>
    <w:rsid w:val="00F32DEC"/>
    <w:rsid w:val="00F3352D"/>
    <w:rsid w:val="00F57E68"/>
    <w:rsid w:val="00F6044F"/>
    <w:rsid w:val="00F70A31"/>
    <w:rsid w:val="00F822C8"/>
    <w:rsid w:val="00F9082E"/>
    <w:rsid w:val="00F95A19"/>
    <w:rsid w:val="00FA0F28"/>
    <w:rsid w:val="00FB7DFB"/>
    <w:rsid w:val="00FC3F04"/>
    <w:rsid w:val="14A72D36"/>
    <w:rsid w:val="28068FD7"/>
    <w:rsid w:val="3F51D01F"/>
    <w:rsid w:val="4613E112"/>
    <w:rsid w:val="47BBADF6"/>
    <w:rsid w:val="609F80BF"/>
    <w:rsid w:val="6348D0DD"/>
    <w:rsid w:val="64AAB221"/>
    <w:rsid w:val="667A4BBF"/>
    <w:rsid w:val="67DAE6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0404B"/>
  <w15:chartTrackingRefBased/>
  <w15:docId w15:val="{3E5C989C-C350-47F4-B4D4-C983651A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0">
    <w:name w:val="Body Text 20"/>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uiPriority w:val="99"/>
    <w:rsid w:val="00F95A19"/>
    <w:rPr>
      <w:lang w:val="es-ES_tradnl" w:eastAsia="es-ES"/>
    </w:rPr>
  </w:style>
  <w:style w:type="character" w:customStyle="1" w:styleId="PiedepginaCar">
    <w:name w:val="Pie de página Car"/>
    <w:link w:val="Piedepgina"/>
    <w:rsid w:val="00F95A19"/>
    <w:rPr>
      <w:lang w:val="es-ES_tradnl" w:eastAsia="es-ES"/>
    </w:rPr>
  </w:style>
  <w:style w:type="table" w:styleId="Tablaconcuadrcula">
    <w:name w:val="Table Grid"/>
    <w:basedOn w:val="Tablanormal"/>
    <w:rsid w:val="00F95A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22F23"/>
  </w:style>
  <w:style w:type="character" w:styleId="Mencinsinresolver">
    <w:name w:val="Unresolved Mention"/>
    <w:basedOn w:val="Fuentedeprrafopredeter"/>
    <w:uiPriority w:val="99"/>
    <w:semiHidden/>
    <w:unhideWhenUsed/>
    <w:rsid w:val="005B2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D68574237D849A835D1FFB895F586" ma:contentTypeVersion="4" ma:contentTypeDescription="Create a new document." ma:contentTypeScope="" ma:versionID="5958841fae27ea299a6d89b7e3e4f47a">
  <xsd:schema xmlns:xsd="http://www.w3.org/2001/XMLSchema" xmlns:xs="http://www.w3.org/2001/XMLSchema" xmlns:p="http://schemas.microsoft.com/office/2006/metadata/properties" xmlns:ns2="2806e0fb-3321-4a19-a0bb-629fbbee7344" xmlns:ns3="87507fc1-2ee4-4bca-8654-35e95601ee33" targetNamespace="http://schemas.microsoft.com/office/2006/metadata/properties" ma:root="true" ma:fieldsID="c4af565ebca125575291b81e0941d561" ns2:_="" ns3:_="">
    <xsd:import namespace="2806e0fb-3321-4a19-a0bb-629fbbee7344"/>
    <xsd:import namespace="87507fc1-2ee4-4bca-8654-35e95601e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0fb-3321-4a19-a0bb-629fbbee7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07fc1-2ee4-4bca-8654-35e95601ee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2F734-0500-4E87-86C8-7652D0485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0fb-3321-4a19-a0bb-629fbbee7344"/>
    <ds:schemaRef ds:uri="87507fc1-2ee4-4bca-8654-35e95601e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D41F0-FBF5-470D-BB61-01418EEFF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863A6-BA2D-4A4F-A428-6ED54E14E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600</Words>
  <Characters>3304</Characters>
  <Application>Microsoft Office Word</Application>
  <DocSecurity>0</DocSecurity>
  <Lines>27</Lines>
  <Paragraphs>7</Paragraphs>
  <ScaleCrop>false</ScaleCrop>
  <Company>superfinanciera</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Pablo Zapata Cruz</cp:lastModifiedBy>
  <cp:revision>3</cp:revision>
  <cp:lastPrinted>2016-09-26T20:13:00Z</cp:lastPrinted>
  <dcterms:created xsi:type="dcterms:W3CDTF">2021-03-30T20:16:00Z</dcterms:created>
  <dcterms:modified xsi:type="dcterms:W3CDTF">2021-03-30T20:29:00Z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0x010100C0FD68574237D849A835D1FFB895F586</vt:lpwstr>
  </property>
</Properties>
</file>