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447D3" w14:textId="77777777" w:rsidR="006543DA" w:rsidRDefault="006543DA" w:rsidP="007F6DA4">
      <w:pPr>
        <w:tabs>
          <w:tab w:val="left" w:pos="120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641DA7" w14:textId="77777777" w:rsidR="007F6DA4" w:rsidRPr="004F5432" w:rsidRDefault="007F6DA4" w:rsidP="007F6DA4">
      <w:pPr>
        <w:tabs>
          <w:tab w:val="left" w:pos="120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F5432">
        <w:rPr>
          <w:rFonts w:ascii="Arial" w:hAnsi="Arial" w:cs="Arial"/>
          <w:b/>
          <w:bCs/>
          <w:color w:val="000000"/>
          <w:sz w:val="24"/>
          <w:szCs w:val="24"/>
        </w:rPr>
        <w:t xml:space="preserve">CARTA CIRCULAR </w:t>
      </w:r>
      <w:r w:rsidR="00CF5BBB">
        <w:rPr>
          <w:rFonts w:ascii="Arial" w:hAnsi="Arial" w:cs="Arial"/>
          <w:b/>
          <w:bCs/>
          <w:color w:val="000000"/>
          <w:sz w:val="24"/>
          <w:szCs w:val="24"/>
        </w:rPr>
        <w:t>23</w:t>
      </w:r>
      <w:r w:rsidR="00724871" w:rsidRPr="004F54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22425" w:rsidRPr="004F5432">
        <w:rPr>
          <w:rFonts w:ascii="Arial" w:hAnsi="Arial" w:cs="Arial"/>
          <w:b/>
          <w:bCs/>
          <w:color w:val="000000"/>
          <w:sz w:val="24"/>
          <w:szCs w:val="24"/>
        </w:rPr>
        <w:t>DE 20</w:t>
      </w:r>
      <w:r w:rsidR="00724871" w:rsidRPr="004F5432">
        <w:rPr>
          <w:rFonts w:ascii="Arial" w:hAnsi="Arial" w:cs="Arial"/>
          <w:b/>
          <w:bCs/>
          <w:color w:val="000000"/>
          <w:sz w:val="24"/>
          <w:szCs w:val="24"/>
        </w:rPr>
        <w:t>21</w:t>
      </w:r>
    </w:p>
    <w:p w14:paraId="14D26BC2" w14:textId="77777777" w:rsidR="007F6DA4" w:rsidRPr="004F5432" w:rsidRDefault="007F6DA4" w:rsidP="007F6DA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F5432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783B75" w:rsidRPr="004F5432">
        <w:rPr>
          <w:rFonts w:ascii="Arial" w:hAnsi="Arial" w:cs="Arial"/>
          <w:b/>
          <w:bCs/>
          <w:color w:val="000000"/>
          <w:sz w:val="24"/>
          <w:szCs w:val="24"/>
        </w:rPr>
        <w:t xml:space="preserve"> Abril</w:t>
      </w:r>
      <w:r w:rsidR="006A7C6A" w:rsidRPr="004F54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633E2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88067A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4F5432">
        <w:rPr>
          <w:rFonts w:ascii="Arial" w:hAnsi="Arial" w:cs="Arial"/>
          <w:b/>
          <w:bCs/>
          <w:color w:val="000000"/>
          <w:sz w:val="24"/>
          <w:szCs w:val="24"/>
        </w:rPr>
        <w:t xml:space="preserve"> )</w:t>
      </w:r>
    </w:p>
    <w:p w14:paraId="677CAE04" w14:textId="77777777" w:rsidR="006B2BDC" w:rsidRDefault="007F6DA4" w:rsidP="006B2BDC">
      <w:pPr>
        <w:pStyle w:val="Encabezado"/>
        <w:rPr>
          <w:rFonts w:ascii="Arial" w:hAnsi="Arial" w:cs="Arial"/>
          <w:color w:val="000000"/>
          <w:sz w:val="24"/>
          <w:szCs w:val="24"/>
        </w:rPr>
      </w:pPr>
      <w:r w:rsidRPr="004F5432">
        <w:rPr>
          <w:rFonts w:ascii="Arial" w:hAnsi="Arial" w:cs="Arial"/>
          <w:color w:val="000000"/>
          <w:sz w:val="24"/>
          <w:szCs w:val="24"/>
        </w:rPr>
        <w:t> </w:t>
      </w:r>
    </w:p>
    <w:p w14:paraId="352CC6AA" w14:textId="77777777" w:rsidR="006543DA" w:rsidRDefault="006543DA" w:rsidP="006B2BDC">
      <w:pPr>
        <w:pStyle w:val="Encabezado"/>
        <w:rPr>
          <w:rFonts w:ascii="Arial" w:hAnsi="Arial" w:cs="Arial"/>
          <w:color w:val="000000"/>
          <w:sz w:val="24"/>
          <w:szCs w:val="24"/>
        </w:rPr>
      </w:pPr>
    </w:p>
    <w:p w14:paraId="11CE413A" w14:textId="77777777" w:rsidR="006543DA" w:rsidRPr="004F5432" w:rsidRDefault="006543DA" w:rsidP="006B2BDC">
      <w:pPr>
        <w:pStyle w:val="Encabezado"/>
        <w:rPr>
          <w:rFonts w:ascii="Arial" w:hAnsi="Arial" w:cs="Arial"/>
          <w:color w:val="000000"/>
          <w:sz w:val="24"/>
          <w:szCs w:val="24"/>
        </w:rPr>
      </w:pPr>
    </w:p>
    <w:p w14:paraId="30A8FCE7" w14:textId="77777777" w:rsidR="007F6DA4" w:rsidRPr="004F5432" w:rsidRDefault="007F6DA4" w:rsidP="007F6DA4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F5432">
        <w:rPr>
          <w:rFonts w:ascii="Arial" w:hAnsi="Arial" w:cs="Arial"/>
          <w:b/>
          <w:bCs/>
          <w:color w:val="000000"/>
          <w:sz w:val="24"/>
          <w:szCs w:val="24"/>
        </w:rPr>
        <w:t>Señores</w:t>
      </w:r>
    </w:p>
    <w:p w14:paraId="5DFAF18C" w14:textId="77777777" w:rsidR="006B2BDC" w:rsidRPr="001A2CA6" w:rsidRDefault="00994A80" w:rsidP="001A2CA6">
      <w:pPr>
        <w:pStyle w:val="Textoindependiente"/>
        <w:rPr>
          <w:rFonts w:cs="Arial"/>
          <w:color w:val="000000"/>
          <w:szCs w:val="24"/>
          <w:lang w:val="es-ES"/>
        </w:rPr>
      </w:pPr>
      <w:r w:rsidRPr="004F5432">
        <w:rPr>
          <w:rFonts w:cs="Arial"/>
          <w:color w:val="000000"/>
          <w:szCs w:val="24"/>
        </w:rPr>
        <w:t xml:space="preserve">REPRESENTANTES LEGALES DE LAS ENTIDADES </w:t>
      </w:r>
      <w:r w:rsidR="005055E0" w:rsidRPr="004F5432">
        <w:rPr>
          <w:rFonts w:cs="Arial"/>
          <w:color w:val="000000"/>
          <w:szCs w:val="24"/>
        </w:rPr>
        <w:t xml:space="preserve">VIGILADAS POR </w:t>
      </w:r>
      <w:r w:rsidR="00783B75" w:rsidRPr="004F5432">
        <w:rPr>
          <w:rFonts w:cs="Arial"/>
          <w:color w:val="000000"/>
          <w:szCs w:val="24"/>
        </w:rPr>
        <w:t>LA SUPERINTENDENCIA FINANCIERA DE COLOMBIA</w:t>
      </w:r>
    </w:p>
    <w:p w14:paraId="7F117A92" w14:textId="77777777" w:rsidR="001A2CA6" w:rsidRDefault="001A2CA6" w:rsidP="006B2BDC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9836C3" w14:textId="77777777" w:rsidR="00DD6846" w:rsidRPr="004F5432" w:rsidRDefault="00DD6846" w:rsidP="006B2BDC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79BD44" w14:textId="77777777" w:rsidR="007F6DA4" w:rsidRPr="004F5432" w:rsidRDefault="007F6DA4" w:rsidP="00DE335E">
      <w:pPr>
        <w:ind w:right="-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F5432">
        <w:rPr>
          <w:rFonts w:ascii="Arial" w:hAnsi="Arial" w:cs="Arial"/>
          <w:b/>
          <w:bCs/>
          <w:color w:val="000000"/>
          <w:sz w:val="24"/>
          <w:szCs w:val="24"/>
        </w:rPr>
        <w:t xml:space="preserve">Referencia: </w:t>
      </w:r>
      <w:r w:rsidR="00252D69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="00DE335E" w:rsidRPr="004F5432">
        <w:rPr>
          <w:rFonts w:ascii="Arial" w:hAnsi="Arial" w:cs="Arial"/>
          <w:b/>
          <w:bCs/>
          <w:color w:val="000000"/>
          <w:sz w:val="24"/>
          <w:szCs w:val="24"/>
        </w:rPr>
        <w:t>endencias, oportunidades y desafíos para la innovación financiera y tecnológica en Colombia</w:t>
      </w:r>
    </w:p>
    <w:p w14:paraId="175EBF29" w14:textId="77777777" w:rsidR="00DD6846" w:rsidRDefault="00DD6846" w:rsidP="007F6DA4">
      <w:pPr>
        <w:ind w:right="-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D83920" w14:textId="77777777" w:rsidR="006543DA" w:rsidRPr="004F5432" w:rsidRDefault="006543DA" w:rsidP="007F6DA4">
      <w:pPr>
        <w:ind w:right="-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144111" w14:textId="77777777" w:rsidR="007F6DA4" w:rsidRPr="004F5432" w:rsidRDefault="007F6DA4" w:rsidP="007F6DA4">
      <w:pPr>
        <w:ind w:right="-160"/>
        <w:rPr>
          <w:rFonts w:ascii="Arial" w:hAnsi="Arial" w:cs="Arial"/>
          <w:color w:val="000000"/>
          <w:sz w:val="24"/>
          <w:szCs w:val="24"/>
        </w:rPr>
      </w:pPr>
      <w:r w:rsidRPr="004F5432">
        <w:rPr>
          <w:rFonts w:ascii="Arial" w:hAnsi="Arial" w:cs="Arial"/>
          <w:color w:val="000000"/>
          <w:sz w:val="24"/>
          <w:szCs w:val="24"/>
        </w:rPr>
        <w:t xml:space="preserve">Apreciados señores: </w:t>
      </w:r>
    </w:p>
    <w:p w14:paraId="4610E4BE" w14:textId="77777777" w:rsidR="007F6DA4" w:rsidRPr="004F5432" w:rsidRDefault="007F6DA4" w:rsidP="007F6DA4">
      <w:pPr>
        <w:ind w:right="-160"/>
        <w:rPr>
          <w:rFonts w:ascii="Arial" w:hAnsi="Arial" w:cs="Arial"/>
          <w:color w:val="000000"/>
          <w:sz w:val="24"/>
          <w:szCs w:val="24"/>
        </w:rPr>
      </w:pPr>
    </w:p>
    <w:p w14:paraId="11243660" w14:textId="77777777" w:rsidR="00FF017A" w:rsidRPr="004F5432" w:rsidRDefault="006C468B" w:rsidP="00994A80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F5432">
        <w:rPr>
          <w:rFonts w:ascii="Arial" w:hAnsi="Arial" w:cs="Arial"/>
          <w:color w:val="000000"/>
          <w:sz w:val="24"/>
          <w:szCs w:val="24"/>
        </w:rPr>
        <w:t>Como es de su conocimiento, desde el año 201</w:t>
      </w:r>
      <w:r w:rsidR="005E3664" w:rsidRPr="004F5432">
        <w:rPr>
          <w:rFonts w:ascii="Arial" w:hAnsi="Arial" w:cs="Arial"/>
          <w:color w:val="000000"/>
          <w:sz w:val="24"/>
          <w:szCs w:val="24"/>
        </w:rPr>
        <w:t xml:space="preserve">8 la Superintendencia Financiera de Colombia (SFC) </w:t>
      </w:r>
      <w:r w:rsidR="00252D69">
        <w:rPr>
          <w:rFonts w:ascii="Arial" w:hAnsi="Arial" w:cs="Arial"/>
          <w:color w:val="000000"/>
          <w:sz w:val="24"/>
          <w:szCs w:val="24"/>
        </w:rPr>
        <w:t xml:space="preserve">priorizó en </w:t>
      </w:r>
      <w:r w:rsidR="005E3664" w:rsidRPr="004F5432">
        <w:rPr>
          <w:rFonts w:ascii="Arial" w:hAnsi="Arial" w:cs="Arial"/>
          <w:color w:val="000000"/>
          <w:sz w:val="24"/>
          <w:szCs w:val="24"/>
        </w:rPr>
        <w:t>su estrategia</w:t>
      </w:r>
      <w:r w:rsidR="00252D69">
        <w:rPr>
          <w:rFonts w:ascii="Arial" w:hAnsi="Arial" w:cs="Arial"/>
          <w:color w:val="000000"/>
          <w:sz w:val="24"/>
          <w:szCs w:val="24"/>
        </w:rPr>
        <w:t xml:space="preserve"> 2018-2022</w:t>
      </w:r>
      <w:r w:rsidR="005E3664" w:rsidRPr="004F5432">
        <w:rPr>
          <w:rFonts w:ascii="Arial" w:hAnsi="Arial" w:cs="Arial"/>
          <w:color w:val="000000"/>
          <w:sz w:val="24"/>
          <w:szCs w:val="24"/>
        </w:rPr>
        <w:t xml:space="preserve"> </w:t>
      </w:r>
      <w:r w:rsidR="00252D69">
        <w:rPr>
          <w:rFonts w:ascii="Arial" w:hAnsi="Arial" w:cs="Arial"/>
          <w:color w:val="000000"/>
          <w:sz w:val="24"/>
          <w:szCs w:val="24"/>
        </w:rPr>
        <w:t xml:space="preserve">la innovación financiera y tecnológica como pilar para </w:t>
      </w:r>
      <w:r w:rsidR="00DE335E" w:rsidRPr="004F5432">
        <w:rPr>
          <w:rFonts w:ascii="Arial" w:hAnsi="Arial" w:cs="Arial"/>
          <w:color w:val="000000"/>
          <w:sz w:val="24"/>
          <w:szCs w:val="24"/>
        </w:rPr>
        <w:t>consolidar un</w:t>
      </w:r>
      <w:r w:rsidR="005E3664" w:rsidRPr="004F5432">
        <w:rPr>
          <w:rFonts w:ascii="Arial" w:hAnsi="Arial" w:cs="Arial"/>
          <w:color w:val="000000"/>
          <w:sz w:val="24"/>
          <w:szCs w:val="24"/>
        </w:rPr>
        <w:t xml:space="preserve"> sistema financiero competitivo, incluyente y responsable.</w:t>
      </w:r>
    </w:p>
    <w:p w14:paraId="3546C330" w14:textId="77777777" w:rsidR="007444BA" w:rsidRPr="004F5432" w:rsidRDefault="003D5408" w:rsidP="00994A80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F543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BAD8C2" w14:textId="77777777" w:rsidR="00FF017A" w:rsidRPr="004F5432" w:rsidRDefault="00252D69" w:rsidP="00FF017A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 xml:space="preserve">En consecuencia, </w:t>
      </w:r>
      <w:r w:rsidR="00E35FAE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la información 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constituye un elemento fundamental </w:t>
      </w:r>
      <w:r w:rsidR="00E35FAE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para 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continuar </w:t>
      </w:r>
      <w:r w:rsidRPr="004F5432">
        <w:rPr>
          <w:rFonts w:ascii="Arial" w:hAnsi="Arial" w:cs="Arial"/>
          <w:color w:val="000000"/>
          <w:sz w:val="24"/>
          <w:szCs w:val="24"/>
          <w:lang w:val="es-CO"/>
        </w:rPr>
        <w:t>focaliza</w:t>
      </w:r>
      <w:r>
        <w:rPr>
          <w:rFonts w:ascii="Arial" w:hAnsi="Arial" w:cs="Arial"/>
          <w:color w:val="000000"/>
          <w:sz w:val="24"/>
          <w:szCs w:val="24"/>
          <w:lang w:val="es-CO"/>
        </w:rPr>
        <w:t>ndo</w:t>
      </w:r>
      <w:r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="00E35FAE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esfuerzos y 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actividades que permitan cumplir los objetivos propuestos. Es así como </w:t>
      </w:r>
      <w:r w:rsidR="00FC5B09" w:rsidRPr="004F5432">
        <w:rPr>
          <w:rFonts w:ascii="Arial" w:hAnsi="Arial" w:cs="Arial"/>
          <w:color w:val="000000"/>
          <w:sz w:val="24"/>
          <w:szCs w:val="24"/>
          <w:lang w:val="es-CO"/>
        </w:rPr>
        <w:t>en el año 2018</w:t>
      </w:r>
      <w:r w:rsidR="00E35FAE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la SFC realizó la </w:t>
      </w:r>
      <w:r w:rsidR="00E35FAE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primera encuesta </w:t>
      </w:r>
      <w:r w:rsidR="00E35FAE" w:rsidRPr="004F5432">
        <w:rPr>
          <w:rFonts w:ascii="Arial" w:hAnsi="Arial" w:cs="Arial"/>
          <w:color w:val="000000"/>
          <w:sz w:val="24"/>
          <w:szCs w:val="24"/>
        </w:rPr>
        <w:t>sobre tendencias, retos y oportunidades en materia de innovación en el sector financiero</w:t>
      </w:r>
      <w:r>
        <w:rPr>
          <w:rFonts w:ascii="Arial" w:hAnsi="Arial" w:cs="Arial"/>
          <w:color w:val="000000"/>
          <w:sz w:val="24"/>
          <w:szCs w:val="24"/>
        </w:rPr>
        <w:t xml:space="preserve"> y emprendimiento</w:t>
      </w:r>
      <w:r w:rsidR="00E633E2"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 w:rsidR="00E633E2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intech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cuyos </w:t>
      </w:r>
      <w:r w:rsidR="00DC7C29" w:rsidRPr="004F5432">
        <w:rPr>
          <w:rFonts w:ascii="Arial" w:hAnsi="Arial" w:cs="Arial"/>
          <w:color w:val="000000"/>
          <w:sz w:val="24"/>
          <w:szCs w:val="24"/>
        </w:rPr>
        <w:t xml:space="preserve">resultados </w:t>
      </w:r>
      <w:r>
        <w:rPr>
          <w:rFonts w:ascii="Arial" w:hAnsi="Arial" w:cs="Arial"/>
          <w:color w:val="000000"/>
          <w:sz w:val="24"/>
          <w:szCs w:val="24"/>
        </w:rPr>
        <w:t xml:space="preserve">permitieron 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apoyar </w:t>
      </w:r>
      <w:r w:rsidR="00E35FAE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iniciativas dirigidas a </w:t>
      </w:r>
      <w:r w:rsidR="00FF017A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promover, investigar, facilitar y </w:t>
      </w:r>
      <w:proofErr w:type="spellStart"/>
      <w:r w:rsidR="00FF017A" w:rsidRPr="004F5432">
        <w:rPr>
          <w:rFonts w:ascii="Arial" w:hAnsi="Arial" w:cs="Arial"/>
          <w:color w:val="000000"/>
          <w:sz w:val="24"/>
          <w:szCs w:val="24"/>
          <w:lang w:val="es-CO"/>
        </w:rPr>
        <w:t>acompañar</w:t>
      </w:r>
      <w:proofErr w:type="spellEnd"/>
      <w:r w:rsidR="00FF017A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 la </w:t>
      </w:r>
      <w:proofErr w:type="spellStart"/>
      <w:r w:rsidR="00FF017A" w:rsidRPr="004F5432">
        <w:rPr>
          <w:rFonts w:ascii="Arial" w:hAnsi="Arial" w:cs="Arial"/>
          <w:color w:val="000000"/>
          <w:sz w:val="24"/>
          <w:szCs w:val="24"/>
          <w:lang w:val="es-CO"/>
        </w:rPr>
        <w:t>innovación</w:t>
      </w:r>
      <w:proofErr w:type="spellEnd"/>
      <w:r w:rsidR="00FF017A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 sostenible</w:t>
      </w:r>
      <w:r w:rsidR="00FF017A" w:rsidRPr="004F5432">
        <w:rPr>
          <w:rFonts w:ascii="Arial" w:hAnsi="Arial" w:cs="Arial"/>
          <w:color w:val="000000"/>
          <w:sz w:val="24"/>
          <w:szCs w:val="24"/>
        </w:rPr>
        <w:t xml:space="preserve"> y responsable en el sector financiero y el ecosistema </w:t>
      </w:r>
      <w:proofErr w:type="spellStart"/>
      <w:r w:rsidR="00FF017A" w:rsidRPr="004F5432">
        <w:rPr>
          <w:rFonts w:ascii="Arial" w:hAnsi="Arial" w:cs="Arial"/>
          <w:color w:val="000000"/>
          <w:sz w:val="24"/>
          <w:szCs w:val="24"/>
        </w:rPr>
        <w:t>fintech</w:t>
      </w:r>
      <w:proofErr w:type="spellEnd"/>
      <w:r w:rsidR="00FF017A" w:rsidRPr="004F5432">
        <w:rPr>
          <w:rFonts w:ascii="Arial" w:hAnsi="Arial" w:cs="Arial"/>
          <w:color w:val="000000"/>
          <w:sz w:val="24"/>
          <w:szCs w:val="24"/>
        </w:rPr>
        <w:t>.</w:t>
      </w:r>
    </w:p>
    <w:p w14:paraId="791A7FE3" w14:textId="77777777" w:rsidR="007444BA" w:rsidRPr="004F5432" w:rsidRDefault="007444BA" w:rsidP="00994A80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08A91996" w14:textId="77777777" w:rsidR="00E35FAE" w:rsidRPr="004F5432" w:rsidRDefault="00252D69" w:rsidP="00E35FAE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</w:t>
      </w:r>
      <w:r w:rsidR="005C2E7F" w:rsidRPr="004F5432">
        <w:rPr>
          <w:rFonts w:ascii="Arial" w:hAnsi="Arial" w:cs="Arial"/>
          <w:color w:val="000000"/>
          <w:sz w:val="24"/>
          <w:szCs w:val="24"/>
        </w:rPr>
        <w:t xml:space="preserve">a </w:t>
      </w:r>
      <w:r w:rsidR="00E35FAE" w:rsidRPr="004F5432">
        <w:rPr>
          <w:rFonts w:ascii="Arial" w:hAnsi="Arial" w:cs="Arial"/>
          <w:color w:val="000000"/>
          <w:sz w:val="24"/>
          <w:szCs w:val="24"/>
        </w:rPr>
        <w:t>crisis mundial generada por la pandemia del COVID-19</w:t>
      </w:r>
      <w:r w:rsidR="005C2E7F" w:rsidRPr="004F5432">
        <w:rPr>
          <w:rFonts w:ascii="Arial" w:hAnsi="Arial" w:cs="Arial"/>
          <w:color w:val="000000"/>
          <w:sz w:val="24"/>
          <w:szCs w:val="24"/>
        </w:rPr>
        <w:t xml:space="preserve"> </w:t>
      </w:r>
      <w:r w:rsidR="00E35FAE" w:rsidRPr="004F5432">
        <w:rPr>
          <w:rFonts w:ascii="Arial" w:hAnsi="Arial" w:cs="Arial"/>
          <w:color w:val="000000"/>
          <w:sz w:val="24"/>
          <w:szCs w:val="24"/>
        </w:rPr>
        <w:t>ha sido un catalizador para la innovación digital. Las entidades financieras y lo</w:t>
      </w:r>
      <w:r w:rsidR="00516490">
        <w:rPr>
          <w:rFonts w:ascii="Arial" w:hAnsi="Arial" w:cs="Arial"/>
          <w:color w:val="000000"/>
          <w:sz w:val="24"/>
          <w:szCs w:val="24"/>
        </w:rPr>
        <w:t>s</w:t>
      </w:r>
      <w:r w:rsidR="00E35FAE" w:rsidRPr="004F5432">
        <w:rPr>
          <w:rFonts w:ascii="Arial" w:hAnsi="Arial" w:cs="Arial"/>
          <w:color w:val="000000"/>
          <w:sz w:val="24"/>
          <w:szCs w:val="24"/>
        </w:rPr>
        <w:t xml:space="preserve"> actores del ecosistema </w:t>
      </w:r>
      <w:proofErr w:type="spellStart"/>
      <w:r w:rsidR="00E35FAE" w:rsidRPr="004F5432">
        <w:rPr>
          <w:rFonts w:ascii="Arial" w:hAnsi="Arial" w:cs="Arial"/>
          <w:color w:val="000000"/>
          <w:sz w:val="24"/>
          <w:szCs w:val="24"/>
        </w:rPr>
        <w:t>fintech</w:t>
      </w:r>
      <w:proofErr w:type="spellEnd"/>
      <w:r w:rsidR="00E35FAE" w:rsidRPr="004F5432">
        <w:rPr>
          <w:rFonts w:ascii="Arial" w:hAnsi="Arial" w:cs="Arial"/>
          <w:color w:val="000000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</w:rPr>
        <w:t xml:space="preserve">han enfrentado </w:t>
      </w:r>
      <w:r w:rsidR="00E35FAE" w:rsidRPr="004F5432">
        <w:rPr>
          <w:rFonts w:ascii="Arial" w:hAnsi="Arial" w:cs="Arial"/>
          <w:color w:val="000000"/>
          <w:sz w:val="24"/>
          <w:szCs w:val="24"/>
        </w:rPr>
        <w:t xml:space="preserve">a un nuevo escenario socioeconómico </w:t>
      </w:r>
      <w:r>
        <w:rPr>
          <w:rFonts w:ascii="Arial" w:hAnsi="Arial" w:cs="Arial"/>
          <w:color w:val="000000"/>
          <w:sz w:val="24"/>
          <w:szCs w:val="24"/>
        </w:rPr>
        <w:t xml:space="preserve">que les exige buscar </w:t>
      </w:r>
      <w:r w:rsidR="00E35FAE" w:rsidRPr="004F5432">
        <w:rPr>
          <w:rFonts w:ascii="Arial" w:hAnsi="Arial" w:cs="Arial"/>
          <w:color w:val="000000"/>
          <w:sz w:val="24"/>
          <w:szCs w:val="24"/>
        </w:rPr>
        <w:t xml:space="preserve">alternativas para ofrecer servicios financieros digitales competitivos </w:t>
      </w:r>
      <w:r>
        <w:rPr>
          <w:rFonts w:ascii="Arial" w:hAnsi="Arial" w:cs="Arial"/>
          <w:color w:val="000000"/>
          <w:sz w:val="24"/>
          <w:szCs w:val="24"/>
        </w:rPr>
        <w:t xml:space="preserve">acelerando </w:t>
      </w:r>
      <w:r w:rsidR="00E35FAE" w:rsidRPr="004F5432">
        <w:rPr>
          <w:rFonts w:ascii="Arial" w:hAnsi="Arial" w:cs="Arial"/>
          <w:color w:val="000000"/>
          <w:sz w:val="24"/>
          <w:szCs w:val="24"/>
        </w:rPr>
        <w:t>los procesos de</w:t>
      </w:r>
      <w:r w:rsidR="00516490">
        <w:rPr>
          <w:rFonts w:ascii="Arial" w:hAnsi="Arial" w:cs="Arial"/>
          <w:color w:val="000000"/>
          <w:sz w:val="24"/>
          <w:szCs w:val="24"/>
        </w:rPr>
        <w:t xml:space="preserve"> transformación </w:t>
      </w:r>
      <w:r w:rsidR="00E35FAE" w:rsidRPr="004F5432">
        <w:rPr>
          <w:rFonts w:ascii="Arial" w:hAnsi="Arial" w:cs="Arial"/>
          <w:color w:val="000000"/>
          <w:sz w:val="24"/>
          <w:szCs w:val="24"/>
        </w:rPr>
        <w:t>digital.</w:t>
      </w:r>
    </w:p>
    <w:p w14:paraId="5A47352E" w14:textId="77777777" w:rsidR="00E35FAE" w:rsidRPr="004F5432" w:rsidRDefault="00E35FAE" w:rsidP="00E35FAE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8D00D8F" w14:textId="77777777" w:rsidR="00D86FE9" w:rsidRDefault="00252D69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Dicho lo anterior, es un momento oportuno para realizar una segunda encuesta, que reconoce los logros alcanzados así como los retos y oportunidades para el sector, en </w:t>
      </w:r>
      <w:r w:rsidR="00E35FAE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>medio de este nuevo escenario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. En este sentido la </w:t>
      </w:r>
      <w:r w:rsidR="00E35FAE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SFC </w:t>
      </w:r>
      <w:r w:rsidR="000D3DB6">
        <w:rPr>
          <w:rFonts w:ascii="Arial" w:hAnsi="Arial" w:cs="Arial"/>
          <w:b w:val="0"/>
          <w:bCs w:val="0"/>
          <w:color w:val="000000"/>
          <w:sz w:val="24"/>
          <w:szCs w:val="24"/>
        </w:rPr>
        <w:t>solicita</w:t>
      </w:r>
      <w:r w:rsidR="00E35FAE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E92CC9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que las organizaciones destinatarias de la presente Carta Circular diligencien </w:t>
      </w:r>
      <w:r w:rsidR="00E35FAE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>la</w:t>
      </w:r>
      <w:r w:rsidR="00E3161D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segunda medición de la referida encuesta</w:t>
      </w:r>
      <w:r w:rsidR="00AF5CFB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denominad</w:t>
      </w:r>
      <w:r w:rsidR="00FD7A8A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>a</w:t>
      </w:r>
      <w:r w:rsidR="00E3161D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“</w:t>
      </w:r>
      <w:proofErr w:type="spellStart"/>
      <w:r w:rsidR="00E3161D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>Innovarómetro</w:t>
      </w:r>
      <w:proofErr w:type="spellEnd"/>
      <w:r w:rsidR="00E3161D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- Hacia una </w:t>
      </w:r>
      <w:r w:rsidR="000D3DB6">
        <w:rPr>
          <w:rFonts w:ascii="Arial" w:hAnsi="Arial" w:cs="Arial"/>
          <w:b w:val="0"/>
          <w:bCs w:val="0"/>
          <w:color w:val="000000"/>
          <w:sz w:val="24"/>
          <w:szCs w:val="24"/>
        </w:rPr>
        <w:t>A</w:t>
      </w:r>
      <w:r w:rsidR="00E3161D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>genda de Innovación Financiera y Tecnológica pos Covid-19”</w:t>
      </w:r>
      <w:r w:rsidR="00E35FAE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, </w:t>
      </w:r>
      <w:r w:rsidR="005C2E7F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la cual pueden encontrar publicada en </w:t>
      </w:r>
      <w:r w:rsidR="00BA15A1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>el siguiente enlace</w:t>
      </w:r>
      <w:r w:rsidR="00D86FE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y código QR</w:t>
      </w:r>
      <w:r w:rsidR="00AF5CFB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>, junto a</w:t>
      </w:r>
      <w:r w:rsidR="005C2E7F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DD6846">
        <w:rPr>
          <w:rFonts w:ascii="Arial" w:hAnsi="Arial" w:cs="Arial"/>
          <w:b w:val="0"/>
          <w:bCs w:val="0"/>
          <w:color w:val="000000"/>
          <w:sz w:val="24"/>
          <w:szCs w:val="24"/>
        </w:rPr>
        <w:t>su</w:t>
      </w:r>
      <w:r w:rsidR="005C2E7F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s instrucciones </w:t>
      </w:r>
      <w:r w:rsidR="00AF5CFB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de diligenciamiento </w:t>
      </w:r>
      <w:r w:rsidR="005C2E7F" w:rsidRPr="004F5432">
        <w:rPr>
          <w:rFonts w:ascii="Arial" w:hAnsi="Arial" w:cs="Arial"/>
          <w:b w:val="0"/>
          <w:bCs w:val="0"/>
          <w:color w:val="000000"/>
          <w:sz w:val="24"/>
          <w:szCs w:val="24"/>
        </w:rPr>
        <w:t>correspondientes:</w:t>
      </w:r>
    </w:p>
    <w:p w14:paraId="60A51DB5" w14:textId="77777777" w:rsidR="00D86FE9" w:rsidRDefault="00D86FE9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3971A536" w14:textId="77777777" w:rsidR="001A2CA6" w:rsidRDefault="001A2CA6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noProof/>
          <w:color w:val="000000"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6A4D619B" wp14:editId="35A6562B">
            <wp:simplePos x="0" y="0"/>
            <wp:positionH relativeFrom="column">
              <wp:posOffset>3441534</wp:posOffset>
            </wp:positionH>
            <wp:positionV relativeFrom="paragraph">
              <wp:posOffset>23495</wp:posOffset>
            </wp:positionV>
            <wp:extent cx="1929008" cy="192900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008" cy="1929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BD724" w14:textId="77777777" w:rsidR="001A2CA6" w:rsidRDefault="001A2CA6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27D967B5" w14:textId="77777777" w:rsidR="001A2CA6" w:rsidRDefault="001A2CA6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5A6C463F" w14:textId="77777777" w:rsidR="00D86FE9" w:rsidRDefault="00196179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hyperlink r:id="rId11" w:history="1">
        <w:r w:rsidR="00D86FE9" w:rsidRPr="000E6113">
          <w:rPr>
            <w:rStyle w:val="Hipervnculo"/>
            <w:rFonts w:ascii="Arial" w:hAnsi="Arial" w:cs="Arial"/>
            <w:b w:val="0"/>
            <w:bCs w:val="0"/>
            <w:sz w:val="24"/>
            <w:szCs w:val="24"/>
          </w:rPr>
          <w:t>https://es.surveymonkey.com/r/innovasfc2021</w:t>
        </w:r>
      </w:hyperlink>
    </w:p>
    <w:p w14:paraId="06CFC145" w14:textId="77777777" w:rsidR="00D86FE9" w:rsidRDefault="00D86FE9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6B363A7F" w14:textId="77777777" w:rsidR="00D86FE9" w:rsidRDefault="00D86FE9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1A6F1073" w14:textId="77777777" w:rsidR="00E35FAE" w:rsidRPr="004F5432" w:rsidRDefault="00F0345E" w:rsidP="00FF05A7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</w:p>
    <w:p w14:paraId="31D6DE6D" w14:textId="77777777" w:rsidR="00E35FAE" w:rsidRDefault="00E35FAE" w:rsidP="00E35FAE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B1FBC7D" w14:textId="77777777" w:rsidR="001A2CA6" w:rsidRDefault="001A2CA6" w:rsidP="00E35FAE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B8EC66D" w14:textId="77777777" w:rsidR="001A2CA6" w:rsidRPr="004F5432" w:rsidRDefault="001A2CA6" w:rsidP="00E35FAE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F5F1439" w14:textId="77777777" w:rsidR="00FF05A7" w:rsidRPr="004F5432" w:rsidRDefault="00FF05A7" w:rsidP="00FF05A7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4F5432">
        <w:rPr>
          <w:rFonts w:ascii="Arial" w:hAnsi="Arial" w:cs="Arial"/>
          <w:color w:val="000000"/>
          <w:sz w:val="24"/>
          <w:szCs w:val="24"/>
          <w:lang w:val="es-CO"/>
        </w:rPr>
        <w:lastRenderedPageBreak/>
        <w:t xml:space="preserve">La fecha límite establecida para enviar las respuestas completas de la encuesta es el viernes </w:t>
      </w:r>
      <w:r w:rsidRPr="004F5432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7 de mayo de 2021</w:t>
      </w:r>
      <w:r w:rsidRPr="004F5432">
        <w:rPr>
          <w:rFonts w:ascii="Arial" w:hAnsi="Arial" w:cs="Arial"/>
          <w:color w:val="000000"/>
          <w:sz w:val="24"/>
          <w:szCs w:val="24"/>
          <w:lang w:val="es-CO"/>
        </w:rPr>
        <w:t>. La encuesta en PDF se encuentra en documento anexo</w:t>
      </w:r>
      <w:r w:rsidR="00C17882" w:rsidRPr="004F5432">
        <w:rPr>
          <w:rFonts w:ascii="Arial" w:hAnsi="Arial" w:cs="Arial"/>
          <w:color w:val="000000"/>
          <w:sz w:val="24"/>
          <w:szCs w:val="24"/>
          <w:lang w:val="es-CO"/>
        </w:rPr>
        <w:t>, la cual</w:t>
      </w:r>
      <w:r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="00C17882"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podrá </w:t>
      </w:r>
      <w:r w:rsidRPr="004F5432">
        <w:rPr>
          <w:rFonts w:ascii="Arial" w:hAnsi="Arial" w:cs="Arial"/>
          <w:color w:val="000000"/>
          <w:sz w:val="24"/>
          <w:szCs w:val="24"/>
          <w:lang w:val="es-CO"/>
        </w:rPr>
        <w:t>utiliza</w:t>
      </w:r>
      <w:r w:rsidR="00DD6846">
        <w:rPr>
          <w:rFonts w:ascii="Arial" w:hAnsi="Arial" w:cs="Arial"/>
          <w:color w:val="000000"/>
          <w:sz w:val="24"/>
          <w:szCs w:val="24"/>
          <w:lang w:val="es-CO"/>
        </w:rPr>
        <w:t>r</w:t>
      </w:r>
      <w:r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 como referencia </w:t>
      </w:r>
      <w:r w:rsidR="00C17882" w:rsidRPr="004F5432">
        <w:rPr>
          <w:rFonts w:ascii="Arial" w:hAnsi="Arial" w:cs="Arial"/>
          <w:color w:val="000000"/>
          <w:sz w:val="24"/>
          <w:szCs w:val="24"/>
          <w:lang w:val="es-CO"/>
        </w:rPr>
        <w:t>para su</w:t>
      </w:r>
      <w:r w:rsidRPr="004F5432">
        <w:rPr>
          <w:rFonts w:ascii="Arial" w:hAnsi="Arial" w:cs="Arial"/>
          <w:color w:val="000000"/>
          <w:sz w:val="24"/>
          <w:szCs w:val="24"/>
          <w:lang w:val="es-CO"/>
        </w:rPr>
        <w:t xml:space="preserve"> diligenciamiento.</w:t>
      </w:r>
    </w:p>
    <w:p w14:paraId="1D979345" w14:textId="77777777" w:rsidR="00994A80" w:rsidRPr="004F5432" w:rsidRDefault="00994A80" w:rsidP="00994A80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5AF97942" w14:textId="77777777" w:rsidR="00B134A8" w:rsidRPr="006B2BDC" w:rsidRDefault="00994A80" w:rsidP="006B2BDC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4F5432">
        <w:rPr>
          <w:rFonts w:ascii="Arial" w:hAnsi="Arial" w:cs="Arial"/>
          <w:color w:val="000000"/>
          <w:sz w:val="24"/>
          <w:szCs w:val="24"/>
        </w:rPr>
        <w:t>Las inquietudes que se deriven del diligenciamiento de</w:t>
      </w:r>
      <w:r w:rsidR="00FF05A7" w:rsidRPr="004F5432">
        <w:rPr>
          <w:rFonts w:ascii="Arial" w:hAnsi="Arial" w:cs="Arial"/>
          <w:color w:val="000000"/>
          <w:sz w:val="24"/>
          <w:szCs w:val="24"/>
        </w:rPr>
        <w:t xml:space="preserve"> la encuesta</w:t>
      </w:r>
      <w:r w:rsidRPr="004F5432">
        <w:rPr>
          <w:rFonts w:ascii="Arial" w:hAnsi="Arial" w:cs="Arial"/>
          <w:color w:val="000000"/>
          <w:sz w:val="24"/>
          <w:szCs w:val="24"/>
        </w:rPr>
        <w:t xml:space="preserve"> podrán ser consultadas </w:t>
      </w:r>
      <w:r w:rsidR="00C86377" w:rsidRPr="004F5432">
        <w:rPr>
          <w:rFonts w:ascii="Arial" w:hAnsi="Arial" w:cs="Arial"/>
          <w:color w:val="000000"/>
          <w:sz w:val="24"/>
          <w:szCs w:val="24"/>
        </w:rPr>
        <w:t xml:space="preserve">al Grupo de Innovación Financiera y Tecnológica a </w:t>
      </w:r>
      <w:r w:rsidRPr="004F5432">
        <w:rPr>
          <w:rFonts w:ascii="Arial" w:hAnsi="Arial" w:cs="Arial"/>
          <w:color w:val="000000"/>
          <w:sz w:val="24"/>
          <w:szCs w:val="24"/>
        </w:rPr>
        <w:t>través d</w:t>
      </w:r>
      <w:r w:rsidR="007C51C5" w:rsidRPr="004F5432">
        <w:rPr>
          <w:rFonts w:ascii="Arial" w:hAnsi="Arial" w:cs="Arial"/>
          <w:color w:val="000000"/>
          <w:sz w:val="24"/>
          <w:szCs w:val="24"/>
        </w:rPr>
        <w:t xml:space="preserve">el correo </w:t>
      </w:r>
      <w:hyperlink r:id="rId12" w:history="1">
        <w:r w:rsidR="000D3DB6" w:rsidRPr="002D2EE9">
          <w:rPr>
            <w:rStyle w:val="Hipervnculo"/>
            <w:rFonts w:ascii="Arial" w:hAnsi="Arial" w:cs="Arial"/>
            <w:sz w:val="24"/>
            <w:szCs w:val="24"/>
          </w:rPr>
          <w:t>innovasfc@superfinanciera.gov.co</w:t>
        </w:r>
      </w:hyperlink>
      <w:r w:rsidR="000D3DB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FADC5D9" w14:textId="77777777" w:rsidR="00DD6846" w:rsidRDefault="00DD6846" w:rsidP="007F6DA4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388BECC0" w14:textId="77777777" w:rsidR="006543DA" w:rsidRDefault="006543DA" w:rsidP="007F6DA4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6B065033" w14:textId="77777777" w:rsidR="00F0345E" w:rsidRPr="004F5432" w:rsidRDefault="00F0345E" w:rsidP="007F6DA4">
      <w:pPr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6C3F952F" w14:textId="77777777" w:rsidR="00994A80" w:rsidRPr="004F5432" w:rsidRDefault="00994A80" w:rsidP="00994A80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F5432">
        <w:rPr>
          <w:rFonts w:ascii="Arial" w:hAnsi="Arial" w:cs="Arial"/>
          <w:color w:val="000000"/>
          <w:sz w:val="24"/>
          <w:szCs w:val="24"/>
        </w:rPr>
        <w:t xml:space="preserve">Cordialmente, </w:t>
      </w:r>
    </w:p>
    <w:p w14:paraId="5E4B1233" w14:textId="77777777" w:rsidR="00DD6846" w:rsidRDefault="00DD6846" w:rsidP="006B2BD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061E8D" w14:textId="77777777" w:rsidR="00FD7A8A" w:rsidRPr="006B2BDC" w:rsidRDefault="007F6DA4" w:rsidP="006B2BD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F543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2CEA98A" w14:textId="77777777" w:rsidR="00E633E2" w:rsidRPr="00E633E2" w:rsidRDefault="00E633E2" w:rsidP="00E633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E633E2">
        <w:rPr>
          <w:rFonts w:ascii="Arial" w:hAnsi="Arial" w:cs="Arial"/>
          <w:b/>
          <w:bCs/>
          <w:sz w:val="24"/>
          <w:szCs w:val="24"/>
          <w:lang w:val="es-ES" w:eastAsia="es-CO"/>
        </w:rPr>
        <w:t>JORGE CASTAÑO GUTIÉRREZ</w:t>
      </w:r>
    </w:p>
    <w:p w14:paraId="2D4AF451" w14:textId="77777777" w:rsidR="00E633E2" w:rsidRPr="00E633E2" w:rsidRDefault="00E633E2" w:rsidP="00E633E2">
      <w:pPr>
        <w:rPr>
          <w:rFonts w:ascii="Arial" w:hAnsi="Arial" w:cs="Arial"/>
          <w:sz w:val="24"/>
          <w:szCs w:val="24"/>
          <w:lang w:val="es-ES" w:eastAsia="es-CO"/>
        </w:rPr>
      </w:pPr>
      <w:r w:rsidRPr="00E633E2">
        <w:rPr>
          <w:rFonts w:ascii="Arial" w:hAnsi="Arial" w:cs="Arial"/>
          <w:sz w:val="24"/>
          <w:szCs w:val="24"/>
          <w:lang w:val="es-ES" w:eastAsia="es-CO"/>
        </w:rPr>
        <w:t>Superintendente Financiero de Colombia</w:t>
      </w:r>
    </w:p>
    <w:p w14:paraId="2F8B9CEC" w14:textId="77777777" w:rsidR="00E633E2" w:rsidRPr="00E633E2" w:rsidRDefault="00E633E2" w:rsidP="00E633E2">
      <w:pPr>
        <w:rPr>
          <w:rFonts w:ascii="Arial" w:hAnsi="Arial" w:cs="Arial"/>
          <w:b/>
          <w:iCs/>
          <w:sz w:val="24"/>
          <w:szCs w:val="24"/>
          <w:lang w:val="es-ES" w:eastAsia="es-CO"/>
        </w:rPr>
      </w:pPr>
      <w:r w:rsidRPr="00E633E2">
        <w:rPr>
          <w:rFonts w:ascii="Arial" w:hAnsi="Arial" w:cs="Arial"/>
          <w:sz w:val="24"/>
          <w:szCs w:val="24"/>
          <w:lang w:val="es-ES" w:eastAsia="es-CO"/>
        </w:rPr>
        <w:t>50000</w:t>
      </w:r>
    </w:p>
    <w:p w14:paraId="1A0FC6E1" w14:textId="77777777" w:rsidR="005C2E7F" w:rsidRPr="005C2E7F" w:rsidRDefault="005C2E7F" w:rsidP="00E633E2">
      <w:pPr>
        <w:jc w:val="both"/>
        <w:outlineLvl w:val="0"/>
        <w:rPr>
          <w:rFonts w:ascii="Arial" w:hAnsi="Arial" w:cs="Arial"/>
          <w:color w:val="0070C0"/>
          <w:sz w:val="24"/>
          <w:szCs w:val="24"/>
          <w:lang w:val="es-CO"/>
        </w:rPr>
      </w:pPr>
    </w:p>
    <w:sectPr w:rsidR="005C2E7F" w:rsidRPr="005C2E7F" w:rsidSect="001A2CA6">
      <w:headerReference w:type="default" r:id="rId13"/>
      <w:headerReference w:type="first" r:id="rId14"/>
      <w:pgSz w:w="12242" w:h="18722" w:code="14"/>
      <w:pgMar w:top="1701" w:right="1701" w:bottom="1418" w:left="1701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47FEA" w14:textId="77777777" w:rsidR="00BC7885" w:rsidRDefault="00BC7885">
      <w:r>
        <w:separator/>
      </w:r>
    </w:p>
  </w:endnote>
  <w:endnote w:type="continuationSeparator" w:id="0">
    <w:p w14:paraId="61B9D15F" w14:textId="77777777" w:rsidR="00BC7885" w:rsidRDefault="00BC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487D0" w14:textId="77777777" w:rsidR="00BC7885" w:rsidRDefault="00BC7885">
      <w:r>
        <w:separator/>
      </w:r>
    </w:p>
  </w:footnote>
  <w:footnote w:type="continuationSeparator" w:id="0">
    <w:p w14:paraId="591D7EED" w14:textId="77777777" w:rsidR="00BC7885" w:rsidRDefault="00BC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B0815" w14:textId="77777777" w:rsidR="0048617D" w:rsidRPr="007F6DA4" w:rsidRDefault="0048617D" w:rsidP="007F6DA4">
    <w:pPr>
      <w:pStyle w:val="Encabezado"/>
      <w:jc w:val="center"/>
      <w:rPr>
        <w:rFonts w:ascii="Arial" w:hAnsi="Arial" w:cs="Arial"/>
        <w:b/>
        <w:sz w:val="24"/>
        <w:szCs w:val="24"/>
        <w:lang w:val="es-MX"/>
      </w:rPr>
    </w:pPr>
    <w:r w:rsidRPr="007F6DA4">
      <w:rPr>
        <w:rFonts w:ascii="Arial" w:hAnsi="Arial" w:cs="Arial"/>
        <w:b/>
        <w:sz w:val="24"/>
        <w:szCs w:val="24"/>
        <w:lang w:val="es-MX"/>
      </w:rPr>
      <w:t>SUPERINTENDENCIA FINANCIERA DE COLOMBIA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1081A" w14:textId="77777777" w:rsidR="0048617D" w:rsidRDefault="0048617D" w:rsidP="007F6DA4">
    <w:pPr>
      <w:pStyle w:val="Encabezado"/>
      <w:jc w:val="center"/>
      <w:rPr>
        <w:rFonts w:ascii="Arial" w:hAnsi="Arial" w:cs="Arial"/>
        <w:b/>
        <w:sz w:val="24"/>
        <w:szCs w:val="24"/>
        <w:lang w:val="es-MX"/>
      </w:rPr>
    </w:pPr>
    <w:r w:rsidRPr="007F6DA4">
      <w:rPr>
        <w:rFonts w:ascii="Arial" w:hAnsi="Arial" w:cs="Arial"/>
        <w:b/>
        <w:sz w:val="24"/>
        <w:szCs w:val="24"/>
        <w:lang w:val="es-MX"/>
      </w:rPr>
      <w:t>SUPERINTENDENCIA FINANCIERA DE COLOMBIA</w:t>
    </w:r>
  </w:p>
  <w:p w14:paraId="0100966E" w14:textId="77777777" w:rsidR="0048617D" w:rsidRDefault="0048617D" w:rsidP="007F6DA4">
    <w:pPr>
      <w:pStyle w:val="Encabezado"/>
      <w:jc w:val="center"/>
      <w:rPr>
        <w:rFonts w:ascii="Arial" w:hAnsi="Arial" w:cs="Arial"/>
        <w:b/>
        <w:sz w:val="24"/>
        <w:szCs w:val="24"/>
        <w:lang w:val="es-MX"/>
      </w:rPr>
    </w:pPr>
  </w:p>
  <w:p w14:paraId="0E97AA4B" w14:textId="77777777" w:rsidR="0048617D" w:rsidRPr="0048617D" w:rsidRDefault="0048617D" w:rsidP="007F6DA4">
    <w:pPr>
      <w:pStyle w:val="Encabezado"/>
      <w:jc w:val="center"/>
      <w:rPr>
        <w:rFonts w:ascii="Arial" w:hAnsi="Arial" w:cs="Arial"/>
        <w:b/>
        <w:sz w:val="22"/>
        <w:szCs w:val="2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E53B7"/>
    <w:multiLevelType w:val="hybridMultilevel"/>
    <w:tmpl w:val="FA181414"/>
    <w:lvl w:ilvl="0" w:tplc="9B4C3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E6D0FA3"/>
    <w:multiLevelType w:val="hybridMultilevel"/>
    <w:tmpl w:val="83B424E8"/>
    <w:lvl w:ilvl="0" w:tplc="43687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666158">
      <w:numFmt w:val="none"/>
      <w:lvlText w:val=""/>
      <w:lvlJc w:val="left"/>
      <w:pPr>
        <w:tabs>
          <w:tab w:val="num" w:pos="360"/>
        </w:tabs>
      </w:pPr>
    </w:lvl>
    <w:lvl w:ilvl="2" w:tplc="C902EF0A">
      <w:numFmt w:val="none"/>
      <w:lvlText w:val=""/>
      <w:lvlJc w:val="left"/>
      <w:pPr>
        <w:tabs>
          <w:tab w:val="num" w:pos="360"/>
        </w:tabs>
      </w:pPr>
    </w:lvl>
    <w:lvl w:ilvl="3" w:tplc="E74C1384">
      <w:numFmt w:val="none"/>
      <w:lvlText w:val=""/>
      <w:lvlJc w:val="left"/>
      <w:pPr>
        <w:tabs>
          <w:tab w:val="num" w:pos="360"/>
        </w:tabs>
      </w:pPr>
    </w:lvl>
    <w:lvl w:ilvl="4" w:tplc="EB162E80">
      <w:numFmt w:val="none"/>
      <w:lvlText w:val=""/>
      <w:lvlJc w:val="left"/>
      <w:pPr>
        <w:tabs>
          <w:tab w:val="num" w:pos="360"/>
        </w:tabs>
      </w:pPr>
    </w:lvl>
    <w:lvl w:ilvl="5" w:tplc="5FE2E550">
      <w:numFmt w:val="none"/>
      <w:lvlText w:val=""/>
      <w:lvlJc w:val="left"/>
      <w:pPr>
        <w:tabs>
          <w:tab w:val="num" w:pos="360"/>
        </w:tabs>
      </w:pPr>
    </w:lvl>
    <w:lvl w:ilvl="6" w:tplc="E8D0301E">
      <w:numFmt w:val="none"/>
      <w:lvlText w:val=""/>
      <w:lvlJc w:val="left"/>
      <w:pPr>
        <w:tabs>
          <w:tab w:val="num" w:pos="360"/>
        </w:tabs>
      </w:pPr>
    </w:lvl>
    <w:lvl w:ilvl="7" w:tplc="57F02EEC">
      <w:numFmt w:val="none"/>
      <w:lvlText w:val=""/>
      <w:lvlJc w:val="left"/>
      <w:pPr>
        <w:tabs>
          <w:tab w:val="num" w:pos="360"/>
        </w:tabs>
      </w:pPr>
    </w:lvl>
    <w:lvl w:ilvl="8" w:tplc="752697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E"/>
    <w:rsid w:val="00010E5B"/>
    <w:rsid w:val="000234F2"/>
    <w:rsid w:val="00034303"/>
    <w:rsid w:val="00061EFF"/>
    <w:rsid w:val="000D3DB6"/>
    <w:rsid w:val="00111097"/>
    <w:rsid w:val="00121335"/>
    <w:rsid w:val="00134A8C"/>
    <w:rsid w:val="00151970"/>
    <w:rsid w:val="001824AB"/>
    <w:rsid w:val="00196179"/>
    <w:rsid w:val="001A2CA6"/>
    <w:rsid w:val="001D781A"/>
    <w:rsid w:val="001E6B25"/>
    <w:rsid w:val="00252D69"/>
    <w:rsid w:val="0026726D"/>
    <w:rsid w:val="002805D0"/>
    <w:rsid w:val="002912E4"/>
    <w:rsid w:val="002F3CE6"/>
    <w:rsid w:val="003102FA"/>
    <w:rsid w:val="0031163C"/>
    <w:rsid w:val="00337CE4"/>
    <w:rsid w:val="00361F4A"/>
    <w:rsid w:val="003A162B"/>
    <w:rsid w:val="003A4D6F"/>
    <w:rsid w:val="003D5408"/>
    <w:rsid w:val="003F3F2A"/>
    <w:rsid w:val="003F672F"/>
    <w:rsid w:val="00454877"/>
    <w:rsid w:val="0048617D"/>
    <w:rsid w:val="0049027D"/>
    <w:rsid w:val="00495330"/>
    <w:rsid w:val="004B6D6F"/>
    <w:rsid w:val="004D58B4"/>
    <w:rsid w:val="004D6A65"/>
    <w:rsid w:val="004F3259"/>
    <w:rsid w:val="004F5432"/>
    <w:rsid w:val="005055E0"/>
    <w:rsid w:val="00514125"/>
    <w:rsid w:val="00516490"/>
    <w:rsid w:val="005233B0"/>
    <w:rsid w:val="005411F4"/>
    <w:rsid w:val="00542890"/>
    <w:rsid w:val="005779D5"/>
    <w:rsid w:val="00580B74"/>
    <w:rsid w:val="005C2E7F"/>
    <w:rsid w:val="005E15A5"/>
    <w:rsid w:val="005E3664"/>
    <w:rsid w:val="005E5657"/>
    <w:rsid w:val="006044DE"/>
    <w:rsid w:val="00622425"/>
    <w:rsid w:val="00634C98"/>
    <w:rsid w:val="0064031F"/>
    <w:rsid w:val="00640532"/>
    <w:rsid w:val="006543DA"/>
    <w:rsid w:val="006A65D2"/>
    <w:rsid w:val="006A7C6A"/>
    <w:rsid w:val="006B2BDC"/>
    <w:rsid w:val="006C468B"/>
    <w:rsid w:val="006D5E93"/>
    <w:rsid w:val="00710825"/>
    <w:rsid w:val="00724871"/>
    <w:rsid w:val="007444BA"/>
    <w:rsid w:val="0075544D"/>
    <w:rsid w:val="00761425"/>
    <w:rsid w:val="00780C3D"/>
    <w:rsid w:val="00783B75"/>
    <w:rsid w:val="007879B2"/>
    <w:rsid w:val="007C51C5"/>
    <w:rsid w:val="007C5EAD"/>
    <w:rsid w:val="007F6DA4"/>
    <w:rsid w:val="00801746"/>
    <w:rsid w:val="00802A0C"/>
    <w:rsid w:val="0088067A"/>
    <w:rsid w:val="00894B25"/>
    <w:rsid w:val="008A725E"/>
    <w:rsid w:val="00914BF8"/>
    <w:rsid w:val="00920589"/>
    <w:rsid w:val="00960E49"/>
    <w:rsid w:val="0097533C"/>
    <w:rsid w:val="00981D57"/>
    <w:rsid w:val="00994A80"/>
    <w:rsid w:val="009E4524"/>
    <w:rsid w:val="00A00E4B"/>
    <w:rsid w:val="00A31D83"/>
    <w:rsid w:val="00A55D73"/>
    <w:rsid w:val="00A66F05"/>
    <w:rsid w:val="00A83C99"/>
    <w:rsid w:val="00A96623"/>
    <w:rsid w:val="00AF5CFB"/>
    <w:rsid w:val="00B12F27"/>
    <w:rsid w:val="00B134A8"/>
    <w:rsid w:val="00B25E5F"/>
    <w:rsid w:val="00B63AB5"/>
    <w:rsid w:val="00BA15A1"/>
    <w:rsid w:val="00BA41E9"/>
    <w:rsid w:val="00BC7885"/>
    <w:rsid w:val="00BE1EB9"/>
    <w:rsid w:val="00BE208A"/>
    <w:rsid w:val="00BE60CD"/>
    <w:rsid w:val="00C17882"/>
    <w:rsid w:val="00C202D0"/>
    <w:rsid w:val="00C35D88"/>
    <w:rsid w:val="00C86377"/>
    <w:rsid w:val="00CF5BBB"/>
    <w:rsid w:val="00D5112B"/>
    <w:rsid w:val="00D86FE9"/>
    <w:rsid w:val="00D90D84"/>
    <w:rsid w:val="00DC2772"/>
    <w:rsid w:val="00DC7C29"/>
    <w:rsid w:val="00DD6846"/>
    <w:rsid w:val="00DE335E"/>
    <w:rsid w:val="00E3161D"/>
    <w:rsid w:val="00E33A00"/>
    <w:rsid w:val="00E35F75"/>
    <w:rsid w:val="00E35FAE"/>
    <w:rsid w:val="00E45CF1"/>
    <w:rsid w:val="00E633E2"/>
    <w:rsid w:val="00E92CC9"/>
    <w:rsid w:val="00ED45C7"/>
    <w:rsid w:val="00EE5A78"/>
    <w:rsid w:val="00F0345E"/>
    <w:rsid w:val="00F2175E"/>
    <w:rsid w:val="00F550E4"/>
    <w:rsid w:val="00F70691"/>
    <w:rsid w:val="00FC5B09"/>
    <w:rsid w:val="00FD7A8A"/>
    <w:rsid w:val="00FE370A"/>
    <w:rsid w:val="00FF017A"/>
    <w:rsid w:val="00FF05A7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CA6FA8"/>
  <w15:chartTrackingRefBased/>
  <w15:docId w15:val="{B39189F6-1C88-DE4C-BAC5-FBA2AD25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A4"/>
    <w:rPr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E316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F6DA4"/>
    <w:pPr>
      <w:jc w:val="both"/>
    </w:pPr>
    <w:rPr>
      <w:rFonts w:ascii="Arial" w:hAnsi="Arial"/>
      <w:sz w:val="24"/>
      <w:lang w:val="es-CO"/>
    </w:rPr>
  </w:style>
  <w:style w:type="paragraph" w:styleId="Textoindependiente3">
    <w:name w:val="Body Text 3"/>
    <w:basedOn w:val="Normal"/>
    <w:link w:val="Textoindependiente3Car"/>
    <w:rsid w:val="007F6DA4"/>
    <w:pPr>
      <w:jc w:val="both"/>
    </w:pPr>
    <w:rPr>
      <w:rFonts w:ascii="Arial" w:hAnsi="Arial"/>
      <w:b/>
      <w:sz w:val="22"/>
      <w:lang w:val="es-ES"/>
    </w:rPr>
  </w:style>
  <w:style w:type="paragraph" w:styleId="Encabezado">
    <w:name w:val="header"/>
    <w:basedOn w:val="Normal"/>
    <w:rsid w:val="007F6DA4"/>
    <w:pPr>
      <w:tabs>
        <w:tab w:val="center" w:pos="4252"/>
        <w:tab w:val="right" w:pos="8504"/>
      </w:tabs>
    </w:pPr>
  </w:style>
  <w:style w:type="character" w:styleId="Hipervnculo">
    <w:name w:val="Hyperlink"/>
    <w:rsid w:val="007F6DA4"/>
    <w:rPr>
      <w:color w:val="0000FF"/>
      <w:u w:val="single"/>
    </w:rPr>
  </w:style>
  <w:style w:type="paragraph" w:styleId="Piedepgina">
    <w:name w:val="footer"/>
    <w:basedOn w:val="Normal"/>
    <w:rsid w:val="007F6DA4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F6DA4"/>
  </w:style>
  <w:style w:type="character" w:customStyle="1" w:styleId="Textoindependiente3Car">
    <w:name w:val="Texto independiente 3 Car"/>
    <w:link w:val="Textoindependiente3"/>
    <w:rsid w:val="004D6A65"/>
    <w:rPr>
      <w:rFonts w:ascii="Arial" w:hAnsi="Arial"/>
      <w:b/>
      <w:sz w:val="22"/>
      <w:lang w:val="es-ES" w:eastAsia="es-ES"/>
    </w:rPr>
  </w:style>
  <w:style w:type="character" w:customStyle="1" w:styleId="Mencinsinresolver1">
    <w:name w:val="Mención sin resolver1"/>
    <w:uiPriority w:val="99"/>
    <w:semiHidden/>
    <w:unhideWhenUsed/>
    <w:rsid w:val="006C468B"/>
    <w:rPr>
      <w:color w:val="808080"/>
      <w:shd w:val="clear" w:color="auto" w:fill="E6E6E6"/>
    </w:rPr>
  </w:style>
  <w:style w:type="character" w:styleId="Hipervnculovisitado">
    <w:name w:val="FollowedHyperlink"/>
    <w:rsid w:val="00C86377"/>
    <w:rPr>
      <w:color w:val="954F72"/>
      <w:u w:val="single"/>
    </w:rPr>
  </w:style>
  <w:style w:type="character" w:customStyle="1" w:styleId="Ttulo1Car">
    <w:name w:val="Título 1 Car"/>
    <w:link w:val="Ttulo1"/>
    <w:uiPriority w:val="9"/>
    <w:rsid w:val="00E3161D"/>
    <w:rPr>
      <w:b/>
      <w:bCs/>
      <w:kern w:val="36"/>
      <w:sz w:val="48"/>
      <w:szCs w:val="48"/>
    </w:rPr>
  </w:style>
  <w:style w:type="character" w:customStyle="1" w:styleId="title-text">
    <w:name w:val="title-text"/>
    <w:basedOn w:val="Fuentedeprrafopredeter"/>
    <w:rsid w:val="00E3161D"/>
  </w:style>
  <w:style w:type="character" w:customStyle="1" w:styleId="Mencinsinresolver2">
    <w:name w:val="Mención sin resolver2"/>
    <w:uiPriority w:val="99"/>
    <w:semiHidden/>
    <w:unhideWhenUsed/>
    <w:rsid w:val="00A55D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rsid w:val="00F550E4"/>
    <w:rPr>
      <w:sz w:val="18"/>
      <w:szCs w:val="18"/>
    </w:rPr>
  </w:style>
  <w:style w:type="character" w:customStyle="1" w:styleId="TextodegloboCar">
    <w:name w:val="Texto de globo Car"/>
    <w:link w:val="Textodeglobo"/>
    <w:rsid w:val="00F550E4"/>
    <w:rPr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novasfc@superfinanciera.gov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.surveymonkey.com/r/innovasfc202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9E4E525FCD409286F4D3EF11ADF5" ma:contentTypeVersion="11" ma:contentTypeDescription="Create a new document." ma:contentTypeScope="" ma:versionID="53c01898cfeedd0dc3d817a8db3155b7">
  <xsd:schema xmlns:xsd="http://www.w3.org/2001/XMLSchema" xmlns:xs="http://www.w3.org/2001/XMLSchema" xmlns:p="http://schemas.microsoft.com/office/2006/metadata/properties" xmlns:ns3="050bd89b-bc40-4f00-b30d-8f7c553b6dbb" xmlns:ns4="35884e44-c578-4b47-ad46-391c7bdabab5" targetNamespace="http://schemas.microsoft.com/office/2006/metadata/properties" ma:root="true" ma:fieldsID="e5185f000d20f2a754de436a3a0a1d84" ns3:_="" ns4:_="">
    <xsd:import namespace="050bd89b-bc40-4f00-b30d-8f7c553b6dbb"/>
    <xsd:import namespace="35884e44-c578-4b47-ad46-391c7bdaba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bd89b-bc40-4f00-b30d-8f7c553b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4e44-c578-4b47-ad46-391c7bd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0A500-1F0B-44A3-85D9-91DDF723C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3EF2F-EAB4-4004-8ECA-518B80C61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bd89b-bc40-4f00-b30d-8f7c553b6dbb"/>
    <ds:schemaRef ds:uri="35884e44-c578-4b47-ad46-391c7bdab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F4F1C-D7C0-4032-9AC5-C0D370628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2362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CIRCULAR             DE  2007</vt:lpstr>
      <vt:lpstr>CARTA CIRCULAR             DE  2007</vt:lpstr>
    </vt:vector>
  </TitlesOfParts>
  <Company>Superintedencia Bancaria</Company>
  <LinksUpToDate>false</LinksUpToDate>
  <CharactersWithSpaces>2715</CharactersWithSpaces>
  <SharedDoc>false</SharedDoc>
  <HLinks>
    <vt:vector size="12" baseType="variant">
      <vt:variant>
        <vt:i4>7274510</vt:i4>
      </vt:variant>
      <vt:variant>
        <vt:i4>3</vt:i4>
      </vt:variant>
      <vt:variant>
        <vt:i4>0</vt:i4>
      </vt:variant>
      <vt:variant>
        <vt:i4>5</vt:i4>
      </vt:variant>
      <vt:variant>
        <vt:lpwstr>mailto:innovasfc@superfinanciera.gov.co</vt:lpwstr>
      </vt:variant>
      <vt:variant>
        <vt:lpwstr/>
      </vt:variant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https://es.surveymonkey.com/r/Preview/?sm=fjlZ90BgY3pOzXxd6OyHodJz5vSIWjXKmv_2BikiYIgC_2BQ8BljhJUVNainB0CGxvtp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CIRCULAR             DE  2007</dc:title>
  <dc:subject/>
  <dc:creator>mjlobo</dc:creator>
  <cp:keywords/>
  <dc:description/>
  <cp:lastModifiedBy>Juan Pablo Zapata Cruz</cp:lastModifiedBy>
  <cp:revision>2</cp:revision>
  <dcterms:created xsi:type="dcterms:W3CDTF">2021-04-19T19:58:00Z</dcterms:created>
  <dcterms:modified xsi:type="dcterms:W3CDTF">2021-04-19T19:58:00Z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0x0101004D319E4E525FCD409286F4D3EF11ADF5</vt:lpwstr>
  </property>
</Properties>
</file>