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5A16C" w14:textId="02F061FA" w:rsidR="00832C01" w:rsidRPr="00501130" w:rsidRDefault="00832C01" w:rsidP="00010E00">
      <w:pPr>
        <w:tabs>
          <w:tab w:val="left" w:pos="4002"/>
        </w:tabs>
        <w:jc w:val="center"/>
        <w:rPr>
          <w:rFonts w:ascii="Arial" w:hAnsi="Arial" w:cs="Arial"/>
          <w:b/>
          <w:bCs/>
          <w:sz w:val="24"/>
          <w:szCs w:val="24"/>
        </w:rPr>
      </w:pPr>
      <w:r w:rsidRPr="00501130">
        <w:rPr>
          <w:rFonts w:ascii="Arial" w:hAnsi="Arial" w:cs="Arial"/>
          <w:b/>
          <w:bCs/>
          <w:sz w:val="24"/>
          <w:szCs w:val="24"/>
        </w:rPr>
        <w:t>CIRCULAR EXTERNA</w:t>
      </w:r>
      <w:r w:rsidR="009467F7">
        <w:rPr>
          <w:rFonts w:ascii="Arial" w:hAnsi="Arial" w:cs="Arial"/>
          <w:b/>
          <w:bCs/>
          <w:sz w:val="24"/>
          <w:szCs w:val="24"/>
        </w:rPr>
        <w:t xml:space="preserve"> </w:t>
      </w:r>
      <w:r w:rsidR="00D7754D">
        <w:rPr>
          <w:rFonts w:ascii="Arial" w:hAnsi="Arial" w:cs="Arial"/>
          <w:b/>
          <w:bCs/>
          <w:sz w:val="24"/>
          <w:szCs w:val="24"/>
        </w:rPr>
        <w:t>006</w:t>
      </w:r>
      <w:r w:rsidR="004D00C0">
        <w:rPr>
          <w:rFonts w:ascii="Arial" w:hAnsi="Arial" w:cs="Arial"/>
          <w:b/>
          <w:bCs/>
          <w:sz w:val="24"/>
          <w:szCs w:val="24"/>
        </w:rPr>
        <w:t xml:space="preserve"> </w:t>
      </w:r>
      <w:r w:rsidR="007C6596" w:rsidRPr="00501130">
        <w:rPr>
          <w:rFonts w:ascii="Arial" w:hAnsi="Arial" w:cs="Arial"/>
          <w:b/>
          <w:bCs/>
          <w:sz w:val="24"/>
          <w:szCs w:val="24"/>
        </w:rPr>
        <w:t>DE 20</w:t>
      </w:r>
      <w:r w:rsidR="00777492" w:rsidRPr="00501130">
        <w:rPr>
          <w:rFonts w:ascii="Arial" w:hAnsi="Arial" w:cs="Arial"/>
          <w:b/>
          <w:bCs/>
          <w:sz w:val="24"/>
          <w:szCs w:val="24"/>
        </w:rPr>
        <w:t>2</w:t>
      </w:r>
      <w:r w:rsidR="004D00C0">
        <w:rPr>
          <w:rFonts w:ascii="Arial" w:hAnsi="Arial" w:cs="Arial"/>
          <w:b/>
          <w:bCs/>
          <w:sz w:val="24"/>
          <w:szCs w:val="24"/>
        </w:rPr>
        <w:t>1</w:t>
      </w:r>
    </w:p>
    <w:p w14:paraId="7F1E9EE0" w14:textId="77777777" w:rsidR="00007A12" w:rsidRPr="00EF135C" w:rsidRDefault="00007A12" w:rsidP="001970DB">
      <w:pPr>
        <w:jc w:val="center"/>
        <w:rPr>
          <w:rFonts w:ascii="Arial" w:hAnsi="Arial" w:cs="Arial"/>
          <w:b/>
          <w:bCs/>
          <w:sz w:val="22"/>
          <w:szCs w:val="24"/>
        </w:rPr>
      </w:pPr>
    </w:p>
    <w:p w14:paraId="54C1E4C5" w14:textId="331162D1" w:rsidR="00007A12" w:rsidRPr="00501130" w:rsidRDefault="00007A12" w:rsidP="001970DB">
      <w:pPr>
        <w:jc w:val="center"/>
        <w:rPr>
          <w:rFonts w:ascii="Arial" w:hAnsi="Arial" w:cs="Arial"/>
          <w:b/>
          <w:bCs/>
          <w:sz w:val="24"/>
          <w:szCs w:val="24"/>
        </w:rPr>
      </w:pPr>
      <w:proofErr w:type="gramStart"/>
      <w:r w:rsidRPr="00501130">
        <w:rPr>
          <w:rFonts w:ascii="Arial" w:hAnsi="Arial" w:cs="Arial"/>
          <w:b/>
          <w:bCs/>
          <w:sz w:val="24"/>
          <w:szCs w:val="24"/>
        </w:rPr>
        <w:t>(</w:t>
      </w:r>
      <w:r w:rsidR="009467F7">
        <w:rPr>
          <w:rFonts w:ascii="Arial" w:hAnsi="Arial" w:cs="Arial"/>
          <w:b/>
          <w:bCs/>
          <w:sz w:val="24"/>
          <w:szCs w:val="24"/>
        </w:rPr>
        <w:t xml:space="preserve"> </w:t>
      </w:r>
      <w:r w:rsidR="00D7754D">
        <w:rPr>
          <w:rFonts w:ascii="Arial" w:hAnsi="Arial" w:cs="Arial"/>
          <w:b/>
          <w:bCs/>
          <w:sz w:val="24"/>
          <w:szCs w:val="24"/>
        </w:rPr>
        <w:t>Marzo</w:t>
      </w:r>
      <w:proofErr w:type="gramEnd"/>
      <w:r w:rsidR="00D7754D">
        <w:rPr>
          <w:rFonts w:ascii="Arial" w:hAnsi="Arial" w:cs="Arial"/>
          <w:b/>
          <w:bCs/>
          <w:sz w:val="24"/>
          <w:szCs w:val="24"/>
        </w:rPr>
        <w:t xml:space="preserve"> 29</w:t>
      </w:r>
      <w:r w:rsidRPr="00501130">
        <w:rPr>
          <w:rFonts w:ascii="Arial" w:hAnsi="Arial" w:cs="Arial"/>
          <w:b/>
          <w:bCs/>
          <w:sz w:val="24"/>
          <w:szCs w:val="24"/>
        </w:rPr>
        <w:t>)</w:t>
      </w:r>
    </w:p>
    <w:p w14:paraId="2D723AE6" w14:textId="77777777" w:rsidR="00C820FD" w:rsidRPr="00EF135C" w:rsidRDefault="00C820FD" w:rsidP="001970DB">
      <w:pPr>
        <w:pStyle w:val="Encabezado"/>
        <w:jc w:val="both"/>
        <w:rPr>
          <w:rFonts w:ascii="Arial" w:hAnsi="Arial" w:cs="Arial"/>
          <w:b/>
          <w:bCs/>
          <w:sz w:val="22"/>
          <w:szCs w:val="24"/>
        </w:rPr>
      </w:pPr>
    </w:p>
    <w:p w14:paraId="124A6186" w14:textId="77777777" w:rsidR="00010E00" w:rsidRPr="00010E00" w:rsidRDefault="00010E00" w:rsidP="001970DB">
      <w:pPr>
        <w:pStyle w:val="Encabezado"/>
        <w:jc w:val="both"/>
        <w:rPr>
          <w:rFonts w:ascii="Arial" w:hAnsi="Arial" w:cs="Arial"/>
          <w:b/>
          <w:bCs/>
          <w:szCs w:val="24"/>
        </w:rPr>
      </w:pPr>
    </w:p>
    <w:p w14:paraId="4A8C0E99" w14:textId="77777777" w:rsidR="00832C01" w:rsidRPr="00010E00" w:rsidRDefault="00832C01" w:rsidP="001970DB">
      <w:pPr>
        <w:jc w:val="both"/>
        <w:rPr>
          <w:rFonts w:ascii="Arial" w:hAnsi="Arial" w:cs="Arial"/>
          <w:b/>
          <w:sz w:val="22"/>
          <w:szCs w:val="24"/>
          <w:lang w:eastAsia="x-none"/>
        </w:rPr>
      </w:pPr>
      <w:r w:rsidRPr="00010E00">
        <w:rPr>
          <w:rFonts w:ascii="Arial" w:hAnsi="Arial" w:cs="Arial"/>
          <w:b/>
          <w:sz w:val="22"/>
          <w:szCs w:val="24"/>
          <w:lang w:eastAsia="x-none"/>
        </w:rPr>
        <w:t>Señor</w:t>
      </w:r>
      <w:r w:rsidR="004D27DA" w:rsidRPr="00010E00">
        <w:rPr>
          <w:rFonts w:ascii="Arial" w:hAnsi="Arial" w:cs="Arial"/>
          <w:b/>
          <w:sz w:val="22"/>
          <w:szCs w:val="24"/>
          <w:lang w:eastAsia="x-none"/>
        </w:rPr>
        <w:t>e</w:t>
      </w:r>
      <w:r w:rsidRPr="00010E00">
        <w:rPr>
          <w:rFonts w:ascii="Arial" w:hAnsi="Arial" w:cs="Arial"/>
          <w:b/>
          <w:sz w:val="22"/>
          <w:szCs w:val="24"/>
          <w:lang w:eastAsia="x-none"/>
        </w:rPr>
        <w:t>s</w:t>
      </w:r>
    </w:p>
    <w:p w14:paraId="0EED3EB2" w14:textId="77777777" w:rsidR="00266E73" w:rsidRPr="00010E00" w:rsidRDefault="00266E73" w:rsidP="00266E73">
      <w:pPr>
        <w:jc w:val="both"/>
        <w:rPr>
          <w:rFonts w:ascii="Arial" w:hAnsi="Arial" w:cs="Arial"/>
          <w:sz w:val="22"/>
          <w:szCs w:val="24"/>
        </w:rPr>
      </w:pPr>
      <w:r w:rsidRPr="00010E00">
        <w:rPr>
          <w:rFonts w:ascii="Arial" w:hAnsi="Arial" w:cs="Arial"/>
          <w:sz w:val="22"/>
          <w:szCs w:val="24"/>
        </w:rPr>
        <w:t>REPRESENTANTES LEGALES Y REVISORES FISCALES DE LAS ENTIDADES VIGILADAS POR LA SUPERINTENDENCIA FINANCIERA DE COLOMBIA</w:t>
      </w:r>
    </w:p>
    <w:p w14:paraId="25133F81" w14:textId="77777777" w:rsidR="00C820FD" w:rsidRPr="00010E00" w:rsidRDefault="00C820FD" w:rsidP="001970DB">
      <w:pPr>
        <w:pStyle w:val="Piedepgina"/>
        <w:tabs>
          <w:tab w:val="right" w:pos="8789"/>
        </w:tabs>
        <w:jc w:val="both"/>
        <w:rPr>
          <w:rFonts w:ascii="Arial" w:hAnsi="Arial" w:cs="Arial"/>
          <w:b/>
          <w:sz w:val="22"/>
          <w:szCs w:val="24"/>
        </w:rPr>
      </w:pPr>
    </w:p>
    <w:p w14:paraId="6E780F01" w14:textId="77777777" w:rsidR="00510BAE" w:rsidRPr="00010E00" w:rsidRDefault="00510BAE" w:rsidP="001970DB">
      <w:pPr>
        <w:pStyle w:val="Piedepgina"/>
        <w:tabs>
          <w:tab w:val="right" w:pos="8789"/>
        </w:tabs>
        <w:jc w:val="both"/>
        <w:rPr>
          <w:rFonts w:ascii="Arial" w:hAnsi="Arial" w:cs="Arial"/>
          <w:b/>
          <w:sz w:val="22"/>
          <w:szCs w:val="24"/>
        </w:rPr>
      </w:pPr>
    </w:p>
    <w:p w14:paraId="0EE47CB9" w14:textId="4A50D36D" w:rsidR="00D05DA0" w:rsidRPr="00010E00" w:rsidRDefault="00832C01" w:rsidP="00EF135C">
      <w:pPr>
        <w:pStyle w:val="Piedepgina"/>
        <w:tabs>
          <w:tab w:val="right" w:pos="8789"/>
        </w:tabs>
        <w:jc w:val="both"/>
        <w:rPr>
          <w:rFonts w:ascii="Arial" w:hAnsi="Arial" w:cs="Arial"/>
          <w:sz w:val="22"/>
          <w:szCs w:val="24"/>
        </w:rPr>
      </w:pPr>
      <w:r w:rsidRPr="00010E00">
        <w:rPr>
          <w:rFonts w:ascii="Arial" w:hAnsi="Arial" w:cs="Arial"/>
          <w:b/>
          <w:sz w:val="22"/>
          <w:szCs w:val="24"/>
        </w:rPr>
        <w:t>Referencia</w:t>
      </w:r>
      <w:r w:rsidR="00C820FD" w:rsidRPr="00010E00">
        <w:rPr>
          <w:rFonts w:ascii="Arial" w:hAnsi="Arial" w:cs="Arial"/>
          <w:b/>
          <w:sz w:val="22"/>
          <w:szCs w:val="24"/>
        </w:rPr>
        <w:t>:</w:t>
      </w:r>
      <w:r w:rsidR="007F701B" w:rsidRPr="00010E00">
        <w:rPr>
          <w:rFonts w:ascii="Arial" w:hAnsi="Arial" w:cs="Arial"/>
          <w:b/>
          <w:sz w:val="22"/>
          <w:szCs w:val="24"/>
        </w:rPr>
        <w:t xml:space="preserve"> </w:t>
      </w:r>
      <w:r w:rsidR="002E57D9">
        <w:rPr>
          <w:rFonts w:ascii="Arial" w:hAnsi="Arial" w:cs="Arial"/>
          <w:b/>
          <w:sz w:val="22"/>
          <w:szCs w:val="24"/>
        </w:rPr>
        <w:t xml:space="preserve">Procesos de </w:t>
      </w:r>
      <w:r w:rsidR="00B2058F">
        <w:rPr>
          <w:rFonts w:ascii="Arial" w:hAnsi="Arial" w:cs="Arial"/>
          <w:b/>
          <w:sz w:val="22"/>
          <w:szCs w:val="24"/>
        </w:rPr>
        <w:t>emisión y v</w:t>
      </w:r>
      <w:r w:rsidR="002E57D9" w:rsidRPr="00010E00">
        <w:rPr>
          <w:rFonts w:ascii="Arial" w:hAnsi="Arial" w:cs="Arial"/>
          <w:b/>
          <w:sz w:val="22"/>
          <w:szCs w:val="24"/>
        </w:rPr>
        <w:t>aloración de títulos de participación emitidos por fondos de inversión colectiva cerrados, fondos de capital privado, patrimonios autónomos</w:t>
      </w:r>
      <w:r w:rsidR="003C0541">
        <w:rPr>
          <w:rFonts w:ascii="Arial" w:hAnsi="Arial" w:cs="Arial"/>
          <w:b/>
          <w:sz w:val="22"/>
          <w:szCs w:val="24"/>
        </w:rPr>
        <w:t>,</w:t>
      </w:r>
      <w:r w:rsidR="002E57D9" w:rsidRPr="00010E00">
        <w:rPr>
          <w:rFonts w:ascii="Arial" w:hAnsi="Arial" w:cs="Arial"/>
          <w:b/>
          <w:sz w:val="22"/>
          <w:szCs w:val="24"/>
        </w:rPr>
        <w:t xml:space="preserve"> o en procesos de titularización</w:t>
      </w:r>
      <w:r w:rsidR="002E57D9">
        <w:rPr>
          <w:rFonts w:ascii="Arial" w:hAnsi="Arial" w:cs="Arial"/>
          <w:b/>
          <w:sz w:val="22"/>
          <w:szCs w:val="24"/>
        </w:rPr>
        <w:t>,</w:t>
      </w:r>
      <w:r w:rsidR="002E57D9" w:rsidRPr="00010E00">
        <w:rPr>
          <w:rFonts w:ascii="Arial" w:hAnsi="Arial" w:cs="Arial"/>
          <w:b/>
          <w:sz w:val="22"/>
          <w:szCs w:val="24"/>
        </w:rPr>
        <w:t xml:space="preserve"> inscritos en el Registro Nacional de Valores y Emisores</w:t>
      </w:r>
      <w:r w:rsidR="001834DA">
        <w:rPr>
          <w:rFonts w:ascii="Arial" w:hAnsi="Arial" w:cs="Arial"/>
          <w:b/>
          <w:sz w:val="22"/>
          <w:szCs w:val="24"/>
        </w:rPr>
        <w:t>.</w:t>
      </w:r>
      <w:r w:rsidR="002E57D9">
        <w:rPr>
          <w:rFonts w:ascii="Arial" w:hAnsi="Arial" w:cs="Arial"/>
          <w:b/>
          <w:sz w:val="22"/>
          <w:szCs w:val="24"/>
        </w:rPr>
        <w:t xml:space="preserve"> </w:t>
      </w:r>
    </w:p>
    <w:p w14:paraId="6E917349" w14:textId="77777777" w:rsidR="00D116F0" w:rsidRPr="00010E00" w:rsidRDefault="00D116F0" w:rsidP="001970DB">
      <w:pPr>
        <w:jc w:val="both"/>
        <w:rPr>
          <w:rFonts w:ascii="Arial" w:hAnsi="Arial" w:cs="Arial"/>
          <w:szCs w:val="24"/>
        </w:rPr>
      </w:pPr>
    </w:p>
    <w:p w14:paraId="5D00AC8E" w14:textId="77777777" w:rsidR="00510BAE" w:rsidRPr="00010E00" w:rsidRDefault="00510BAE" w:rsidP="001970DB">
      <w:pPr>
        <w:jc w:val="both"/>
        <w:rPr>
          <w:rFonts w:ascii="Arial" w:hAnsi="Arial" w:cs="Arial"/>
          <w:szCs w:val="24"/>
        </w:rPr>
      </w:pPr>
    </w:p>
    <w:p w14:paraId="7DE8B94B" w14:textId="77777777" w:rsidR="00832C01" w:rsidRPr="00010E00" w:rsidRDefault="00832C01" w:rsidP="001970DB">
      <w:pPr>
        <w:jc w:val="both"/>
        <w:rPr>
          <w:rFonts w:ascii="Arial" w:hAnsi="Arial" w:cs="Arial"/>
          <w:sz w:val="22"/>
          <w:szCs w:val="24"/>
        </w:rPr>
      </w:pPr>
      <w:r w:rsidRPr="00010E00">
        <w:rPr>
          <w:rFonts w:ascii="Arial" w:hAnsi="Arial" w:cs="Arial"/>
          <w:sz w:val="22"/>
          <w:szCs w:val="24"/>
        </w:rPr>
        <w:t>Apreciados señores:</w:t>
      </w:r>
    </w:p>
    <w:p w14:paraId="64198029" w14:textId="77777777" w:rsidR="007C6596" w:rsidRPr="00010E00" w:rsidRDefault="007C6596" w:rsidP="001970DB">
      <w:pPr>
        <w:jc w:val="both"/>
        <w:rPr>
          <w:rFonts w:ascii="Arial" w:hAnsi="Arial" w:cs="Arial"/>
          <w:sz w:val="22"/>
          <w:szCs w:val="24"/>
        </w:rPr>
      </w:pPr>
    </w:p>
    <w:p w14:paraId="1703A59C" w14:textId="724257C7" w:rsidR="00DC7889" w:rsidRDefault="009E29A8" w:rsidP="009E29A8">
      <w:pPr>
        <w:jc w:val="both"/>
        <w:rPr>
          <w:rFonts w:ascii="Arial" w:hAnsi="Arial" w:cs="Arial"/>
          <w:sz w:val="22"/>
          <w:szCs w:val="24"/>
          <w:lang w:val="es-BO"/>
        </w:rPr>
      </w:pPr>
      <w:r w:rsidRPr="00010E00">
        <w:rPr>
          <w:rFonts w:ascii="Arial" w:hAnsi="Arial" w:cs="Arial"/>
          <w:sz w:val="22"/>
          <w:szCs w:val="24"/>
          <w:lang w:val="es-BO"/>
        </w:rPr>
        <w:t xml:space="preserve">Con el propósito de </w:t>
      </w:r>
      <w:r w:rsidR="004D27DA" w:rsidRPr="00010E00">
        <w:rPr>
          <w:rFonts w:ascii="Arial" w:hAnsi="Arial" w:cs="Arial"/>
          <w:sz w:val="22"/>
          <w:szCs w:val="24"/>
          <w:lang w:val="es-BO"/>
        </w:rPr>
        <w:t>reconocer la naturaleza dinámica de</w:t>
      </w:r>
      <w:r w:rsidR="00F4149E">
        <w:rPr>
          <w:rFonts w:ascii="Arial" w:hAnsi="Arial" w:cs="Arial"/>
          <w:sz w:val="22"/>
          <w:szCs w:val="24"/>
          <w:lang w:val="es-BO"/>
        </w:rPr>
        <w:t>l mercado secundario</w:t>
      </w:r>
      <w:r w:rsidR="004D27DA" w:rsidRPr="00010E00">
        <w:rPr>
          <w:rFonts w:ascii="Arial" w:hAnsi="Arial" w:cs="Arial"/>
          <w:sz w:val="22"/>
          <w:szCs w:val="24"/>
          <w:lang w:val="es-BO"/>
        </w:rPr>
        <w:t xml:space="preserve"> de los títulos de participación emitidos por </w:t>
      </w:r>
      <w:r w:rsidR="007B2CAC" w:rsidRPr="00010E00">
        <w:rPr>
          <w:rFonts w:ascii="Arial" w:hAnsi="Arial" w:cs="Arial"/>
          <w:sz w:val="22"/>
          <w:szCs w:val="24"/>
          <w:lang w:val="es-BO"/>
        </w:rPr>
        <w:t>fondos de inversión colectiva cerrados, fondos de capital privado, patrimonios autónomos</w:t>
      </w:r>
      <w:r w:rsidR="009D58AD">
        <w:rPr>
          <w:rFonts w:ascii="Arial" w:hAnsi="Arial" w:cs="Arial"/>
          <w:sz w:val="22"/>
          <w:szCs w:val="24"/>
          <w:lang w:val="es-BO"/>
        </w:rPr>
        <w:t>,</w:t>
      </w:r>
      <w:r w:rsidR="007B2CAC" w:rsidRPr="00010E00">
        <w:rPr>
          <w:rFonts w:ascii="Arial" w:hAnsi="Arial" w:cs="Arial"/>
          <w:sz w:val="22"/>
          <w:szCs w:val="24"/>
          <w:lang w:val="es-BO"/>
        </w:rPr>
        <w:t xml:space="preserve"> o en procesos de titularización</w:t>
      </w:r>
      <w:r w:rsidR="002100B0">
        <w:rPr>
          <w:rFonts w:ascii="Arial" w:hAnsi="Arial" w:cs="Arial"/>
          <w:sz w:val="22"/>
          <w:szCs w:val="24"/>
          <w:lang w:val="es-BO"/>
        </w:rPr>
        <w:t>,</w:t>
      </w:r>
      <w:r w:rsidR="007B2CAC">
        <w:rPr>
          <w:rFonts w:ascii="Arial" w:hAnsi="Arial" w:cs="Arial"/>
          <w:sz w:val="22"/>
          <w:szCs w:val="24"/>
          <w:lang w:val="es-BO"/>
        </w:rPr>
        <w:t xml:space="preserve"> </w:t>
      </w:r>
      <w:r w:rsidR="0008468B">
        <w:rPr>
          <w:rFonts w:ascii="Arial" w:hAnsi="Arial" w:cs="Arial"/>
          <w:sz w:val="22"/>
          <w:szCs w:val="24"/>
          <w:lang w:val="es-BO"/>
        </w:rPr>
        <w:t>inscritos en el RNVE</w:t>
      </w:r>
      <w:r w:rsidR="004D00C0">
        <w:rPr>
          <w:rFonts w:ascii="Arial" w:hAnsi="Arial" w:cs="Arial"/>
          <w:sz w:val="22"/>
          <w:szCs w:val="24"/>
          <w:lang w:val="es-BO"/>
        </w:rPr>
        <w:t xml:space="preserve">, se considera necesaria la modificación de la metodología de valoración de </w:t>
      </w:r>
      <w:r w:rsidR="0008468B">
        <w:rPr>
          <w:rFonts w:ascii="Arial" w:hAnsi="Arial" w:cs="Arial"/>
          <w:sz w:val="22"/>
          <w:szCs w:val="24"/>
          <w:lang w:val="es-BO"/>
        </w:rPr>
        <w:t xml:space="preserve">las </w:t>
      </w:r>
      <w:r w:rsidR="004D00C0">
        <w:rPr>
          <w:rFonts w:ascii="Arial" w:hAnsi="Arial" w:cs="Arial"/>
          <w:sz w:val="22"/>
          <w:szCs w:val="24"/>
          <w:lang w:val="es-BO"/>
        </w:rPr>
        <w:t xml:space="preserve">participaciones emitidas por estos </w:t>
      </w:r>
      <w:r w:rsidR="00DC7889">
        <w:rPr>
          <w:rFonts w:ascii="Arial" w:hAnsi="Arial" w:cs="Arial"/>
          <w:sz w:val="22"/>
          <w:szCs w:val="24"/>
          <w:lang w:val="es-BO"/>
        </w:rPr>
        <w:t>vehículos</w:t>
      </w:r>
      <w:r w:rsidR="004D00C0">
        <w:rPr>
          <w:rFonts w:ascii="Arial" w:hAnsi="Arial" w:cs="Arial"/>
          <w:sz w:val="22"/>
          <w:szCs w:val="24"/>
          <w:lang w:val="es-BO"/>
        </w:rPr>
        <w:t xml:space="preserve">. </w:t>
      </w:r>
      <w:r w:rsidR="00DC7889">
        <w:rPr>
          <w:rFonts w:ascii="Arial" w:hAnsi="Arial" w:cs="Arial"/>
          <w:sz w:val="22"/>
          <w:szCs w:val="24"/>
          <w:lang w:val="es-BO"/>
        </w:rPr>
        <w:t xml:space="preserve">Asimismo, </w:t>
      </w:r>
      <w:r w:rsidR="0096511C">
        <w:rPr>
          <w:rFonts w:ascii="Arial" w:hAnsi="Arial" w:cs="Arial"/>
          <w:sz w:val="22"/>
          <w:szCs w:val="24"/>
          <w:lang w:val="es-BO"/>
        </w:rPr>
        <w:t>e</w:t>
      </w:r>
      <w:r w:rsidR="004B05D0">
        <w:rPr>
          <w:rFonts w:ascii="Arial" w:hAnsi="Arial" w:cs="Arial"/>
          <w:sz w:val="22"/>
          <w:szCs w:val="24"/>
          <w:lang w:val="es-BO"/>
        </w:rPr>
        <w:t>s</w:t>
      </w:r>
      <w:r w:rsidR="0096511C">
        <w:rPr>
          <w:rFonts w:ascii="Arial" w:hAnsi="Arial" w:cs="Arial"/>
          <w:sz w:val="22"/>
          <w:szCs w:val="24"/>
          <w:lang w:val="es-BO"/>
        </w:rPr>
        <w:t xml:space="preserve"> necesario </w:t>
      </w:r>
      <w:r w:rsidR="00875ED0">
        <w:rPr>
          <w:rFonts w:ascii="Arial" w:hAnsi="Arial" w:cs="Arial"/>
          <w:sz w:val="22"/>
          <w:szCs w:val="24"/>
          <w:lang w:val="es-BO"/>
        </w:rPr>
        <w:t>reconocer las particularidades de</w:t>
      </w:r>
      <w:r w:rsidR="003323C9">
        <w:rPr>
          <w:rFonts w:ascii="Arial" w:hAnsi="Arial" w:cs="Arial"/>
          <w:sz w:val="22"/>
          <w:szCs w:val="24"/>
          <w:lang w:val="es-BO"/>
        </w:rPr>
        <w:t xml:space="preserve"> tales</w:t>
      </w:r>
      <w:r w:rsidR="00875ED0">
        <w:rPr>
          <w:rFonts w:ascii="Arial" w:hAnsi="Arial" w:cs="Arial"/>
          <w:sz w:val="22"/>
          <w:szCs w:val="24"/>
          <w:lang w:val="es-BO"/>
        </w:rPr>
        <w:t xml:space="preserve"> </w:t>
      </w:r>
      <w:r w:rsidR="0096511C">
        <w:rPr>
          <w:rFonts w:ascii="Arial" w:hAnsi="Arial" w:cs="Arial"/>
          <w:sz w:val="22"/>
          <w:szCs w:val="24"/>
          <w:lang w:val="es-BO"/>
        </w:rPr>
        <w:t>vehículos</w:t>
      </w:r>
      <w:r w:rsidR="00594102">
        <w:rPr>
          <w:rFonts w:ascii="Arial" w:hAnsi="Arial" w:cs="Arial"/>
          <w:sz w:val="22"/>
          <w:szCs w:val="24"/>
          <w:lang w:val="es-BO"/>
        </w:rPr>
        <w:t>,</w:t>
      </w:r>
      <w:r w:rsidR="00875ED0">
        <w:rPr>
          <w:rFonts w:ascii="Arial" w:hAnsi="Arial" w:cs="Arial"/>
          <w:sz w:val="22"/>
          <w:szCs w:val="24"/>
          <w:lang w:val="es-BO"/>
        </w:rPr>
        <w:t xml:space="preserve"> en los procesos de emisión de nuevas participaciones</w:t>
      </w:r>
      <w:r w:rsidR="0019538A">
        <w:rPr>
          <w:rFonts w:ascii="Arial" w:hAnsi="Arial" w:cs="Arial"/>
          <w:sz w:val="22"/>
          <w:szCs w:val="24"/>
          <w:lang w:val="es-BO"/>
        </w:rPr>
        <w:t>.</w:t>
      </w:r>
    </w:p>
    <w:p w14:paraId="60DBA8B4" w14:textId="77777777" w:rsidR="0096511C" w:rsidRDefault="0096511C" w:rsidP="009E29A8">
      <w:pPr>
        <w:jc w:val="both"/>
        <w:rPr>
          <w:rFonts w:ascii="Arial" w:hAnsi="Arial" w:cs="Arial"/>
          <w:sz w:val="22"/>
          <w:szCs w:val="24"/>
          <w:lang w:val="es-BO"/>
        </w:rPr>
      </w:pPr>
    </w:p>
    <w:p w14:paraId="41567FEF" w14:textId="57980682" w:rsidR="009E29A8" w:rsidRPr="00010E00" w:rsidRDefault="004D00C0" w:rsidP="009E29A8">
      <w:pPr>
        <w:jc w:val="both"/>
        <w:rPr>
          <w:rFonts w:ascii="Arial" w:hAnsi="Arial" w:cs="Arial"/>
          <w:sz w:val="22"/>
          <w:szCs w:val="24"/>
          <w:lang w:val="es-BO"/>
        </w:rPr>
      </w:pPr>
      <w:r>
        <w:rPr>
          <w:rFonts w:ascii="Arial" w:hAnsi="Arial" w:cs="Arial"/>
          <w:sz w:val="22"/>
          <w:szCs w:val="24"/>
          <w:lang w:val="es-BO"/>
        </w:rPr>
        <w:t xml:space="preserve">En consecuencia, este despacho, </w:t>
      </w:r>
      <w:r w:rsidR="009E29A8" w:rsidRPr="00010E00">
        <w:rPr>
          <w:rFonts w:ascii="Arial" w:hAnsi="Arial" w:cs="Arial"/>
          <w:sz w:val="22"/>
          <w:szCs w:val="24"/>
          <w:lang w:val="es-BO"/>
        </w:rPr>
        <w:t>en ejercicio de sus facultades legales, en especial de lo dispuesto en</w:t>
      </w:r>
      <w:r w:rsidR="00777492" w:rsidRPr="00010E00">
        <w:rPr>
          <w:rFonts w:ascii="Arial" w:hAnsi="Arial" w:cs="Arial"/>
          <w:sz w:val="22"/>
          <w:szCs w:val="24"/>
          <w:lang w:val="es-BO"/>
        </w:rPr>
        <w:t xml:space="preserve"> </w:t>
      </w:r>
      <w:r w:rsidR="00961480">
        <w:rPr>
          <w:rFonts w:ascii="Arial" w:hAnsi="Arial" w:cs="Arial"/>
          <w:sz w:val="22"/>
          <w:szCs w:val="24"/>
          <w:lang w:val="es-BO"/>
        </w:rPr>
        <w:t xml:space="preserve">los </w:t>
      </w:r>
      <w:r w:rsidR="00777492" w:rsidRPr="00010E00">
        <w:rPr>
          <w:rFonts w:ascii="Arial" w:hAnsi="Arial" w:cs="Arial"/>
          <w:sz w:val="22"/>
          <w:szCs w:val="24"/>
          <w:lang w:val="es-BO"/>
        </w:rPr>
        <w:t>artículo</w:t>
      </w:r>
      <w:r w:rsidR="00961480">
        <w:rPr>
          <w:rFonts w:ascii="Arial" w:hAnsi="Arial" w:cs="Arial"/>
          <w:sz w:val="22"/>
          <w:szCs w:val="24"/>
          <w:lang w:val="es-BO"/>
        </w:rPr>
        <w:t>s</w:t>
      </w:r>
      <w:r w:rsidR="00D10B7A" w:rsidRPr="00010E00">
        <w:rPr>
          <w:rFonts w:ascii="Arial" w:hAnsi="Arial" w:cs="Arial"/>
          <w:sz w:val="22"/>
          <w:szCs w:val="24"/>
          <w:lang w:val="es-BO"/>
        </w:rPr>
        <w:t xml:space="preserve"> </w:t>
      </w:r>
      <w:r>
        <w:rPr>
          <w:rFonts w:ascii="Arial" w:hAnsi="Arial" w:cs="Arial"/>
          <w:sz w:val="22"/>
          <w:szCs w:val="24"/>
          <w:lang w:val="es-BO"/>
        </w:rPr>
        <w:t>3.1.1.7.1</w:t>
      </w:r>
      <w:r w:rsidR="00961480">
        <w:rPr>
          <w:rFonts w:ascii="Arial" w:hAnsi="Arial" w:cs="Arial"/>
          <w:sz w:val="22"/>
          <w:szCs w:val="24"/>
          <w:lang w:val="es-BO"/>
        </w:rPr>
        <w:t xml:space="preserve">, </w:t>
      </w:r>
      <w:r w:rsidR="00777492" w:rsidRPr="00010E00">
        <w:rPr>
          <w:rFonts w:ascii="Arial" w:hAnsi="Arial" w:cs="Arial"/>
          <w:sz w:val="22"/>
          <w:szCs w:val="24"/>
          <w:lang w:val="es-BO"/>
        </w:rPr>
        <w:t xml:space="preserve">y en </w:t>
      </w:r>
      <w:r w:rsidR="00C90B9E">
        <w:rPr>
          <w:rFonts w:ascii="Arial" w:hAnsi="Arial" w:cs="Arial"/>
          <w:sz w:val="22"/>
          <w:szCs w:val="24"/>
          <w:lang w:val="es-BO"/>
        </w:rPr>
        <w:t>los</w:t>
      </w:r>
      <w:r w:rsidR="00A4165B">
        <w:rPr>
          <w:rFonts w:ascii="Arial" w:hAnsi="Arial" w:cs="Arial"/>
          <w:sz w:val="22"/>
          <w:szCs w:val="24"/>
          <w:lang w:val="es-BO"/>
        </w:rPr>
        <w:t xml:space="preserve"> </w:t>
      </w:r>
      <w:r w:rsidR="009E29A8" w:rsidRPr="00010E00">
        <w:rPr>
          <w:rFonts w:ascii="Arial" w:hAnsi="Arial" w:cs="Arial"/>
          <w:sz w:val="22"/>
          <w:szCs w:val="24"/>
          <w:lang w:val="es-BO"/>
        </w:rPr>
        <w:t>numeral</w:t>
      </w:r>
      <w:r w:rsidR="00C90B9E">
        <w:rPr>
          <w:rFonts w:ascii="Arial" w:hAnsi="Arial" w:cs="Arial"/>
          <w:sz w:val="22"/>
          <w:szCs w:val="24"/>
          <w:lang w:val="es-BO"/>
        </w:rPr>
        <w:t>es</w:t>
      </w:r>
      <w:r w:rsidR="00B755A0" w:rsidRPr="00010E00">
        <w:rPr>
          <w:rFonts w:ascii="Arial" w:hAnsi="Arial" w:cs="Arial"/>
          <w:sz w:val="22"/>
          <w:szCs w:val="24"/>
          <w:lang w:val="es-BO"/>
        </w:rPr>
        <w:t xml:space="preserve"> </w:t>
      </w:r>
      <w:r w:rsidR="00C313EE">
        <w:rPr>
          <w:rFonts w:ascii="Arial" w:hAnsi="Arial" w:cs="Arial"/>
          <w:sz w:val="22"/>
          <w:szCs w:val="24"/>
          <w:lang w:val="es-BO"/>
        </w:rPr>
        <w:t>4</w:t>
      </w:r>
      <w:r w:rsidR="00B755A0" w:rsidRPr="00010E00">
        <w:rPr>
          <w:rFonts w:ascii="Arial" w:hAnsi="Arial" w:cs="Arial"/>
          <w:sz w:val="22"/>
          <w:szCs w:val="24"/>
          <w:lang w:val="es-BO"/>
        </w:rPr>
        <w:t>°</w:t>
      </w:r>
      <w:r w:rsidR="00703192">
        <w:rPr>
          <w:rFonts w:ascii="Arial" w:hAnsi="Arial" w:cs="Arial"/>
          <w:sz w:val="22"/>
          <w:szCs w:val="24"/>
          <w:lang w:val="es-BO"/>
        </w:rPr>
        <w:t xml:space="preserve"> y 6</w:t>
      </w:r>
      <w:r w:rsidR="00703192" w:rsidRPr="00010E00">
        <w:rPr>
          <w:rFonts w:ascii="Arial" w:hAnsi="Arial" w:cs="Arial"/>
          <w:sz w:val="22"/>
          <w:szCs w:val="24"/>
          <w:lang w:val="es-BO"/>
        </w:rPr>
        <w:t>°</w:t>
      </w:r>
      <w:r w:rsidR="009E29A8" w:rsidRPr="00010E00">
        <w:rPr>
          <w:rFonts w:ascii="Arial" w:hAnsi="Arial" w:cs="Arial"/>
          <w:sz w:val="22"/>
          <w:szCs w:val="24"/>
          <w:lang w:val="es-BO"/>
        </w:rPr>
        <w:t xml:space="preserve"> del artículo 11.2.1.4.2 del Decreto 2555 de 2010, </w:t>
      </w:r>
      <w:r w:rsidR="009E29A8" w:rsidRPr="00010E00">
        <w:rPr>
          <w:rFonts w:ascii="Arial" w:hAnsi="Arial" w:cs="Arial"/>
          <w:sz w:val="22"/>
          <w:szCs w:val="24"/>
        </w:rPr>
        <w:t>imparte las siguientes instrucciones:</w:t>
      </w:r>
    </w:p>
    <w:p w14:paraId="2E76C1E7" w14:textId="77777777" w:rsidR="009E29A8" w:rsidRPr="00010E00" w:rsidRDefault="009E29A8" w:rsidP="009E29A8">
      <w:pPr>
        <w:jc w:val="both"/>
        <w:rPr>
          <w:rFonts w:ascii="Arial" w:hAnsi="Arial" w:cs="Arial"/>
          <w:b/>
          <w:sz w:val="22"/>
          <w:szCs w:val="24"/>
        </w:rPr>
      </w:pPr>
    </w:p>
    <w:p w14:paraId="3AB0337B" w14:textId="14EB9F40" w:rsidR="002E385E" w:rsidRPr="00010E00" w:rsidRDefault="002E385E" w:rsidP="002E385E">
      <w:pPr>
        <w:jc w:val="both"/>
        <w:rPr>
          <w:rFonts w:ascii="Arial" w:hAnsi="Arial" w:cs="Arial"/>
          <w:sz w:val="22"/>
          <w:szCs w:val="24"/>
        </w:rPr>
      </w:pPr>
      <w:r w:rsidRPr="00010E00">
        <w:rPr>
          <w:rFonts w:ascii="Arial" w:hAnsi="Arial" w:cs="Arial"/>
          <w:b/>
          <w:sz w:val="22"/>
          <w:szCs w:val="24"/>
        </w:rPr>
        <w:t xml:space="preserve">PRIMERA. </w:t>
      </w:r>
      <w:r w:rsidRPr="00010E00">
        <w:rPr>
          <w:rFonts w:ascii="Arial" w:hAnsi="Arial" w:cs="Arial"/>
          <w:sz w:val="22"/>
          <w:szCs w:val="24"/>
        </w:rPr>
        <w:t xml:space="preserve">Modificar el subnumeral 6.2.2 del Capítulo I-1 de la Circular Básica Contable y Financiera, respecto de la valoración de títulos participativos inscritos en el </w:t>
      </w:r>
      <w:r w:rsidR="005F0597">
        <w:rPr>
          <w:rFonts w:ascii="Arial" w:hAnsi="Arial" w:cs="Arial"/>
          <w:sz w:val="22"/>
          <w:szCs w:val="24"/>
        </w:rPr>
        <w:t>RNVE.</w:t>
      </w:r>
    </w:p>
    <w:p w14:paraId="45787F15" w14:textId="77777777" w:rsidR="002E385E" w:rsidRDefault="002E385E" w:rsidP="009E29A8">
      <w:pPr>
        <w:jc w:val="both"/>
        <w:rPr>
          <w:rFonts w:ascii="Arial" w:hAnsi="Arial" w:cs="Arial"/>
          <w:b/>
          <w:sz w:val="22"/>
          <w:szCs w:val="24"/>
        </w:rPr>
      </w:pPr>
    </w:p>
    <w:p w14:paraId="1CF978BC" w14:textId="4DBAA6B3" w:rsidR="009E29A8" w:rsidRDefault="002E385E" w:rsidP="009E29A8">
      <w:pPr>
        <w:jc w:val="both"/>
        <w:rPr>
          <w:rFonts w:ascii="Arial" w:hAnsi="Arial" w:cs="Arial"/>
          <w:sz w:val="22"/>
          <w:szCs w:val="24"/>
        </w:rPr>
      </w:pPr>
      <w:r>
        <w:rPr>
          <w:rFonts w:ascii="Arial" w:hAnsi="Arial" w:cs="Arial"/>
          <w:b/>
          <w:sz w:val="22"/>
          <w:szCs w:val="24"/>
        </w:rPr>
        <w:t>SEGUNDA</w:t>
      </w:r>
      <w:r w:rsidR="004D27DA" w:rsidRPr="00010E00">
        <w:rPr>
          <w:rFonts w:ascii="Arial" w:hAnsi="Arial" w:cs="Arial"/>
          <w:b/>
          <w:sz w:val="22"/>
          <w:szCs w:val="24"/>
        </w:rPr>
        <w:t>.</w:t>
      </w:r>
      <w:r w:rsidR="009E29A8" w:rsidRPr="00010E00">
        <w:rPr>
          <w:rFonts w:ascii="Arial" w:hAnsi="Arial" w:cs="Arial"/>
          <w:b/>
          <w:sz w:val="22"/>
          <w:szCs w:val="24"/>
        </w:rPr>
        <w:t xml:space="preserve"> </w:t>
      </w:r>
      <w:r w:rsidR="004D00C0" w:rsidRPr="00010E00">
        <w:rPr>
          <w:rFonts w:ascii="Arial" w:hAnsi="Arial" w:cs="Arial"/>
          <w:sz w:val="22"/>
          <w:szCs w:val="24"/>
        </w:rPr>
        <w:t xml:space="preserve">Modificar el subnumeral 1.1 del Capítulo XI de la Circular Básica Contable y Financiera, respecto de la </w:t>
      </w:r>
      <w:r w:rsidR="004D00C0">
        <w:rPr>
          <w:rFonts w:ascii="Arial" w:hAnsi="Arial" w:cs="Arial"/>
          <w:sz w:val="22"/>
          <w:szCs w:val="24"/>
        </w:rPr>
        <w:t xml:space="preserve">metodología de valoración </w:t>
      </w:r>
      <w:r w:rsidR="005227A2">
        <w:rPr>
          <w:rFonts w:ascii="Arial" w:hAnsi="Arial" w:cs="Arial"/>
          <w:sz w:val="22"/>
          <w:szCs w:val="24"/>
        </w:rPr>
        <w:t xml:space="preserve">para nuevas emisiones de participaciones </w:t>
      </w:r>
      <w:r w:rsidR="004D00C0" w:rsidRPr="004D00C0">
        <w:rPr>
          <w:rFonts w:ascii="Arial" w:hAnsi="Arial" w:cs="Arial"/>
          <w:sz w:val="22"/>
          <w:szCs w:val="24"/>
        </w:rPr>
        <w:t>en los fondos de inversión colectiva cerrados inscritos en el RNVE</w:t>
      </w:r>
      <w:r w:rsidR="00A7718D">
        <w:rPr>
          <w:rFonts w:ascii="Arial" w:hAnsi="Arial" w:cs="Arial"/>
          <w:sz w:val="22"/>
          <w:szCs w:val="24"/>
        </w:rPr>
        <w:t>.</w:t>
      </w:r>
    </w:p>
    <w:p w14:paraId="65ED5D57" w14:textId="77777777" w:rsidR="00964CAB" w:rsidRDefault="00964CAB" w:rsidP="009E29A8">
      <w:pPr>
        <w:widowControl w:val="0"/>
        <w:autoSpaceDE w:val="0"/>
        <w:autoSpaceDN w:val="0"/>
        <w:adjustRightInd w:val="0"/>
        <w:jc w:val="both"/>
        <w:rPr>
          <w:rFonts w:ascii="Arial" w:hAnsi="Arial" w:cs="Arial"/>
          <w:b/>
          <w:sz w:val="22"/>
          <w:szCs w:val="24"/>
        </w:rPr>
      </w:pPr>
    </w:p>
    <w:p w14:paraId="36B8D3E9" w14:textId="157417BA" w:rsidR="003B4777" w:rsidRDefault="00BB7C1A" w:rsidP="009E29A8">
      <w:pPr>
        <w:widowControl w:val="0"/>
        <w:autoSpaceDE w:val="0"/>
        <w:autoSpaceDN w:val="0"/>
        <w:adjustRightInd w:val="0"/>
        <w:jc w:val="both"/>
        <w:rPr>
          <w:rFonts w:ascii="Arial" w:hAnsi="Arial" w:cs="Arial"/>
          <w:bCs/>
          <w:sz w:val="22"/>
          <w:szCs w:val="24"/>
        </w:rPr>
      </w:pPr>
      <w:r>
        <w:rPr>
          <w:rFonts w:ascii="Arial" w:hAnsi="Arial" w:cs="Arial"/>
          <w:b/>
          <w:sz w:val="22"/>
          <w:szCs w:val="24"/>
        </w:rPr>
        <w:t>TERCERA</w:t>
      </w:r>
      <w:r w:rsidR="00AC607B">
        <w:rPr>
          <w:rFonts w:ascii="Arial" w:hAnsi="Arial" w:cs="Arial"/>
          <w:b/>
          <w:sz w:val="22"/>
          <w:szCs w:val="24"/>
        </w:rPr>
        <w:t xml:space="preserve">. </w:t>
      </w:r>
      <w:r w:rsidR="001D4A12" w:rsidRPr="006D1EAA">
        <w:rPr>
          <w:rFonts w:ascii="Arial" w:hAnsi="Arial" w:cs="Arial"/>
          <w:bCs/>
          <w:sz w:val="22"/>
          <w:szCs w:val="24"/>
        </w:rPr>
        <w:t xml:space="preserve">Modificar </w:t>
      </w:r>
      <w:r w:rsidR="00CB1FEE">
        <w:rPr>
          <w:rFonts w:ascii="Arial" w:hAnsi="Arial" w:cs="Arial"/>
          <w:bCs/>
          <w:sz w:val="22"/>
          <w:szCs w:val="24"/>
        </w:rPr>
        <w:t>el subnumeral 3.1</w:t>
      </w:r>
      <w:r w:rsidR="001D4A12" w:rsidRPr="006D1EAA">
        <w:rPr>
          <w:rFonts w:ascii="Arial" w:hAnsi="Arial" w:cs="Arial"/>
          <w:bCs/>
          <w:sz w:val="22"/>
          <w:szCs w:val="24"/>
        </w:rPr>
        <w:t xml:space="preserve"> </w:t>
      </w:r>
      <w:r w:rsidR="006D1EAA">
        <w:rPr>
          <w:rFonts w:ascii="Arial" w:hAnsi="Arial" w:cs="Arial"/>
          <w:sz w:val="22"/>
          <w:szCs w:val="24"/>
        </w:rPr>
        <w:t xml:space="preserve">del Capítulo III del Título VI de la Parte III de </w:t>
      </w:r>
      <w:r w:rsidR="006D1EAA" w:rsidRPr="00010E00">
        <w:rPr>
          <w:rFonts w:ascii="Arial" w:hAnsi="Arial" w:cs="Arial"/>
          <w:sz w:val="22"/>
          <w:szCs w:val="24"/>
        </w:rPr>
        <w:t>la Circular Básica Jurídica</w:t>
      </w:r>
      <w:r w:rsidR="006D1EAA" w:rsidRPr="006D1EAA">
        <w:rPr>
          <w:rFonts w:ascii="Arial" w:hAnsi="Arial" w:cs="Arial"/>
          <w:bCs/>
          <w:sz w:val="22"/>
          <w:szCs w:val="24"/>
        </w:rPr>
        <w:t xml:space="preserve"> </w:t>
      </w:r>
      <w:r w:rsidR="001D4A12" w:rsidRPr="006D1EAA">
        <w:rPr>
          <w:rFonts w:ascii="Arial" w:hAnsi="Arial" w:cs="Arial"/>
          <w:bCs/>
          <w:sz w:val="22"/>
          <w:szCs w:val="24"/>
        </w:rPr>
        <w:t xml:space="preserve">relativo </w:t>
      </w:r>
      <w:r w:rsidR="00FE5603" w:rsidRPr="006D1EAA">
        <w:rPr>
          <w:rFonts w:ascii="Arial" w:hAnsi="Arial" w:cs="Arial"/>
          <w:bCs/>
          <w:sz w:val="22"/>
          <w:szCs w:val="24"/>
        </w:rPr>
        <w:t xml:space="preserve">a la revelación de </w:t>
      </w:r>
      <w:r w:rsidR="00F257B4" w:rsidRPr="006D1EAA">
        <w:rPr>
          <w:rFonts w:ascii="Arial" w:hAnsi="Arial" w:cs="Arial"/>
          <w:bCs/>
          <w:sz w:val="22"/>
          <w:szCs w:val="24"/>
        </w:rPr>
        <w:t>información</w:t>
      </w:r>
      <w:r w:rsidR="00233A20" w:rsidRPr="006D1EAA">
        <w:rPr>
          <w:rFonts w:ascii="Arial" w:hAnsi="Arial" w:cs="Arial"/>
          <w:bCs/>
          <w:sz w:val="22"/>
          <w:szCs w:val="24"/>
        </w:rPr>
        <w:t xml:space="preserve"> en los extractos</w:t>
      </w:r>
      <w:r w:rsidR="00221647">
        <w:rPr>
          <w:rFonts w:ascii="Arial" w:hAnsi="Arial" w:cs="Arial"/>
          <w:bCs/>
          <w:sz w:val="22"/>
          <w:szCs w:val="24"/>
        </w:rPr>
        <w:t xml:space="preserve"> de los inversionistas </w:t>
      </w:r>
      <w:r w:rsidR="00833B74">
        <w:rPr>
          <w:rFonts w:ascii="Arial" w:hAnsi="Arial" w:cs="Arial"/>
          <w:bCs/>
          <w:sz w:val="22"/>
          <w:szCs w:val="24"/>
        </w:rPr>
        <w:t>de fondos de inversión colectiva.</w:t>
      </w:r>
    </w:p>
    <w:p w14:paraId="27EC78B6" w14:textId="77777777" w:rsidR="00221647" w:rsidRDefault="00221647" w:rsidP="005B2019">
      <w:pPr>
        <w:widowControl w:val="0"/>
        <w:autoSpaceDE w:val="0"/>
        <w:autoSpaceDN w:val="0"/>
        <w:adjustRightInd w:val="0"/>
        <w:jc w:val="both"/>
        <w:rPr>
          <w:rFonts w:ascii="Arial" w:hAnsi="Arial" w:cs="Arial"/>
          <w:b/>
          <w:sz w:val="22"/>
          <w:szCs w:val="24"/>
        </w:rPr>
      </w:pPr>
    </w:p>
    <w:p w14:paraId="0A8E5F62" w14:textId="58EA24C3" w:rsidR="005B2019" w:rsidRPr="00010E00" w:rsidRDefault="00AD353A" w:rsidP="005B2019">
      <w:pPr>
        <w:widowControl w:val="0"/>
        <w:autoSpaceDE w:val="0"/>
        <w:autoSpaceDN w:val="0"/>
        <w:adjustRightInd w:val="0"/>
        <w:jc w:val="both"/>
        <w:rPr>
          <w:rFonts w:ascii="Arial" w:hAnsi="Arial" w:cs="Arial"/>
          <w:sz w:val="22"/>
          <w:szCs w:val="24"/>
        </w:rPr>
      </w:pPr>
      <w:r>
        <w:rPr>
          <w:rFonts w:ascii="Arial" w:hAnsi="Arial" w:cs="Arial"/>
          <w:b/>
          <w:bCs/>
          <w:sz w:val="22"/>
          <w:szCs w:val="24"/>
        </w:rPr>
        <w:t>CUARTA</w:t>
      </w:r>
      <w:r w:rsidR="00020169" w:rsidRPr="004B3864">
        <w:rPr>
          <w:rFonts w:ascii="Arial" w:hAnsi="Arial" w:cs="Arial"/>
          <w:b/>
          <w:bCs/>
          <w:sz w:val="22"/>
          <w:szCs w:val="24"/>
        </w:rPr>
        <w:t>.</w:t>
      </w:r>
      <w:r w:rsidR="00020169">
        <w:rPr>
          <w:rFonts w:ascii="Arial" w:hAnsi="Arial" w:cs="Arial"/>
          <w:sz w:val="22"/>
          <w:szCs w:val="24"/>
        </w:rPr>
        <w:t xml:space="preserve"> </w:t>
      </w:r>
      <w:r w:rsidR="005B2019" w:rsidRPr="00010E00">
        <w:rPr>
          <w:rFonts w:ascii="Arial" w:hAnsi="Arial" w:cs="Arial"/>
          <w:sz w:val="22"/>
          <w:szCs w:val="24"/>
        </w:rPr>
        <w:t>La metodología de valoración aplicable a los títulos de los que trata la instrucción primera de la presente Circular</w:t>
      </w:r>
      <w:r w:rsidR="003767CE">
        <w:rPr>
          <w:rFonts w:ascii="Arial" w:hAnsi="Arial" w:cs="Arial"/>
          <w:sz w:val="22"/>
          <w:szCs w:val="24"/>
        </w:rPr>
        <w:t>,</w:t>
      </w:r>
      <w:r w:rsidR="005B2019" w:rsidRPr="00010E00">
        <w:rPr>
          <w:rFonts w:ascii="Arial" w:hAnsi="Arial" w:cs="Arial"/>
          <w:sz w:val="22"/>
          <w:szCs w:val="24"/>
        </w:rPr>
        <w:t xml:space="preserve"> debe</w:t>
      </w:r>
      <w:r w:rsidR="001D4EAC">
        <w:rPr>
          <w:rFonts w:ascii="Arial" w:hAnsi="Arial" w:cs="Arial"/>
          <w:sz w:val="22"/>
          <w:szCs w:val="24"/>
        </w:rPr>
        <w:t>r</w:t>
      </w:r>
      <w:r w:rsidR="000577AA">
        <w:rPr>
          <w:rFonts w:ascii="Arial" w:hAnsi="Arial" w:cs="Arial"/>
          <w:sz w:val="22"/>
          <w:szCs w:val="24"/>
        </w:rPr>
        <w:t>á</w:t>
      </w:r>
      <w:r w:rsidR="005B2019" w:rsidRPr="00010E00">
        <w:rPr>
          <w:rFonts w:ascii="Arial" w:hAnsi="Arial" w:cs="Arial"/>
          <w:sz w:val="22"/>
          <w:szCs w:val="24"/>
        </w:rPr>
        <w:t xml:space="preserve"> estar implementada por los proveedores de precios para valoración a más tardar e</w:t>
      </w:r>
      <w:r w:rsidR="005B2019">
        <w:rPr>
          <w:rFonts w:ascii="Arial" w:hAnsi="Arial" w:cs="Arial"/>
          <w:sz w:val="22"/>
          <w:szCs w:val="24"/>
        </w:rPr>
        <w:t xml:space="preserve">l </w:t>
      </w:r>
      <w:r w:rsidR="0000054F">
        <w:rPr>
          <w:rFonts w:ascii="Arial" w:hAnsi="Arial" w:cs="Arial"/>
          <w:sz w:val="22"/>
          <w:szCs w:val="24"/>
        </w:rPr>
        <w:t xml:space="preserve">31 de mayo del </w:t>
      </w:r>
      <w:r w:rsidR="005B2019">
        <w:rPr>
          <w:rFonts w:ascii="Arial" w:hAnsi="Arial" w:cs="Arial"/>
          <w:sz w:val="22"/>
          <w:szCs w:val="24"/>
        </w:rPr>
        <w:t>presente año.</w:t>
      </w:r>
      <w:r w:rsidR="000577AA">
        <w:rPr>
          <w:rFonts w:ascii="Arial" w:hAnsi="Arial" w:cs="Arial"/>
          <w:sz w:val="22"/>
          <w:szCs w:val="24"/>
        </w:rPr>
        <w:t xml:space="preserve"> </w:t>
      </w:r>
      <w:r w:rsidR="006F49E2">
        <w:rPr>
          <w:rFonts w:ascii="Arial" w:hAnsi="Arial" w:cs="Arial"/>
          <w:sz w:val="22"/>
          <w:szCs w:val="24"/>
        </w:rPr>
        <w:t>Para tal efecto, l</w:t>
      </w:r>
      <w:r w:rsidR="005B2019" w:rsidRPr="00010E00">
        <w:rPr>
          <w:rFonts w:ascii="Arial" w:hAnsi="Arial" w:cs="Arial"/>
          <w:sz w:val="22"/>
          <w:szCs w:val="24"/>
        </w:rPr>
        <w:t xml:space="preserve">os administradores de los fondos de inversión colectiva cerrados, fondos de capital privado, patrimonios autónomos y/o procesos de titularización </w:t>
      </w:r>
      <w:r w:rsidR="003505EB">
        <w:rPr>
          <w:rFonts w:ascii="Arial" w:hAnsi="Arial" w:cs="Arial"/>
          <w:sz w:val="22"/>
          <w:szCs w:val="24"/>
        </w:rPr>
        <w:t>de los que trata la instrucción primera de la presente Circular</w:t>
      </w:r>
      <w:r w:rsidR="005B2019" w:rsidRPr="00010E00">
        <w:rPr>
          <w:rFonts w:ascii="Arial" w:hAnsi="Arial" w:cs="Arial"/>
          <w:sz w:val="22"/>
          <w:szCs w:val="24"/>
        </w:rPr>
        <w:t xml:space="preserve"> deben suministrar la información necesaria</w:t>
      </w:r>
      <w:r w:rsidR="000577AA">
        <w:rPr>
          <w:rFonts w:ascii="Arial" w:hAnsi="Arial" w:cs="Arial"/>
          <w:sz w:val="22"/>
          <w:szCs w:val="24"/>
        </w:rPr>
        <w:t xml:space="preserve">, </w:t>
      </w:r>
      <w:r w:rsidR="005B2019" w:rsidRPr="00010E00">
        <w:rPr>
          <w:rFonts w:ascii="Arial" w:hAnsi="Arial" w:cs="Arial"/>
          <w:sz w:val="22"/>
          <w:szCs w:val="24"/>
        </w:rPr>
        <w:t xml:space="preserve">en los términos y condiciones que se acuerden con </w:t>
      </w:r>
      <w:r w:rsidR="006C3501">
        <w:rPr>
          <w:rFonts w:ascii="Arial" w:hAnsi="Arial" w:cs="Arial"/>
          <w:sz w:val="22"/>
          <w:szCs w:val="24"/>
        </w:rPr>
        <w:t>los mencionados</w:t>
      </w:r>
      <w:r w:rsidR="005B2019" w:rsidRPr="00010E00">
        <w:rPr>
          <w:rFonts w:ascii="Arial" w:hAnsi="Arial" w:cs="Arial"/>
          <w:sz w:val="22"/>
          <w:szCs w:val="24"/>
        </w:rPr>
        <w:t xml:space="preserve"> proveedores.</w:t>
      </w:r>
    </w:p>
    <w:p w14:paraId="2E352B65" w14:textId="12EDF943" w:rsidR="001F69D6" w:rsidRDefault="001F69D6" w:rsidP="009E29A8">
      <w:pPr>
        <w:widowControl w:val="0"/>
        <w:autoSpaceDE w:val="0"/>
        <w:autoSpaceDN w:val="0"/>
        <w:adjustRightInd w:val="0"/>
        <w:jc w:val="both"/>
        <w:rPr>
          <w:rFonts w:ascii="Arial" w:hAnsi="Arial" w:cs="Arial"/>
          <w:b/>
          <w:sz w:val="22"/>
          <w:szCs w:val="24"/>
        </w:rPr>
      </w:pPr>
    </w:p>
    <w:p w14:paraId="373642FB" w14:textId="6299638E" w:rsidR="00FE5603" w:rsidRPr="004B3864" w:rsidRDefault="00AD353A" w:rsidP="009E29A8">
      <w:pPr>
        <w:widowControl w:val="0"/>
        <w:autoSpaceDE w:val="0"/>
        <w:autoSpaceDN w:val="0"/>
        <w:adjustRightInd w:val="0"/>
        <w:jc w:val="both"/>
        <w:rPr>
          <w:rFonts w:ascii="Arial" w:hAnsi="Arial" w:cs="Arial"/>
          <w:bCs/>
          <w:sz w:val="22"/>
          <w:szCs w:val="24"/>
        </w:rPr>
      </w:pPr>
      <w:r>
        <w:rPr>
          <w:rFonts w:ascii="Arial" w:hAnsi="Arial" w:cs="Arial"/>
          <w:b/>
          <w:sz w:val="22"/>
          <w:szCs w:val="24"/>
        </w:rPr>
        <w:t>QUINTA</w:t>
      </w:r>
      <w:r w:rsidR="00D43C03">
        <w:rPr>
          <w:rFonts w:ascii="Arial" w:hAnsi="Arial" w:cs="Arial"/>
          <w:b/>
          <w:sz w:val="22"/>
          <w:szCs w:val="24"/>
        </w:rPr>
        <w:t xml:space="preserve">. </w:t>
      </w:r>
      <w:r w:rsidR="0083378F" w:rsidRPr="00922F6B">
        <w:rPr>
          <w:rFonts w:ascii="Arial" w:hAnsi="Arial" w:cs="Arial"/>
          <w:bCs/>
          <w:sz w:val="22"/>
          <w:szCs w:val="24"/>
        </w:rPr>
        <w:t>L</w:t>
      </w:r>
      <w:r w:rsidR="00D43C03" w:rsidRPr="004B3864">
        <w:rPr>
          <w:rFonts w:ascii="Arial" w:hAnsi="Arial" w:cs="Arial"/>
          <w:bCs/>
          <w:sz w:val="22"/>
          <w:szCs w:val="24"/>
        </w:rPr>
        <w:t>as entidades vigiladas por la SFC deberán</w:t>
      </w:r>
      <w:r w:rsidR="00731943" w:rsidRPr="004B3864">
        <w:rPr>
          <w:rFonts w:ascii="Arial" w:hAnsi="Arial" w:cs="Arial"/>
          <w:bCs/>
          <w:sz w:val="22"/>
          <w:szCs w:val="24"/>
        </w:rPr>
        <w:t xml:space="preserve"> valorar los títulos de los que trata la instrucción primera de la present</w:t>
      </w:r>
      <w:r w:rsidR="0003561A">
        <w:rPr>
          <w:rFonts w:ascii="Arial" w:hAnsi="Arial" w:cs="Arial"/>
          <w:bCs/>
          <w:sz w:val="22"/>
          <w:szCs w:val="24"/>
        </w:rPr>
        <w:t>e</w:t>
      </w:r>
      <w:r w:rsidR="00731943" w:rsidRPr="004B3864">
        <w:rPr>
          <w:rFonts w:ascii="Arial" w:hAnsi="Arial" w:cs="Arial"/>
          <w:bCs/>
          <w:sz w:val="22"/>
          <w:szCs w:val="24"/>
        </w:rPr>
        <w:t xml:space="preserve"> Circular</w:t>
      </w:r>
      <w:r w:rsidR="00CA527D">
        <w:rPr>
          <w:rFonts w:ascii="Arial" w:hAnsi="Arial" w:cs="Arial"/>
          <w:bCs/>
          <w:sz w:val="22"/>
          <w:szCs w:val="24"/>
        </w:rPr>
        <w:t>,</w:t>
      </w:r>
      <w:r w:rsidR="00731943" w:rsidRPr="004B3864">
        <w:rPr>
          <w:rFonts w:ascii="Arial" w:hAnsi="Arial" w:cs="Arial"/>
          <w:bCs/>
          <w:sz w:val="22"/>
          <w:szCs w:val="24"/>
        </w:rPr>
        <w:t xml:space="preserve"> </w:t>
      </w:r>
      <w:r w:rsidR="0003561A" w:rsidRPr="004B3864">
        <w:rPr>
          <w:rFonts w:ascii="Arial" w:hAnsi="Arial" w:cs="Arial"/>
          <w:bCs/>
          <w:sz w:val="22"/>
          <w:szCs w:val="24"/>
        </w:rPr>
        <w:t xml:space="preserve">de acuerdo con el precio </w:t>
      </w:r>
      <w:r w:rsidR="00D84B85" w:rsidRPr="004B3864">
        <w:rPr>
          <w:rFonts w:ascii="Arial" w:hAnsi="Arial" w:cs="Arial"/>
          <w:bCs/>
          <w:sz w:val="22"/>
          <w:szCs w:val="24"/>
        </w:rPr>
        <w:t>informado por los proveedores de precios para valoración</w:t>
      </w:r>
      <w:r w:rsidR="009B2969">
        <w:rPr>
          <w:rFonts w:ascii="Arial" w:hAnsi="Arial" w:cs="Arial"/>
          <w:bCs/>
          <w:sz w:val="22"/>
          <w:szCs w:val="24"/>
        </w:rPr>
        <w:t>,</w:t>
      </w:r>
      <w:r w:rsidR="00D84B85" w:rsidRPr="004B3864">
        <w:rPr>
          <w:rFonts w:ascii="Arial" w:hAnsi="Arial" w:cs="Arial"/>
          <w:bCs/>
          <w:sz w:val="22"/>
          <w:szCs w:val="24"/>
        </w:rPr>
        <w:t xml:space="preserve"> </w:t>
      </w:r>
      <w:r w:rsidR="00D84B85">
        <w:rPr>
          <w:rFonts w:ascii="Arial" w:hAnsi="Arial" w:cs="Arial"/>
          <w:bCs/>
          <w:sz w:val="22"/>
          <w:szCs w:val="24"/>
        </w:rPr>
        <w:t xml:space="preserve">a </w:t>
      </w:r>
      <w:r w:rsidR="00CA527D">
        <w:rPr>
          <w:rFonts w:ascii="Arial" w:hAnsi="Arial" w:cs="Arial"/>
          <w:bCs/>
          <w:sz w:val="22"/>
          <w:szCs w:val="24"/>
        </w:rPr>
        <w:t>partir</w:t>
      </w:r>
      <w:r w:rsidR="00D84B85">
        <w:rPr>
          <w:rFonts w:ascii="Arial" w:hAnsi="Arial" w:cs="Arial"/>
          <w:bCs/>
          <w:sz w:val="22"/>
          <w:szCs w:val="24"/>
        </w:rPr>
        <w:t xml:space="preserve"> </w:t>
      </w:r>
      <w:r w:rsidR="00CA527D">
        <w:rPr>
          <w:rFonts w:ascii="Arial" w:hAnsi="Arial" w:cs="Arial"/>
          <w:bCs/>
          <w:sz w:val="22"/>
          <w:szCs w:val="24"/>
        </w:rPr>
        <w:t>d</w:t>
      </w:r>
      <w:r w:rsidR="00D84B85">
        <w:rPr>
          <w:rFonts w:ascii="Arial" w:hAnsi="Arial" w:cs="Arial"/>
          <w:bCs/>
          <w:sz w:val="22"/>
          <w:szCs w:val="24"/>
        </w:rPr>
        <w:t>el 1</w:t>
      </w:r>
      <w:r w:rsidR="00874184">
        <w:rPr>
          <w:rFonts w:ascii="Arial" w:hAnsi="Arial" w:cs="Arial"/>
          <w:bCs/>
          <w:sz w:val="22"/>
          <w:szCs w:val="24"/>
        </w:rPr>
        <w:t xml:space="preserve"> de ju</w:t>
      </w:r>
      <w:r w:rsidR="0000054F">
        <w:rPr>
          <w:rFonts w:ascii="Arial" w:hAnsi="Arial" w:cs="Arial"/>
          <w:bCs/>
          <w:sz w:val="22"/>
          <w:szCs w:val="24"/>
        </w:rPr>
        <w:t>n</w:t>
      </w:r>
      <w:r w:rsidR="00874184">
        <w:rPr>
          <w:rFonts w:ascii="Arial" w:hAnsi="Arial" w:cs="Arial"/>
          <w:bCs/>
          <w:sz w:val="22"/>
          <w:szCs w:val="24"/>
        </w:rPr>
        <w:t xml:space="preserve">io </w:t>
      </w:r>
      <w:r w:rsidR="00D84B85">
        <w:rPr>
          <w:rFonts w:ascii="Arial" w:hAnsi="Arial" w:cs="Arial"/>
          <w:bCs/>
          <w:sz w:val="22"/>
          <w:szCs w:val="24"/>
        </w:rPr>
        <w:t>del presente año.</w:t>
      </w:r>
    </w:p>
    <w:p w14:paraId="303D86F8" w14:textId="77777777" w:rsidR="002003FF" w:rsidRPr="005D1C57" w:rsidRDefault="002003FF" w:rsidP="009E29A8">
      <w:pPr>
        <w:widowControl w:val="0"/>
        <w:autoSpaceDE w:val="0"/>
        <w:autoSpaceDN w:val="0"/>
        <w:adjustRightInd w:val="0"/>
        <w:jc w:val="both"/>
        <w:rPr>
          <w:rFonts w:ascii="Arial" w:hAnsi="Arial" w:cs="Arial"/>
          <w:bCs/>
          <w:sz w:val="22"/>
          <w:szCs w:val="24"/>
        </w:rPr>
      </w:pPr>
    </w:p>
    <w:p w14:paraId="3E378B1C" w14:textId="480BCAF6" w:rsidR="00BB7C1A" w:rsidRPr="00010E00" w:rsidRDefault="00AD353A" w:rsidP="00BB7C1A">
      <w:pPr>
        <w:widowControl w:val="0"/>
        <w:autoSpaceDE w:val="0"/>
        <w:autoSpaceDN w:val="0"/>
        <w:adjustRightInd w:val="0"/>
        <w:jc w:val="both"/>
        <w:rPr>
          <w:rFonts w:ascii="Arial" w:hAnsi="Arial" w:cs="Arial"/>
          <w:sz w:val="22"/>
          <w:szCs w:val="24"/>
        </w:rPr>
      </w:pPr>
      <w:r>
        <w:rPr>
          <w:rFonts w:ascii="Arial" w:hAnsi="Arial" w:cs="Arial"/>
          <w:b/>
          <w:sz w:val="22"/>
          <w:szCs w:val="24"/>
        </w:rPr>
        <w:t>SEXTA</w:t>
      </w:r>
      <w:r w:rsidR="002003FF">
        <w:rPr>
          <w:rFonts w:ascii="Arial" w:hAnsi="Arial" w:cs="Arial"/>
          <w:b/>
          <w:sz w:val="22"/>
          <w:szCs w:val="24"/>
        </w:rPr>
        <w:t xml:space="preserve">. </w:t>
      </w:r>
      <w:r w:rsidR="00BB7C1A" w:rsidRPr="00010E00">
        <w:rPr>
          <w:rFonts w:ascii="Arial" w:hAnsi="Arial" w:cs="Arial"/>
          <w:b/>
          <w:sz w:val="22"/>
          <w:szCs w:val="24"/>
        </w:rPr>
        <w:t>PERÍODO DE AJUSTE.</w:t>
      </w:r>
      <w:r w:rsidR="00C425C7">
        <w:rPr>
          <w:rFonts w:ascii="Arial" w:hAnsi="Arial" w:cs="Arial"/>
          <w:b/>
          <w:sz w:val="22"/>
          <w:szCs w:val="24"/>
        </w:rPr>
        <w:t xml:space="preserve"> </w:t>
      </w:r>
      <w:r w:rsidR="00BB7C1A" w:rsidRPr="00010E00">
        <w:rPr>
          <w:rFonts w:ascii="Arial" w:hAnsi="Arial" w:cs="Arial"/>
          <w:sz w:val="22"/>
          <w:szCs w:val="24"/>
        </w:rPr>
        <w:t xml:space="preserve">Durante los seis (6) meses siguientes a la fecha </w:t>
      </w:r>
      <w:r>
        <w:rPr>
          <w:rFonts w:ascii="Arial" w:hAnsi="Arial" w:cs="Arial"/>
          <w:sz w:val="22"/>
          <w:szCs w:val="24"/>
        </w:rPr>
        <w:t>prevista en la instrucción quinta de la presente Circular</w:t>
      </w:r>
      <w:r w:rsidR="00BB7C1A" w:rsidRPr="00010E00">
        <w:rPr>
          <w:rFonts w:ascii="Arial" w:hAnsi="Arial" w:cs="Arial"/>
          <w:sz w:val="22"/>
          <w:szCs w:val="24"/>
        </w:rPr>
        <w:t xml:space="preserve">, las entidades vigiladas que cuenten en sus portafolios con inversiones en </w:t>
      </w:r>
      <w:r>
        <w:rPr>
          <w:rFonts w:ascii="Arial" w:hAnsi="Arial" w:cs="Arial"/>
          <w:sz w:val="22"/>
          <w:szCs w:val="24"/>
        </w:rPr>
        <w:t>los</w:t>
      </w:r>
      <w:r w:rsidR="00BB7C1A" w:rsidRPr="00010E00">
        <w:rPr>
          <w:rFonts w:ascii="Arial" w:hAnsi="Arial" w:cs="Arial"/>
          <w:sz w:val="22"/>
          <w:szCs w:val="24"/>
        </w:rPr>
        <w:t xml:space="preserve"> </w:t>
      </w:r>
      <w:r w:rsidR="00064289" w:rsidRPr="00010E00">
        <w:rPr>
          <w:rFonts w:ascii="Arial" w:hAnsi="Arial" w:cs="Arial"/>
          <w:sz w:val="22"/>
          <w:szCs w:val="24"/>
        </w:rPr>
        <w:t>títulos respectivos</w:t>
      </w:r>
      <w:r w:rsidR="00BB7C1A" w:rsidRPr="00010E00">
        <w:rPr>
          <w:rFonts w:ascii="Arial" w:hAnsi="Arial" w:cs="Arial"/>
          <w:sz w:val="22"/>
          <w:szCs w:val="24"/>
        </w:rPr>
        <w:t xml:space="preserve"> podrán aplicar un periodo de ajuste con el objetivo de incorporar gradualmente el cambio de valoración. Para el efecto, las entidades que opten por aplicar el mencionado periodo de ajuste deben calcular un Valor de Transición de sus participaciones con base en un promedio ponderado entre el precio determinado por su proveedor de precios de valoración y el valor de la unidad calculado por la sociedad administradora.</w:t>
      </w:r>
    </w:p>
    <w:p w14:paraId="73E08EC1" w14:textId="77777777" w:rsidR="00BB7C1A" w:rsidRPr="00010E00" w:rsidRDefault="00BB7C1A" w:rsidP="00BB7C1A">
      <w:pPr>
        <w:widowControl w:val="0"/>
        <w:autoSpaceDE w:val="0"/>
        <w:autoSpaceDN w:val="0"/>
        <w:adjustRightInd w:val="0"/>
        <w:jc w:val="both"/>
        <w:rPr>
          <w:rFonts w:ascii="Arial" w:hAnsi="Arial" w:cs="Arial"/>
          <w:sz w:val="22"/>
          <w:szCs w:val="24"/>
        </w:rPr>
      </w:pPr>
    </w:p>
    <w:p w14:paraId="08D17D4D" w14:textId="77777777" w:rsidR="00BB7C1A" w:rsidRPr="00010E00" w:rsidRDefault="00BB7C1A" w:rsidP="00BB7C1A">
      <w:pPr>
        <w:widowControl w:val="0"/>
        <w:autoSpaceDE w:val="0"/>
        <w:autoSpaceDN w:val="0"/>
        <w:adjustRightInd w:val="0"/>
        <w:jc w:val="both"/>
        <w:rPr>
          <w:rFonts w:ascii="Arial" w:hAnsi="Arial" w:cs="Arial"/>
          <w:sz w:val="22"/>
          <w:szCs w:val="24"/>
        </w:rPr>
      </w:pPr>
      <w:r w:rsidRPr="00010E00">
        <w:rPr>
          <w:rFonts w:ascii="Arial" w:hAnsi="Arial" w:cs="Arial"/>
          <w:sz w:val="22"/>
          <w:szCs w:val="24"/>
        </w:rPr>
        <w:t>El promedio ponderado debe iniciar con el reconocimiento del 100% del valor de la unidad y converger de forma diaria y lineal hacia el reconocimiento del 100% del precio determinado por el proveedor de precios al final de los seis (6) meses, de acuerdo a las siguientes ecuaciones:</w:t>
      </w:r>
    </w:p>
    <w:p w14:paraId="67C097C3" w14:textId="77777777" w:rsidR="00BB7C1A" w:rsidRPr="00010E00" w:rsidRDefault="00BB7C1A" w:rsidP="00BB7C1A">
      <w:pPr>
        <w:widowControl w:val="0"/>
        <w:autoSpaceDE w:val="0"/>
        <w:autoSpaceDN w:val="0"/>
        <w:adjustRightInd w:val="0"/>
        <w:jc w:val="both"/>
        <w:rPr>
          <w:rFonts w:ascii="Arial" w:hAnsi="Arial" w:cs="Arial"/>
          <w:sz w:val="22"/>
          <w:szCs w:val="24"/>
        </w:rPr>
      </w:pPr>
    </w:p>
    <w:p w14:paraId="628AF4CC" w14:textId="77777777" w:rsidR="00BB7C1A" w:rsidRPr="00010E00" w:rsidRDefault="00BB7C1A" w:rsidP="00BB7C1A">
      <w:pPr>
        <w:widowControl w:val="0"/>
        <w:numPr>
          <w:ilvl w:val="0"/>
          <w:numId w:val="14"/>
        </w:numPr>
        <w:autoSpaceDE w:val="0"/>
        <w:autoSpaceDN w:val="0"/>
        <w:adjustRightInd w:val="0"/>
        <w:jc w:val="both"/>
        <w:rPr>
          <w:rFonts w:ascii="Arial" w:hAnsi="Arial" w:cs="Arial"/>
          <w:sz w:val="22"/>
          <w:szCs w:val="24"/>
        </w:rPr>
      </w:pPr>
      <w:r w:rsidRPr="00010E00">
        <w:rPr>
          <w:rFonts w:ascii="Arial" w:hAnsi="Arial" w:cs="Arial"/>
          <w:sz w:val="22"/>
          <w:szCs w:val="24"/>
        </w:rPr>
        <w:t xml:space="preserve">Ponderador del precio del proveedor de precios en el día </w:t>
      </w:r>
      <w:r w:rsidRPr="00010E00">
        <w:rPr>
          <w:rFonts w:ascii="Arial" w:hAnsi="Arial" w:cs="Arial"/>
          <w:i/>
          <w:sz w:val="22"/>
          <w:szCs w:val="24"/>
        </w:rPr>
        <w:t xml:space="preserve">t </w:t>
      </w:r>
      <w:r w:rsidRPr="00010E00">
        <w:rPr>
          <w:rFonts w:ascii="Arial" w:hAnsi="Arial" w:cs="Arial"/>
          <w:sz w:val="22"/>
          <w:szCs w:val="24"/>
        </w:rPr>
        <w:t xml:space="preserve">= </w:t>
      </w:r>
      <w:r w:rsidRPr="00010E00">
        <w:rPr>
          <w:rFonts w:ascii="Arial" w:hAnsi="Arial" w:cs="Arial"/>
          <w:i/>
          <w:sz w:val="22"/>
          <w:szCs w:val="24"/>
        </w:rPr>
        <w:t>(t / 180) * 100%</w:t>
      </w:r>
    </w:p>
    <w:p w14:paraId="07DE119A" w14:textId="77777777" w:rsidR="00BB7C1A" w:rsidRPr="00010E00" w:rsidRDefault="00BB7C1A" w:rsidP="00BB7C1A">
      <w:pPr>
        <w:widowControl w:val="0"/>
        <w:numPr>
          <w:ilvl w:val="0"/>
          <w:numId w:val="14"/>
        </w:numPr>
        <w:autoSpaceDE w:val="0"/>
        <w:autoSpaceDN w:val="0"/>
        <w:adjustRightInd w:val="0"/>
        <w:jc w:val="both"/>
        <w:rPr>
          <w:rFonts w:ascii="Arial" w:hAnsi="Arial" w:cs="Arial"/>
          <w:i/>
          <w:sz w:val="22"/>
          <w:szCs w:val="24"/>
        </w:rPr>
      </w:pPr>
      <w:r w:rsidRPr="00010E00">
        <w:rPr>
          <w:rFonts w:ascii="Arial" w:hAnsi="Arial" w:cs="Arial"/>
          <w:sz w:val="22"/>
          <w:szCs w:val="24"/>
        </w:rPr>
        <w:t xml:space="preserve">Ponderador del valor de la unidad en el día </w:t>
      </w:r>
      <w:r w:rsidRPr="00010E00">
        <w:rPr>
          <w:rFonts w:ascii="Arial" w:hAnsi="Arial" w:cs="Arial"/>
          <w:i/>
          <w:sz w:val="22"/>
          <w:szCs w:val="24"/>
        </w:rPr>
        <w:t>t</w:t>
      </w:r>
      <w:r w:rsidRPr="00010E00">
        <w:rPr>
          <w:rFonts w:ascii="Arial" w:hAnsi="Arial" w:cs="Arial"/>
          <w:sz w:val="22"/>
          <w:szCs w:val="24"/>
        </w:rPr>
        <w:t xml:space="preserve"> = </w:t>
      </w:r>
      <w:r w:rsidRPr="00010E00">
        <w:rPr>
          <w:rFonts w:ascii="Arial" w:hAnsi="Arial" w:cs="Arial"/>
          <w:i/>
          <w:sz w:val="22"/>
          <w:szCs w:val="24"/>
        </w:rPr>
        <w:t>[1 - (t / 180)] * 100%</w:t>
      </w:r>
    </w:p>
    <w:p w14:paraId="6D55EC1A" w14:textId="77777777" w:rsidR="00BB7C1A" w:rsidRPr="00010E00" w:rsidRDefault="00BB7C1A" w:rsidP="00BB7C1A">
      <w:pPr>
        <w:widowControl w:val="0"/>
        <w:autoSpaceDE w:val="0"/>
        <w:autoSpaceDN w:val="0"/>
        <w:adjustRightInd w:val="0"/>
        <w:jc w:val="both"/>
        <w:rPr>
          <w:rFonts w:ascii="Arial" w:hAnsi="Arial" w:cs="Arial"/>
          <w:sz w:val="22"/>
          <w:szCs w:val="24"/>
        </w:rPr>
      </w:pPr>
    </w:p>
    <w:p w14:paraId="144F9344" w14:textId="77777777" w:rsidR="00BB7C1A" w:rsidRPr="00010E00" w:rsidRDefault="00BB7C1A" w:rsidP="00BB7C1A">
      <w:pPr>
        <w:widowControl w:val="0"/>
        <w:autoSpaceDE w:val="0"/>
        <w:autoSpaceDN w:val="0"/>
        <w:adjustRightInd w:val="0"/>
        <w:jc w:val="both"/>
        <w:rPr>
          <w:rFonts w:ascii="Arial" w:hAnsi="Arial" w:cs="Arial"/>
          <w:sz w:val="22"/>
          <w:szCs w:val="24"/>
        </w:rPr>
      </w:pPr>
      <w:r w:rsidRPr="00010E00">
        <w:rPr>
          <w:rFonts w:ascii="Arial" w:hAnsi="Arial" w:cs="Arial"/>
          <w:sz w:val="22"/>
          <w:szCs w:val="24"/>
        </w:rPr>
        <w:t>Durante estos seis (6) meses, las entidades vigiladas deben contabilizar diariamente estas inversiones al Valor Razonable con efecto en ORI – Otro Resultado Integral, por el precio determinado por su proveedor de precios. Asimismo, deben reconocer diariamente en el Estado de Resultados las ganancias o pérdidas generadas por los movimientos del Valor de Transición calculado según la metodología descrita en el párrafo anterior. Las ganancias o pérdidas no realizadas, correspondientes a la diferencia entre el precio determinado por su proveedor de precios y el Valor de Transición, se deben reconocer diariamente en el Otro Resultado Integral – ORI, hasta el día en el cual se realice la venta de la correspondiente inversión o finalice este periodo de ajuste.</w:t>
      </w:r>
    </w:p>
    <w:p w14:paraId="4BD147E2" w14:textId="77777777" w:rsidR="00BB7C1A" w:rsidRPr="00010E00" w:rsidRDefault="00BB7C1A" w:rsidP="00BB7C1A">
      <w:pPr>
        <w:widowControl w:val="0"/>
        <w:autoSpaceDE w:val="0"/>
        <w:autoSpaceDN w:val="0"/>
        <w:adjustRightInd w:val="0"/>
        <w:jc w:val="both"/>
        <w:rPr>
          <w:rFonts w:ascii="Arial" w:hAnsi="Arial" w:cs="Arial"/>
          <w:sz w:val="22"/>
          <w:szCs w:val="24"/>
        </w:rPr>
      </w:pPr>
    </w:p>
    <w:p w14:paraId="55EF7222" w14:textId="36BF7B13" w:rsidR="00FE5AA5" w:rsidRDefault="00BB7C1A" w:rsidP="00BB7C1A">
      <w:pPr>
        <w:widowControl w:val="0"/>
        <w:autoSpaceDE w:val="0"/>
        <w:autoSpaceDN w:val="0"/>
        <w:adjustRightInd w:val="0"/>
        <w:jc w:val="both"/>
        <w:rPr>
          <w:rFonts w:ascii="Arial" w:hAnsi="Arial" w:cs="Arial"/>
          <w:b/>
          <w:sz w:val="22"/>
          <w:szCs w:val="24"/>
        </w:rPr>
      </w:pPr>
      <w:r w:rsidRPr="00010E00">
        <w:rPr>
          <w:rFonts w:ascii="Arial" w:hAnsi="Arial" w:cs="Arial"/>
          <w:sz w:val="22"/>
          <w:szCs w:val="24"/>
        </w:rPr>
        <w:t>Al final de estos seis (6) meses el valor reconocido en el ORI será cero (0), y las entidades que opten por aplicar el mencionado periodo de ajuste deben contabilizar estos títulos de acuerdo con las instrucciones generales contenidas en la Circular Básica Contable y Financiera.</w:t>
      </w:r>
    </w:p>
    <w:p w14:paraId="6CEB44B7" w14:textId="07762DBE" w:rsidR="00FE5AA5" w:rsidRDefault="00FE5AA5" w:rsidP="009E29A8">
      <w:pPr>
        <w:widowControl w:val="0"/>
        <w:autoSpaceDE w:val="0"/>
        <w:autoSpaceDN w:val="0"/>
        <w:adjustRightInd w:val="0"/>
        <w:jc w:val="both"/>
        <w:rPr>
          <w:rFonts w:ascii="Arial" w:hAnsi="Arial" w:cs="Arial"/>
          <w:b/>
          <w:sz w:val="22"/>
          <w:szCs w:val="24"/>
        </w:rPr>
      </w:pPr>
    </w:p>
    <w:p w14:paraId="5BC5747D" w14:textId="0F3AB7B7" w:rsidR="00C425C7" w:rsidRDefault="00C425C7" w:rsidP="009E29A8">
      <w:pPr>
        <w:widowControl w:val="0"/>
        <w:autoSpaceDE w:val="0"/>
        <w:autoSpaceDN w:val="0"/>
        <w:adjustRightInd w:val="0"/>
        <w:jc w:val="both"/>
        <w:rPr>
          <w:rFonts w:ascii="Arial" w:hAnsi="Arial" w:cs="Arial"/>
          <w:b/>
          <w:sz w:val="22"/>
          <w:szCs w:val="24"/>
        </w:rPr>
      </w:pPr>
      <w:r>
        <w:rPr>
          <w:rFonts w:ascii="Arial" w:hAnsi="Arial" w:cs="Arial"/>
          <w:b/>
          <w:sz w:val="22"/>
          <w:szCs w:val="24"/>
        </w:rPr>
        <w:t>S</w:t>
      </w:r>
      <w:r w:rsidR="00CC4241">
        <w:rPr>
          <w:rFonts w:ascii="Arial" w:hAnsi="Arial" w:cs="Arial"/>
          <w:b/>
          <w:sz w:val="22"/>
          <w:szCs w:val="24"/>
        </w:rPr>
        <w:t>É</w:t>
      </w:r>
      <w:r>
        <w:rPr>
          <w:rFonts w:ascii="Arial" w:hAnsi="Arial" w:cs="Arial"/>
          <w:b/>
          <w:sz w:val="22"/>
          <w:szCs w:val="24"/>
        </w:rPr>
        <w:t xml:space="preserve">PTIMA. </w:t>
      </w:r>
      <w:r w:rsidR="00CC4241">
        <w:rPr>
          <w:rFonts w:ascii="Arial" w:hAnsi="Arial" w:cs="Arial"/>
          <w:bCs/>
          <w:sz w:val="22"/>
          <w:szCs w:val="24"/>
        </w:rPr>
        <w:t>Derogar</w:t>
      </w:r>
      <w:r w:rsidR="00CC4241" w:rsidRPr="00FA3CB9">
        <w:rPr>
          <w:rFonts w:ascii="Arial" w:hAnsi="Arial" w:cs="Arial"/>
          <w:bCs/>
          <w:sz w:val="22"/>
          <w:szCs w:val="24"/>
        </w:rPr>
        <w:t xml:space="preserve"> la instrucción</w:t>
      </w:r>
      <w:r w:rsidR="00CC4241">
        <w:rPr>
          <w:rFonts w:ascii="Arial" w:hAnsi="Arial" w:cs="Arial"/>
          <w:bCs/>
          <w:sz w:val="22"/>
          <w:szCs w:val="24"/>
        </w:rPr>
        <w:t xml:space="preserve"> OCTAVA</w:t>
      </w:r>
      <w:r w:rsidR="00CC4241" w:rsidRPr="00FA3CB9">
        <w:rPr>
          <w:rFonts w:ascii="Arial" w:hAnsi="Arial" w:cs="Arial"/>
          <w:bCs/>
          <w:sz w:val="22"/>
          <w:szCs w:val="24"/>
        </w:rPr>
        <w:t xml:space="preserve"> de la Circular Externa 0</w:t>
      </w:r>
      <w:r w:rsidR="00CC4241">
        <w:rPr>
          <w:rFonts w:ascii="Arial" w:hAnsi="Arial" w:cs="Arial"/>
          <w:bCs/>
          <w:sz w:val="22"/>
          <w:szCs w:val="24"/>
        </w:rPr>
        <w:t>04</w:t>
      </w:r>
      <w:r w:rsidR="00CC4241" w:rsidRPr="00FA3CB9">
        <w:rPr>
          <w:rFonts w:ascii="Arial" w:hAnsi="Arial" w:cs="Arial"/>
          <w:bCs/>
          <w:sz w:val="22"/>
          <w:szCs w:val="24"/>
        </w:rPr>
        <w:t xml:space="preserve"> de 2020</w:t>
      </w:r>
      <w:r w:rsidR="00CC4241">
        <w:rPr>
          <w:rFonts w:ascii="Arial" w:hAnsi="Arial" w:cs="Arial"/>
          <w:bCs/>
          <w:sz w:val="22"/>
          <w:szCs w:val="24"/>
        </w:rPr>
        <w:t>.</w:t>
      </w:r>
    </w:p>
    <w:p w14:paraId="00303015" w14:textId="77777777" w:rsidR="00874184" w:rsidRDefault="00874184" w:rsidP="009E29A8">
      <w:pPr>
        <w:widowControl w:val="0"/>
        <w:autoSpaceDE w:val="0"/>
        <w:autoSpaceDN w:val="0"/>
        <w:adjustRightInd w:val="0"/>
        <w:jc w:val="both"/>
        <w:rPr>
          <w:rFonts w:ascii="Arial" w:hAnsi="Arial" w:cs="Arial"/>
          <w:b/>
          <w:sz w:val="22"/>
          <w:szCs w:val="24"/>
        </w:rPr>
      </w:pPr>
    </w:p>
    <w:p w14:paraId="17056570" w14:textId="6BA66FE7" w:rsidR="009E29A8" w:rsidRPr="00010E00" w:rsidRDefault="009E29A8" w:rsidP="009E29A8">
      <w:pPr>
        <w:widowControl w:val="0"/>
        <w:autoSpaceDE w:val="0"/>
        <w:autoSpaceDN w:val="0"/>
        <w:adjustRightInd w:val="0"/>
        <w:jc w:val="both"/>
        <w:rPr>
          <w:rFonts w:ascii="Arial" w:hAnsi="Arial" w:cs="Arial"/>
          <w:b/>
          <w:sz w:val="22"/>
          <w:szCs w:val="24"/>
        </w:rPr>
      </w:pPr>
      <w:r w:rsidRPr="00010E00">
        <w:rPr>
          <w:rFonts w:ascii="Arial" w:hAnsi="Arial" w:cs="Arial"/>
          <w:sz w:val="22"/>
          <w:szCs w:val="24"/>
        </w:rPr>
        <w:t xml:space="preserve">La presente circular rige a partir de su </w:t>
      </w:r>
      <w:r w:rsidR="00010E00">
        <w:rPr>
          <w:rFonts w:ascii="Arial" w:hAnsi="Arial" w:cs="Arial"/>
          <w:sz w:val="22"/>
          <w:szCs w:val="24"/>
        </w:rPr>
        <w:t>expedición.</w:t>
      </w:r>
    </w:p>
    <w:p w14:paraId="451147C3" w14:textId="77777777" w:rsidR="009E29A8" w:rsidRPr="00010E00" w:rsidRDefault="009E29A8" w:rsidP="009E29A8">
      <w:pPr>
        <w:jc w:val="both"/>
        <w:rPr>
          <w:rFonts w:ascii="Arial" w:hAnsi="Arial" w:cs="Arial"/>
          <w:sz w:val="22"/>
          <w:szCs w:val="24"/>
        </w:rPr>
      </w:pPr>
    </w:p>
    <w:p w14:paraId="42FAE805" w14:textId="77777777" w:rsidR="009E29A8" w:rsidRPr="00010E00" w:rsidRDefault="009E29A8" w:rsidP="009E29A8">
      <w:pPr>
        <w:jc w:val="both"/>
        <w:rPr>
          <w:rFonts w:ascii="Arial" w:hAnsi="Arial" w:cs="Arial"/>
          <w:sz w:val="22"/>
          <w:szCs w:val="24"/>
        </w:rPr>
      </w:pPr>
      <w:r w:rsidRPr="00010E00">
        <w:rPr>
          <w:rFonts w:ascii="Arial" w:hAnsi="Arial" w:cs="Arial"/>
          <w:sz w:val="22"/>
          <w:szCs w:val="24"/>
        </w:rPr>
        <w:t xml:space="preserve">Se adjuntan las páginas </w:t>
      </w:r>
      <w:r w:rsidR="004D27DA" w:rsidRPr="00010E00">
        <w:rPr>
          <w:rFonts w:ascii="Arial" w:hAnsi="Arial" w:cs="Arial"/>
          <w:sz w:val="22"/>
          <w:szCs w:val="24"/>
        </w:rPr>
        <w:t>objeto de modificación.</w:t>
      </w:r>
    </w:p>
    <w:p w14:paraId="2EA3DC0A" w14:textId="77777777" w:rsidR="009E29A8" w:rsidRPr="00010E00" w:rsidRDefault="009E29A8" w:rsidP="009E29A8">
      <w:pPr>
        <w:jc w:val="both"/>
        <w:rPr>
          <w:rFonts w:ascii="Arial" w:hAnsi="Arial" w:cs="Arial"/>
          <w:sz w:val="22"/>
          <w:szCs w:val="24"/>
        </w:rPr>
      </w:pPr>
    </w:p>
    <w:p w14:paraId="5F3D2567" w14:textId="77777777" w:rsidR="005C0778" w:rsidRPr="00010E00" w:rsidRDefault="005C0778" w:rsidP="009E29A8">
      <w:pPr>
        <w:jc w:val="both"/>
        <w:rPr>
          <w:rFonts w:ascii="Arial" w:hAnsi="Arial" w:cs="Arial"/>
          <w:sz w:val="22"/>
          <w:szCs w:val="24"/>
        </w:rPr>
      </w:pPr>
    </w:p>
    <w:p w14:paraId="47D0BBFB" w14:textId="77777777" w:rsidR="009E29A8" w:rsidRPr="00010E00" w:rsidRDefault="00825C31" w:rsidP="009E29A8">
      <w:pPr>
        <w:jc w:val="both"/>
        <w:rPr>
          <w:rFonts w:ascii="Arial" w:hAnsi="Arial" w:cs="Arial"/>
          <w:sz w:val="22"/>
          <w:szCs w:val="24"/>
        </w:rPr>
      </w:pPr>
      <w:r w:rsidRPr="00010E00">
        <w:rPr>
          <w:rFonts w:ascii="Arial" w:hAnsi="Arial" w:cs="Arial"/>
          <w:sz w:val="22"/>
          <w:szCs w:val="24"/>
        </w:rPr>
        <w:t>Cordialmente</w:t>
      </w:r>
      <w:r w:rsidR="009E29A8" w:rsidRPr="00010E00">
        <w:rPr>
          <w:rFonts w:ascii="Arial" w:hAnsi="Arial" w:cs="Arial"/>
          <w:sz w:val="22"/>
          <w:szCs w:val="24"/>
        </w:rPr>
        <w:t>,</w:t>
      </w:r>
    </w:p>
    <w:p w14:paraId="2DC864AD" w14:textId="77777777" w:rsidR="009E29A8" w:rsidRPr="00010E00" w:rsidRDefault="009E29A8" w:rsidP="009E29A8">
      <w:pPr>
        <w:jc w:val="both"/>
        <w:rPr>
          <w:rFonts w:ascii="Arial" w:hAnsi="Arial" w:cs="Arial"/>
          <w:sz w:val="22"/>
          <w:szCs w:val="24"/>
        </w:rPr>
      </w:pPr>
    </w:p>
    <w:p w14:paraId="7BCB082D" w14:textId="77777777" w:rsidR="00C0437A" w:rsidRDefault="00C0437A" w:rsidP="009E29A8">
      <w:pPr>
        <w:jc w:val="both"/>
        <w:rPr>
          <w:rFonts w:ascii="Arial" w:hAnsi="Arial" w:cs="Arial"/>
          <w:sz w:val="22"/>
          <w:szCs w:val="24"/>
        </w:rPr>
      </w:pPr>
    </w:p>
    <w:p w14:paraId="3705A38E" w14:textId="77777777" w:rsidR="00010E00" w:rsidRPr="00010E00" w:rsidRDefault="00010E00" w:rsidP="009E29A8">
      <w:pPr>
        <w:jc w:val="both"/>
        <w:rPr>
          <w:rFonts w:ascii="Arial" w:hAnsi="Arial" w:cs="Arial"/>
          <w:sz w:val="22"/>
          <w:szCs w:val="24"/>
        </w:rPr>
      </w:pPr>
    </w:p>
    <w:p w14:paraId="6E604624" w14:textId="77777777" w:rsidR="009E29A8" w:rsidRPr="00010E00" w:rsidRDefault="009E29A8" w:rsidP="009E29A8">
      <w:pPr>
        <w:jc w:val="both"/>
        <w:rPr>
          <w:rFonts w:ascii="Arial" w:hAnsi="Arial" w:cs="Arial"/>
          <w:sz w:val="22"/>
          <w:szCs w:val="24"/>
        </w:rPr>
      </w:pPr>
    </w:p>
    <w:p w14:paraId="7E6FBED2" w14:textId="77777777" w:rsidR="009E29A8" w:rsidRPr="00010E00" w:rsidRDefault="009E29A8" w:rsidP="009E29A8">
      <w:pPr>
        <w:widowControl w:val="0"/>
        <w:autoSpaceDE w:val="0"/>
        <w:autoSpaceDN w:val="0"/>
        <w:adjustRightInd w:val="0"/>
        <w:jc w:val="both"/>
        <w:rPr>
          <w:rFonts w:ascii="Arial" w:hAnsi="Arial" w:cs="Arial"/>
          <w:b/>
          <w:bCs/>
          <w:sz w:val="22"/>
          <w:szCs w:val="24"/>
          <w:lang w:val="es-ES"/>
        </w:rPr>
      </w:pPr>
      <w:r w:rsidRPr="00010E00">
        <w:rPr>
          <w:rFonts w:ascii="Arial" w:hAnsi="Arial" w:cs="Arial"/>
          <w:b/>
          <w:bCs/>
          <w:sz w:val="22"/>
          <w:szCs w:val="24"/>
          <w:lang w:val="es-ES"/>
        </w:rPr>
        <w:t>JORGE CASTAÑO GUTIÉRREZ</w:t>
      </w:r>
    </w:p>
    <w:p w14:paraId="1FF88649" w14:textId="77777777" w:rsidR="009E29A8" w:rsidRPr="00010E00" w:rsidRDefault="009E29A8" w:rsidP="009E29A8">
      <w:pPr>
        <w:widowControl w:val="0"/>
        <w:autoSpaceDE w:val="0"/>
        <w:autoSpaceDN w:val="0"/>
        <w:adjustRightInd w:val="0"/>
        <w:jc w:val="both"/>
        <w:rPr>
          <w:rFonts w:ascii="Arial" w:hAnsi="Arial" w:cs="Arial"/>
          <w:bCs/>
          <w:sz w:val="22"/>
          <w:szCs w:val="24"/>
          <w:lang w:val="es-ES"/>
        </w:rPr>
      </w:pPr>
      <w:r w:rsidRPr="00010E00">
        <w:rPr>
          <w:rFonts w:ascii="Arial" w:hAnsi="Arial" w:cs="Arial"/>
          <w:bCs/>
          <w:sz w:val="22"/>
          <w:szCs w:val="24"/>
          <w:lang w:val="es-ES"/>
        </w:rPr>
        <w:t>Superintendente Financiero</w:t>
      </w:r>
    </w:p>
    <w:p w14:paraId="1C446C13" w14:textId="77777777" w:rsidR="009E29A8" w:rsidRPr="00010E00" w:rsidRDefault="009E29A8" w:rsidP="009E29A8">
      <w:pPr>
        <w:widowControl w:val="0"/>
        <w:autoSpaceDE w:val="0"/>
        <w:autoSpaceDN w:val="0"/>
        <w:adjustRightInd w:val="0"/>
        <w:jc w:val="both"/>
        <w:rPr>
          <w:rFonts w:ascii="Arial" w:hAnsi="Arial" w:cs="Arial"/>
          <w:sz w:val="22"/>
          <w:szCs w:val="24"/>
        </w:rPr>
      </w:pPr>
      <w:r w:rsidRPr="00010E00">
        <w:rPr>
          <w:rFonts w:ascii="Arial" w:hAnsi="Arial" w:cs="Arial"/>
          <w:sz w:val="22"/>
          <w:szCs w:val="24"/>
        </w:rPr>
        <w:t>50000</w:t>
      </w:r>
    </w:p>
    <w:sectPr w:rsidR="009E29A8" w:rsidRPr="00010E00" w:rsidSect="00010E00">
      <w:headerReference w:type="even" r:id="rId11"/>
      <w:headerReference w:type="default" r:id="rId12"/>
      <w:footerReference w:type="default" r:id="rId13"/>
      <w:headerReference w:type="first" r:id="rId14"/>
      <w:footerReference w:type="first" r:id="rId15"/>
      <w:pgSz w:w="12242" w:h="18722" w:code="120"/>
      <w:pgMar w:top="2127" w:right="1531" w:bottom="1134" w:left="1531" w:header="709" w:footer="782"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47291" w14:textId="77777777" w:rsidR="00990B54" w:rsidRDefault="00990B54">
      <w:r>
        <w:separator/>
      </w:r>
    </w:p>
  </w:endnote>
  <w:endnote w:type="continuationSeparator" w:id="0">
    <w:p w14:paraId="336190D4" w14:textId="77777777" w:rsidR="00990B54" w:rsidRDefault="0099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E6DA3" w14:textId="77777777" w:rsidR="002B12A7" w:rsidRDefault="002B12A7">
    <w:pPr>
      <w:widowControl w:val="0"/>
      <w:autoSpaceDE w:val="0"/>
      <w:autoSpaceDN w:val="0"/>
      <w:adjustRightInd w:val="0"/>
      <w:jc w:val="both"/>
      <w:rPr>
        <w:rFonts w:ascii="Arial" w:hAnsi="Arial" w:cs="Arial"/>
        <w:sz w:val="22"/>
        <w:szCs w:val="22"/>
      </w:rPr>
    </w:pPr>
  </w:p>
  <w:p w14:paraId="39E0E3F3" w14:textId="77777777" w:rsidR="002B12A7" w:rsidRDefault="002B12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02AB8" w14:textId="77777777" w:rsidR="002B12A7" w:rsidRDefault="002B12A7">
    <w:pPr>
      <w:widowControl w:val="0"/>
      <w:autoSpaceDE w:val="0"/>
      <w:autoSpaceDN w:val="0"/>
      <w:adjustRightInd w:val="0"/>
      <w:jc w:val="both"/>
      <w:rPr>
        <w:rFonts w:ascii="Arial" w:hAnsi="Arial" w:cs="Arial"/>
        <w:sz w:val="22"/>
        <w:szCs w:val="22"/>
      </w:rPr>
    </w:pPr>
  </w:p>
  <w:p w14:paraId="07B3943D" w14:textId="77777777" w:rsidR="002B12A7" w:rsidRDefault="002B12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471BD" w14:textId="77777777" w:rsidR="00990B54" w:rsidRDefault="00990B54">
      <w:r>
        <w:separator/>
      </w:r>
    </w:p>
  </w:footnote>
  <w:footnote w:type="continuationSeparator" w:id="0">
    <w:p w14:paraId="697AE4D1" w14:textId="77777777" w:rsidR="00990B54" w:rsidRDefault="0099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BBA2" w14:textId="77777777" w:rsidR="00501130" w:rsidRDefault="00501130" w:rsidP="00501130">
    <w:pPr>
      <w:pStyle w:val="Encabezado"/>
      <w:jc w:val="center"/>
      <w:rPr>
        <w:rFonts w:ascii="Arial" w:hAnsi="Arial" w:cs="Arial"/>
        <w:b/>
        <w:sz w:val="24"/>
        <w:szCs w:val="24"/>
      </w:rPr>
    </w:pPr>
  </w:p>
  <w:p w14:paraId="10B2F791" w14:textId="77777777" w:rsidR="00501130" w:rsidRDefault="00501130" w:rsidP="00501130">
    <w:pPr>
      <w:pStyle w:val="Encabezado"/>
      <w:jc w:val="center"/>
      <w:rPr>
        <w:rFonts w:ascii="Arial" w:hAnsi="Arial" w:cs="Arial"/>
        <w:b/>
        <w:sz w:val="24"/>
        <w:szCs w:val="24"/>
      </w:rPr>
    </w:pPr>
    <w:r>
      <w:rPr>
        <w:rFonts w:ascii="Arial" w:hAnsi="Arial" w:cs="Arial"/>
        <w:b/>
        <w:sz w:val="24"/>
        <w:szCs w:val="24"/>
      </w:rPr>
      <w:t>SUPERINTENDENCIA FINANCIERA DE COLOMBIA</w:t>
    </w:r>
  </w:p>
  <w:p w14:paraId="3CD0349E" w14:textId="77777777" w:rsidR="00501130" w:rsidRDefault="00501130" w:rsidP="00501130">
    <w:pPr>
      <w:pStyle w:val="Encabezado"/>
      <w:jc w:val="center"/>
      <w:rPr>
        <w:rFonts w:ascii="Arial" w:hAnsi="Arial" w:cs="Arial"/>
        <w:b/>
        <w:bCs/>
        <w:sz w:val="24"/>
        <w:szCs w:val="24"/>
        <w:lang w:val="es-CO"/>
      </w:rPr>
    </w:pPr>
  </w:p>
  <w:p w14:paraId="1A7F5B0E" w14:textId="605673BA" w:rsidR="00501130" w:rsidRDefault="00501130" w:rsidP="00501130">
    <w:pPr>
      <w:pStyle w:val="Encabezado"/>
      <w:tabs>
        <w:tab w:val="center" w:pos="4135"/>
        <w:tab w:val="right" w:pos="8271"/>
      </w:tabs>
      <w:rPr>
        <w:rFonts w:ascii="Arial" w:hAnsi="Arial" w:cs="Arial"/>
        <w:b/>
        <w:sz w:val="24"/>
        <w:szCs w:val="24"/>
      </w:rPr>
    </w:pPr>
    <w:r w:rsidRPr="00F7283F">
      <w:rPr>
        <w:rFonts w:ascii="Arial" w:hAnsi="Arial" w:cs="Arial"/>
        <w:b/>
        <w:sz w:val="24"/>
        <w:szCs w:val="24"/>
      </w:rPr>
      <w:t xml:space="preserve">Circular Externa </w:t>
    </w:r>
    <w:r w:rsidR="00D7754D">
      <w:rPr>
        <w:rFonts w:ascii="Arial" w:hAnsi="Arial" w:cs="Arial"/>
        <w:b/>
        <w:sz w:val="24"/>
        <w:szCs w:val="24"/>
      </w:rPr>
      <w:t>006</w:t>
    </w:r>
    <w:r w:rsidRPr="00F7283F">
      <w:rPr>
        <w:rFonts w:ascii="Arial" w:hAnsi="Arial" w:cs="Arial"/>
        <w:b/>
        <w:sz w:val="24"/>
        <w:szCs w:val="24"/>
      </w:rPr>
      <w:t xml:space="preserve"> de 20</w:t>
    </w:r>
    <w:r>
      <w:rPr>
        <w:rFonts w:ascii="Arial" w:hAnsi="Arial" w:cs="Arial"/>
        <w:b/>
        <w:sz w:val="24"/>
        <w:szCs w:val="24"/>
      </w:rPr>
      <w:t>2</w:t>
    </w:r>
    <w:r w:rsidR="00ED63FE">
      <w:rPr>
        <w:rFonts w:ascii="Arial" w:hAnsi="Arial" w:cs="Arial"/>
        <w:b/>
        <w:sz w:val="24"/>
        <w:szCs w:val="24"/>
      </w:rPr>
      <w:t>1</w:t>
    </w:r>
    <w:r>
      <w:rPr>
        <w:rFonts w:ascii="Arial" w:hAnsi="Arial" w:cs="Arial"/>
        <w:b/>
        <w:sz w:val="24"/>
        <w:szCs w:val="24"/>
      </w:rPr>
      <w:t xml:space="preserve">          </w:t>
    </w:r>
    <w:r w:rsidR="009467F7">
      <w:rPr>
        <w:rFonts w:ascii="Arial" w:hAnsi="Arial" w:cs="Arial"/>
        <w:b/>
        <w:sz w:val="24"/>
        <w:szCs w:val="24"/>
      </w:rPr>
      <w:t xml:space="preserve">     </w:t>
    </w:r>
    <w:r>
      <w:rPr>
        <w:rFonts w:ascii="Arial" w:hAnsi="Arial" w:cs="Arial"/>
        <w:b/>
        <w:sz w:val="24"/>
        <w:szCs w:val="24"/>
      </w:rPr>
      <w:t xml:space="preserve">        </w:t>
    </w:r>
    <w:r w:rsidRPr="00F7283F">
      <w:rPr>
        <w:rFonts w:ascii="Arial" w:hAnsi="Arial" w:cs="Arial"/>
        <w:b/>
        <w:sz w:val="24"/>
        <w:szCs w:val="24"/>
      </w:rPr>
      <w:t xml:space="preserve">                                   </w:t>
    </w:r>
    <w:r>
      <w:rPr>
        <w:rFonts w:ascii="Arial" w:hAnsi="Arial" w:cs="Arial"/>
        <w:b/>
        <w:sz w:val="24"/>
        <w:szCs w:val="24"/>
      </w:rPr>
      <w:t xml:space="preserve">        </w:t>
    </w:r>
    <w:r w:rsidRPr="00F7283F">
      <w:rPr>
        <w:rFonts w:ascii="Arial" w:hAnsi="Arial" w:cs="Arial"/>
        <w:b/>
        <w:sz w:val="24"/>
        <w:szCs w:val="24"/>
      </w:rPr>
      <w:t xml:space="preserve">Página </w:t>
    </w:r>
    <w:r>
      <w:rPr>
        <w:rFonts w:ascii="Arial" w:hAnsi="Arial" w:cs="Arial"/>
        <w:b/>
        <w:sz w:val="24"/>
        <w:szCs w:val="24"/>
      </w:rPr>
      <w:t>2</w:t>
    </w:r>
    <w:r w:rsidRPr="00F7283F">
      <w:rPr>
        <w:rFonts w:ascii="Arial" w:hAnsi="Arial" w:cs="Arial"/>
        <w:b/>
        <w:sz w:val="24"/>
        <w:szCs w:val="24"/>
      </w:rPr>
      <w:t xml:space="preserve"> </w:t>
    </w:r>
  </w:p>
  <w:p w14:paraId="22D4F0C5" w14:textId="77777777" w:rsidR="00510BAE" w:rsidRDefault="00510B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54FFE" w14:textId="77777777" w:rsidR="002B12A7" w:rsidRDefault="002B12A7">
    <w:pPr>
      <w:pStyle w:val="Encabezado"/>
      <w:jc w:val="center"/>
      <w:rPr>
        <w:rFonts w:ascii="Arial" w:hAnsi="Arial" w:cs="Arial"/>
        <w:b/>
        <w:sz w:val="24"/>
        <w:szCs w:val="24"/>
      </w:rPr>
    </w:pPr>
  </w:p>
  <w:p w14:paraId="2CEAAECC" w14:textId="77777777" w:rsidR="002B12A7" w:rsidRDefault="002B12A7">
    <w:pPr>
      <w:pStyle w:val="Encabezado"/>
      <w:jc w:val="center"/>
      <w:rPr>
        <w:rFonts w:ascii="Arial" w:hAnsi="Arial" w:cs="Arial"/>
        <w:b/>
        <w:sz w:val="24"/>
        <w:szCs w:val="24"/>
      </w:rPr>
    </w:pPr>
  </w:p>
  <w:p w14:paraId="424094B0" w14:textId="77777777" w:rsidR="002B12A7" w:rsidRDefault="002B12A7">
    <w:pPr>
      <w:pStyle w:val="Encabezado"/>
      <w:jc w:val="center"/>
      <w:rPr>
        <w:rFonts w:ascii="Arial" w:hAnsi="Arial" w:cs="Arial"/>
        <w:b/>
        <w:sz w:val="24"/>
        <w:szCs w:val="24"/>
      </w:rPr>
    </w:pPr>
    <w:r>
      <w:rPr>
        <w:rFonts w:ascii="Arial" w:hAnsi="Arial" w:cs="Arial"/>
        <w:b/>
        <w:sz w:val="24"/>
        <w:szCs w:val="24"/>
      </w:rPr>
      <w:t>SUPERINTENDENCIA FINANCIERA DE COLOMBIA</w:t>
    </w:r>
  </w:p>
  <w:p w14:paraId="4294EFD7" w14:textId="77777777" w:rsidR="002B12A7" w:rsidRDefault="002B12A7">
    <w:pPr>
      <w:pStyle w:val="Encabezado"/>
      <w:jc w:val="center"/>
      <w:rPr>
        <w:rFonts w:ascii="Arial" w:hAnsi="Arial" w:cs="Arial"/>
        <w:b/>
        <w:bCs/>
        <w:sz w:val="24"/>
        <w:szCs w:val="24"/>
        <w:lang w:val="es-CO"/>
      </w:rPr>
    </w:pPr>
  </w:p>
  <w:p w14:paraId="66C1E504" w14:textId="77777777" w:rsidR="002B12A7" w:rsidRDefault="002B12A7" w:rsidP="00F7283F">
    <w:pPr>
      <w:pStyle w:val="Encabezado"/>
      <w:tabs>
        <w:tab w:val="center" w:pos="4135"/>
        <w:tab w:val="right" w:pos="8271"/>
      </w:tabs>
      <w:rPr>
        <w:rFonts w:ascii="Arial" w:hAnsi="Arial" w:cs="Arial"/>
        <w:b/>
        <w:sz w:val="24"/>
        <w:szCs w:val="24"/>
      </w:rPr>
    </w:pPr>
    <w:r w:rsidRPr="00F7283F">
      <w:rPr>
        <w:rFonts w:ascii="Arial" w:hAnsi="Arial" w:cs="Arial"/>
        <w:b/>
        <w:sz w:val="24"/>
        <w:szCs w:val="24"/>
      </w:rPr>
      <w:t xml:space="preserve">Circular Externa   </w:t>
    </w:r>
    <w:r>
      <w:rPr>
        <w:rFonts w:ascii="Arial" w:hAnsi="Arial" w:cs="Arial"/>
        <w:b/>
        <w:sz w:val="24"/>
        <w:szCs w:val="24"/>
      </w:rPr>
      <w:t xml:space="preserve">          </w:t>
    </w:r>
    <w:r w:rsidRPr="00F7283F">
      <w:rPr>
        <w:rFonts w:ascii="Arial" w:hAnsi="Arial" w:cs="Arial"/>
        <w:b/>
        <w:sz w:val="24"/>
        <w:szCs w:val="24"/>
      </w:rPr>
      <w:t xml:space="preserve">  de 20</w:t>
    </w:r>
    <w:r w:rsidR="00501130">
      <w:rPr>
        <w:rFonts w:ascii="Arial" w:hAnsi="Arial" w:cs="Arial"/>
        <w:b/>
        <w:sz w:val="24"/>
        <w:szCs w:val="24"/>
      </w:rPr>
      <w:t>20</w:t>
    </w:r>
    <w:r>
      <w:rPr>
        <w:rFonts w:ascii="Arial" w:hAnsi="Arial" w:cs="Arial"/>
        <w:b/>
        <w:sz w:val="24"/>
        <w:szCs w:val="24"/>
      </w:rPr>
      <w:t xml:space="preserve">                  </w:t>
    </w:r>
    <w:r w:rsidRPr="00F7283F">
      <w:rPr>
        <w:rFonts w:ascii="Arial" w:hAnsi="Arial" w:cs="Arial"/>
        <w:b/>
        <w:sz w:val="24"/>
        <w:szCs w:val="24"/>
      </w:rPr>
      <w:t xml:space="preserve">                                   </w:t>
    </w:r>
    <w:r>
      <w:rPr>
        <w:rFonts w:ascii="Arial" w:hAnsi="Arial" w:cs="Arial"/>
        <w:b/>
        <w:sz w:val="24"/>
        <w:szCs w:val="24"/>
      </w:rPr>
      <w:t xml:space="preserve">        </w:t>
    </w:r>
    <w:r w:rsidRPr="00F7283F">
      <w:rPr>
        <w:rFonts w:ascii="Arial" w:hAnsi="Arial" w:cs="Arial"/>
        <w:b/>
        <w:sz w:val="24"/>
        <w:szCs w:val="24"/>
      </w:rPr>
      <w:t xml:space="preserve">Página </w:t>
    </w:r>
    <w:r w:rsidR="00501130">
      <w:rPr>
        <w:rFonts w:ascii="Arial" w:hAnsi="Arial" w:cs="Arial"/>
        <w:b/>
        <w:sz w:val="24"/>
        <w:szCs w:val="24"/>
      </w:rPr>
      <w:t>3</w:t>
    </w:r>
    <w:r w:rsidRPr="00F7283F">
      <w:rPr>
        <w:rFonts w:ascii="Arial" w:hAnsi="Arial" w:cs="Arial"/>
        <w:b/>
        <w:sz w:val="24"/>
        <w:szCs w:val="24"/>
      </w:rPr>
      <w:t xml:space="preserve"> </w:t>
    </w:r>
  </w:p>
  <w:p w14:paraId="377BC975" w14:textId="77777777" w:rsidR="002B12A7" w:rsidRDefault="002B12A7" w:rsidP="00F7283F">
    <w:pPr>
      <w:pStyle w:val="Encabezado"/>
      <w:tabs>
        <w:tab w:val="center" w:pos="4135"/>
        <w:tab w:val="right" w:pos="8271"/>
      </w:tabs>
      <w:rPr>
        <w:rFonts w:ascii="Arial" w:hAnsi="Arial" w:cs="Arial"/>
        <w:b/>
        <w:sz w:val="24"/>
        <w:szCs w:val="24"/>
      </w:rPr>
    </w:pPr>
  </w:p>
  <w:p w14:paraId="22EC62C6" w14:textId="77777777" w:rsidR="00510BAE" w:rsidRPr="00F7283F" w:rsidRDefault="00510BAE" w:rsidP="00F7283F">
    <w:pPr>
      <w:pStyle w:val="Encabezado"/>
      <w:tabs>
        <w:tab w:val="center" w:pos="4135"/>
        <w:tab w:val="right" w:pos="8271"/>
      </w:tabs>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502F" w14:textId="77777777" w:rsidR="002B12A7" w:rsidRPr="00497C4B" w:rsidRDefault="002B12A7" w:rsidP="00044FC6">
    <w:pPr>
      <w:pStyle w:val="Encabezado"/>
      <w:jc w:val="center"/>
      <w:rPr>
        <w:rFonts w:ascii="Arial" w:hAnsi="Arial" w:cs="Arial"/>
        <w:b/>
        <w:szCs w:val="24"/>
      </w:rPr>
    </w:pPr>
  </w:p>
  <w:p w14:paraId="25A6D66B" w14:textId="77777777" w:rsidR="002B12A7" w:rsidRPr="00497C4B" w:rsidRDefault="002B12A7" w:rsidP="00044FC6">
    <w:pPr>
      <w:pStyle w:val="Encabezado"/>
      <w:jc w:val="center"/>
      <w:rPr>
        <w:rFonts w:ascii="Arial" w:hAnsi="Arial" w:cs="Arial"/>
        <w:b/>
        <w:szCs w:val="24"/>
      </w:rPr>
    </w:pPr>
  </w:p>
  <w:p w14:paraId="0C7C9B52" w14:textId="77777777" w:rsidR="002B12A7" w:rsidRDefault="002B12A7" w:rsidP="00044FC6">
    <w:pPr>
      <w:pStyle w:val="Encabezado"/>
      <w:jc w:val="center"/>
      <w:rPr>
        <w:rFonts w:ascii="Arial" w:hAnsi="Arial" w:cs="Arial"/>
        <w:b/>
        <w:sz w:val="24"/>
        <w:szCs w:val="24"/>
      </w:rPr>
    </w:pPr>
    <w:r>
      <w:rPr>
        <w:rFonts w:ascii="Arial" w:hAnsi="Arial" w:cs="Arial"/>
        <w:b/>
        <w:sz w:val="24"/>
        <w:szCs w:val="24"/>
      </w:rPr>
      <w:t>SUPERINTENDENCIA FINANCIERA DE COLOMBIA</w:t>
    </w:r>
  </w:p>
  <w:p w14:paraId="235F411A" w14:textId="77777777" w:rsidR="00501130" w:rsidRDefault="00501130" w:rsidP="00044FC6">
    <w:pPr>
      <w:pStyle w:val="Encabezado"/>
      <w:jc w:val="center"/>
      <w:rPr>
        <w:rFonts w:ascii="Arial" w:hAnsi="Arial" w:cs="Arial"/>
        <w:b/>
        <w:sz w:val="24"/>
        <w:szCs w:val="24"/>
      </w:rPr>
    </w:pPr>
  </w:p>
  <w:p w14:paraId="185151A6" w14:textId="77777777" w:rsidR="002B12A7" w:rsidRDefault="002B1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1A915E0B"/>
    <w:multiLevelType w:val="multilevel"/>
    <w:tmpl w:val="2DE8A7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B157A3"/>
    <w:multiLevelType w:val="hybridMultilevel"/>
    <w:tmpl w:val="7EDE9914"/>
    <w:lvl w:ilvl="0" w:tplc="055CF47E">
      <w:start w:val="1"/>
      <w:numFmt w:val="decimal"/>
      <w:lvlText w:val="%1."/>
      <w:lvlJc w:val="left"/>
      <w:pPr>
        <w:ind w:left="1065" w:hanging="70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91321E"/>
    <w:multiLevelType w:val="hybridMultilevel"/>
    <w:tmpl w:val="B6C2E0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8C6770"/>
    <w:multiLevelType w:val="hybridMultilevel"/>
    <w:tmpl w:val="10F28874"/>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8" w15:restartNumberingAfterBreak="0">
    <w:nsid w:val="3D8F5F23"/>
    <w:multiLevelType w:val="hybridMultilevel"/>
    <w:tmpl w:val="A306AAC8"/>
    <w:lvl w:ilvl="0" w:tplc="7E109550">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7C50C9E"/>
    <w:multiLevelType w:val="singleLevel"/>
    <w:tmpl w:val="265E2D90"/>
    <w:lvl w:ilvl="0">
      <w:start w:val="1"/>
      <w:numFmt w:val="lowerLetter"/>
      <w:lvlText w:val="%1."/>
      <w:lvlJc w:val="left"/>
      <w:pPr>
        <w:tabs>
          <w:tab w:val="num" w:pos="360"/>
        </w:tabs>
        <w:ind w:left="360" w:hanging="360"/>
      </w:pPr>
      <w:rPr>
        <w:rFonts w:hint="default"/>
        <w:b/>
        <w:i w:val="0"/>
        <w:sz w:val="18"/>
        <w:szCs w:val="18"/>
      </w:rPr>
    </w:lvl>
  </w:abstractNum>
  <w:abstractNum w:abstractNumId="10" w15:restartNumberingAfterBreak="0">
    <w:nsid w:val="4A6A04AB"/>
    <w:multiLevelType w:val="singleLevel"/>
    <w:tmpl w:val="E4AAFFF4"/>
    <w:lvl w:ilvl="0">
      <w:start w:val="1"/>
      <w:numFmt w:val="lowerLetter"/>
      <w:lvlText w:val="%1."/>
      <w:lvlJc w:val="left"/>
      <w:pPr>
        <w:tabs>
          <w:tab w:val="num" w:pos="360"/>
        </w:tabs>
        <w:ind w:left="360" w:hanging="360"/>
      </w:pPr>
      <w:rPr>
        <w:rFonts w:hint="default"/>
        <w:b/>
        <w:i w:val="0"/>
      </w:rPr>
    </w:lvl>
  </w:abstractNum>
  <w:abstractNum w:abstractNumId="11" w15:restartNumberingAfterBreak="0">
    <w:nsid w:val="59C94E71"/>
    <w:multiLevelType w:val="hybridMultilevel"/>
    <w:tmpl w:val="FB9E8BA6"/>
    <w:lvl w:ilvl="0" w:tplc="880A7F78">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C9102F"/>
    <w:multiLevelType w:val="singleLevel"/>
    <w:tmpl w:val="A72498CA"/>
    <w:lvl w:ilvl="0">
      <w:start w:val="1"/>
      <w:numFmt w:val="lowerLetter"/>
      <w:lvlText w:val="%1."/>
      <w:lvlJc w:val="left"/>
      <w:pPr>
        <w:tabs>
          <w:tab w:val="num" w:pos="360"/>
        </w:tabs>
        <w:ind w:left="360" w:hanging="360"/>
      </w:pPr>
      <w:rPr>
        <w:rFonts w:hint="default"/>
        <w:b/>
        <w:i w:val="0"/>
      </w:rPr>
    </w:lvl>
  </w:abstractNum>
  <w:abstractNum w:abstractNumId="13" w15:restartNumberingAfterBreak="0">
    <w:nsid w:val="770B28CC"/>
    <w:multiLevelType w:val="hybridMultilevel"/>
    <w:tmpl w:val="87F06D90"/>
    <w:lvl w:ilvl="0" w:tplc="0C0A0019">
      <w:start w:val="1"/>
      <w:numFmt w:val="lowerLetter"/>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9"/>
  </w:num>
  <w:num w:numId="6">
    <w:abstractNumId w:val="10"/>
  </w:num>
  <w:num w:numId="7">
    <w:abstractNumId w:val="12"/>
  </w:num>
  <w:num w:numId="8">
    <w:abstractNumId w:val="11"/>
  </w:num>
  <w:num w:numId="9">
    <w:abstractNumId w:val="5"/>
  </w:num>
  <w:num w:numId="10">
    <w:abstractNumId w:val="4"/>
  </w:num>
  <w:num w:numId="11">
    <w:abstractNumId w:val="8"/>
  </w:num>
  <w:num w:numId="12">
    <w:abstractNumId w:val="13"/>
  </w:num>
  <w:num w:numId="13">
    <w:abstractNumId w:val="7"/>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0054F"/>
    <w:rsid w:val="0000165A"/>
    <w:rsid w:val="00007A12"/>
    <w:rsid w:val="0001002C"/>
    <w:rsid w:val="0001068B"/>
    <w:rsid w:val="00010E00"/>
    <w:rsid w:val="00012BBF"/>
    <w:rsid w:val="000170CA"/>
    <w:rsid w:val="00020169"/>
    <w:rsid w:val="000201CA"/>
    <w:rsid w:val="000231AD"/>
    <w:rsid w:val="00024F37"/>
    <w:rsid w:val="0003561A"/>
    <w:rsid w:val="00041C3A"/>
    <w:rsid w:val="000430B1"/>
    <w:rsid w:val="00044FC6"/>
    <w:rsid w:val="0005505A"/>
    <w:rsid w:val="000577AA"/>
    <w:rsid w:val="000605CF"/>
    <w:rsid w:val="000609DD"/>
    <w:rsid w:val="00064289"/>
    <w:rsid w:val="000675C4"/>
    <w:rsid w:val="00067933"/>
    <w:rsid w:val="00074683"/>
    <w:rsid w:val="000802C2"/>
    <w:rsid w:val="0008045A"/>
    <w:rsid w:val="0008468B"/>
    <w:rsid w:val="00084E32"/>
    <w:rsid w:val="00090BDA"/>
    <w:rsid w:val="000916EB"/>
    <w:rsid w:val="0009624E"/>
    <w:rsid w:val="00097E98"/>
    <w:rsid w:val="000A05D9"/>
    <w:rsid w:val="000A6A0E"/>
    <w:rsid w:val="000B0FDE"/>
    <w:rsid w:val="000B1FA0"/>
    <w:rsid w:val="000B7645"/>
    <w:rsid w:val="000C4DA8"/>
    <w:rsid w:val="000D147B"/>
    <w:rsid w:val="000D216D"/>
    <w:rsid w:val="000E0A2F"/>
    <w:rsid w:val="000E2445"/>
    <w:rsid w:val="000F17F5"/>
    <w:rsid w:val="000F463A"/>
    <w:rsid w:val="000F6CB5"/>
    <w:rsid w:val="00110B8D"/>
    <w:rsid w:val="001117DD"/>
    <w:rsid w:val="0011591F"/>
    <w:rsid w:val="00120DA4"/>
    <w:rsid w:val="00130BE4"/>
    <w:rsid w:val="00137AD7"/>
    <w:rsid w:val="0014242D"/>
    <w:rsid w:val="00144AF7"/>
    <w:rsid w:val="00150451"/>
    <w:rsid w:val="001543F0"/>
    <w:rsid w:val="001573E1"/>
    <w:rsid w:val="001659EB"/>
    <w:rsid w:val="00171D95"/>
    <w:rsid w:val="001834DA"/>
    <w:rsid w:val="001844D1"/>
    <w:rsid w:val="00186AB8"/>
    <w:rsid w:val="00190EE7"/>
    <w:rsid w:val="0019538A"/>
    <w:rsid w:val="001970DB"/>
    <w:rsid w:val="001A15E8"/>
    <w:rsid w:val="001A4225"/>
    <w:rsid w:val="001A6EC7"/>
    <w:rsid w:val="001B005C"/>
    <w:rsid w:val="001C384A"/>
    <w:rsid w:val="001C4CC5"/>
    <w:rsid w:val="001D4A12"/>
    <w:rsid w:val="001D4EAC"/>
    <w:rsid w:val="001D5113"/>
    <w:rsid w:val="001D761A"/>
    <w:rsid w:val="001E1349"/>
    <w:rsid w:val="001E50C5"/>
    <w:rsid w:val="001E55C7"/>
    <w:rsid w:val="001E5E6A"/>
    <w:rsid w:val="001E7735"/>
    <w:rsid w:val="001F69D6"/>
    <w:rsid w:val="002003FF"/>
    <w:rsid w:val="00201D93"/>
    <w:rsid w:val="00201DE4"/>
    <w:rsid w:val="00205D96"/>
    <w:rsid w:val="002076C2"/>
    <w:rsid w:val="002100B0"/>
    <w:rsid w:val="00210497"/>
    <w:rsid w:val="00217EDE"/>
    <w:rsid w:val="00221365"/>
    <w:rsid w:val="00221647"/>
    <w:rsid w:val="00223FBB"/>
    <w:rsid w:val="00226260"/>
    <w:rsid w:val="00227766"/>
    <w:rsid w:val="00231C48"/>
    <w:rsid w:val="00232476"/>
    <w:rsid w:val="00233A20"/>
    <w:rsid w:val="00234D93"/>
    <w:rsid w:val="00235967"/>
    <w:rsid w:val="00241CE9"/>
    <w:rsid w:val="00243599"/>
    <w:rsid w:val="00245521"/>
    <w:rsid w:val="002500B3"/>
    <w:rsid w:val="00266E73"/>
    <w:rsid w:val="0027075C"/>
    <w:rsid w:val="00270D59"/>
    <w:rsid w:val="002836A4"/>
    <w:rsid w:val="0028477B"/>
    <w:rsid w:val="002874DF"/>
    <w:rsid w:val="002913C5"/>
    <w:rsid w:val="002A2E26"/>
    <w:rsid w:val="002A42EA"/>
    <w:rsid w:val="002A5C9A"/>
    <w:rsid w:val="002B12A7"/>
    <w:rsid w:val="002B7215"/>
    <w:rsid w:val="002C1925"/>
    <w:rsid w:val="002C3D55"/>
    <w:rsid w:val="002C7052"/>
    <w:rsid w:val="002D041E"/>
    <w:rsid w:val="002D280B"/>
    <w:rsid w:val="002D5DA7"/>
    <w:rsid w:val="002D64CD"/>
    <w:rsid w:val="002E1858"/>
    <w:rsid w:val="002E2960"/>
    <w:rsid w:val="002E30B5"/>
    <w:rsid w:val="002E385E"/>
    <w:rsid w:val="002E425D"/>
    <w:rsid w:val="002E57D9"/>
    <w:rsid w:val="002E6DCD"/>
    <w:rsid w:val="002F1613"/>
    <w:rsid w:val="002F295F"/>
    <w:rsid w:val="003003D0"/>
    <w:rsid w:val="00300666"/>
    <w:rsid w:val="003023E4"/>
    <w:rsid w:val="003137AC"/>
    <w:rsid w:val="00323466"/>
    <w:rsid w:val="00323A65"/>
    <w:rsid w:val="00325634"/>
    <w:rsid w:val="003303A6"/>
    <w:rsid w:val="00330FA0"/>
    <w:rsid w:val="00331F4C"/>
    <w:rsid w:val="003323C9"/>
    <w:rsid w:val="003337BF"/>
    <w:rsid w:val="00342E0F"/>
    <w:rsid w:val="00343E7C"/>
    <w:rsid w:val="0034401D"/>
    <w:rsid w:val="003455E0"/>
    <w:rsid w:val="003505EB"/>
    <w:rsid w:val="003536EA"/>
    <w:rsid w:val="0035406F"/>
    <w:rsid w:val="003611A5"/>
    <w:rsid w:val="003650A0"/>
    <w:rsid w:val="00373021"/>
    <w:rsid w:val="0037411F"/>
    <w:rsid w:val="00374F5A"/>
    <w:rsid w:val="0037518E"/>
    <w:rsid w:val="003760B7"/>
    <w:rsid w:val="003767CE"/>
    <w:rsid w:val="00381861"/>
    <w:rsid w:val="00383CBB"/>
    <w:rsid w:val="00384CC8"/>
    <w:rsid w:val="00387DFD"/>
    <w:rsid w:val="00390606"/>
    <w:rsid w:val="003918C3"/>
    <w:rsid w:val="00397FEF"/>
    <w:rsid w:val="003B4777"/>
    <w:rsid w:val="003B47C5"/>
    <w:rsid w:val="003B4EE1"/>
    <w:rsid w:val="003B5BF7"/>
    <w:rsid w:val="003C0541"/>
    <w:rsid w:val="003C1BED"/>
    <w:rsid w:val="003C7854"/>
    <w:rsid w:val="003D00EE"/>
    <w:rsid w:val="003D10FE"/>
    <w:rsid w:val="003E1A13"/>
    <w:rsid w:val="003E2F5A"/>
    <w:rsid w:val="003E441F"/>
    <w:rsid w:val="003E481F"/>
    <w:rsid w:val="003E73E7"/>
    <w:rsid w:val="003E752A"/>
    <w:rsid w:val="003F422A"/>
    <w:rsid w:val="00404235"/>
    <w:rsid w:val="004043B0"/>
    <w:rsid w:val="0040539A"/>
    <w:rsid w:val="0040661C"/>
    <w:rsid w:val="00406D5E"/>
    <w:rsid w:val="00407B3C"/>
    <w:rsid w:val="00410CAB"/>
    <w:rsid w:val="00436793"/>
    <w:rsid w:val="004467B1"/>
    <w:rsid w:val="00446FDE"/>
    <w:rsid w:val="00450CC0"/>
    <w:rsid w:val="00455E81"/>
    <w:rsid w:val="00464B06"/>
    <w:rsid w:val="00465E88"/>
    <w:rsid w:val="00470982"/>
    <w:rsid w:val="00471C4C"/>
    <w:rsid w:val="004725DF"/>
    <w:rsid w:val="00472C62"/>
    <w:rsid w:val="004739FC"/>
    <w:rsid w:val="00475530"/>
    <w:rsid w:val="004805BF"/>
    <w:rsid w:val="00481832"/>
    <w:rsid w:val="004830A0"/>
    <w:rsid w:val="00484D61"/>
    <w:rsid w:val="00485015"/>
    <w:rsid w:val="00497C4B"/>
    <w:rsid w:val="004A6632"/>
    <w:rsid w:val="004B05D0"/>
    <w:rsid w:val="004B0A42"/>
    <w:rsid w:val="004B3864"/>
    <w:rsid w:val="004C0F4E"/>
    <w:rsid w:val="004C1538"/>
    <w:rsid w:val="004D00C0"/>
    <w:rsid w:val="004D27DA"/>
    <w:rsid w:val="004D3A50"/>
    <w:rsid w:val="004D44F7"/>
    <w:rsid w:val="004D5BBF"/>
    <w:rsid w:val="004E0E32"/>
    <w:rsid w:val="004E0E78"/>
    <w:rsid w:val="004E1DCE"/>
    <w:rsid w:val="004E7488"/>
    <w:rsid w:val="004F262F"/>
    <w:rsid w:val="004F66C4"/>
    <w:rsid w:val="00500BBC"/>
    <w:rsid w:val="00501130"/>
    <w:rsid w:val="00502310"/>
    <w:rsid w:val="0050493F"/>
    <w:rsid w:val="00510BAE"/>
    <w:rsid w:val="00512B84"/>
    <w:rsid w:val="00513233"/>
    <w:rsid w:val="005139A3"/>
    <w:rsid w:val="00522626"/>
    <w:rsid w:val="005227A2"/>
    <w:rsid w:val="00523B59"/>
    <w:rsid w:val="0052628A"/>
    <w:rsid w:val="0053137C"/>
    <w:rsid w:val="00532D2E"/>
    <w:rsid w:val="0053494B"/>
    <w:rsid w:val="00535A8C"/>
    <w:rsid w:val="00551235"/>
    <w:rsid w:val="0055745E"/>
    <w:rsid w:val="00562408"/>
    <w:rsid w:val="005631E0"/>
    <w:rsid w:val="00564638"/>
    <w:rsid w:val="00564B20"/>
    <w:rsid w:val="00566CFE"/>
    <w:rsid w:val="00567FA0"/>
    <w:rsid w:val="0057522D"/>
    <w:rsid w:val="005870AE"/>
    <w:rsid w:val="00587365"/>
    <w:rsid w:val="00594102"/>
    <w:rsid w:val="005A1D6C"/>
    <w:rsid w:val="005A7AAB"/>
    <w:rsid w:val="005B2019"/>
    <w:rsid w:val="005B4402"/>
    <w:rsid w:val="005B4581"/>
    <w:rsid w:val="005C0778"/>
    <w:rsid w:val="005C3B42"/>
    <w:rsid w:val="005D1C57"/>
    <w:rsid w:val="005D51F0"/>
    <w:rsid w:val="005D5D8F"/>
    <w:rsid w:val="005E4249"/>
    <w:rsid w:val="005E42B5"/>
    <w:rsid w:val="005E55AE"/>
    <w:rsid w:val="005E6B79"/>
    <w:rsid w:val="005F0597"/>
    <w:rsid w:val="005F7C9E"/>
    <w:rsid w:val="0062050E"/>
    <w:rsid w:val="00630B4D"/>
    <w:rsid w:val="0063207A"/>
    <w:rsid w:val="00634125"/>
    <w:rsid w:val="00642EAD"/>
    <w:rsid w:val="0064423D"/>
    <w:rsid w:val="006537C7"/>
    <w:rsid w:val="00655C9D"/>
    <w:rsid w:val="006630C2"/>
    <w:rsid w:val="00664B83"/>
    <w:rsid w:val="00667CE2"/>
    <w:rsid w:val="00671152"/>
    <w:rsid w:val="00676F88"/>
    <w:rsid w:val="00681560"/>
    <w:rsid w:val="006826A8"/>
    <w:rsid w:val="006A0680"/>
    <w:rsid w:val="006A072D"/>
    <w:rsid w:val="006A2A61"/>
    <w:rsid w:val="006A5351"/>
    <w:rsid w:val="006A60A8"/>
    <w:rsid w:val="006B20A5"/>
    <w:rsid w:val="006B29A5"/>
    <w:rsid w:val="006B344C"/>
    <w:rsid w:val="006C2208"/>
    <w:rsid w:val="006C3501"/>
    <w:rsid w:val="006C71F4"/>
    <w:rsid w:val="006D1EAA"/>
    <w:rsid w:val="006D2615"/>
    <w:rsid w:val="006D3F69"/>
    <w:rsid w:val="006D5EB1"/>
    <w:rsid w:val="006D7E40"/>
    <w:rsid w:val="006E0140"/>
    <w:rsid w:val="006E21B5"/>
    <w:rsid w:val="006E26F8"/>
    <w:rsid w:val="006E52F8"/>
    <w:rsid w:val="006E6547"/>
    <w:rsid w:val="006E656F"/>
    <w:rsid w:val="006E777C"/>
    <w:rsid w:val="006F273D"/>
    <w:rsid w:val="006F2C2E"/>
    <w:rsid w:val="006F49E2"/>
    <w:rsid w:val="006F7E8F"/>
    <w:rsid w:val="00701A22"/>
    <w:rsid w:val="00703192"/>
    <w:rsid w:val="007044D7"/>
    <w:rsid w:val="00707421"/>
    <w:rsid w:val="00713DD5"/>
    <w:rsid w:val="00722B9F"/>
    <w:rsid w:val="00722C5F"/>
    <w:rsid w:val="007234D7"/>
    <w:rsid w:val="00731943"/>
    <w:rsid w:val="00741385"/>
    <w:rsid w:val="00752BBF"/>
    <w:rsid w:val="0075376F"/>
    <w:rsid w:val="00760DC3"/>
    <w:rsid w:val="00761304"/>
    <w:rsid w:val="0076383F"/>
    <w:rsid w:val="00765406"/>
    <w:rsid w:val="00765786"/>
    <w:rsid w:val="00766FEB"/>
    <w:rsid w:val="00767907"/>
    <w:rsid w:val="00777492"/>
    <w:rsid w:val="0078283B"/>
    <w:rsid w:val="007837C6"/>
    <w:rsid w:val="00784602"/>
    <w:rsid w:val="00791955"/>
    <w:rsid w:val="00792179"/>
    <w:rsid w:val="007936D2"/>
    <w:rsid w:val="0079415F"/>
    <w:rsid w:val="0079684D"/>
    <w:rsid w:val="007A0718"/>
    <w:rsid w:val="007B12F2"/>
    <w:rsid w:val="007B176C"/>
    <w:rsid w:val="007B27D0"/>
    <w:rsid w:val="007B27EE"/>
    <w:rsid w:val="007B2CAC"/>
    <w:rsid w:val="007B30DF"/>
    <w:rsid w:val="007B6C39"/>
    <w:rsid w:val="007B6F0E"/>
    <w:rsid w:val="007C0EB5"/>
    <w:rsid w:val="007C6596"/>
    <w:rsid w:val="007D7D09"/>
    <w:rsid w:val="007E4209"/>
    <w:rsid w:val="007E799E"/>
    <w:rsid w:val="007F5734"/>
    <w:rsid w:val="007F701B"/>
    <w:rsid w:val="0080081B"/>
    <w:rsid w:val="008026E4"/>
    <w:rsid w:val="0080402A"/>
    <w:rsid w:val="0081279A"/>
    <w:rsid w:val="00814646"/>
    <w:rsid w:val="00815158"/>
    <w:rsid w:val="0082208C"/>
    <w:rsid w:val="0082311B"/>
    <w:rsid w:val="0082438C"/>
    <w:rsid w:val="00825C31"/>
    <w:rsid w:val="0083052D"/>
    <w:rsid w:val="00832584"/>
    <w:rsid w:val="00832C01"/>
    <w:rsid w:val="0083378F"/>
    <w:rsid w:val="00833B74"/>
    <w:rsid w:val="00845CF7"/>
    <w:rsid w:val="00847960"/>
    <w:rsid w:val="008560AE"/>
    <w:rsid w:val="0086336B"/>
    <w:rsid w:val="008639C7"/>
    <w:rsid w:val="008670D8"/>
    <w:rsid w:val="008677E2"/>
    <w:rsid w:val="00873892"/>
    <w:rsid w:val="00874184"/>
    <w:rsid w:val="00875219"/>
    <w:rsid w:val="00875ED0"/>
    <w:rsid w:val="00884690"/>
    <w:rsid w:val="0088646E"/>
    <w:rsid w:val="008A07B3"/>
    <w:rsid w:val="008A535D"/>
    <w:rsid w:val="008B14B1"/>
    <w:rsid w:val="008B7FB1"/>
    <w:rsid w:val="008C18A4"/>
    <w:rsid w:val="008C1B5B"/>
    <w:rsid w:val="008C772B"/>
    <w:rsid w:val="008C7CC0"/>
    <w:rsid w:val="008D08B1"/>
    <w:rsid w:val="008D1D95"/>
    <w:rsid w:val="008D1DF6"/>
    <w:rsid w:val="008D31EF"/>
    <w:rsid w:val="008D4EA4"/>
    <w:rsid w:val="008E19C9"/>
    <w:rsid w:val="008E4990"/>
    <w:rsid w:val="008E6F63"/>
    <w:rsid w:val="008F0E0F"/>
    <w:rsid w:val="008F16B6"/>
    <w:rsid w:val="008F5738"/>
    <w:rsid w:val="009008BA"/>
    <w:rsid w:val="00900DC4"/>
    <w:rsid w:val="009043F2"/>
    <w:rsid w:val="0090572C"/>
    <w:rsid w:val="0090595A"/>
    <w:rsid w:val="00905BA7"/>
    <w:rsid w:val="00911897"/>
    <w:rsid w:val="009118E2"/>
    <w:rsid w:val="0091786D"/>
    <w:rsid w:val="00922F6B"/>
    <w:rsid w:val="00930663"/>
    <w:rsid w:val="00931D85"/>
    <w:rsid w:val="009408D8"/>
    <w:rsid w:val="009432D4"/>
    <w:rsid w:val="009467F7"/>
    <w:rsid w:val="00954192"/>
    <w:rsid w:val="00960BAE"/>
    <w:rsid w:val="00961480"/>
    <w:rsid w:val="00964CAB"/>
    <w:rsid w:val="0096511C"/>
    <w:rsid w:val="009655A7"/>
    <w:rsid w:val="00965EF0"/>
    <w:rsid w:val="00967DE5"/>
    <w:rsid w:val="009739B5"/>
    <w:rsid w:val="009800D2"/>
    <w:rsid w:val="009807A8"/>
    <w:rsid w:val="009821C1"/>
    <w:rsid w:val="009833E1"/>
    <w:rsid w:val="00985AA9"/>
    <w:rsid w:val="00985C90"/>
    <w:rsid w:val="009863A4"/>
    <w:rsid w:val="00990328"/>
    <w:rsid w:val="00990B54"/>
    <w:rsid w:val="009A1DF2"/>
    <w:rsid w:val="009A3BB1"/>
    <w:rsid w:val="009A55F6"/>
    <w:rsid w:val="009B2969"/>
    <w:rsid w:val="009C01F0"/>
    <w:rsid w:val="009C6398"/>
    <w:rsid w:val="009C68B7"/>
    <w:rsid w:val="009D4F04"/>
    <w:rsid w:val="009D58AD"/>
    <w:rsid w:val="009D7E0F"/>
    <w:rsid w:val="009E29A8"/>
    <w:rsid w:val="009E424D"/>
    <w:rsid w:val="009E62AF"/>
    <w:rsid w:val="009E6407"/>
    <w:rsid w:val="009F372F"/>
    <w:rsid w:val="00A00226"/>
    <w:rsid w:val="00A033AD"/>
    <w:rsid w:val="00A12BCD"/>
    <w:rsid w:val="00A14065"/>
    <w:rsid w:val="00A140B5"/>
    <w:rsid w:val="00A240B1"/>
    <w:rsid w:val="00A31DC8"/>
    <w:rsid w:val="00A325E9"/>
    <w:rsid w:val="00A332EB"/>
    <w:rsid w:val="00A36506"/>
    <w:rsid w:val="00A36C5F"/>
    <w:rsid w:val="00A37B28"/>
    <w:rsid w:val="00A4165B"/>
    <w:rsid w:val="00A4284D"/>
    <w:rsid w:val="00A45732"/>
    <w:rsid w:val="00A57330"/>
    <w:rsid w:val="00A61CAF"/>
    <w:rsid w:val="00A621E6"/>
    <w:rsid w:val="00A629AC"/>
    <w:rsid w:val="00A63325"/>
    <w:rsid w:val="00A657CD"/>
    <w:rsid w:val="00A737E6"/>
    <w:rsid w:val="00A768DE"/>
    <w:rsid w:val="00A7718D"/>
    <w:rsid w:val="00A824BD"/>
    <w:rsid w:val="00A87873"/>
    <w:rsid w:val="00A91CE6"/>
    <w:rsid w:val="00A94C07"/>
    <w:rsid w:val="00A97120"/>
    <w:rsid w:val="00AA04A4"/>
    <w:rsid w:val="00AA113A"/>
    <w:rsid w:val="00AC5E3E"/>
    <w:rsid w:val="00AC607B"/>
    <w:rsid w:val="00AD225C"/>
    <w:rsid w:val="00AD353A"/>
    <w:rsid w:val="00AE5D5A"/>
    <w:rsid w:val="00AE72CF"/>
    <w:rsid w:val="00AF20B4"/>
    <w:rsid w:val="00AF259A"/>
    <w:rsid w:val="00AF4FDC"/>
    <w:rsid w:val="00B05C8F"/>
    <w:rsid w:val="00B122F6"/>
    <w:rsid w:val="00B13317"/>
    <w:rsid w:val="00B16FD1"/>
    <w:rsid w:val="00B17E8F"/>
    <w:rsid w:val="00B2058F"/>
    <w:rsid w:val="00B34DB0"/>
    <w:rsid w:val="00B43BDE"/>
    <w:rsid w:val="00B464F0"/>
    <w:rsid w:val="00B51F39"/>
    <w:rsid w:val="00B533B0"/>
    <w:rsid w:val="00B56CCC"/>
    <w:rsid w:val="00B573AF"/>
    <w:rsid w:val="00B6453A"/>
    <w:rsid w:val="00B755A0"/>
    <w:rsid w:val="00B76EA3"/>
    <w:rsid w:val="00B82276"/>
    <w:rsid w:val="00B83851"/>
    <w:rsid w:val="00B87281"/>
    <w:rsid w:val="00B87774"/>
    <w:rsid w:val="00BB020C"/>
    <w:rsid w:val="00BB3603"/>
    <w:rsid w:val="00BB37DA"/>
    <w:rsid w:val="00BB6696"/>
    <w:rsid w:val="00BB7C1A"/>
    <w:rsid w:val="00BB7FEC"/>
    <w:rsid w:val="00BC2C82"/>
    <w:rsid w:val="00BC508E"/>
    <w:rsid w:val="00BD4E63"/>
    <w:rsid w:val="00BD69DE"/>
    <w:rsid w:val="00BE6CBF"/>
    <w:rsid w:val="00BE6E37"/>
    <w:rsid w:val="00BE7ED9"/>
    <w:rsid w:val="00BF12EC"/>
    <w:rsid w:val="00BF70A7"/>
    <w:rsid w:val="00BF7B04"/>
    <w:rsid w:val="00C0437A"/>
    <w:rsid w:val="00C159DB"/>
    <w:rsid w:val="00C15D2B"/>
    <w:rsid w:val="00C17089"/>
    <w:rsid w:val="00C21883"/>
    <w:rsid w:val="00C22280"/>
    <w:rsid w:val="00C27B56"/>
    <w:rsid w:val="00C313EE"/>
    <w:rsid w:val="00C340E1"/>
    <w:rsid w:val="00C34111"/>
    <w:rsid w:val="00C400F0"/>
    <w:rsid w:val="00C425C7"/>
    <w:rsid w:val="00C56B9A"/>
    <w:rsid w:val="00C57FDC"/>
    <w:rsid w:val="00C60D12"/>
    <w:rsid w:val="00C65D75"/>
    <w:rsid w:val="00C6759D"/>
    <w:rsid w:val="00C7074E"/>
    <w:rsid w:val="00C751A8"/>
    <w:rsid w:val="00C82003"/>
    <w:rsid w:val="00C820FD"/>
    <w:rsid w:val="00C82C8E"/>
    <w:rsid w:val="00C83CAA"/>
    <w:rsid w:val="00C84471"/>
    <w:rsid w:val="00C84A76"/>
    <w:rsid w:val="00C87F06"/>
    <w:rsid w:val="00C909B9"/>
    <w:rsid w:val="00C90B9E"/>
    <w:rsid w:val="00C925E0"/>
    <w:rsid w:val="00CA527D"/>
    <w:rsid w:val="00CA66B3"/>
    <w:rsid w:val="00CB1FEE"/>
    <w:rsid w:val="00CB3296"/>
    <w:rsid w:val="00CB6470"/>
    <w:rsid w:val="00CC0EE0"/>
    <w:rsid w:val="00CC41BA"/>
    <w:rsid w:val="00CC4241"/>
    <w:rsid w:val="00CC5DDB"/>
    <w:rsid w:val="00CD33D4"/>
    <w:rsid w:val="00CE1C4F"/>
    <w:rsid w:val="00CE606C"/>
    <w:rsid w:val="00CE6105"/>
    <w:rsid w:val="00CE6B89"/>
    <w:rsid w:val="00CF3785"/>
    <w:rsid w:val="00D04AB1"/>
    <w:rsid w:val="00D05DA0"/>
    <w:rsid w:val="00D071C4"/>
    <w:rsid w:val="00D10B7A"/>
    <w:rsid w:val="00D116F0"/>
    <w:rsid w:val="00D129A4"/>
    <w:rsid w:val="00D206A2"/>
    <w:rsid w:val="00D210B4"/>
    <w:rsid w:val="00D25DF8"/>
    <w:rsid w:val="00D30CD7"/>
    <w:rsid w:val="00D405DC"/>
    <w:rsid w:val="00D43C03"/>
    <w:rsid w:val="00D44119"/>
    <w:rsid w:val="00D5074C"/>
    <w:rsid w:val="00D521E8"/>
    <w:rsid w:val="00D55ED2"/>
    <w:rsid w:val="00D56AED"/>
    <w:rsid w:val="00D63B44"/>
    <w:rsid w:val="00D66F7B"/>
    <w:rsid w:val="00D738FD"/>
    <w:rsid w:val="00D7754D"/>
    <w:rsid w:val="00D826F7"/>
    <w:rsid w:val="00D84B85"/>
    <w:rsid w:val="00D8798E"/>
    <w:rsid w:val="00D87D13"/>
    <w:rsid w:val="00D93D9A"/>
    <w:rsid w:val="00DA34E6"/>
    <w:rsid w:val="00DA6D58"/>
    <w:rsid w:val="00DA756C"/>
    <w:rsid w:val="00DB24AC"/>
    <w:rsid w:val="00DB5C7C"/>
    <w:rsid w:val="00DC3602"/>
    <w:rsid w:val="00DC522E"/>
    <w:rsid w:val="00DC7889"/>
    <w:rsid w:val="00DC7DC0"/>
    <w:rsid w:val="00DD12B0"/>
    <w:rsid w:val="00DD5897"/>
    <w:rsid w:val="00DE2F30"/>
    <w:rsid w:val="00DE4AFF"/>
    <w:rsid w:val="00DE4B30"/>
    <w:rsid w:val="00DE7B94"/>
    <w:rsid w:val="00DF3624"/>
    <w:rsid w:val="00DF7CFF"/>
    <w:rsid w:val="00E027BF"/>
    <w:rsid w:val="00E057D3"/>
    <w:rsid w:val="00E071F9"/>
    <w:rsid w:val="00E1091B"/>
    <w:rsid w:val="00E14AD4"/>
    <w:rsid w:val="00E16E24"/>
    <w:rsid w:val="00E400BA"/>
    <w:rsid w:val="00E411C8"/>
    <w:rsid w:val="00E435E8"/>
    <w:rsid w:val="00E47151"/>
    <w:rsid w:val="00E47C9B"/>
    <w:rsid w:val="00E577E3"/>
    <w:rsid w:val="00E624E3"/>
    <w:rsid w:val="00E64552"/>
    <w:rsid w:val="00E64C79"/>
    <w:rsid w:val="00E66DC8"/>
    <w:rsid w:val="00E72A4E"/>
    <w:rsid w:val="00E76FE2"/>
    <w:rsid w:val="00E774EB"/>
    <w:rsid w:val="00E77E01"/>
    <w:rsid w:val="00E840B0"/>
    <w:rsid w:val="00E92D13"/>
    <w:rsid w:val="00E93C1D"/>
    <w:rsid w:val="00E979D9"/>
    <w:rsid w:val="00EA1049"/>
    <w:rsid w:val="00EA1EC1"/>
    <w:rsid w:val="00EA2F19"/>
    <w:rsid w:val="00EB1799"/>
    <w:rsid w:val="00EB1C1A"/>
    <w:rsid w:val="00EB6B6B"/>
    <w:rsid w:val="00EC1150"/>
    <w:rsid w:val="00EC723E"/>
    <w:rsid w:val="00ED63FE"/>
    <w:rsid w:val="00ED6D27"/>
    <w:rsid w:val="00EE30C4"/>
    <w:rsid w:val="00EE500C"/>
    <w:rsid w:val="00EE5E2C"/>
    <w:rsid w:val="00EE7D87"/>
    <w:rsid w:val="00EF0729"/>
    <w:rsid w:val="00EF0D9F"/>
    <w:rsid w:val="00EF135C"/>
    <w:rsid w:val="00EF30ED"/>
    <w:rsid w:val="00F05BBD"/>
    <w:rsid w:val="00F05F72"/>
    <w:rsid w:val="00F0613C"/>
    <w:rsid w:val="00F06C27"/>
    <w:rsid w:val="00F07887"/>
    <w:rsid w:val="00F12032"/>
    <w:rsid w:val="00F254B8"/>
    <w:rsid w:val="00F257B4"/>
    <w:rsid w:val="00F30BE9"/>
    <w:rsid w:val="00F315BE"/>
    <w:rsid w:val="00F31C89"/>
    <w:rsid w:val="00F32DEC"/>
    <w:rsid w:val="00F338C5"/>
    <w:rsid w:val="00F37CDD"/>
    <w:rsid w:val="00F401DE"/>
    <w:rsid w:val="00F4149E"/>
    <w:rsid w:val="00F46592"/>
    <w:rsid w:val="00F513C3"/>
    <w:rsid w:val="00F531E5"/>
    <w:rsid w:val="00F56CC2"/>
    <w:rsid w:val="00F62A8C"/>
    <w:rsid w:val="00F67CE5"/>
    <w:rsid w:val="00F70A31"/>
    <w:rsid w:val="00F7283F"/>
    <w:rsid w:val="00F81B09"/>
    <w:rsid w:val="00F822C8"/>
    <w:rsid w:val="00F84D5D"/>
    <w:rsid w:val="00F85B3B"/>
    <w:rsid w:val="00F85E16"/>
    <w:rsid w:val="00F9082E"/>
    <w:rsid w:val="00F927FB"/>
    <w:rsid w:val="00F9327C"/>
    <w:rsid w:val="00FA15D9"/>
    <w:rsid w:val="00FA3CB9"/>
    <w:rsid w:val="00FB28A2"/>
    <w:rsid w:val="00FB441B"/>
    <w:rsid w:val="00FB4FE4"/>
    <w:rsid w:val="00FB59AC"/>
    <w:rsid w:val="00FB7288"/>
    <w:rsid w:val="00FC295C"/>
    <w:rsid w:val="00FC3F04"/>
    <w:rsid w:val="00FC4DDD"/>
    <w:rsid w:val="00FD02AD"/>
    <w:rsid w:val="00FD0D05"/>
    <w:rsid w:val="00FD7D40"/>
    <w:rsid w:val="00FE0B9B"/>
    <w:rsid w:val="00FE24A5"/>
    <w:rsid w:val="00FE5603"/>
    <w:rsid w:val="00FE5AA5"/>
    <w:rsid w:val="00FF08C0"/>
    <w:rsid w:val="00FF2883"/>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98991"/>
  <w15:chartTrackingRefBased/>
  <w15:docId w15:val="{C7810E63-AB0C-47A4-AB5C-FDCDB413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rPr>
      <w:lang w:eastAsia="x-none"/>
    </w:rPr>
  </w:style>
  <w:style w:type="paragraph" w:styleId="Piedepgina">
    <w:name w:val="footer"/>
    <w:basedOn w:val="Normal"/>
    <w:link w:val="PiedepginaCar"/>
    <w:pPr>
      <w:tabs>
        <w:tab w:val="center" w:pos="4419"/>
        <w:tab w:val="right" w:pos="8838"/>
      </w:tabs>
    </w:pPr>
    <w:rPr>
      <w:lang w:eastAsia="x-none"/>
    </w:r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styleId="Ttulo">
    <w:name w:val="Title"/>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link w:val="TextocomentarioCar"/>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link w:val="SangradetextonormalCar"/>
    <w:pPr>
      <w:spacing w:after="120"/>
      <w:ind w:left="283"/>
    </w:pPr>
    <w:rPr>
      <w:sz w:val="24"/>
      <w:szCs w:val="24"/>
      <w:lang w:val="es-ES"/>
    </w:rPr>
  </w:style>
  <w:style w:type="paragraph" w:customStyle="1" w:styleId="BodyText22">
    <w:name w:val="Body Text 22"/>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1"/>
      </w:numPr>
    </w:pPr>
    <w:rPr>
      <w:sz w:val="24"/>
      <w:szCs w:val="24"/>
      <w:lang w:val="es-ES"/>
    </w:rPr>
  </w:style>
  <w:style w:type="paragraph" w:styleId="Listaconvietas3">
    <w:name w:val="List Bullet 3"/>
    <w:basedOn w:val="Normal"/>
    <w:pPr>
      <w:numPr>
        <w:numId w:val="2"/>
      </w:numPr>
    </w:pPr>
    <w:rPr>
      <w:sz w:val="24"/>
      <w:szCs w:val="24"/>
      <w:lang w:val="es-ES"/>
    </w:rPr>
  </w:style>
  <w:style w:type="paragraph" w:styleId="Listaconvietas4">
    <w:name w:val="List Bullet 4"/>
    <w:basedOn w:val="Normal"/>
    <w:pPr>
      <w:numPr>
        <w:numId w:val="3"/>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styleId="nfasis">
    <w:name w:val="Emphasis"/>
    <w:qFormat/>
    <w:rsid w:val="00C83CAA"/>
    <w:rPr>
      <w:i/>
      <w:iCs/>
    </w:rPr>
  </w:style>
  <w:style w:type="paragraph" w:customStyle="1" w:styleId="Default">
    <w:name w:val="Default"/>
    <w:rsid w:val="00C83CAA"/>
    <w:pPr>
      <w:autoSpaceDE w:val="0"/>
      <w:autoSpaceDN w:val="0"/>
      <w:adjustRightInd w:val="0"/>
    </w:pPr>
    <w:rPr>
      <w:rFonts w:ascii="Arial" w:hAnsi="Arial" w:cs="Arial"/>
      <w:color w:val="000000"/>
      <w:sz w:val="24"/>
      <w:szCs w:val="24"/>
      <w:lang w:val="es-CO" w:eastAsia="es-ES"/>
    </w:rPr>
  </w:style>
  <w:style w:type="paragraph" w:styleId="Prrafodelista">
    <w:name w:val="List Paragraph"/>
    <w:basedOn w:val="Normal"/>
    <w:uiPriority w:val="34"/>
    <w:qFormat/>
    <w:rsid w:val="002A2E26"/>
    <w:pPr>
      <w:ind w:left="720"/>
    </w:pPr>
    <w:rPr>
      <w:rFonts w:ascii="Calibri" w:eastAsia="Calibri" w:hAnsi="Calibri"/>
      <w:sz w:val="22"/>
      <w:szCs w:val="22"/>
      <w:lang w:val="es-ES"/>
    </w:rPr>
  </w:style>
  <w:style w:type="paragraph" w:customStyle="1" w:styleId="Textoindependiente31">
    <w:name w:val="Texto independiente 31"/>
    <w:basedOn w:val="Normal"/>
    <w:rsid w:val="003303A6"/>
    <w:pPr>
      <w:pBdr>
        <w:left w:val="single" w:sz="6" w:space="1" w:color="auto"/>
      </w:pBdr>
      <w:jc w:val="both"/>
    </w:pPr>
    <w:rPr>
      <w:rFonts w:ascii="Arial" w:hAnsi="Arial"/>
      <w:spacing w:val="20"/>
      <w:sz w:val="16"/>
      <w:lang w:eastAsia="es-CO"/>
    </w:rPr>
  </w:style>
  <w:style w:type="character" w:customStyle="1" w:styleId="EncabezadoCar">
    <w:name w:val="Encabezado Car"/>
    <w:link w:val="Encabezado"/>
    <w:uiPriority w:val="99"/>
    <w:rsid w:val="00832C01"/>
    <w:rPr>
      <w:lang w:val="es-ES_tradnl"/>
    </w:rPr>
  </w:style>
  <w:style w:type="character" w:customStyle="1" w:styleId="PiedepginaCar">
    <w:name w:val="Pie de página Car"/>
    <w:link w:val="Piedepgina"/>
    <w:rsid w:val="00832C01"/>
    <w:rPr>
      <w:lang w:val="es-ES_tradnl"/>
    </w:rPr>
  </w:style>
  <w:style w:type="character" w:styleId="Refdecomentario">
    <w:name w:val="annotation reference"/>
    <w:rsid w:val="008B7FB1"/>
    <w:rPr>
      <w:sz w:val="16"/>
      <w:szCs w:val="16"/>
    </w:rPr>
  </w:style>
  <w:style w:type="paragraph" w:styleId="Asuntodelcomentario">
    <w:name w:val="annotation subject"/>
    <w:basedOn w:val="Textocomentario"/>
    <w:next w:val="Textocomentario"/>
    <w:link w:val="AsuntodelcomentarioCar"/>
    <w:rsid w:val="008B7FB1"/>
    <w:rPr>
      <w:b/>
      <w:bCs/>
      <w:lang w:val="es-ES_tradnl" w:eastAsia="x-none"/>
    </w:rPr>
  </w:style>
  <w:style w:type="character" w:customStyle="1" w:styleId="TextocomentarioCar">
    <w:name w:val="Texto comentario Car"/>
    <w:basedOn w:val="Fuentedeprrafopredeter"/>
    <w:link w:val="Textocomentario"/>
    <w:rsid w:val="008B7FB1"/>
  </w:style>
  <w:style w:type="character" w:customStyle="1" w:styleId="AsuntodelcomentarioCar">
    <w:name w:val="Asunto del comentario Car"/>
    <w:link w:val="Asuntodelcomentario"/>
    <w:rsid w:val="008B7FB1"/>
    <w:rPr>
      <w:b/>
      <w:bCs/>
      <w:lang w:val="es-ES_tradnl"/>
    </w:rPr>
  </w:style>
  <w:style w:type="character" w:customStyle="1" w:styleId="SangradetextonormalCar">
    <w:name w:val="Sangría de texto normal Car"/>
    <w:link w:val="Sangradetextonormal"/>
    <w:rsid w:val="007F701B"/>
    <w:rPr>
      <w:sz w:val="24"/>
      <w:szCs w:val="24"/>
    </w:rPr>
  </w:style>
  <w:style w:type="paragraph" w:customStyle="1" w:styleId="Encabezadodetabladecontenido">
    <w:name w:val="Encabezado de tabla de contenido"/>
    <w:basedOn w:val="Ttulo1"/>
    <w:next w:val="Normal"/>
    <w:uiPriority w:val="39"/>
    <w:semiHidden/>
    <w:qFormat/>
    <w:rsid w:val="007F701B"/>
    <w:pPr>
      <w:keepLines/>
      <w:spacing w:before="480" w:after="0" w:line="276" w:lineRule="auto"/>
      <w:outlineLvl w:val="9"/>
    </w:pPr>
    <w:rPr>
      <w:rFonts w:ascii="Cambria" w:hAnsi="Cambria" w:cs="Times New Roman"/>
      <w:color w:val="365F91"/>
      <w:kern w:val="0"/>
      <w:sz w:val="28"/>
      <w:szCs w:val="28"/>
      <w:lang w:val="es-CO" w:eastAsia="es-CO"/>
    </w:rPr>
  </w:style>
  <w:style w:type="table" w:styleId="Tablaconcuadrcula">
    <w:name w:val="Table Grid"/>
    <w:basedOn w:val="Tablanormal"/>
    <w:rsid w:val="00A6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305502">
      <w:bodyDiv w:val="1"/>
      <w:marLeft w:val="0"/>
      <w:marRight w:val="0"/>
      <w:marTop w:val="0"/>
      <w:marBottom w:val="0"/>
      <w:divBdr>
        <w:top w:val="none" w:sz="0" w:space="0" w:color="auto"/>
        <w:left w:val="none" w:sz="0" w:space="0" w:color="auto"/>
        <w:bottom w:val="none" w:sz="0" w:space="0" w:color="auto"/>
        <w:right w:val="none" w:sz="0" w:space="0" w:color="auto"/>
      </w:divBdr>
    </w:div>
    <w:div w:id="1260020558">
      <w:bodyDiv w:val="1"/>
      <w:marLeft w:val="0"/>
      <w:marRight w:val="0"/>
      <w:marTop w:val="0"/>
      <w:marBottom w:val="0"/>
      <w:divBdr>
        <w:top w:val="none" w:sz="0" w:space="0" w:color="auto"/>
        <w:left w:val="none" w:sz="0" w:space="0" w:color="auto"/>
        <w:bottom w:val="none" w:sz="0" w:space="0" w:color="auto"/>
        <w:right w:val="none" w:sz="0" w:space="0" w:color="auto"/>
      </w:divBdr>
    </w:div>
    <w:div w:id="21049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D68574237D849A835D1FFB895F586" ma:contentTypeVersion="2" ma:contentTypeDescription="Create a new document." ma:contentTypeScope="" ma:versionID="08527cab78be9b9ff00b31be7b0cb31e">
  <xsd:schema xmlns:xsd="http://www.w3.org/2001/XMLSchema" xmlns:xs="http://www.w3.org/2001/XMLSchema" xmlns:p="http://schemas.microsoft.com/office/2006/metadata/properties" xmlns:ns2="2806e0fb-3321-4a19-a0bb-629fbbee7344" targetNamespace="http://schemas.microsoft.com/office/2006/metadata/properties" ma:root="true" ma:fieldsID="e24db226cc8d92f968640bab5c9c0d38" ns2:_="">
    <xsd:import namespace="2806e0fb-3321-4a19-a0bb-629fbbee73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0fb-3321-4a19-a0bb-629fbbee7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623E-1453-4CF2-AB5D-28799E6074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A39E8F-D5DD-4D83-939B-ED6E35371574}">
  <ds:schemaRefs>
    <ds:schemaRef ds:uri="http://schemas.microsoft.com/sharepoint/v3/contenttype/forms"/>
  </ds:schemaRefs>
</ds:datastoreItem>
</file>

<file path=customXml/itemProps3.xml><?xml version="1.0" encoding="utf-8"?>
<ds:datastoreItem xmlns:ds="http://schemas.openxmlformats.org/officeDocument/2006/customXml" ds:itemID="{EF3F69C4-13A4-4D9B-AB6A-FE9C96FD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0fb-3321-4a19-a0bb-629fbbee7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239CB-D6C8-4F6C-B363-E64E39AB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4335</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 CE</vt:lpstr>
      <vt:lpstr>Proy CE</vt:lpstr>
    </vt:vector>
  </TitlesOfParts>
  <Company>superfinanciera</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dc:description/>
  <cp:lastModifiedBy>Diana Andrea Pineda Gonzalez</cp:lastModifiedBy>
  <cp:revision>2</cp:revision>
  <cp:lastPrinted>2020-03-06T15:25:00Z</cp:lastPrinted>
  <dcterms:created xsi:type="dcterms:W3CDTF">2021-03-29T20:10:00Z</dcterms:created>
  <dcterms:modified xsi:type="dcterms:W3CDTF">2021-03-29T20:10:00Z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0x010100C0FD68574237D849A835D1FFB895F586</vt:lpwstr>
  </property>
</Properties>
</file>