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F097" w14:textId="77777777" w:rsidR="00F7283F" w:rsidRPr="00D807A7" w:rsidRDefault="00F7283F" w:rsidP="001970DB">
      <w:pPr>
        <w:jc w:val="center"/>
        <w:rPr>
          <w:rFonts w:ascii="Arial" w:hAnsi="Arial" w:cs="Arial"/>
          <w:b/>
          <w:bCs/>
          <w:sz w:val="24"/>
          <w:szCs w:val="24"/>
        </w:rPr>
      </w:pPr>
    </w:p>
    <w:p w14:paraId="02C1CD17" w14:textId="184940F6" w:rsidR="00832C01" w:rsidRPr="00D807A7" w:rsidRDefault="00832C01" w:rsidP="001970DB">
      <w:pPr>
        <w:jc w:val="center"/>
        <w:rPr>
          <w:rFonts w:ascii="Arial" w:hAnsi="Arial" w:cs="Arial"/>
          <w:b/>
          <w:bCs/>
          <w:sz w:val="24"/>
          <w:szCs w:val="24"/>
        </w:rPr>
      </w:pPr>
      <w:bookmarkStart w:id="0" w:name="_Hlk4085132"/>
      <w:bookmarkStart w:id="1" w:name="_Hlk531249877"/>
      <w:r w:rsidRPr="00D807A7">
        <w:rPr>
          <w:rFonts w:ascii="Arial" w:hAnsi="Arial" w:cs="Arial"/>
          <w:b/>
          <w:bCs/>
          <w:sz w:val="24"/>
          <w:szCs w:val="24"/>
        </w:rPr>
        <w:t>CIRCULAR EXTERNA</w:t>
      </w:r>
      <w:r w:rsidR="007C6596" w:rsidRPr="00D807A7">
        <w:rPr>
          <w:rFonts w:ascii="Arial" w:hAnsi="Arial" w:cs="Arial"/>
          <w:b/>
          <w:bCs/>
          <w:sz w:val="24"/>
          <w:szCs w:val="24"/>
        </w:rPr>
        <w:t xml:space="preserve"> </w:t>
      </w:r>
      <w:r w:rsidR="00AA04A4" w:rsidRPr="00D807A7">
        <w:rPr>
          <w:rFonts w:ascii="Arial" w:hAnsi="Arial" w:cs="Arial"/>
          <w:b/>
          <w:bCs/>
          <w:sz w:val="24"/>
          <w:szCs w:val="24"/>
        </w:rPr>
        <w:t xml:space="preserve"> </w:t>
      </w:r>
      <w:proofErr w:type="gramStart"/>
      <w:r w:rsidR="00D508C1">
        <w:rPr>
          <w:rFonts w:ascii="Arial" w:hAnsi="Arial" w:cs="Arial"/>
          <w:b/>
          <w:bCs/>
          <w:sz w:val="24"/>
          <w:szCs w:val="24"/>
        </w:rPr>
        <w:t>010</w:t>
      </w:r>
      <w:r w:rsidR="00D25DF8" w:rsidRPr="00D807A7">
        <w:rPr>
          <w:rFonts w:ascii="Arial" w:hAnsi="Arial" w:cs="Arial"/>
          <w:b/>
          <w:bCs/>
          <w:sz w:val="24"/>
          <w:szCs w:val="24"/>
        </w:rPr>
        <w:t xml:space="preserve"> </w:t>
      </w:r>
      <w:r w:rsidR="007C6596" w:rsidRPr="00D807A7">
        <w:rPr>
          <w:rFonts w:ascii="Arial" w:hAnsi="Arial" w:cs="Arial"/>
          <w:b/>
          <w:bCs/>
          <w:sz w:val="24"/>
          <w:szCs w:val="24"/>
        </w:rPr>
        <w:t xml:space="preserve"> DE</w:t>
      </w:r>
      <w:proofErr w:type="gramEnd"/>
      <w:r w:rsidR="007C6596" w:rsidRPr="00D807A7">
        <w:rPr>
          <w:rFonts w:ascii="Arial" w:hAnsi="Arial" w:cs="Arial"/>
          <w:b/>
          <w:bCs/>
          <w:sz w:val="24"/>
          <w:szCs w:val="24"/>
        </w:rPr>
        <w:t xml:space="preserve"> 20</w:t>
      </w:r>
      <w:r w:rsidR="00094F53" w:rsidRPr="00D807A7">
        <w:rPr>
          <w:rFonts w:ascii="Arial" w:hAnsi="Arial" w:cs="Arial"/>
          <w:b/>
          <w:bCs/>
          <w:sz w:val="24"/>
          <w:szCs w:val="24"/>
        </w:rPr>
        <w:t>2</w:t>
      </w:r>
      <w:r w:rsidR="00C06ABA" w:rsidRPr="00D807A7">
        <w:rPr>
          <w:rFonts w:ascii="Arial" w:hAnsi="Arial" w:cs="Arial"/>
          <w:b/>
          <w:bCs/>
          <w:sz w:val="24"/>
          <w:szCs w:val="24"/>
        </w:rPr>
        <w:t>1</w:t>
      </w:r>
    </w:p>
    <w:p w14:paraId="5FE5A4F9" w14:textId="77777777" w:rsidR="00007A12" w:rsidRPr="00D807A7" w:rsidRDefault="00007A12" w:rsidP="001970DB">
      <w:pPr>
        <w:jc w:val="center"/>
        <w:rPr>
          <w:rFonts w:ascii="Arial" w:hAnsi="Arial" w:cs="Arial"/>
          <w:b/>
          <w:bCs/>
          <w:sz w:val="24"/>
          <w:szCs w:val="24"/>
        </w:rPr>
      </w:pPr>
    </w:p>
    <w:p w14:paraId="07F6D874" w14:textId="21EC5120" w:rsidR="00007A12" w:rsidRPr="00D807A7" w:rsidRDefault="00007A12" w:rsidP="001970DB">
      <w:pPr>
        <w:jc w:val="center"/>
        <w:rPr>
          <w:rFonts w:ascii="Arial" w:hAnsi="Arial" w:cs="Arial"/>
          <w:b/>
          <w:bCs/>
          <w:sz w:val="24"/>
          <w:szCs w:val="24"/>
        </w:rPr>
      </w:pPr>
      <w:proofErr w:type="gramStart"/>
      <w:r w:rsidRPr="00D807A7">
        <w:rPr>
          <w:rFonts w:ascii="Arial" w:hAnsi="Arial" w:cs="Arial"/>
          <w:b/>
          <w:bCs/>
          <w:sz w:val="24"/>
          <w:szCs w:val="24"/>
        </w:rPr>
        <w:t xml:space="preserve">( </w:t>
      </w:r>
      <w:r w:rsidR="0051502D" w:rsidRPr="00D807A7">
        <w:rPr>
          <w:rFonts w:ascii="Arial" w:hAnsi="Arial" w:cs="Arial"/>
          <w:b/>
          <w:bCs/>
          <w:sz w:val="24"/>
          <w:szCs w:val="24"/>
        </w:rPr>
        <w:t xml:space="preserve"> </w:t>
      </w:r>
      <w:r w:rsidR="00D508C1">
        <w:rPr>
          <w:rFonts w:ascii="Arial" w:hAnsi="Arial" w:cs="Arial"/>
          <w:b/>
          <w:bCs/>
          <w:sz w:val="24"/>
          <w:szCs w:val="24"/>
        </w:rPr>
        <w:t>Mayo</w:t>
      </w:r>
      <w:proofErr w:type="gramEnd"/>
      <w:r w:rsidR="00D508C1">
        <w:rPr>
          <w:rFonts w:ascii="Arial" w:hAnsi="Arial" w:cs="Arial"/>
          <w:b/>
          <w:bCs/>
          <w:sz w:val="24"/>
          <w:szCs w:val="24"/>
        </w:rPr>
        <w:t xml:space="preserve"> 13</w:t>
      </w:r>
      <w:r w:rsidRPr="00D807A7">
        <w:rPr>
          <w:rFonts w:ascii="Arial" w:hAnsi="Arial" w:cs="Arial"/>
          <w:b/>
          <w:bCs/>
          <w:sz w:val="24"/>
          <w:szCs w:val="24"/>
        </w:rPr>
        <w:t xml:space="preserve"> )</w:t>
      </w:r>
    </w:p>
    <w:p w14:paraId="5AE2498C" w14:textId="77777777" w:rsidR="00E032BE" w:rsidRDefault="00E032BE" w:rsidP="00E032BE">
      <w:pPr>
        <w:pStyle w:val="Encabezado"/>
        <w:jc w:val="both"/>
        <w:rPr>
          <w:rFonts w:ascii="Arial" w:hAnsi="Arial" w:cs="Arial"/>
          <w:b/>
          <w:bCs/>
          <w:sz w:val="24"/>
          <w:szCs w:val="24"/>
        </w:rPr>
      </w:pPr>
      <w:bookmarkStart w:id="2" w:name="_Hlk4085519"/>
    </w:p>
    <w:p w14:paraId="362C5547" w14:textId="77777777" w:rsidR="00E032BE" w:rsidRDefault="00E032BE" w:rsidP="00E032BE">
      <w:pPr>
        <w:pStyle w:val="Encabezado"/>
        <w:jc w:val="both"/>
        <w:rPr>
          <w:rFonts w:ascii="Arial" w:hAnsi="Arial" w:cs="Arial"/>
          <w:b/>
          <w:bCs/>
          <w:sz w:val="24"/>
          <w:szCs w:val="24"/>
        </w:rPr>
      </w:pPr>
    </w:p>
    <w:p w14:paraId="5DD06154" w14:textId="77777777" w:rsidR="00E032BE" w:rsidRDefault="00E032BE" w:rsidP="00E032BE">
      <w:pPr>
        <w:jc w:val="both"/>
        <w:rPr>
          <w:rFonts w:ascii="Arial" w:hAnsi="Arial" w:cs="Arial"/>
          <w:b/>
          <w:sz w:val="24"/>
          <w:szCs w:val="24"/>
          <w:lang w:eastAsia="x-none"/>
        </w:rPr>
      </w:pPr>
      <w:r>
        <w:rPr>
          <w:rFonts w:ascii="Arial" w:hAnsi="Arial" w:cs="Arial"/>
          <w:b/>
          <w:sz w:val="24"/>
          <w:szCs w:val="24"/>
          <w:lang w:eastAsia="x-none"/>
        </w:rPr>
        <w:t>Señores</w:t>
      </w:r>
    </w:p>
    <w:p w14:paraId="1E32B9DF" w14:textId="77777777" w:rsidR="00E032BE" w:rsidRDefault="00E032BE" w:rsidP="00E032BE">
      <w:pPr>
        <w:jc w:val="both"/>
        <w:rPr>
          <w:rFonts w:ascii="Arial" w:hAnsi="Arial" w:cs="Arial"/>
          <w:sz w:val="24"/>
          <w:szCs w:val="24"/>
        </w:rPr>
      </w:pPr>
      <w:r>
        <w:rPr>
          <w:rFonts w:ascii="Arial" w:hAnsi="Arial" w:cs="Arial"/>
          <w:sz w:val="24"/>
          <w:szCs w:val="24"/>
        </w:rPr>
        <w:t>REPRESENTANTE</w:t>
      </w:r>
      <w:r>
        <w:rPr>
          <w:rFonts w:ascii="Arial" w:hAnsi="Arial" w:cs="Arial"/>
          <w:sz w:val="24"/>
          <w:szCs w:val="24"/>
          <w:lang w:val="es-CO"/>
        </w:rPr>
        <w:t>S</w:t>
      </w:r>
      <w:r>
        <w:rPr>
          <w:rFonts w:ascii="Arial" w:hAnsi="Arial" w:cs="Arial"/>
          <w:sz w:val="24"/>
          <w:szCs w:val="24"/>
        </w:rPr>
        <w:t xml:space="preserve"> LEGAL</w:t>
      </w:r>
      <w:r>
        <w:rPr>
          <w:rFonts w:ascii="Arial" w:hAnsi="Arial" w:cs="Arial"/>
          <w:sz w:val="24"/>
          <w:szCs w:val="24"/>
          <w:lang w:val="es-CO"/>
        </w:rPr>
        <w:t xml:space="preserve">ES </w:t>
      </w:r>
      <w:r>
        <w:rPr>
          <w:rFonts w:ascii="Arial" w:hAnsi="Arial" w:cs="Arial"/>
          <w:sz w:val="24"/>
          <w:szCs w:val="24"/>
        </w:rPr>
        <w:t xml:space="preserve">DE LAS ENTIDADES VIGILADAS POR LA SUPERINTENDENCIA FINANCIERA </w:t>
      </w:r>
    </w:p>
    <w:p w14:paraId="1B115823" w14:textId="77777777" w:rsidR="00E032BE" w:rsidRDefault="00E032BE" w:rsidP="00E032BE">
      <w:pPr>
        <w:pStyle w:val="Piedepgina"/>
        <w:tabs>
          <w:tab w:val="right" w:pos="8789"/>
        </w:tabs>
        <w:jc w:val="both"/>
        <w:rPr>
          <w:rFonts w:ascii="Arial" w:hAnsi="Arial" w:cs="Arial"/>
          <w:b/>
          <w:sz w:val="24"/>
          <w:szCs w:val="24"/>
        </w:rPr>
      </w:pPr>
    </w:p>
    <w:p w14:paraId="036EEC11" w14:textId="77777777" w:rsidR="00E032BE" w:rsidRDefault="00E032BE" w:rsidP="00E032BE">
      <w:pPr>
        <w:pStyle w:val="Piedepgina"/>
        <w:tabs>
          <w:tab w:val="right" w:pos="8789"/>
        </w:tabs>
        <w:jc w:val="both"/>
        <w:rPr>
          <w:rFonts w:ascii="Arial" w:hAnsi="Arial" w:cs="Arial"/>
          <w:b/>
          <w:sz w:val="24"/>
          <w:szCs w:val="24"/>
        </w:rPr>
      </w:pPr>
    </w:p>
    <w:p w14:paraId="5163083D" w14:textId="77777777" w:rsidR="00E032BE" w:rsidRDefault="00E032BE" w:rsidP="00E032BE">
      <w:pPr>
        <w:pStyle w:val="Piedepgina"/>
        <w:tabs>
          <w:tab w:val="right" w:pos="8789"/>
        </w:tabs>
        <w:jc w:val="both"/>
        <w:rPr>
          <w:rFonts w:ascii="Arial" w:hAnsi="Arial" w:cs="Arial"/>
          <w:b/>
          <w:sz w:val="24"/>
          <w:szCs w:val="24"/>
        </w:rPr>
      </w:pPr>
      <w:r>
        <w:rPr>
          <w:rFonts w:ascii="Arial" w:hAnsi="Arial" w:cs="Arial"/>
          <w:b/>
          <w:sz w:val="24"/>
          <w:szCs w:val="24"/>
        </w:rPr>
        <w:t>Referencia: Instrucciones relacionadas con el cálculo de la rentabilidad mínima del fondo de cesantías y los índices de acciones negociadas en Colombia.</w:t>
      </w:r>
    </w:p>
    <w:p w14:paraId="5F3FF19D" w14:textId="77777777" w:rsidR="00E032BE" w:rsidRDefault="00E032BE" w:rsidP="00E032BE">
      <w:pPr>
        <w:jc w:val="both"/>
        <w:rPr>
          <w:rFonts w:ascii="Arial" w:hAnsi="Arial" w:cs="Arial"/>
          <w:sz w:val="24"/>
          <w:szCs w:val="24"/>
        </w:rPr>
      </w:pPr>
    </w:p>
    <w:p w14:paraId="3324EBA1" w14:textId="77777777" w:rsidR="00E032BE" w:rsidRDefault="00E032BE" w:rsidP="00E032BE">
      <w:pPr>
        <w:jc w:val="both"/>
        <w:rPr>
          <w:rFonts w:ascii="Arial" w:hAnsi="Arial" w:cs="Arial"/>
          <w:sz w:val="24"/>
          <w:szCs w:val="24"/>
        </w:rPr>
      </w:pPr>
    </w:p>
    <w:p w14:paraId="2A703FEE" w14:textId="77777777" w:rsidR="00E032BE" w:rsidRDefault="00E032BE" w:rsidP="00E032BE">
      <w:pPr>
        <w:jc w:val="both"/>
        <w:rPr>
          <w:rFonts w:ascii="Arial" w:hAnsi="Arial" w:cs="Arial"/>
          <w:sz w:val="24"/>
          <w:szCs w:val="24"/>
        </w:rPr>
      </w:pPr>
      <w:r>
        <w:rPr>
          <w:rFonts w:ascii="Arial" w:hAnsi="Arial" w:cs="Arial"/>
          <w:sz w:val="24"/>
          <w:szCs w:val="24"/>
        </w:rPr>
        <w:t>Apreciados señores:</w:t>
      </w:r>
    </w:p>
    <w:p w14:paraId="2F514908" w14:textId="77777777" w:rsidR="00E032BE" w:rsidRDefault="00E032BE" w:rsidP="00E032BE">
      <w:pPr>
        <w:jc w:val="both"/>
        <w:rPr>
          <w:rFonts w:ascii="Arial" w:hAnsi="Arial" w:cs="Arial"/>
          <w:sz w:val="24"/>
          <w:szCs w:val="24"/>
        </w:rPr>
      </w:pPr>
    </w:p>
    <w:p w14:paraId="5C6B7AE4" w14:textId="77777777" w:rsidR="00E032BE" w:rsidRDefault="00E032BE" w:rsidP="00E032BE">
      <w:pPr>
        <w:jc w:val="both"/>
        <w:rPr>
          <w:rFonts w:ascii="Arial" w:hAnsi="Arial" w:cs="Arial"/>
          <w:sz w:val="24"/>
          <w:szCs w:val="24"/>
        </w:rPr>
      </w:pPr>
      <w:r>
        <w:rPr>
          <w:rFonts w:ascii="Arial" w:hAnsi="Arial" w:cs="Arial"/>
          <w:sz w:val="24"/>
          <w:szCs w:val="24"/>
        </w:rPr>
        <w:t xml:space="preserve">En atención a la expedición del Decreto 270 de 2021, mediante el cual el Gobierno Nacional modificó la metodología de cálculo de la rentabilidad del portafolio de corto plazo de los fondos de cesantías, se considera necesario modificar la Circular Básica Jurídica para incorporar la nueva metodología de cálculo. </w:t>
      </w:r>
    </w:p>
    <w:p w14:paraId="22566581" w14:textId="77777777" w:rsidR="00E032BE" w:rsidRDefault="00E032BE" w:rsidP="00E032BE">
      <w:pPr>
        <w:jc w:val="both"/>
        <w:rPr>
          <w:rFonts w:ascii="Arial" w:hAnsi="Arial" w:cs="Arial"/>
          <w:sz w:val="24"/>
          <w:szCs w:val="24"/>
        </w:rPr>
      </w:pPr>
    </w:p>
    <w:p w14:paraId="107ACCB6" w14:textId="29284B4A" w:rsidR="000C03F6" w:rsidRDefault="00E032BE" w:rsidP="00E032BE">
      <w:pPr>
        <w:jc w:val="both"/>
        <w:rPr>
          <w:rFonts w:ascii="Arial" w:hAnsi="Arial" w:cs="Arial"/>
          <w:sz w:val="24"/>
          <w:szCs w:val="24"/>
        </w:rPr>
      </w:pPr>
      <w:r>
        <w:rPr>
          <w:rFonts w:ascii="Arial" w:hAnsi="Arial" w:cs="Arial"/>
          <w:sz w:val="24"/>
          <w:szCs w:val="24"/>
        </w:rPr>
        <w:t xml:space="preserve">De igual manera, se requiere modificar las instrucciones relacionadas con el </w:t>
      </w:r>
      <w:r w:rsidR="00915E13">
        <w:rPr>
          <w:rFonts w:ascii="Arial" w:hAnsi="Arial" w:cs="Arial"/>
          <w:sz w:val="24"/>
          <w:szCs w:val="24"/>
        </w:rPr>
        <w:t xml:space="preserve">proveedor </w:t>
      </w:r>
      <w:r>
        <w:rPr>
          <w:rFonts w:ascii="Arial" w:hAnsi="Arial" w:cs="Arial"/>
          <w:sz w:val="24"/>
          <w:szCs w:val="24"/>
        </w:rPr>
        <w:t>de los índices que hacen parte del Índice Agregado de Renta Variable Local para el cálculo de la rentabilidad mínima del portafolio de largo plazo de los fondos de cesantías y los fondos de pensiones obligatorias</w:t>
      </w:r>
      <w:r w:rsidR="005D7B8D">
        <w:rPr>
          <w:rFonts w:ascii="Arial" w:hAnsi="Arial" w:cs="Arial"/>
          <w:sz w:val="24"/>
          <w:szCs w:val="24"/>
        </w:rPr>
        <w:t>, atendiendo el cambio de proveedor del índice Colcap.</w:t>
      </w:r>
    </w:p>
    <w:p w14:paraId="35C1CD17" w14:textId="77777777" w:rsidR="000C03F6" w:rsidRDefault="000C03F6" w:rsidP="00E032BE">
      <w:pPr>
        <w:jc w:val="both"/>
        <w:rPr>
          <w:rFonts w:ascii="Arial" w:hAnsi="Arial" w:cs="Arial"/>
          <w:sz w:val="24"/>
          <w:szCs w:val="24"/>
        </w:rPr>
      </w:pPr>
    </w:p>
    <w:p w14:paraId="6780D62F" w14:textId="520C1D03" w:rsidR="00E032BE" w:rsidRDefault="00E032BE" w:rsidP="00E032BE">
      <w:pPr>
        <w:jc w:val="both"/>
        <w:rPr>
          <w:rFonts w:ascii="Arial" w:hAnsi="Arial" w:cs="Arial"/>
          <w:sz w:val="24"/>
          <w:szCs w:val="24"/>
        </w:rPr>
      </w:pPr>
      <w:r>
        <w:rPr>
          <w:rFonts w:ascii="Arial" w:hAnsi="Arial" w:cs="Arial"/>
          <w:sz w:val="24"/>
          <w:szCs w:val="24"/>
        </w:rPr>
        <w:t xml:space="preserve">Asimismo, resulta necesario ajustar las instrucciones relacionadas con las volatilidades calculadas por esta Superintendencia para efectos de los factores de sensibilidad al riesgo de mercado y los factores de crédito </w:t>
      </w:r>
      <w:r w:rsidR="00B75A3F">
        <w:rPr>
          <w:rFonts w:ascii="Arial" w:hAnsi="Arial" w:cs="Arial"/>
          <w:sz w:val="24"/>
          <w:szCs w:val="24"/>
        </w:rPr>
        <w:t xml:space="preserve">utilizados para el cálculo de la exposición </w:t>
      </w:r>
      <w:r w:rsidR="00B9741D">
        <w:rPr>
          <w:rFonts w:ascii="Arial" w:hAnsi="Arial" w:cs="Arial"/>
          <w:sz w:val="24"/>
          <w:szCs w:val="24"/>
        </w:rPr>
        <w:t>crediticia</w:t>
      </w:r>
      <w:r w:rsidR="00B75A3F">
        <w:rPr>
          <w:rFonts w:ascii="Arial" w:hAnsi="Arial" w:cs="Arial"/>
          <w:sz w:val="24"/>
          <w:szCs w:val="24"/>
        </w:rPr>
        <w:t xml:space="preserve"> de los instrumentos financieros derivados y productos estructurados.</w:t>
      </w:r>
    </w:p>
    <w:p w14:paraId="54A5BE7C" w14:textId="77777777" w:rsidR="00E032BE" w:rsidRDefault="00E032BE" w:rsidP="00E032BE">
      <w:pPr>
        <w:jc w:val="both"/>
        <w:rPr>
          <w:rFonts w:ascii="Arial" w:hAnsi="Arial" w:cs="Arial"/>
          <w:sz w:val="24"/>
          <w:szCs w:val="24"/>
        </w:rPr>
      </w:pPr>
    </w:p>
    <w:p w14:paraId="614184DD" w14:textId="48156152" w:rsidR="00E032BE" w:rsidRDefault="00E032BE" w:rsidP="00E032BE">
      <w:pPr>
        <w:jc w:val="both"/>
        <w:rPr>
          <w:rFonts w:ascii="Arial" w:hAnsi="Arial" w:cs="Arial"/>
          <w:sz w:val="24"/>
          <w:szCs w:val="24"/>
        </w:rPr>
      </w:pPr>
      <w:r>
        <w:rPr>
          <w:rFonts w:ascii="Arial" w:hAnsi="Arial" w:cs="Arial"/>
          <w:sz w:val="24"/>
          <w:szCs w:val="24"/>
        </w:rPr>
        <w:t>En consecuencia, este Despacho, en ejercicio de sus facultades legales y en particular las establecidas en el literal a) del numeral 3</w:t>
      </w:r>
      <w:r w:rsidR="00B75A3F">
        <w:rPr>
          <w:rFonts w:ascii="Arial" w:hAnsi="Arial" w:cs="Arial"/>
          <w:sz w:val="24"/>
          <w:szCs w:val="24"/>
        </w:rPr>
        <w:t>º</w:t>
      </w:r>
      <w:r>
        <w:rPr>
          <w:rFonts w:ascii="Arial" w:hAnsi="Arial" w:cs="Arial"/>
          <w:sz w:val="24"/>
          <w:szCs w:val="24"/>
        </w:rPr>
        <w:t xml:space="preserve"> del artículo 326 del EOSF, y los numerales 4º y 5º del artículo 11.2.1.4.2 del Decreto 2555 de 2010, imparte las siguientes instrucciones:</w:t>
      </w:r>
    </w:p>
    <w:p w14:paraId="7681011E" w14:textId="77777777" w:rsidR="000C03F6" w:rsidRDefault="000C03F6" w:rsidP="00E032BE">
      <w:pPr>
        <w:jc w:val="both"/>
        <w:rPr>
          <w:rFonts w:ascii="Arial" w:hAnsi="Arial" w:cs="Arial"/>
          <w:sz w:val="24"/>
          <w:szCs w:val="24"/>
        </w:rPr>
      </w:pPr>
    </w:p>
    <w:p w14:paraId="2992ED66" w14:textId="43C15127" w:rsidR="00E032BE" w:rsidRDefault="00E032BE" w:rsidP="00E032BE">
      <w:pPr>
        <w:jc w:val="both"/>
        <w:rPr>
          <w:rFonts w:ascii="Arial" w:hAnsi="Arial" w:cs="Arial"/>
          <w:bCs/>
          <w:sz w:val="24"/>
          <w:szCs w:val="24"/>
          <w:lang w:eastAsia="x-none"/>
        </w:rPr>
      </w:pPr>
      <w:r>
        <w:rPr>
          <w:rFonts w:ascii="Arial" w:hAnsi="Arial" w:cs="Arial"/>
          <w:b/>
          <w:sz w:val="24"/>
          <w:szCs w:val="24"/>
          <w:lang w:eastAsia="x-none"/>
        </w:rPr>
        <w:t xml:space="preserve">PRIMERA. </w:t>
      </w:r>
      <w:r>
        <w:rPr>
          <w:rFonts w:ascii="Arial" w:hAnsi="Arial" w:cs="Arial"/>
          <w:bCs/>
          <w:sz w:val="24"/>
          <w:szCs w:val="24"/>
          <w:lang w:eastAsia="x-none"/>
        </w:rPr>
        <w:t xml:space="preserve">Modificar los numerales 1.9 y 1.10 del Capítulo III del Título III de la Parte II de la Circular Básica Jurídica, relativos al cálculo de la rentabilidad mínima de los portafolios de los fondos de cesantías y </w:t>
      </w:r>
      <w:r w:rsidR="00CA4C8A">
        <w:rPr>
          <w:rFonts w:ascii="Arial" w:hAnsi="Arial" w:cs="Arial"/>
          <w:bCs/>
          <w:sz w:val="24"/>
          <w:szCs w:val="24"/>
          <w:lang w:eastAsia="x-none"/>
        </w:rPr>
        <w:t>los</w:t>
      </w:r>
      <w:r>
        <w:rPr>
          <w:rFonts w:ascii="Arial" w:hAnsi="Arial" w:cs="Arial"/>
          <w:bCs/>
          <w:sz w:val="24"/>
          <w:szCs w:val="24"/>
          <w:lang w:eastAsia="x-none"/>
        </w:rPr>
        <w:t xml:space="preserve"> Índice</w:t>
      </w:r>
      <w:r w:rsidR="00CA4C8A">
        <w:rPr>
          <w:rFonts w:ascii="Arial" w:hAnsi="Arial" w:cs="Arial"/>
          <w:bCs/>
          <w:sz w:val="24"/>
          <w:szCs w:val="24"/>
          <w:lang w:eastAsia="x-none"/>
        </w:rPr>
        <w:t>s</w:t>
      </w:r>
      <w:r>
        <w:rPr>
          <w:rFonts w:ascii="Arial" w:hAnsi="Arial" w:cs="Arial"/>
          <w:bCs/>
          <w:sz w:val="24"/>
          <w:szCs w:val="24"/>
          <w:lang w:eastAsia="x-none"/>
        </w:rPr>
        <w:t xml:space="preserve"> Agregado de Renta Variable Local</w:t>
      </w:r>
      <w:r w:rsidR="00CA4C8A">
        <w:rPr>
          <w:rFonts w:ascii="Arial" w:hAnsi="Arial" w:cs="Arial"/>
          <w:bCs/>
          <w:sz w:val="24"/>
          <w:szCs w:val="24"/>
          <w:lang w:eastAsia="x-none"/>
        </w:rPr>
        <w:t xml:space="preserve"> y Agregado de Renta Fija Local.</w:t>
      </w:r>
    </w:p>
    <w:p w14:paraId="04AA371A" w14:textId="77777777" w:rsidR="00E032BE" w:rsidRDefault="00E032BE" w:rsidP="00E032BE">
      <w:pPr>
        <w:jc w:val="both"/>
        <w:rPr>
          <w:rFonts w:ascii="Arial" w:hAnsi="Arial" w:cs="Arial"/>
          <w:bCs/>
          <w:sz w:val="24"/>
          <w:szCs w:val="24"/>
          <w:lang w:eastAsia="x-none"/>
        </w:rPr>
      </w:pPr>
    </w:p>
    <w:p w14:paraId="11109A25" w14:textId="3FD246F3" w:rsidR="00E032BE" w:rsidRDefault="00E032BE" w:rsidP="00E032BE">
      <w:pPr>
        <w:jc w:val="both"/>
        <w:rPr>
          <w:rFonts w:ascii="Arial" w:hAnsi="Arial" w:cs="Arial"/>
          <w:bCs/>
          <w:sz w:val="24"/>
          <w:szCs w:val="24"/>
        </w:rPr>
      </w:pPr>
      <w:r>
        <w:rPr>
          <w:rFonts w:ascii="Arial" w:hAnsi="Arial" w:cs="Arial"/>
          <w:b/>
          <w:sz w:val="24"/>
          <w:szCs w:val="24"/>
          <w:lang w:eastAsia="x-none"/>
        </w:rPr>
        <w:t>SEGUNDA.</w:t>
      </w:r>
      <w:r>
        <w:rPr>
          <w:rFonts w:ascii="Arial" w:hAnsi="Arial" w:cs="Arial"/>
          <w:bCs/>
          <w:sz w:val="24"/>
          <w:szCs w:val="24"/>
          <w:lang w:eastAsia="x-none"/>
        </w:rPr>
        <w:t xml:space="preserve"> Modificar </w:t>
      </w:r>
      <w:r w:rsidR="00230724">
        <w:rPr>
          <w:rFonts w:ascii="Arial" w:hAnsi="Arial" w:cs="Arial"/>
          <w:bCs/>
          <w:sz w:val="24"/>
          <w:szCs w:val="24"/>
          <w:lang w:eastAsia="x-none"/>
        </w:rPr>
        <w:t>los numerales 1.3 y</w:t>
      </w:r>
      <w:r>
        <w:rPr>
          <w:rFonts w:ascii="Arial" w:hAnsi="Arial" w:cs="Arial"/>
          <w:bCs/>
          <w:sz w:val="24"/>
          <w:szCs w:val="24"/>
          <w:lang w:eastAsia="x-none"/>
        </w:rPr>
        <w:t xml:space="preserve"> 1.4 del Anexo 3 del Capítulo XVIII de la Circular Básica Contable y Financiera, relativo</w:t>
      </w:r>
      <w:r w:rsidR="00184671">
        <w:rPr>
          <w:rFonts w:ascii="Arial" w:hAnsi="Arial" w:cs="Arial"/>
          <w:bCs/>
          <w:sz w:val="24"/>
          <w:szCs w:val="24"/>
          <w:lang w:eastAsia="x-none"/>
        </w:rPr>
        <w:t>s al cálculo de</w:t>
      </w:r>
      <w:r w:rsidR="00B2256F">
        <w:rPr>
          <w:rFonts w:ascii="Arial" w:hAnsi="Arial" w:cs="Arial"/>
          <w:bCs/>
          <w:sz w:val="24"/>
          <w:szCs w:val="24"/>
          <w:lang w:eastAsia="x-none"/>
        </w:rPr>
        <w:t xml:space="preserve"> la </w:t>
      </w:r>
      <w:r w:rsidR="000117CB">
        <w:rPr>
          <w:rFonts w:ascii="Arial" w:hAnsi="Arial" w:cs="Arial"/>
          <w:bCs/>
          <w:sz w:val="24"/>
          <w:szCs w:val="24"/>
          <w:lang w:eastAsia="x-none"/>
        </w:rPr>
        <w:t xml:space="preserve">exposición crediticia y </w:t>
      </w:r>
      <w:r>
        <w:rPr>
          <w:rFonts w:ascii="Arial" w:hAnsi="Arial" w:cs="Arial"/>
          <w:bCs/>
          <w:sz w:val="24"/>
          <w:szCs w:val="24"/>
          <w:lang w:eastAsia="x-none"/>
        </w:rPr>
        <w:t>a las volatilidades diarias estresadas utilizadas para el cálculo de la Exposición Potencial Futura de los instrumentos financieros derivados</w:t>
      </w:r>
      <w:r w:rsidR="00B9741D">
        <w:rPr>
          <w:rFonts w:ascii="Arial" w:hAnsi="Arial" w:cs="Arial"/>
          <w:bCs/>
          <w:sz w:val="24"/>
          <w:szCs w:val="24"/>
          <w:lang w:eastAsia="x-none"/>
        </w:rPr>
        <w:t xml:space="preserve"> y productos estructurados.</w:t>
      </w:r>
    </w:p>
    <w:p w14:paraId="44F62BAC" w14:textId="77777777" w:rsidR="00E032BE" w:rsidRDefault="00E032BE" w:rsidP="00E032BE">
      <w:pPr>
        <w:jc w:val="both"/>
        <w:rPr>
          <w:rFonts w:ascii="Arial" w:hAnsi="Arial" w:cs="Arial"/>
          <w:bCs/>
          <w:sz w:val="24"/>
          <w:szCs w:val="24"/>
          <w:lang w:eastAsia="x-none"/>
        </w:rPr>
      </w:pPr>
    </w:p>
    <w:p w14:paraId="32F64219" w14:textId="77777777" w:rsidR="00E032BE" w:rsidRDefault="00E032BE" w:rsidP="00E032BE">
      <w:pPr>
        <w:jc w:val="both"/>
        <w:rPr>
          <w:rFonts w:ascii="Arial" w:hAnsi="Arial" w:cs="Arial"/>
          <w:bCs/>
          <w:sz w:val="24"/>
          <w:szCs w:val="24"/>
        </w:rPr>
      </w:pPr>
      <w:r>
        <w:rPr>
          <w:rFonts w:ascii="Arial" w:hAnsi="Arial" w:cs="Arial"/>
          <w:b/>
          <w:sz w:val="24"/>
          <w:szCs w:val="24"/>
          <w:lang w:eastAsia="x-none"/>
        </w:rPr>
        <w:t>TERCERA.</w:t>
      </w:r>
      <w:r>
        <w:rPr>
          <w:rFonts w:ascii="Arial" w:hAnsi="Arial" w:cs="Arial"/>
          <w:bCs/>
          <w:sz w:val="24"/>
          <w:szCs w:val="24"/>
          <w:lang w:eastAsia="x-none"/>
        </w:rPr>
        <w:t xml:space="preserve"> Modificar los numerales 1.4.1 y 1.6 del Anexo 2 del Capítulo XXI de la Circular Básica Contable y Financiera, relativos a los factores de riesgo de acciones.</w:t>
      </w:r>
    </w:p>
    <w:bookmarkEnd w:id="0"/>
    <w:bookmarkEnd w:id="2"/>
    <w:p w14:paraId="1F8CFC15" w14:textId="5EF13725" w:rsidR="00511A1F" w:rsidRDefault="00511A1F" w:rsidP="001970DB">
      <w:pPr>
        <w:widowControl w:val="0"/>
        <w:adjustRightInd w:val="0"/>
        <w:jc w:val="both"/>
        <w:rPr>
          <w:rFonts w:ascii="Arial" w:hAnsi="Arial" w:cs="Arial"/>
          <w:sz w:val="24"/>
          <w:szCs w:val="24"/>
        </w:rPr>
      </w:pPr>
    </w:p>
    <w:p w14:paraId="05DF7689" w14:textId="49869956" w:rsidR="00536B64" w:rsidRDefault="007F43A5" w:rsidP="007F43A5">
      <w:pPr>
        <w:pStyle w:val="paragraph"/>
        <w:spacing w:before="0" w:beforeAutospacing="0" w:after="0" w:afterAutospacing="0"/>
        <w:jc w:val="both"/>
        <w:textAlignment w:val="baseline"/>
        <w:rPr>
          <w:rFonts w:ascii="Arial" w:hAnsi="Arial" w:cs="Arial"/>
        </w:rPr>
      </w:pPr>
      <w:r w:rsidRPr="007F43A5">
        <w:rPr>
          <w:rFonts w:ascii="Arial" w:hAnsi="Arial" w:cs="Arial"/>
          <w:b/>
          <w:bCs/>
        </w:rPr>
        <w:t>CUARTA.</w:t>
      </w:r>
      <w:r>
        <w:rPr>
          <w:rFonts w:ascii="Arial" w:hAnsi="Arial" w:cs="Arial"/>
        </w:rPr>
        <w:t xml:space="preserve"> </w:t>
      </w:r>
      <w:r w:rsidR="00536B64" w:rsidRPr="00536B64">
        <w:rPr>
          <w:rFonts w:ascii="Arial" w:hAnsi="Arial" w:cs="Arial"/>
        </w:rPr>
        <w:t xml:space="preserve">Modificar la instrucción </w:t>
      </w:r>
      <w:r w:rsidR="00DF3B17">
        <w:rPr>
          <w:rFonts w:ascii="Arial" w:hAnsi="Arial" w:cs="Arial"/>
        </w:rPr>
        <w:t>quinta</w:t>
      </w:r>
      <w:r w:rsidR="00536B64" w:rsidRPr="00536B64">
        <w:rPr>
          <w:rFonts w:ascii="Arial" w:hAnsi="Arial" w:cs="Arial"/>
        </w:rPr>
        <w:t xml:space="preserve"> de la Circular Externa 0</w:t>
      </w:r>
      <w:r w:rsidR="006F48DC">
        <w:rPr>
          <w:rFonts w:ascii="Arial" w:hAnsi="Arial" w:cs="Arial"/>
        </w:rPr>
        <w:t>31</w:t>
      </w:r>
      <w:r w:rsidR="00536B64" w:rsidRPr="00536B64">
        <w:rPr>
          <w:rFonts w:ascii="Arial" w:hAnsi="Arial" w:cs="Arial"/>
        </w:rPr>
        <w:t xml:space="preserve"> de 20</w:t>
      </w:r>
      <w:r w:rsidR="006F48DC">
        <w:rPr>
          <w:rFonts w:ascii="Arial" w:hAnsi="Arial" w:cs="Arial"/>
        </w:rPr>
        <w:t>19</w:t>
      </w:r>
      <w:r w:rsidR="00536B64" w:rsidRPr="00536B64">
        <w:rPr>
          <w:rFonts w:ascii="Arial" w:hAnsi="Arial" w:cs="Arial"/>
        </w:rPr>
        <w:t>, la cual quedara así:</w:t>
      </w:r>
    </w:p>
    <w:p w14:paraId="03EFA969" w14:textId="77777777" w:rsidR="00536B64" w:rsidRDefault="00536B64" w:rsidP="007F43A5">
      <w:pPr>
        <w:pStyle w:val="paragraph"/>
        <w:spacing w:before="0" w:beforeAutospacing="0" w:after="0" w:afterAutospacing="0"/>
        <w:jc w:val="both"/>
        <w:textAlignment w:val="baseline"/>
        <w:rPr>
          <w:rFonts w:ascii="Arial" w:hAnsi="Arial" w:cs="Arial"/>
        </w:rPr>
      </w:pPr>
    </w:p>
    <w:p w14:paraId="19011CF1" w14:textId="68D30EE7" w:rsidR="007F43A5" w:rsidRPr="007F43A5" w:rsidRDefault="007F43A5" w:rsidP="007F43A5">
      <w:pPr>
        <w:pStyle w:val="paragraph"/>
        <w:spacing w:before="0" w:beforeAutospacing="0" w:after="0" w:afterAutospacing="0"/>
        <w:jc w:val="both"/>
        <w:textAlignment w:val="baseline"/>
        <w:rPr>
          <w:rFonts w:ascii="Segoe UI" w:hAnsi="Segoe UI" w:cs="Segoe UI"/>
          <w:sz w:val="18"/>
          <w:szCs w:val="18"/>
          <w:lang w:eastAsia="en-US"/>
        </w:rPr>
      </w:pPr>
      <w:r w:rsidRPr="007F43A5">
        <w:rPr>
          <w:rFonts w:ascii="Arial" w:hAnsi="Arial" w:cs="Arial"/>
          <w:lang w:eastAsia="en-US"/>
        </w:rPr>
        <w:t xml:space="preserve">El </w:t>
      </w:r>
      <w:r w:rsidR="00FB6A9E">
        <w:rPr>
          <w:rFonts w:ascii="Arial" w:hAnsi="Arial" w:cs="Arial"/>
          <w:lang w:eastAsia="en-US"/>
        </w:rPr>
        <w:t>F</w:t>
      </w:r>
      <w:r w:rsidRPr="007F43A5">
        <w:rPr>
          <w:rFonts w:ascii="Arial" w:hAnsi="Arial" w:cs="Arial"/>
          <w:lang w:eastAsia="en-US"/>
        </w:rPr>
        <w:t xml:space="preserve">actor de ajuste </w:t>
      </w:r>
      <w:r w:rsidR="00FB6A9E">
        <w:rPr>
          <w:rFonts w:ascii="Arial" w:hAnsi="Arial" w:cs="Arial"/>
          <w:lang w:eastAsia="en-US"/>
        </w:rPr>
        <w:t xml:space="preserve">(FA) </w:t>
      </w:r>
      <w:r w:rsidRPr="007F43A5">
        <w:rPr>
          <w:rFonts w:ascii="Arial" w:hAnsi="Arial" w:cs="Arial"/>
          <w:lang w:eastAsia="en-US"/>
        </w:rPr>
        <w:t>in</w:t>
      </w:r>
      <w:r w:rsidR="00FB6A9E">
        <w:rPr>
          <w:rFonts w:ascii="Arial" w:hAnsi="Arial" w:cs="Arial"/>
          <w:lang w:eastAsia="en-US"/>
        </w:rPr>
        <w:t>cluido</w:t>
      </w:r>
      <w:r w:rsidRPr="007F43A5">
        <w:rPr>
          <w:rFonts w:ascii="Arial" w:hAnsi="Arial" w:cs="Arial"/>
          <w:lang w:eastAsia="en-US"/>
        </w:rPr>
        <w:t xml:space="preserve"> en la fórmula de cálculo de la exposición crediticia establecid</w:t>
      </w:r>
      <w:r w:rsidR="00BB124F">
        <w:rPr>
          <w:rFonts w:ascii="Arial" w:hAnsi="Arial" w:cs="Arial"/>
          <w:lang w:eastAsia="en-US"/>
        </w:rPr>
        <w:t>a</w:t>
      </w:r>
      <w:r w:rsidRPr="007F43A5">
        <w:rPr>
          <w:rFonts w:ascii="Arial" w:hAnsi="Arial" w:cs="Arial"/>
          <w:lang w:eastAsia="en-US"/>
        </w:rPr>
        <w:t xml:space="preserve"> en los subnumerales 1.1 y 1.2. del Anexo 3 del Capítulo XVIII será implementado gradualmente, según la tabla siguiente. </w:t>
      </w:r>
    </w:p>
    <w:p w14:paraId="5AC01A8C" w14:textId="77777777" w:rsidR="007F43A5" w:rsidRPr="007F43A5" w:rsidRDefault="007F43A5" w:rsidP="007F43A5">
      <w:pPr>
        <w:jc w:val="both"/>
        <w:textAlignment w:val="baseline"/>
        <w:rPr>
          <w:rFonts w:ascii="Segoe UI" w:hAnsi="Segoe UI" w:cs="Segoe UI"/>
          <w:sz w:val="18"/>
          <w:szCs w:val="18"/>
          <w:lang w:val="es-CO" w:eastAsia="en-US"/>
        </w:rPr>
      </w:pPr>
      <w:r w:rsidRPr="007F43A5">
        <w:rPr>
          <w:rFonts w:ascii="Arial" w:hAnsi="Arial" w:cs="Arial"/>
          <w:sz w:val="24"/>
          <w:szCs w:val="24"/>
          <w:lang w:val="es-CO" w:eastAsia="en-US"/>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2250"/>
      </w:tblGrid>
      <w:tr w:rsidR="007F43A5" w:rsidRPr="007F43A5" w14:paraId="0DD314A1" w14:textId="77777777" w:rsidTr="007F43A5">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16C75443" w14:textId="67F6277F" w:rsidR="007F43A5" w:rsidRPr="007F43A5" w:rsidRDefault="007F43A5" w:rsidP="007F43A5">
            <w:pPr>
              <w:jc w:val="both"/>
              <w:textAlignment w:val="baseline"/>
              <w:rPr>
                <w:sz w:val="24"/>
                <w:szCs w:val="24"/>
                <w:lang w:val="es-CO" w:eastAsia="en-US"/>
              </w:rPr>
            </w:pPr>
            <w:r w:rsidRPr="007F43A5">
              <w:rPr>
                <w:rFonts w:ascii="Arial" w:hAnsi="Arial" w:cs="Arial"/>
                <w:b/>
                <w:bCs/>
                <w:sz w:val="24"/>
                <w:szCs w:val="24"/>
                <w:lang w:val="es-CO" w:eastAsia="en-US"/>
              </w:rPr>
              <w:t>Periodo de cálculo de la EC </w:t>
            </w:r>
            <w:r w:rsidRPr="007F43A5">
              <w:rPr>
                <w:rFonts w:ascii="Arial" w:hAnsi="Arial" w:cs="Arial"/>
                <w:sz w:val="24"/>
                <w:szCs w:val="24"/>
                <w:lang w:val="es-CO" w:eastAsia="en-US"/>
              </w:rPr>
              <w:t> </w:t>
            </w:r>
          </w:p>
        </w:tc>
        <w:tc>
          <w:tcPr>
            <w:tcW w:w="2250" w:type="dxa"/>
            <w:tcBorders>
              <w:top w:val="single" w:sz="6" w:space="0" w:color="auto"/>
              <w:left w:val="nil"/>
              <w:bottom w:val="single" w:sz="6" w:space="0" w:color="auto"/>
              <w:right w:val="single" w:sz="6" w:space="0" w:color="auto"/>
            </w:tcBorders>
            <w:shd w:val="clear" w:color="auto" w:fill="auto"/>
            <w:hideMark/>
          </w:tcPr>
          <w:p w14:paraId="77F85B4A" w14:textId="77777777" w:rsidR="007F43A5" w:rsidRPr="007F43A5" w:rsidRDefault="007F43A5" w:rsidP="007F43A5">
            <w:pPr>
              <w:jc w:val="center"/>
              <w:textAlignment w:val="baseline"/>
              <w:rPr>
                <w:sz w:val="24"/>
                <w:szCs w:val="24"/>
                <w:lang w:val="en-US" w:eastAsia="en-US"/>
              </w:rPr>
            </w:pPr>
            <w:r w:rsidRPr="007F43A5">
              <w:rPr>
                <w:rFonts w:ascii="Arial" w:hAnsi="Arial" w:cs="Arial"/>
                <w:b/>
                <w:bCs/>
                <w:sz w:val="24"/>
                <w:szCs w:val="24"/>
                <w:lang w:val="es-CO" w:eastAsia="en-US"/>
              </w:rPr>
              <w:t>Factor de ajuste</w:t>
            </w:r>
            <w:r w:rsidRPr="007F43A5">
              <w:rPr>
                <w:rFonts w:ascii="Arial" w:hAnsi="Arial" w:cs="Arial"/>
                <w:sz w:val="24"/>
                <w:szCs w:val="24"/>
                <w:lang w:val="en-US" w:eastAsia="en-US"/>
              </w:rPr>
              <w:t> </w:t>
            </w:r>
          </w:p>
        </w:tc>
      </w:tr>
      <w:tr w:rsidR="007F43A5" w:rsidRPr="007F43A5" w14:paraId="5947FEB7" w14:textId="77777777" w:rsidTr="007F43A5">
        <w:tc>
          <w:tcPr>
            <w:tcW w:w="5535" w:type="dxa"/>
            <w:tcBorders>
              <w:top w:val="nil"/>
              <w:left w:val="single" w:sz="6" w:space="0" w:color="auto"/>
              <w:bottom w:val="single" w:sz="6" w:space="0" w:color="auto"/>
              <w:right w:val="single" w:sz="6" w:space="0" w:color="auto"/>
            </w:tcBorders>
            <w:shd w:val="clear" w:color="auto" w:fill="auto"/>
            <w:hideMark/>
          </w:tcPr>
          <w:p w14:paraId="75CB29F2" w14:textId="77777777" w:rsidR="007F43A5" w:rsidRPr="007F43A5" w:rsidRDefault="007F43A5" w:rsidP="007F43A5">
            <w:pPr>
              <w:jc w:val="both"/>
              <w:textAlignment w:val="baseline"/>
              <w:rPr>
                <w:sz w:val="24"/>
                <w:szCs w:val="24"/>
                <w:lang w:val="en-US" w:eastAsia="en-US"/>
              </w:rPr>
            </w:pPr>
            <w:r w:rsidRPr="007F43A5">
              <w:rPr>
                <w:rFonts w:ascii="Arial" w:hAnsi="Arial" w:cs="Arial"/>
                <w:sz w:val="24"/>
                <w:szCs w:val="24"/>
                <w:lang w:val="es-CO" w:eastAsia="en-US"/>
              </w:rPr>
              <w:t>Hasta diciembre 31 de 2021</w:t>
            </w:r>
            <w:r w:rsidRPr="007F43A5">
              <w:rPr>
                <w:rFonts w:ascii="Arial" w:hAnsi="Arial" w:cs="Arial"/>
                <w:sz w:val="24"/>
                <w:szCs w:val="24"/>
                <w:lang w:val="en-US" w:eastAsia="en-US"/>
              </w:rPr>
              <w:t> </w:t>
            </w:r>
          </w:p>
        </w:tc>
        <w:tc>
          <w:tcPr>
            <w:tcW w:w="2250" w:type="dxa"/>
            <w:tcBorders>
              <w:top w:val="nil"/>
              <w:left w:val="nil"/>
              <w:bottom w:val="single" w:sz="6" w:space="0" w:color="auto"/>
              <w:right w:val="single" w:sz="6" w:space="0" w:color="auto"/>
            </w:tcBorders>
            <w:shd w:val="clear" w:color="auto" w:fill="auto"/>
            <w:vAlign w:val="center"/>
            <w:hideMark/>
          </w:tcPr>
          <w:p w14:paraId="0E15115E" w14:textId="77777777" w:rsidR="007F43A5" w:rsidRPr="007F43A5" w:rsidRDefault="007F43A5" w:rsidP="007F43A5">
            <w:pPr>
              <w:jc w:val="center"/>
              <w:textAlignment w:val="baseline"/>
              <w:rPr>
                <w:sz w:val="24"/>
                <w:szCs w:val="24"/>
                <w:lang w:val="en-US" w:eastAsia="en-US"/>
              </w:rPr>
            </w:pPr>
            <w:r w:rsidRPr="007F43A5">
              <w:rPr>
                <w:rFonts w:ascii="Arial" w:hAnsi="Arial" w:cs="Arial"/>
                <w:sz w:val="24"/>
                <w:szCs w:val="24"/>
                <w:lang w:val="es-CO" w:eastAsia="en-US"/>
              </w:rPr>
              <w:t>1.2</w:t>
            </w:r>
            <w:r w:rsidRPr="007F43A5">
              <w:rPr>
                <w:rFonts w:ascii="Arial" w:hAnsi="Arial" w:cs="Arial"/>
                <w:sz w:val="24"/>
                <w:szCs w:val="24"/>
                <w:lang w:val="en-US" w:eastAsia="en-US"/>
              </w:rPr>
              <w:t> </w:t>
            </w:r>
          </w:p>
        </w:tc>
      </w:tr>
      <w:tr w:rsidR="007F43A5" w:rsidRPr="007F43A5" w14:paraId="7753E29F" w14:textId="77777777" w:rsidTr="007F43A5">
        <w:tc>
          <w:tcPr>
            <w:tcW w:w="5535" w:type="dxa"/>
            <w:tcBorders>
              <w:top w:val="nil"/>
              <w:left w:val="single" w:sz="6" w:space="0" w:color="auto"/>
              <w:bottom w:val="single" w:sz="6" w:space="0" w:color="auto"/>
              <w:right w:val="single" w:sz="6" w:space="0" w:color="auto"/>
            </w:tcBorders>
            <w:shd w:val="clear" w:color="auto" w:fill="auto"/>
            <w:hideMark/>
          </w:tcPr>
          <w:p w14:paraId="3A039BD5" w14:textId="77777777" w:rsidR="007F43A5" w:rsidRPr="007F43A5" w:rsidRDefault="007F43A5" w:rsidP="007F43A5">
            <w:pPr>
              <w:jc w:val="both"/>
              <w:textAlignment w:val="baseline"/>
              <w:rPr>
                <w:sz w:val="24"/>
                <w:szCs w:val="24"/>
                <w:lang w:val="es-CO" w:eastAsia="en-US"/>
              </w:rPr>
            </w:pPr>
            <w:r w:rsidRPr="007F43A5">
              <w:rPr>
                <w:rFonts w:ascii="Arial" w:hAnsi="Arial" w:cs="Arial"/>
                <w:sz w:val="24"/>
                <w:szCs w:val="24"/>
                <w:lang w:val="es-CO" w:eastAsia="en-US"/>
              </w:rPr>
              <w:t>A partir de enero 1 de 2022 </w:t>
            </w:r>
          </w:p>
        </w:tc>
        <w:tc>
          <w:tcPr>
            <w:tcW w:w="2250" w:type="dxa"/>
            <w:tcBorders>
              <w:top w:val="nil"/>
              <w:left w:val="nil"/>
              <w:bottom w:val="single" w:sz="6" w:space="0" w:color="auto"/>
              <w:right w:val="single" w:sz="6" w:space="0" w:color="auto"/>
            </w:tcBorders>
            <w:shd w:val="clear" w:color="auto" w:fill="auto"/>
            <w:vAlign w:val="center"/>
            <w:hideMark/>
          </w:tcPr>
          <w:p w14:paraId="377DFCB1" w14:textId="77777777" w:rsidR="007F43A5" w:rsidRPr="007F43A5" w:rsidRDefault="007F43A5" w:rsidP="007F43A5">
            <w:pPr>
              <w:jc w:val="center"/>
              <w:textAlignment w:val="baseline"/>
              <w:rPr>
                <w:sz w:val="24"/>
                <w:szCs w:val="24"/>
                <w:lang w:val="en-US" w:eastAsia="en-US"/>
              </w:rPr>
            </w:pPr>
            <w:r w:rsidRPr="007F43A5">
              <w:rPr>
                <w:rFonts w:ascii="Arial" w:hAnsi="Arial" w:cs="Arial"/>
                <w:sz w:val="24"/>
                <w:szCs w:val="24"/>
                <w:lang w:val="es-CO" w:eastAsia="en-US"/>
              </w:rPr>
              <w:t>1.4</w:t>
            </w:r>
            <w:r w:rsidRPr="007F43A5">
              <w:rPr>
                <w:rFonts w:ascii="Arial" w:hAnsi="Arial" w:cs="Arial"/>
                <w:sz w:val="24"/>
                <w:szCs w:val="24"/>
                <w:lang w:val="en-US" w:eastAsia="en-US"/>
              </w:rPr>
              <w:t> </w:t>
            </w:r>
          </w:p>
        </w:tc>
      </w:tr>
    </w:tbl>
    <w:p w14:paraId="66DD74E2" w14:textId="4BB5474B" w:rsidR="007F43A5" w:rsidRDefault="007F43A5" w:rsidP="001970DB">
      <w:pPr>
        <w:widowControl w:val="0"/>
        <w:adjustRightInd w:val="0"/>
        <w:jc w:val="both"/>
        <w:rPr>
          <w:rFonts w:ascii="Arial" w:hAnsi="Arial" w:cs="Arial"/>
          <w:sz w:val="24"/>
          <w:szCs w:val="24"/>
        </w:rPr>
      </w:pPr>
    </w:p>
    <w:p w14:paraId="047CD3ED" w14:textId="77777777" w:rsidR="00DF3B17" w:rsidRPr="007F43A5" w:rsidRDefault="00DF3B17" w:rsidP="001970DB">
      <w:pPr>
        <w:widowControl w:val="0"/>
        <w:adjustRightInd w:val="0"/>
        <w:jc w:val="both"/>
        <w:rPr>
          <w:rFonts w:ascii="Arial" w:hAnsi="Arial" w:cs="Arial"/>
          <w:sz w:val="24"/>
          <w:szCs w:val="24"/>
        </w:rPr>
      </w:pPr>
    </w:p>
    <w:p w14:paraId="170E715D" w14:textId="7824950A" w:rsidR="00F310FE" w:rsidRPr="00F310FE" w:rsidRDefault="00695CB0" w:rsidP="00F310FE">
      <w:pPr>
        <w:jc w:val="both"/>
        <w:rPr>
          <w:rFonts w:ascii="Arial" w:hAnsi="Arial" w:cs="Arial"/>
          <w:bCs/>
          <w:sz w:val="24"/>
          <w:szCs w:val="24"/>
          <w:lang w:eastAsia="x-none"/>
        </w:rPr>
      </w:pPr>
      <w:r w:rsidRPr="00D807A7">
        <w:rPr>
          <w:rFonts w:ascii="Arial" w:hAnsi="Arial" w:cs="Arial"/>
          <w:sz w:val="24"/>
          <w:szCs w:val="24"/>
        </w:rPr>
        <w:t>La presente Circular rige a partir de su expedición</w:t>
      </w:r>
      <w:r w:rsidR="00F310FE">
        <w:rPr>
          <w:rFonts w:ascii="Arial" w:hAnsi="Arial" w:cs="Arial"/>
          <w:sz w:val="24"/>
          <w:szCs w:val="24"/>
        </w:rPr>
        <w:t>, con excepción de las</w:t>
      </w:r>
      <w:r w:rsidR="00F310FE" w:rsidRPr="00D807A7">
        <w:rPr>
          <w:rFonts w:ascii="Arial" w:hAnsi="Arial" w:cs="Arial"/>
          <w:sz w:val="24"/>
          <w:szCs w:val="24"/>
        </w:rPr>
        <w:t xml:space="preserve"> instrucciones </w:t>
      </w:r>
      <w:r w:rsidR="00F310FE">
        <w:rPr>
          <w:rFonts w:ascii="Arial" w:hAnsi="Arial" w:cs="Arial"/>
          <w:sz w:val="24"/>
          <w:szCs w:val="24"/>
        </w:rPr>
        <w:t>s</w:t>
      </w:r>
      <w:r w:rsidR="00F310FE" w:rsidRPr="00D807A7">
        <w:rPr>
          <w:rFonts w:ascii="Arial" w:hAnsi="Arial" w:cs="Arial"/>
          <w:sz w:val="24"/>
          <w:szCs w:val="24"/>
        </w:rPr>
        <w:t>egunda</w:t>
      </w:r>
      <w:r w:rsidR="00B76CC9">
        <w:rPr>
          <w:rFonts w:ascii="Arial" w:hAnsi="Arial" w:cs="Arial"/>
          <w:sz w:val="24"/>
          <w:szCs w:val="24"/>
        </w:rPr>
        <w:t xml:space="preserve">, </w:t>
      </w:r>
      <w:r w:rsidR="00F310FE">
        <w:rPr>
          <w:rFonts w:ascii="Arial" w:hAnsi="Arial" w:cs="Arial"/>
          <w:sz w:val="24"/>
          <w:szCs w:val="24"/>
        </w:rPr>
        <w:t>t</w:t>
      </w:r>
      <w:r w:rsidR="00F310FE" w:rsidRPr="00D807A7">
        <w:rPr>
          <w:rFonts w:ascii="Arial" w:hAnsi="Arial" w:cs="Arial"/>
          <w:sz w:val="24"/>
          <w:szCs w:val="24"/>
        </w:rPr>
        <w:t xml:space="preserve">ercera </w:t>
      </w:r>
      <w:r w:rsidR="00B76CC9">
        <w:rPr>
          <w:rFonts w:ascii="Arial" w:hAnsi="Arial" w:cs="Arial"/>
          <w:sz w:val="24"/>
          <w:szCs w:val="24"/>
        </w:rPr>
        <w:t xml:space="preserve">y cuarta </w:t>
      </w:r>
      <w:r w:rsidR="00F310FE">
        <w:rPr>
          <w:rFonts w:ascii="Arial" w:hAnsi="Arial" w:cs="Arial"/>
          <w:sz w:val="24"/>
          <w:szCs w:val="24"/>
        </w:rPr>
        <w:t>que</w:t>
      </w:r>
      <w:r w:rsidR="00F310FE" w:rsidRPr="00D807A7">
        <w:rPr>
          <w:rFonts w:ascii="Arial" w:hAnsi="Arial" w:cs="Arial"/>
          <w:sz w:val="24"/>
          <w:szCs w:val="24"/>
        </w:rPr>
        <w:t xml:space="preserve"> </w:t>
      </w:r>
      <w:proofErr w:type="gramStart"/>
      <w:r w:rsidR="00F310FE" w:rsidRPr="00D807A7">
        <w:rPr>
          <w:rFonts w:ascii="Arial" w:hAnsi="Arial" w:cs="Arial"/>
          <w:sz w:val="24"/>
          <w:szCs w:val="24"/>
        </w:rPr>
        <w:t>entrarán en vigencia</w:t>
      </w:r>
      <w:proofErr w:type="gramEnd"/>
      <w:r w:rsidR="00F310FE" w:rsidRPr="00D807A7">
        <w:rPr>
          <w:rFonts w:ascii="Arial" w:hAnsi="Arial" w:cs="Arial"/>
          <w:sz w:val="24"/>
          <w:szCs w:val="24"/>
        </w:rPr>
        <w:t xml:space="preserve"> a partir del 1 de junio del presente año.</w:t>
      </w:r>
    </w:p>
    <w:p w14:paraId="41AD5C8A" w14:textId="201FACBE" w:rsidR="00695CB0" w:rsidRPr="00D807A7" w:rsidRDefault="00695CB0" w:rsidP="00695CB0">
      <w:pPr>
        <w:jc w:val="both"/>
        <w:rPr>
          <w:rFonts w:ascii="Arial" w:hAnsi="Arial" w:cs="Arial"/>
          <w:b/>
          <w:sz w:val="24"/>
          <w:szCs w:val="24"/>
        </w:rPr>
      </w:pPr>
    </w:p>
    <w:p w14:paraId="23819CF9" w14:textId="77777777" w:rsidR="00695CB0" w:rsidRPr="00D807A7" w:rsidRDefault="00695CB0" w:rsidP="00695CB0">
      <w:pPr>
        <w:jc w:val="both"/>
        <w:rPr>
          <w:rFonts w:ascii="Arial" w:hAnsi="Arial" w:cs="Arial"/>
          <w:b/>
          <w:sz w:val="24"/>
          <w:szCs w:val="24"/>
        </w:rPr>
      </w:pPr>
    </w:p>
    <w:p w14:paraId="3E6FD21A" w14:textId="77777777" w:rsidR="00695CB0" w:rsidRPr="00D807A7" w:rsidRDefault="00695CB0" w:rsidP="00695CB0">
      <w:pPr>
        <w:tabs>
          <w:tab w:val="left" w:pos="6960"/>
        </w:tabs>
        <w:jc w:val="both"/>
        <w:rPr>
          <w:rFonts w:ascii="Arial" w:hAnsi="Arial" w:cs="Arial"/>
          <w:sz w:val="24"/>
          <w:szCs w:val="24"/>
        </w:rPr>
      </w:pPr>
      <w:r w:rsidRPr="00D807A7">
        <w:rPr>
          <w:rFonts w:ascii="Arial" w:hAnsi="Arial" w:cs="Arial"/>
          <w:sz w:val="24"/>
          <w:szCs w:val="24"/>
        </w:rPr>
        <w:t>Se anexan las páginas objeto de modificación.</w:t>
      </w:r>
    </w:p>
    <w:p w14:paraId="62DBFA86" w14:textId="77777777" w:rsidR="00695CB0" w:rsidRPr="00D807A7" w:rsidRDefault="00695CB0" w:rsidP="00695CB0">
      <w:pPr>
        <w:tabs>
          <w:tab w:val="left" w:pos="6960"/>
        </w:tabs>
        <w:jc w:val="both"/>
        <w:rPr>
          <w:rFonts w:ascii="Arial" w:hAnsi="Arial" w:cs="Arial"/>
          <w:sz w:val="24"/>
          <w:szCs w:val="24"/>
        </w:rPr>
      </w:pPr>
    </w:p>
    <w:p w14:paraId="2C26C0AC" w14:textId="77777777" w:rsidR="00695CB0" w:rsidRPr="00D807A7" w:rsidRDefault="00695CB0" w:rsidP="00695CB0">
      <w:pPr>
        <w:widowControl w:val="0"/>
        <w:adjustRightInd w:val="0"/>
        <w:jc w:val="both"/>
        <w:rPr>
          <w:rFonts w:ascii="Arial" w:hAnsi="Arial" w:cs="Arial"/>
          <w:sz w:val="24"/>
          <w:szCs w:val="24"/>
        </w:rPr>
      </w:pPr>
      <w:r w:rsidRPr="00D807A7">
        <w:rPr>
          <w:rFonts w:ascii="Arial" w:hAnsi="Arial" w:cs="Arial"/>
          <w:sz w:val="24"/>
          <w:szCs w:val="24"/>
        </w:rPr>
        <w:t>Cordialmente,</w:t>
      </w:r>
    </w:p>
    <w:p w14:paraId="5F42A8EF" w14:textId="62666786" w:rsidR="00F2678E" w:rsidRDefault="00F2678E" w:rsidP="001970DB">
      <w:pPr>
        <w:widowControl w:val="0"/>
        <w:adjustRightInd w:val="0"/>
        <w:jc w:val="both"/>
        <w:rPr>
          <w:rFonts w:ascii="Arial" w:hAnsi="Arial" w:cs="Arial"/>
          <w:sz w:val="24"/>
          <w:szCs w:val="24"/>
        </w:rPr>
      </w:pPr>
    </w:p>
    <w:p w14:paraId="0D9E7279" w14:textId="1F1836B9" w:rsidR="00C6767B" w:rsidRDefault="00C6767B" w:rsidP="001970DB">
      <w:pPr>
        <w:widowControl w:val="0"/>
        <w:adjustRightInd w:val="0"/>
        <w:jc w:val="both"/>
        <w:rPr>
          <w:rFonts w:ascii="Arial" w:hAnsi="Arial" w:cs="Arial"/>
          <w:sz w:val="24"/>
          <w:szCs w:val="24"/>
        </w:rPr>
      </w:pPr>
    </w:p>
    <w:p w14:paraId="7EF80D27" w14:textId="08745F95" w:rsidR="00C6767B" w:rsidRDefault="00C6767B" w:rsidP="001970DB">
      <w:pPr>
        <w:widowControl w:val="0"/>
        <w:adjustRightInd w:val="0"/>
        <w:jc w:val="both"/>
        <w:rPr>
          <w:rFonts w:ascii="Arial" w:hAnsi="Arial" w:cs="Arial"/>
          <w:sz w:val="24"/>
          <w:szCs w:val="24"/>
        </w:rPr>
      </w:pPr>
    </w:p>
    <w:p w14:paraId="73839DA2" w14:textId="77777777" w:rsidR="00C6767B" w:rsidRPr="00D807A7" w:rsidRDefault="00C6767B" w:rsidP="001970DB">
      <w:pPr>
        <w:widowControl w:val="0"/>
        <w:adjustRightInd w:val="0"/>
        <w:jc w:val="both"/>
        <w:rPr>
          <w:rFonts w:ascii="Arial" w:hAnsi="Arial" w:cs="Arial"/>
          <w:sz w:val="24"/>
          <w:szCs w:val="24"/>
        </w:rPr>
      </w:pPr>
    </w:p>
    <w:p w14:paraId="42FAB5C2" w14:textId="77777777" w:rsidR="007C6596" w:rsidRPr="00D807A7" w:rsidRDefault="00C65D75" w:rsidP="001970DB">
      <w:pPr>
        <w:jc w:val="both"/>
        <w:rPr>
          <w:rFonts w:ascii="Arial" w:hAnsi="Arial" w:cs="Arial"/>
          <w:b/>
          <w:sz w:val="24"/>
          <w:szCs w:val="24"/>
          <w:lang w:val="es-CO"/>
        </w:rPr>
      </w:pPr>
      <w:bookmarkStart w:id="3" w:name="_Hlk4085158"/>
      <w:r w:rsidRPr="00D807A7">
        <w:rPr>
          <w:rFonts w:ascii="Arial" w:hAnsi="Arial" w:cs="Arial"/>
          <w:b/>
          <w:sz w:val="24"/>
          <w:szCs w:val="24"/>
          <w:lang w:val="es-CO"/>
        </w:rPr>
        <w:t>JORGE CASTAÑO GUTI</w:t>
      </w:r>
      <w:r w:rsidR="00B573AF" w:rsidRPr="00D807A7">
        <w:rPr>
          <w:rFonts w:ascii="Arial" w:hAnsi="Arial" w:cs="Arial"/>
          <w:b/>
          <w:sz w:val="24"/>
          <w:szCs w:val="24"/>
          <w:lang w:val="es-CO"/>
        </w:rPr>
        <w:t>É</w:t>
      </w:r>
      <w:r w:rsidRPr="00D807A7">
        <w:rPr>
          <w:rFonts w:ascii="Arial" w:hAnsi="Arial" w:cs="Arial"/>
          <w:b/>
          <w:sz w:val="24"/>
          <w:szCs w:val="24"/>
          <w:lang w:val="es-CO"/>
        </w:rPr>
        <w:t>RREZ</w:t>
      </w:r>
    </w:p>
    <w:p w14:paraId="271BB170" w14:textId="4D0A2EFC" w:rsidR="007C6596" w:rsidRPr="00D807A7" w:rsidRDefault="007C6596" w:rsidP="001970DB">
      <w:pPr>
        <w:jc w:val="both"/>
        <w:rPr>
          <w:rFonts w:ascii="Arial" w:hAnsi="Arial" w:cs="Arial"/>
          <w:sz w:val="24"/>
          <w:szCs w:val="24"/>
          <w:lang w:val="es-CO"/>
        </w:rPr>
      </w:pPr>
      <w:r w:rsidRPr="00D807A7">
        <w:rPr>
          <w:rFonts w:ascii="Arial" w:hAnsi="Arial" w:cs="Arial"/>
          <w:sz w:val="24"/>
          <w:szCs w:val="24"/>
          <w:lang w:val="es-CO"/>
        </w:rPr>
        <w:t xml:space="preserve">Superintendente Financiero </w:t>
      </w:r>
    </w:p>
    <w:p w14:paraId="6C72E6FB" w14:textId="77777777" w:rsidR="007C6596" w:rsidRPr="00D807A7" w:rsidRDefault="007C6596" w:rsidP="001970DB">
      <w:pPr>
        <w:jc w:val="both"/>
        <w:rPr>
          <w:rFonts w:ascii="Arial" w:hAnsi="Arial" w:cs="Arial"/>
          <w:sz w:val="24"/>
          <w:szCs w:val="24"/>
          <w:lang w:val="es-CO"/>
        </w:rPr>
      </w:pPr>
      <w:r w:rsidRPr="00D807A7">
        <w:rPr>
          <w:rFonts w:ascii="Arial" w:hAnsi="Arial" w:cs="Arial"/>
          <w:sz w:val="24"/>
          <w:szCs w:val="24"/>
          <w:lang w:val="es-CO"/>
        </w:rPr>
        <w:t>50000</w:t>
      </w:r>
      <w:bookmarkEnd w:id="1"/>
      <w:bookmarkEnd w:id="3"/>
    </w:p>
    <w:sectPr w:rsidR="007C6596" w:rsidRPr="00D807A7" w:rsidSect="001028F4">
      <w:headerReference w:type="default" r:id="rId11"/>
      <w:footerReference w:type="default" r:id="rId12"/>
      <w:headerReference w:type="first" r:id="rId13"/>
      <w:footerReference w:type="first" r:id="rId14"/>
      <w:pgSz w:w="12242" w:h="18711" w:code="166"/>
      <w:pgMar w:top="1361" w:right="1531" w:bottom="1134" w:left="1531" w:header="709" w:footer="567"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C3E2" w14:textId="77777777" w:rsidR="00972F41" w:rsidRDefault="00972F41">
      <w:r>
        <w:separator/>
      </w:r>
    </w:p>
  </w:endnote>
  <w:endnote w:type="continuationSeparator" w:id="0">
    <w:p w14:paraId="39DAAE9C" w14:textId="77777777" w:rsidR="00972F41" w:rsidRDefault="00972F41">
      <w:r>
        <w:continuationSeparator/>
      </w:r>
    </w:p>
  </w:endnote>
  <w:endnote w:type="continuationNotice" w:id="1">
    <w:p w14:paraId="05650D6D" w14:textId="77777777" w:rsidR="00972F41" w:rsidRDefault="0097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8F24" w14:textId="77777777" w:rsidR="00972F41" w:rsidRDefault="00972F41">
    <w:pPr>
      <w:widowControl w:val="0"/>
      <w:autoSpaceDE w:val="0"/>
      <w:autoSpaceDN w:val="0"/>
      <w:adjustRightInd w:val="0"/>
      <w:jc w:val="both"/>
      <w:rPr>
        <w:rFonts w:ascii="Arial" w:hAnsi="Arial" w:cs="Arial"/>
        <w:sz w:val="22"/>
        <w:szCs w:val="22"/>
      </w:rPr>
    </w:pPr>
  </w:p>
  <w:p w14:paraId="7B5B269A" w14:textId="77777777" w:rsidR="00972F41" w:rsidRDefault="00972F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E592" w14:textId="77777777" w:rsidR="00972F41" w:rsidRDefault="00972F41">
    <w:pPr>
      <w:widowControl w:val="0"/>
      <w:autoSpaceDE w:val="0"/>
      <w:autoSpaceDN w:val="0"/>
      <w:adjustRightInd w:val="0"/>
      <w:jc w:val="both"/>
      <w:rPr>
        <w:rFonts w:ascii="Arial" w:hAnsi="Arial" w:cs="Arial"/>
        <w:sz w:val="22"/>
        <w:szCs w:val="22"/>
      </w:rPr>
    </w:pPr>
  </w:p>
  <w:p w14:paraId="28E5E8E2" w14:textId="77777777" w:rsidR="00972F41" w:rsidRDefault="00972F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CAF1" w14:textId="77777777" w:rsidR="00972F41" w:rsidRDefault="00972F41">
      <w:r>
        <w:separator/>
      </w:r>
    </w:p>
  </w:footnote>
  <w:footnote w:type="continuationSeparator" w:id="0">
    <w:p w14:paraId="0FC5ED17" w14:textId="77777777" w:rsidR="00972F41" w:rsidRDefault="00972F41">
      <w:r>
        <w:continuationSeparator/>
      </w:r>
    </w:p>
  </w:footnote>
  <w:footnote w:type="continuationNotice" w:id="1">
    <w:p w14:paraId="2D04AABD" w14:textId="77777777" w:rsidR="00972F41" w:rsidRDefault="00972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C40E" w14:textId="77777777" w:rsidR="00972F41" w:rsidRDefault="00972F41">
    <w:pPr>
      <w:pStyle w:val="Encabezado"/>
      <w:jc w:val="center"/>
      <w:rPr>
        <w:rFonts w:ascii="Arial" w:hAnsi="Arial" w:cs="Arial"/>
        <w:b/>
        <w:sz w:val="24"/>
        <w:szCs w:val="24"/>
      </w:rPr>
    </w:pPr>
  </w:p>
  <w:p w14:paraId="7DA12FD7" w14:textId="77777777" w:rsidR="00972F41" w:rsidRDefault="00972F41">
    <w:pPr>
      <w:pStyle w:val="Encabezado"/>
      <w:jc w:val="center"/>
      <w:rPr>
        <w:rFonts w:ascii="Arial" w:hAnsi="Arial" w:cs="Arial"/>
        <w:b/>
        <w:sz w:val="24"/>
        <w:szCs w:val="24"/>
      </w:rPr>
    </w:pPr>
  </w:p>
  <w:p w14:paraId="2BB53462" w14:textId="77777777" w:rsidR="00972F41" w:rsidRDefault="00972F41">
    <w:pPr>
      <w:pStyle w:val="Encabezado"/>
      <w:jc w:val="center"/>
      <w:rPr>
        <w:rFonts w:ascii="Arial" w:hAnsi="Arial" w:cs="Arial"/>
        <w:b/>
        <w:sz w:val="24"/>
        <w:szCs w:val="24"/>
      </w:rPr>
    </w:pPr>
    <w:r>
      <w:rPr>
        <w:rFonts w:ascii="Arial" w:hAnsi="Arial" w:cs="Arial"/>
        <w:b/>
        <w:sz w:val="24"/>
        <w:szCs w:val="24"/>
      </w:rPr>
      <w:t>SUPERINTENDENCIA FINANCIERA DE COLOMBIA</w:t>
    </w:r>
  </w:p>
  <w:p w14:paraId="61A74F05" w14:textId="77777777" w:rsidR="00972F41" w:rsidRDefault="00972F41">
    <w:pPr>
      <w:pStyle w:val="Encabezado"/>
      <w:jc w:val="center"/>
      <w:rPr>
        <w:rFonts w:ascii="Arial" w:hAnsi="Arial" w:cs="Arial"/>
        <w:b/>
        <w:bCs/>
        <w:sz w:val="24"/>
        <w:szCs w:val="24"/>
        <w:lang w:val="es-CO"/>
      </w:rPr>
    </w:pPr>
  </w:p>
  <w:p w14:paraId="6A8F4E3A" w14:textId="5790749D" w:rsidR="00972F41" w:rsidRDefault="00972F41" w:rsidP="00F7283F">
    <w:pPr>
      <w:pStyle w:val="Encabezado"/>
      <w:tabs>
        <w:tab w:val="center" w:pos="4135"/>
        <w:tab w:val="right" w:pos="8271"/>
      </w:tabs>
      <w:rPr>
        <w:rFonts w:ascii="Arial" w:hAnsi="Arial" w:cs="Arial"/>
        <w:b/>
        <w:sz w:val="24"/>
        <w:szCs w:val="24"/>
      </w:rPr>
    </w:pPr>
    <w:r w:rsidRPr="00F7283F">
      <w:rPr>
        <w:rFonts w:ascii="Arial" w:hAnsi="Arial" w:cs="Arial"/>
        <w:b/>
        <w:sz w:val="24"/>
        <w:szCs w:val="24"/>
      </w:rPr>
      <w:t xml:space="preserve">Circular Externa  </w:t>
    </w:r>
    <w:r>
      <w:rPr>
        <w:rFonts w:ascii="Arial" w:hAnsi="Arial" w:cs="Arial"/>
        <w:b/>
        <w:sz w:val="24"/>
        <w:szCs w:val="24"/>
      </w:rPr>
      <w:t xml:space="preserve"> 010</w:t>
    </w:r>
    <w:r w:rsidRPr="00F7283F">
      <w:rPr>
        <w:rFonts w:ascii="Arial" w:hAnsi="Arial" w:cs="Arial"/>
        <w:b/>
        <w:sz w:val="24"/>
        <w:szCs w:val="24"/>
      </w:rPr>
      <w:t xml:space="preserve"> </w:t>
    </w:r>
    <w:r>
      <w:rPr>
        <w:rFonts w:ascii="Arial" w:hAnsi="Arial" w:cs="Arial"/>
        <w:b/>
        <w:sz w:val="24"/>
        <w:szCs w:val="24"/>
      </w:rPr>
      <w:t xml:space="preserve"> </w:t>
    </w:r>
    <w:r w:rsidRPr="00F7283F">
      <w:rPr>
        <w:rFonts w:ascii="Arial" w:hAnsi="Arial" w:cs="Arial"/>
        <w:b/>
        <w:sz w:val="24"/>
        <w:szCs w:val="24"/>
      </w:rPr>
      <w:t xml:space="preserve"> de 20</w:t>
    </w:r>
    <w:r>
      <w:rPr>
        <w:rFonts w:ascii="Arial" w:hAnsi="Arial" w:cs="Arial"/>
        <w:b/>
        <w:sz w:val="24"/>
        <w:szCs w:val="24"/>
      </w:rPr>
      <w:t xml:space="preserve">21                 </w:t>
    </w:r>
    <w:r w:rsidRPr="00F7283F">
      <w:rPr>
        <w:rFonts w:ascii="Arial" w:hAnsi="Arial" w:cs="Arial"/>
        <w:b/>
        <w:sz w:val="24"/>
        <w:szCs w:val="24"/>
      </w:rPr>
      <w:t xml:space="preserve">                                   </w:t>
    </w:r>
    <w:r>
      <w:rPr>
        <w:rFonts w:ascii="Arial" w:hAnsi="Arial" w:cs="Arial"/>
        <w:b/>
        <w:sz w:val="24"/>
        <w:szCs w:val="24"/>
      </w:rPr>
      <w:t xml:space="preserve">        </w:t>
    </w:r>
    <w:r w:rsidRPr="00F7283F">
      <w:rPr>
        <w:rFonts w:ascii="Arial" w:hAnsi="Arial" w:cs="Arial"/>
        <w:b/>
        <w:sz w:val="24"/>
        <w:szCs w:val="24"/>
      </w:rPr>
      <w:t xml:space="preserve">Página 2 </w:t>
    </w:r>
  </w:p>
  <w:p w14:paraId="16B8F7FD" w14:textId="77777777" w:rsidR="00972F41" w:rsidRPr="00F7283F" w:rsidRDefault="00972F41" w:rsidP="00F7283F">
    <w:pPr>
      <w:pStyle w:val="Encabezado"/>
      <w:tabs>
        <w:tab w:val="center" w:pos="4135"/>
        <w:tab w:val="right" w:pos="8271"/>
      </w:tabs>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C7F8" w14:textId="77777777" w:rsidR="00972F41" w:rsidRDefault="00972F41" w:rsidP="00044FC6">
    <w:pPr>
      <w:pStyle w:val="Encabezado"/>
      <w:jc w:val="center"/>
      <w:rPr>
        <w:rFonts w:ascii="Arial" w:hAnsi="Arial" w:cs="Arial"/>
        <w:b/>
        <w:sz w:val="24"/>
        <w:szCs w:val="24"/>
      </w:rPr>
    </w:pPr>
  </w:p>
  <w:p w14:paraId="34A55E85" w14:textId="77777777" w:rsidR="00972F41" w:rsidRDefault="00972F41" w:rsidP="00044FC6">
    <w:pPr>
      <w:pStyle w:val="Encabezado"/>
      <w:jc w:val="center"/>
      <w:rPr>
        <w:rFonts w:ascii="Arial" w:hAnsi="Arial" w:cs="Arial"/>
        <w:b/>
        <w:sz w:val="24"/>
        <w:szCs w:val="24"/>
      </w:rPr>
    </w:pPr>
  </w:p>
  <w:p w14:paraId="4727DD99" w14:textId="77777777" w:rsidR="00972F41" w:rsidRDefault="00972F41" w:rsidP="00044FC6">
    <w:pPr>
      <w:pStyle w:val="Encabezado"/>
      <w:jc w:val="center"/>
      <w:rPr>
        <w:rFonts w:ascii="Arial" w:hAnsi="Arial" w:cs="Arial"/>
        <w:b/>
        <w:sz w:val="24"/>
        <w:szCs w:val="24"/>
      </w:rPr>
    </w:pPr>
    <w:r>
      <w:rPr>
        <w:rFonts w:ascii="Arial" w:hAnsi="Arial" w:cs="Arial"/>
        <w:b/>
        <w:sz w:val="24"/>
        <w:szCs w:val="24"/>
      </w:rPr>
      <w:t>SUPERINTENDENCIA FINANCIERA DE COLOMBIA</w:t>
    </w:r>
  </w:p>
  <w:p w14:paraId="5F6D02C8" w14:textId="77777777" w:rsidR="00972F41" w:rsidRDefault="00972F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1A915E0B"/>
    <w:multiLevelType w:val="multilevel"/>
    <w:tmpl w:val="2DE8A7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B157A3"/>
    <w:multiLevelType w:val="hybridMultilevel"/>
    <w:tmpl w:val="7EDE9914"/>
    <w:lvl w:ilvl="0" w:tplc="055CF47E">
      <w:start w:val="1"/>
      <w:numFmt w:val="decimal"/>
      <w:lvlText w:val="%1."/>
      <w:lvlJc w:val="left"/>
      <w:pPr>
        <w:ind w:left="1065" w:hanging="70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8C6770"/>
    <w:multiLevelType w:val="hybridMultilevel"/>
    <w:tmpl w:val="10F28874"/>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7" w15:restartNumberingAfterBreak="0">
    <w:nsid w:val="3D8F5F23"/>
    <w:multiLevelType w:val="hybridMultilevel"/>
    <w:tmpl w:val="A306AAC8"/>
    <w:lvl w:ilvl="0" w:tplc="7E109550">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7C50C9E"/>
    <w:multiLevelType w:val="singleLevel"/>
    <w:tmpl w:val="265E2D90"/>
    <w:lvl w:ilvl="0">
      <w:start w:val="1"/>
      <w:numFmt w:val="lowerLetter"/>
      <w:lvlText w:val="%1."/>
      <w:lvlJc w:val="left"/>
      <w:pPr>
        <w:tabs>
          <w:tab w:val="num" w:pos="360"/>
        </w:tabs>
        <w:ind w:left="360" w:hanging="360"/>
      </w:pPr>
      <w:rPr>
        <w:rFonts w:hint="default"/>
        <w:b/>
        <w:i w:val="0"/>
        <w:sz w:val="18"/>
        <w:szCs w:val="18"/>
      </w:rPr>
    </w:lvl>
  </w:abstractNum>
  <w:abstractNum w:abstractNumId="9" w15:restartNumberingAfterBreak="0">
    <w:nsid w:val="4A6A04AB"/>
    <w:multiLevelType w:val="singleLevel"/>
    <w:tmpl w:val="E4AAFFF4"/>
    <w:lvl w:ilvl="0">
      <w:start w:val="1"/>
      <w:numFmt w:val="lowerLetter"/>
      <w:lvlText w:val="%1."/>
      <w:lvlJc w:val="left"/>
      <w:pPr>
        <w:tabs>
          <w:tab w:val="num" w:pos="360"/>
        </w:tabs>
        <w:ind w:left="360" w:hanging="360"/>
      </w:pPr>
      <w:rPr>
        <w:rFonts w:hint="default"/>
        <w:b/>
        <w:i w:val="0"/>
      </w:rPr>
    </w:lvl>
  </w:abstractNum>
  <w:abstractNum w:abstractNumId="10" w15:restartNumberingAfterBreak="0">
    <w:nsid w:val="59C94E71"/>
    <w:multiLevelType w:val="hybridMultilevel"/>
    <w:tmpl w:val="FB9E8BA6"/>
    <w:lvl w:ilvl="0" w:tplc="880A7F78">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C9102F"/>
    <w:multiLevelType w:val="singleLevel"/>
    <w:tmpl w:val="A72498CA"/>
    <w:lvl w:ilvl="0">
      <w:start w:val="1"/>
      <w:numFmt w:val="lowerLetter"/>
      <w:lvlText w:val="%1."/>
      <w:lvlJc w:val="left"/>
      <w:pPr>
        <w:tabs>
          <w:tab w:val="num" w:pos="360"/>
        </w:tabs>
        <w:ind w:left="360" w:hanging="360"/>
      </w:pPr>
      <w:rPr>
        <w:rFonts w:hint="default"/>
        <w:b/>
        <w:i w:val="0"/>
      </w:rPr>
    </w:lvl>
  </w:abstractNum>
  <w:abstractNum w:abstractNumId="12" w15:restartNumberingAfterBreak="0">
    <w:nsid w:val="770B28CC"/>
    <w:multiLevelType w:val="hybridMultilevel"/>
    <w:tmpl w:val="87F06D90"/>
    <w:lvl w:ilvl="0" w:tplc="0C0A0019">
      <w:start w:val="1"/>
      <w:numFmt w:val="lowerLetter"/>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8"/>
  </w:num>
  <w:num w:numId="6">
    <w:abstractNumId w:val="9"/>
  </w:num>
  <w:num w:numId="7">
    <w:abstractNumId w:val="11"/>
  </w:num>
  <w:num w:numId="8">
    <w:abstractNumId w:val="10"/>
  </w:num>
  <w:num w:numId="9">
    <w:abstractNumId w:val="5"/>
  </w:num>
  <w:num w:numId="10">
    <w:abstractNumId w:val="4"/>
  </w:num>
  <w:num w:numId="11">
    <w:abstractNumId w:val="7"/>
  </w:num>
  <w:num w:numId="12">
    <w:abstractNumId w:val="12"/>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0165A"/>
    <w:rsid w:val="00007A12"/>
    <w:rsid w:val="0001002C"/>
    <w:rsid w:val="000103B9"/>
    <w:rsid w:val="0001068B"/>
    <w:rsid w:val="000117CB"/>
    <w:rsid w:val="000170CA"/>
    <w:rsid w:val="000201CA"/>
    <w:rsid w:val="00024BA9"/>
    <w:rsid w:val="00024CAE"/>
    <w:rsid w:val="00024F37"/>
    <w:rsid w:val="0002556F"/>
    <w:rsid w:val="00032F5A"/>
    <w:rsid w:val="00040A8D"/>
    <w:rsid w:val="000430B1"/>
    <w:rsid w:val="0004387B"/>
    <w:rsid w:val="00044FC6"/>
    <w:rsid w:val="0005192F"/>
    <w:rsid w:val="00052E58"/>
    <w:rsid w:val="0005372F"/>
    <w:rsid w:val="00054F27"/>
    <w:rsid w:val="0005505A"/>
    <w:rsid w:val="000562BC"/>
    <w:rsid w:val="00057EED"/>
    <w:rsid w:val="000605CF"/>
    <w:rsid w:val="00061753"/>
    <w:rsid w:val="000667FC"/>
    <w:rsid w:val="000675C4"/>
    <w:rsid w:val="00067933"/>
    <w:rsid w:val="00070E5F"/>
    <w:rsid w:val="000745D9"/>
    <w:rsid w:val="00074683"/>
    <w:rsid w:val="0008045A"/>
    <w:rsid w:val="0008225F"/>
    <w:rsid w:val="00084E32"/>
    <w:rsid w:val="00090BA6"/>
    <w:rsid w:val="00090EE1"/>
    <w:rsid w:val="000916EB"/>
    <w:rsid w:val="00094F53"/>
    <w:rsid w:val="0009624E"/>
    <w:rsid w:val="000973CB"/>
    <w:rsid w:val="00097E98"/>
    <w:rsid w:val="000A60F9"/>
    <w:rsid w:val="000A6A0E"/>
    <w:rsid w:val="000B1FA0"/>
    <w:rsid w:val="000B7645"/>
    <w:rsid w:val="000C03F6"/>
    <w:rsid w:val="000C251E"/>
    <w:rsid w:val="000C4DA8"/>
    <w:rsid w:val="000D0730"/>
    <w:rsid w:val="000D147B"/>
    <w:rsid w:val="000D216D"/>
    <w:rsid w:val="000D28DB"/>
    <w:rsid w:val="000D7ACF"/>
    <w:rsid w:val="000E0A2F"/>
    <w:rsid w:val="000E2445"/>
    <w:rsid w:val="000E5140"/>
    <w:rsid w:val="000E7B35"/>
    <w:rsid w:val="000F0E25"/>
    <w:rsid w:val="000F17F5"/>
    <w:rsid w:val="000F200A"/>
    <w:rsid w:val="000F463A"/>
    <w:rsid w:val="000F6A77"/>
    <w:rsid w:val="000F6CB5"/>
    <w:rsid w:val="00101232"/>
    <w:rsid w:val="001028F4"/>
    <w:rsid w:val="001031F0"/>
    <w:rsid w:val="001045B3"/>
    <w:rsid w:val="001117DD"/>
    <w:rsid w:val="00120DA4"/>
    <w:rsid w:val="00122012"/>
    <w:rsid w:val="0013508C"/>
    <w:rsid w:val="00137775"/>
    <w:rsid w:val="00142CDE"/>
    <w:rsid w:val="00144AF7"/>
    <w:rsid w:val="00145B19"/>
    <w:rsid w:val="00146DF7"/>
    <w:rsid w:val="00150451"/>
    <w:rsid w:val="00150F4F"/>
    <w:rsid w:val="001543F0"/>
    <w:rsid w:val="001573E1"/>
    <w:rsid w:val="00160FE5"/>
    <w:rsid w:val="00161151"/>
    <w:rsid w:val="00161C98"/>
    <w:rsid w:val="0016200E"/>
    <w:rsid w:val="001659EB"/>
    <w:rsid w:val="001826EF"/>
    <w:rsid w:val="001844D1"/>
    <w:rsid w:val="00184671"/>
    <w:rsid w:val="00190EE7"/>
    <w:rsid w:val="00191804"/>
    <w:rsid w:val="00191B28"/>
    <w:rsid w:val="00192207"/>
    <w:rsid w:val="00195FF5"/>
    <w:rsid w:val="001970DB"/>
    <w:rsid w:val="001A0CF3"/>
    <w:rsid w:val="001A15E8"/>
    <w:rsid w:val="001B54E0"/>
    <w:rsid w:val="001D428F"/>
    <w:rsid w:val="001D5113"/>
    <w:rsid w:val="001D5C6B"/>
    <w:rsid w:val="001D7284"/>
    <w:rsid w:val="001D761A"/>
    <w:rsid w:val="001E37AF"/>
    <w:rsid w:val="001E55C7"/>
    <w:rsid w:val="001E5E6A"/>
    <w:rsid w:val="001E7735"/>
    <w:rsid w:val="001F0195"/>
    <w:rsid w:val="001F3615"/>
    <w:rsid w:val="00201D93"/>
    <w:rsid w:val="00201DE4"/>
    <w:rsid w:val="00210497"/>
    <w:rsid w:val="002125EA"/>
    <w:rsid w:val="0021260B"/>
    <w:rsid w:val="00213D03"/>
    <w:rsid w:val="00217EDE"/>
    <w:rsid w:val="002201C7"/>
    <w:rsid w:val="00221365"/>
    <w:rsid w:val="00221A8D"/>
    <w:rsid w:val="00226260"/>
    <w:rsid w:val="00230724"/>
    <w:rsid w:val="00231C48"/>
    <w:rsid w:val="00232476"/>
    <w:rsid w:val="002341CD"/>
    <w:rsid w:val="00235967"/>
    <w:rsid w:val="00237D55"/>
    <w:rsid w:val="00241A94"/>
    <w:rsid w:val="00241CE9"/>
    <w:rsid w:val="00243599"/>
    <w:rsid w:val="00247CCB"/>
    <w:rsid w:val="00255A27"/>
    <w:rsid w:val="00256614"/>
    <w:rsid w:val="00263F07"/>
    <w:rsid w:val="0027075C"/>
    <w:rsid w:val="00270BE1"/>
    <w:rsid w:val="00270D59"/>
    <w:rsid w:val="002713A3"/>
    <w:rsid w:val="00276791"/>
    <w:rsid w:val="00276895"/>
    <w:rsid w:val="002836A4"/>
    <w:rsid w:val="002845EC"/>
    <w:rsid w:val="0028477B"/>
    <w:rsid w:val="002874DF"/>
    <w:rsid w:val="00292E59"/>
    <w:rsid w:val="00294A29"/>
    <w:rsid w:val="00296AEE"/>
    <w:rsid w:val="002972D3"/>
    <w:rsid w:val="002A2E26"/>
    <w:rsid w:val="002A3E5A"/>
    <w:rsid w:val="002A3E6E"/>
    <w:rsid w:val="002A42EA"/>
    <w:rsid w:val="002A4F88"/>
    <w:rsid w:val="002A5C9A"/>
    <w:rsid w:val="002B25D5"/>
    <w:rsid w:val="002B4089"/>
    <w:rsid w:val="002B68F7"/>
    <w:rsid w:val="002C07E0"/>
    <w:rsid w:val="002C3D55"/>
    <w:rsid w:val="002C4871"/>
    <w:rsid w:val="002C4B82"/>
    <w:rsid w:val="002C7052"/>
    <w:rsid w:val="002D5DA7"/>
    <w:rsid w:val="002D64CD"/>
    <w:rsid w:val="002E049F"/>
    <w:rsid w:val="002E1206"/>
    <w:rsid w:val="002E1858"/>
    <w:rsid w:val="002E2960"/>
    <w:rsid w:val="002E30B5"/>
    <w:rsid w:val="002E425D"/>
    <w:rsid w:val="002E6CF9"/>
    <w:rsid w:val="002E6DCD"/>
    <w:rsid w:val="002F1613"/>
    <w:rsid w:val="003003D0"/>
    <w:rsid w:val="00300666"/>
    <w:rsid w:val="003023E4"/>
    <w:rsid w:val="0030305C"/>
    <w:rsid w:val="0031220D"/>
    <w:rsid w:val="00321673"/>
    <w:rsid w:val="00323466"/>
    <w:rsid w:val="0032504A"/>
    <w:rsid w:val="00325634"/>
    <w:rsid w:val="0032686E"/>
    <w:rsid w:val="003303A6"/>
    <w:rsid w:val="00331F4C"/>
    <w:rsid w:val="003337BF"/>
    <w:rsid w:val="0033562C"/>
    <w:rsid w:val="00342A98"/>
    <w:rsid w:val="00342E0F"/>
    <w:rsid w:val="00342FF2"/>
    <w:rsid w:val="0034401D"/>
    <w:rsid w:val="00345C87"/>
    <w:rsid w:val="00350241"/>
    <w:rsid w:val="00351223"/>
    <w:rsid w:val="00352CC6"/>
    <w:rsid w:val="003536EA"/>
    <w:rsid w:val="00354CBE"/>
    <w:rsid w:val="00355ED0"/>
    <w:rsid w:val="003575CC"/>
    <w:rsid w:val="003611A5"/>
    <w:rsid w:val="003650A0"/>
    <w:rsid w:val="0037411F"/>
    <w:rsid w:val="00374F5A"/>
    <w:rsid w:val="0037518E"/>
    <w:rsid w:val="003760B7"/>
    <w:rsid w:val="003802B9"/>
    <w:rsid w:val="00381861"/>
    <w:rsid w:val="00383CBB"/>
    <w:rsid w:val="00385941"/>
    <w:rsid w:val="00387109"/>
    <w:rsid w:val="00387DE2"/>
    <w:rsid w:val="00390606"/>
    <w:rsid w:val="003918C3"/>
    <w:rsid w:val="003951DD"/>
    <w:rsid w:val="003A208F"/>
    <w:rsid w:val="003B47C5"/>
    <w:rsid w:val="003B5BF7"/>
    <w:rsid w:val="003C1BED"/>
    <w:rsid w:val="003C6524"/>
    <w:rsid w:val="003C7854"/>
    <w:rsid w:val="003D00EE"/>
    <w:rsid w:val="003D10FE"/>
    <w:rsid w:val="003E1A13"/>
    <w:rsid w:val="003E2F5A"/>
    <w:rsid w:val="003E428B"/>
    <w:rsid w:val="003E441F"/>
    <w:rsid w:val="003E481F"/>
    <w:rsid w:val="003F4BF8"/>
    <w:rsid w:val="004032F0"/>
    <w:rsid w:val="00404235"/>
    <w:rsid w:val="004043B0"/>
    <w:rsid w:val="0040539A"/>
    <w:rsid w:val="00406101"/>
    <w:rsid w:val="0040661C"/>
    <w:rsid w:val="00407B3C"/>
    <w:rsid w:val="00410CAB"/>
    <w:rsid w:val="00417F0D"/>
    <w:rsid w:val="00421D65"/>
    <w:rsid w:val="004276BA"/>
    <w:rsid w:val="004350F6"/>
    <w:rsid w:val="00436793"/>
    <w:rsid w:val="00443A08"/>
    <w:rsid w:val="00443C07"/>
    <w:rsid w:val="00455E81"/>
    <w:rsid w:val="00463421"/>
    <w:rsid w:val="00465E88"/>
    <w:rsid w:val="00466C00"/>
    <w:rsid w:val="0046715D"/>
    <w:rsid w:val="00467DE5"/>
    <w:rsid w:val="00470982"/>
    <w:rsid w:val="00471C4C"/>
    <w:rsid w:val="004725DF"/>
    <w:rsid w:val="00472C62"/>
    <w:rsid w:val="004739FC"/>
    <w:rsid w:val="0047568E"/>
    <w:rsid w:val="00476C73"/>
    <w:rsid w:val="00476D78"/>
    <w:rsid w:val="00481832"/>
    <w:rsid w:val="004830A0"/>
    <w:rsid w:val="00485015"/>
    <w:rsid w:val="004B0A42"/>
    <w:rsid w:val="004B4457"/>
    <w:rsid w:val="004B7547"/>
    <w:rsid w:val="004C0F4E"/>
    <w:rsid w:val="004C7315"/>
    <w:rsid w:val="004D252C"/>
    <w:rsid w:val="004D3A50"/>
    <w:rsid w:val="004D44F7"/>
    <w:rsid w:val="004D5BBF"/>
    <w:rsid w:val="004E0E78"/>
    <w:rsid w:val="004E1DCE"/>
    <w:rsid w:val="004F017C"/>
    <w:rsid w:val="004F1055"/>
    <w:rsid w:val="004F262F"/>
    <w:rsid w:val="004F66C4"/>
    <w:rsid w:val="00501179"/>
    <w:rsid w:val="0050493F"/>
    <w:rsid w:val="0050799D"/>
    <w:rsid w:val="00511A1F"/>
    <w:rsid w:val="00512B84"/>
    <w:rsid w:val="00512D11"/>
    <w:rsid w:val="00513233"/>
    <w:rsid w:val="005139A3"/>
    <w:rsid w:val="0051502D"/>
    <w:rsid w:val="00520066"/>
    <w:rsid w:val="0052628A"/>
    <w:rsid w:val="0053137C"/>
    <w:rsid w:val="0053494B"/>
    <w:rsid w:val="00535A8C"/>
    <w:rsid w:val="00536B64"/>
    <w:rsid w:val="00540E38"/>
    <w:rsid w:val="0054278F"/>
    <w:rsid w:val="005441BC"/>
    <w:rsid w:val="00551123"/>
    <w:rsid w:val="00553D49"/>
    <w:rsid w:val="00562408"/>
    <w:rsid w:val="005631E0"/>
    <w:rsid w:val="00564B20"/>
    <w:rsid w:val="00566182"/>
    <w:rsid w:val="00567FA0"/>
    <w:rsid w:val="0057522D"/>
    <w:rsid w:val="005766CB"/>
    <w:rsid w:val="0058109A"/>
    <w:rsid w:val="005870AE"/>
    <w:rsid w:val="005A7AAB"/>
    <w:rsid w:val="005B1B28"/>
    <w:rsid w:val="005B21A3"/>
    <w:rsid w:val="005B4402"/>
    <w:rsid w:val="005B4581"/>
    <w:rsid w:val="005B75DC"/>
    <w:rsid w:val="005C4C8B"/>
    <w:rsid w:val="005C7C09"/>
    <w:rsid w:val="005C7E61"/>
    <w:rsid w:val="005D0DFD"/>
    <w:rsid w:val="005D42A3"/>
    <w:rsid w:val="005D51F0"/>
    <w:rsid w:val="005D56F9"/>
    <w:rsid w:val="005D7B8D"/>
    <w:rsid w:val="005E4249"/>
    <w:rsid w:val="005E42B5"/>
    <w:rsid w:val="005E4F1B"/>
    <w:rsid w:val="005E6B79"/>
    <w:rsid w:val="005F0DCD"/>
    <w:rsid w:val="005F127D"/>
    <w:rsid w:val="005F3B7D"/>
    <w:rsid w:val="005F4B7F"/>
    <w:rsid w:val="005F7C9E"/>
    <w:rsid w:val="00610D7C"/>
    <w:rsid w:val="0062050E"/>
    <w:rsid w:val="0062157D"/>
    <w:rsid w:val="00630B4D"/>
    <w:rsid w:val="00633C72"/>
    <w:rsid w:val="00636F86"/>
    <w:rsid w:val="0064423D"/>
    <w:rsid w:val="0064487A"/>
    <w:rsid w:val="006537C7"/>
    <w:rsid w:val="006548E3"/>
    <w:rsid w:val="00655C9D"/>
    <w:rsid w:val="006630C2"/>
    <w:rsid w:val="00664B83"/>
    <w:rsid w:val="00665AA3"/>
    <w:rsid w:val="00666AD8"/>
    <w:rsid w:val="00666D0E"/>
    <w:rsid w:val="00667F72"/>
    <w:rsid w:val="0067282B"/>
    <w:rsid w:val="0067603E"/>
    <w:rsid w:val="00676F88"/>
    <w:rsid w:val="0069004B"/>
    <w:rsid w:val="00690C2E"/>
    <w:rsid w:val="0069181D"/>
    <w:rsid w:val="00695CB0"/>
    <w:rsid w:val="006970D7"/>
    <w:rsid w:val="006A10F5"/>
    <w:rsid w:val="006A2A61"/>
    <w:rsid w:val="006B29A5"/>
    <w:rsid w:val="006B344C"/>
    <w:rsid w:val="006B466F"/>
    <w:rsid w:val="006B4DD2"/>
    <w:rsid w:val="006C1512"/>
    <w:rsid w:val="006C2208"/>
    <w:rsid w:val="006C2F31"/>
    <w:rsid w:val="006C71F4"/>
    <w:rsid w:val="006C7A4A"/>
    <w:rsid w:val="006D2615"/>
    <w:rsid w:val="006D3F69"/>
    <w:rsid w:val="006D5E09"/>
    <w:rsid w:val="006D5EB1"/>
    <w:rsid w:val="006D5FB1"/>
    <w:rsid w:val="006D6A23"/>
    <w:rsid w:val="006E26F8"/>
    <w:rsid w:val="006E52F8"/>
    <w:rsid w:val="006E6547"/>
    <w:rsid w:val="006F0E7E"/>
    <w:rsid w:val="006F1085"/>
    <w:rsid w:val="006F1FC3"/>
    <w:rsid w:val="006F273D"/>
    <w:rsid w:val="006F2DEB"/>
    <w:rsid w:val="006F48DC"/>
    <w:rsid w:val="006F7E8F"/>
    <w:rsid w:val="00701A22"/>
    <w:rsid w:val="007044D7"/>
    <w:rsid w:val="00707421"/>
    <w:rsid w:val="00713DA3"/>
    <w:rsid w:val="00722B9F"/>
    <w:rsid w:val="00722E79"/>
    <w:rsid w:val="00723449"/>
    <w:rsid w:val="00730329"/>
    <w:rsid w:val="007325C4"/>
    <w:rsid w:val="00752EFE"/>
    <w:rsid w:val="0075376F"/>
    <w:rsid w:val="00755675"/>
    <w:rsid w:val="00756D43"/>
    <w:rsid w:val="00760DC3"/>
    <w:rsid w:val="00761304"/>
    <w:rsid w:val="007615D2"/>
    <w:rsid w:val="0076236A"/>
    <w:rsid w:val="00763B2C"/>
    <w:rsid w:val="00765406"/>
    <w:rsid w:val="00765786"/>
    <w:rsid w:val="00766FEB"/>
    <w:rsid w:val="00767907"/>
    <w:rsid w:val="0078283B"/>
    <w:rsid w:val="00792179"/>
    <w:rsid w:val="007936D2"/>
    <w:rsid w:val="00795CFA"/>
    <w:rsid w:val="0079750F"/>
    <w:rsid w:val="00797828"/>
    <w:rsid w:val="007A0718"/>
    <w:rsid w:val="007B12F2"/>
    <w:rsid w:val="007B176C"/>
    <w:rsid w:val="007B27EE"/>
    <w:rsid w:val="007B30DF"/>
    <w:rsid w:val="007B5E1B"/>
    <w:rsid w:val="007B6F0E"/>
    <w:rsid w:val="007C0EB5"/>
    <w:rsid w:val="007C5F68"/>
    <w:rsid w:val="007C6596"/>
    <w:rsid w:val="007D2AEC"/>
    <w:rsid w:val="007D5875"/>
    <w:rsid w:val="007D7D09"/>
    <w:rsid w:val="007E4209"/>
    <w:rsid w:val="007E48C1"/>
    <w:rsid w:val="007E799E"/>
    <w:rsid w:val="007F064B"/>
    <w:rsid w:val="007F0DC5"/>
    <w:rsid w:val="007F1143"/>
    <w:rsid w:val="007F18AF"/>
    <w:rsid w:val="007F43A5"/>
    <w:rsid w:val="007F4E5F"/>
    <w:rsid w:val="007F701B"/>
    <w:rsid w:val="0080081B"/>
    <w:rsid w:val="008026E4"/>
    <w:rsid w:val="008026FE"/>
    <w:rsid w:val="0080402A"/>
    <w:rsid w:val="00806DA5"/>
    <w:rsid w:val="00807FF1"/>
    <w:rsid w:val="00811E81"/>
    <w:rsid w:val="0081279A"/>
    <w:rsid w:val="00814646"/>
    <w:rsid w:val="008148BB"/>
    <w:rsid w:val="00815158"/>
    <w:rsid w:val="00823A50"/>
    <w:rsid w:val="00824A82"/>
    <w:rsid w:val="0082775E"/>
    <w:rsid w:val="0083052D"/>
    <w:rsid w:val="00830EDB"/>
    <w:rsid w:val="00832C01"/>
    <w:rsid w:val="00836EA0"/>
    <w:rsid w:val="00845CF7"/>
    <w:rsid w:val="008475DC"/>
    <w:rsid w:val="00847960"/>
    <w:rsid w:val="00853ED9"/>
    <w:rsid w:val="00854940"/>
    <w:rsid w:val="008560AE"/>
    <w:rsid w:val="0085691B"/>
    <w:rsid w:val="00856AB9"/>
    <w:rsid w:val="00857EB7"/>
    <w:rsid w:val="00860A7D"/>
    <w:rsid w:val="00860D33"/>
    <w:rsid w:val="008639C7"/>
    <w:rsid w:val="008670D8"/>
    <w:rsid w:val="008677E2"/>
    <w:rsid w:val="00873892"/>
    <w:rsid w:val="008738BA"/>
    <w:rsid w:val="00875219"/>
    <w:rsid w:val="008847A3"/>
    <w:rsid w:val="008856FC"/>
    <w:rsid w:val="0088646E"/>
    <w:rsid w:val="008865C8"/>
    <w:rsid w:val="00890E21"/>
    <w:rsid w:val="008949BE"/>
    <w:rsid w:val="008A1030"/>
    <w:rsid w:val="008A1707"/>
    <w:rsid w:val="008A535D"/>
    <w:rsid w:val="008A735D"/>
    <w:rsid w:val="008A75AB"/>
    <w:rsid w:val="008B0D57"/>
    <w:rsid w:val="008B14B1"/>
    <w:rsid w:val="008B1C3C"/>
    <w:rsid w:val="008B7FB1"/>
    <w:rsid w:val="008C18A4"/>
    <w:rsid w:val="008C1B5B"/>
    <w:rsid w:val="008C7CC0"/>
    <w:rsid w:val="008D08B1"/>
    <w:rsid w:val="008D0ABA"/>
    <w:rsid w:val="008D1C2D"/>
    <w:rsid w:val="008D1D95"/>
    <w:rsid w:val="008D1DF6"/>
    <w:rsid w:val="008D31EF"/>
    <w:rsid w:val="008D3AC8"/>
    <w:rsid w:val="008D4EA4"/>
    <w:rsid w:val="008E0031"/>
    <w:rsid w:val="008E082B"/>
    <w:rsid w:val="008E19C9"/>
    <w:rsid w:val="008E3F67"/>
    <w:rsid w:val="008E4990"/>
    <w:rsid w:val="008E6F63"/>
    <w:rsid w:val="008F0E0F"/>
    <w:rsid w:val="008F16B6"/>
    <w:rsid w:val="008F3D58"/>
    <w:rsid w:val="008F5738"/>
    <w:rsid w:val="008F7B3A"/>
    <w:rsid w:val="009003BC"/>
    <w:rsid w:val="009008BA"/>
    <w:rsid w:val="0090572C"/>
    <w:rsid w:val="0090595A"/>
    <w:rsid w:val="00911897"/>
    <w:rsid w:val="009118E2"/>
    <w:rsid w:val="00913D24"/>
    <w:rsid w:val="00915E13"/>
    <w:rsid w:val="0091786D"/>
    <w:rsid w:val="00927E11"/>
    <w:rsid w:val="00930663"/>
    <w:rsid w:val="00931D85"/>
    <w:rsid w:val="00931D91"/>
    <w:rsid w:val="0093626D"/>
    <w:rsid w:val="009408D8"/>
    <w:rsid w:val="009432D4"/>
    <w:rsid w:val="009434B4"/>
    <w:rsid w:val="0094384C"/>
    <w:rsid w:val="00943E27"/>
    <w:rsid w:val="009505D2"/>
    <w:rsid w:val="00954192"/>
    <w:rsid w:val="009577D9"/>
    <w:rsid w:val="009600FF"/>
    <w:rsid w:val="00963422"/>
    <w:rsid w:val="00963B5A"/>
    <w:rsid w:val="009655A7"/>
    <w:rsid w:val="00965EF0"/>
    <w:rsid w:val="00967DE5"/>
    <w:rsid w:val="00972F41"/>
    <w:rsid w:val="009739B5"/>
    <w:rsid w:val="0097443B"/>
    <w:rsid w:val="009802B6"/>
    <w:rsid w:val="009807A8"/>
    <w:rsid w:val="009821C1"/>
    <w:rsid w:val="009833E1"/>
    <w:rsid w:val="009863A4"/>
    <w:rsid w:val="00986CCA"/>
    <w:rsid w:val="00987FFC"/>
    <w:rsid w:val="00990328"/>
    <w:rsid w:val="00992090"/>
    <w:rsid w:val="0099683E"/>
    <w:rsid w:val="009979F4"/>
    <w:rsid w:val="00997E4A"/>
    <w:rsid w:val="009A1DF2"/>
    <w:rsid w:val="009A3BB1"/>
    <w:rsid w:val="009A55F6"/>
    <w:rsid w:val="009A7964"/>
    <w:rsid w:val="009A7E92"/>
    <w:rsid w:val="009B00A3"/>
    <w:rsid w:val="009B25EF"/>
    <w:rsid w:val="009B4EE9"/>
    <w:rsid w:val="009C01F0"/>
    <w:rsid w:val="009C2401"/>
    <w:rsid w:val="009C43A2"/>
    <w:rsid w:val="009C5211"/>
    <w:rsid w:val="009C6398"/>
    <w:rsid w:val="009C68B7"/>
    <w:rsid w:val="009D3511"/>
    <w:rsid w:val="009D4F04"/>
    <w:rsid w:val="009D7E0F"/>
    <w:rsid w:val="009E0C65"/>
    <w:rsid w:val="009E424D"/>
    <w:rsid w:val="009F7C61"/>
    <w:rsid w:val="00A00226"/>
    <w:rsid w:val="00A00403"/>
    <w:rsid w:val="00A0626A"/>
    <w:rsid w:val="00A12BCD"/>
    <w:rsid w:val="00A14065"/>
    <w:rsid w:val="00A31DC8"/>
    <w:rsid w:val="00A32253"/>
    <w:rsid w:val="00A325E9"/>
    <w:rsid w:val="00A332EB"/>
    <w:rsid w:val="00A36C5F"/>
    <w:rsid w:val="00A37B28"/>
    <w:rsid w:val="00A44A40"/>
    <w:rsid w:val="00A44BF1"/>
    <w:rsid w:val="00A45732"/>
    <w:rsid w:val="00A51893"/>
    <w:rsid w:val="00A51C0B"/>
    <w:rsid w:val="00A548AC"/>
    <w:rsid w:val="00A57330"/>
    <w:rsid w:val="00A57AEE"/>
    <w:rsid w:val="00A612BC"/>
    <w:rsid w:val="00A61CAF"/>
    <w:rsid w:val="00A620F1"/>
    <w:rsid w:val="00A63325"/>
    <w:rsid w:val="00A64F24"/>
    <w:rsid w:val="00A737E6"/>
    <w:rsid w:val="00A75407"/>
    <w:rsid w:val="00A768DE"/>
    <w:rsid w:val="00A824BD"/>
    <w:rsid w:val="00A906FB"/>
    <w:rsid w:val="00A94C07"/>
    <w:rsid w:val="00A96008"/>
    <w:rsid w:val="00A97120"/>
    <w:rsid w:val="00A97A1B"/>
    <w:rsid w:val="00AA0201"/>
    <w:rsid w:val="00AA04A4"/>
    <w:rsid w:val="00AA113A"/>
    <w:rsid w:val="00AA13C3"/>
    <w:rsid w:val="00AA6C0B"/>
    <w:rsid w:val="00AA7F93"/>
    <w:rsid w:val="00AB6D53"/>
    <w:rsid w:val="00AC41BA"/>
    <w:rsid w:val="00AC5641"/>
    <w:rsid w:val="00AC5E3E"/>
    <w:rsid w:val="00AD0C32"/>
    <w:rsid w:val="00AD225C"/>
    <w:rsid w:val="00AD7D02"/>
    <w:rsid w:val="00AE1CA6"/>
    <w:rsid w:val="00AE1DCE"/>
    <w:rsid w:val="00AE348B"/>
    <w:rsid w:val="00AE3BF6"/>
    <w:rsid w:val="00AE5760"/>
    <w:rsid w:val="00AE5D5A"/>
    <w:rsid w:val="00AF1AA7"/>
    <w:rsid w:val="00AF20B4"/>
    <w:rsid w:val="00AF2191"/>
    <w:rsid w:val="00AF259A"/>
    <w:rsid w:val="00AF4D04"/>
    <w:rsid w:val="00AF4FDC"/>
    <w:rsid w:val="00AF53CF"/>
    <w:rsid w:val="00AF561E"/>
    <w:rsid w:val="00B0312D"/>
    <w:rsid w:val="00B04355"/>
    <w:rsid w:val="00B05C8F"/>
    <w:rsid w:val="00B1018F"/>
    <w:rsid w:val="00B122F6"/>
    <w:rsid w:val="00B13317"/>
    <w:rsid w:val="00B2256F"/>
    <w:rsid w:val="00B25678"/>
    <w:rsid w:val="00B31DF9"/>
    <w:rsid w:val="00B33E21"/>
    <w:rsid w:val="00B34DB0"/>
    <w:rsid w:val="00B43BDE"/>
    <w:rsid w:val="00B4400C"/>
    <w:rsid w:val="00B464F0"/>
    <w:rsid w:val="00B51F39"/>
    <w:rsid w:val="00B533B0"/>
    <w:rsid w:val="00B56CCC"/>
    <w:rsid w:val="00B573AF"/>
    <w:rsid w:val="00B64E59"/>
    <w:rsid w:val="00B668C6"/>
    <w:rsid w:val="00B70119"/>
    <w:rsid w:val="00B75A3F"/>
    <w:rsid w:val="00B76CC9"/>
    <w:rsid w:val="00B76EA3"/>
    <w:rsid w:val="00B82276"/>
    <w:rsid w:val="00B82CB1"/>
    <w:rsid w:val="00B83851"/>
    <w:rsid w:val="00B83D13"/>
    <w:rsid w:val="00B87281"/>
    <w:rsid w:val="00B96E96"/>
    <w:rsid w:val="00B9741D"/>
    <w:rsid w:val="00BA2C79"/>
    <w:rsid w:val="00BB020C"/>
    <w:rsid w:val="00BB124F"/>
    <w:rsid w:val="00BB3603"/>
    <w:rsid w:val="00BB37DA"/>
    <w:rsid w:val="00BB5E69"/>
    <w:rsid w:val="00BB6696"/>
    <w:rsid w:val="00BC2C82"/>
    <w:rsid w:val="00BC483C"/>
    <w:rsid w:val="00BC508E"/>
    <w:rsid w:val="00BD4E63"/>
    <w:rsid w:val="00BE11F0"/>
    <w:rsid w:val="00BE4F74"/>
    <w:rsid w:val="00BE6CBF"/>
    <w:rsid w:val="00BE6E37"/>
    <w:rsid w:val="00BE7ED9"/>
    <w:rsid w:val="00BF098F"/>
    <w:rsid w:val="00BF12EC"/>
    <w:rsid w:val="00BF1BA8"/>
    <w:rsid w:val="00BF70A7"/>
    <w:rsid w:val="00C06ABA"/>
    <w:rsid w:val="00C10D01"/>
    <w:rsid w:val="00C1501B"/>
    <w:rsid w:val="00C155D2"/>
    <w:rsid w:val="00C15D2B"/>
    <w:rsid w:val="00C20A1C"/>
    <w:rsid w:val="00C20C38"/>
    <w:rsid w:val="00C21883"/>
    <w:rsid w:val="00C22068"/>
    <w:rsid w:val="00C23C61"/>
    <w:rsid w:val="00C245AB"/>
    <w:rsid w:val="00C27B56"/>
    <w:rsid w:val="00C340E1"/>
    <w:rsid w:val="00C400F0"/>
    <w:rsid w:val="00C45325"/>
    <w:rsid w:val="00C521BE"/>
    <w:rsid w:val="00C54C1F"/>
    <w:rsid w:val="00C57FDC"/>
    <w:rsid w:val="00C60D12"/>
    <w:rsid w:val="00C62C20"/>
    <w:rsid w:val="00C65D75"/>
    <w:rsid w:val="00C66379"/>
    <w:rsid w:val="00C66CCE"/>
    <w:rsid w:val="00C6759D"/>
    <w:rsid w:val="00C6767B"/>
    <w:rsid w:val="00C6789F"/>
    <w:rsid w:val="00C7074E"/>
    <w:rsid w:val="00C72904"/>
    <w:rsid w:val="00C73423"/>
    <w:rsid w:val="00C75195"/>
    <w:rsid w:val="00C776D0"/>
    <w:rsid w:val="00C82003"/>
    <w:rsid w:val="00C820FD"/>
    <w:rsid w:val="00C83CAA"/>
    <w:rsid w:val="00C84471"/>
    <w:rsid w:val="00C84A76"/>
    <w:rsid w:val="00C87F06"/>
    <w:rsid w:val="00C925E0"/>
    <w:rsid w:val="00C96813"/>
    <w:rsid w:val="00CA4C8A"/>
    <w:rsid w:val="00CA5AC5"/>
    <w:rsid w:val="00CA66B3"/>
    <w:rsid w:val="00CB3296"/>
    <w:rsid w:val="00CB6470"/>
    <w:rsid w:val="00CC0EE0"/>
    <w:rsid w:val="00CC20F1"/>
    <w:rsid w:val="00CC4556"/>
    <w:rsid w:val="00CD33D4"/>
    <w:rsid w:val="00CD5FB6"/>
    <w:rsid w:val="00CD6163"/>
    <w:rsid w:val="00CE606C"/>
    <w:rsid w:val="00CE6105"/>
    <w:rsid w:val="00CE7237"/>
    <w:rsid w:val="00CF2C12"/>
    <w:rsid w:val="00CF3785"/>
    <w:rsid w:val="00CF6068"/>
    <w:rsid w:val="00D0338E"/>
    <w:rsid w:val="00D04AB1"/>
    <w:rsid w:val="00D05DA0"/>
    <w:rsid w:val="00D071C4"/>
    <w:rsid w:val="00D074DB"/>
    <w:rsid w:val="00D107CA"/>
    <w:rsid w:val="00D129A4"/>
    <w:rsid w:val="00D13B29"/>
    <w:rsid w:val="00D17628"/>
    <w:rsid w:val="00D17C94"/>
    <w:rsid w:val="00D206A2"/>
    <w:rsid w:val="00D243C6"/>
    <w:rsid w:val="00D25DF8"/>
    <w:rsid w:val="00D2749A"/>
    <w:rsid w:val="00D30CD7"/>
    <w:rsid w:val="00D40222"/>
    <w:rsid w:val="00D405DC"/>
    <w:rsid w:val="00D44119"/>
    <w:rsid w:val="00D4758D"/>
    <w:rsid w:val="00D5074C"/>
    <w:rsid w:val="00D508C1"/>
    <w:rsid w:val="00D5172A"/>
    <w:rsid w:val="00D52FA2"/>
    <w:rsid w:val="00D55AF6"/>
    <w:rsid w:val="00D55ED2"/>
    <w:rsid w:val="00D56AED"/>
    <w:rsid w:val="00D6192A"/>
    <w:rsid w:val="00D63B44"/>
    <w:rsid w:val="00D66BAC"/>
    <w:rsid w:val="00D66F7B"/>
    <w:rsid w:val="00D67A18"/>
    <w:rsid w:val="00D738FD"/>
    <w:rsid w:val="00D8049C"/>
    <w:rsid w:val="00D807A7"/>
    <w:rsid w:val="00D8245D"/>
    <w:rsid w:val="00D86F3F"/>
    <w:rsid w:val="00D924BD"/>
    <w:rsid w:val="00D93D9A"/>
    <w:rsid w:val="00D95F04"/>
    <w:rsid w:val="00D97DF0"/>
    <w:rsid w:val="00DA0FAB"/>
    <w:rsid w:val="00DA7A28"/>
    <w:rsid w:val="00DB5C7C"/>
    <w:rsid w:val="00DC0671"/>
    <w:rsid w:val="00DC522E"/>
    <w:rsid w:val="00DC7DC0"/>
    <w:rsid w:val="00DE43B0"/>
    <w:rsid w:val="00DE4936"/>
    <w:rsid w:val="00DE4B30"/>
    <w:rsid w:val="00DE6C89"/>
    <w:rsid w:val="00DF3624"/>
    <w:rsid w:val="00DF3B17"/>
    <w:rsid w:val="00DF448D"/>
    <w:rsid w:val="00DF642B"/>
    <w:rsid w:val="00DF7CFF"/>
    <w:rsid w:val="00E00611"/>
    <w:rsid w:val="00E027BF"/>
    <w:rsid w:val="00E032BE"/>
    <w:rsid w:val="00E1091B"/>
    <w:rsid w:val="00E12FE9"/>
    <w:rsid w:val="00E14AD4"/>
    <w:rsid w:val="00E31579"/>
    <w:rsid w:val="00E32773"/>
    <w:rsid w:val="00E33DC1"/>
    <w:rsid w:val="00E42EA2"/>
    <w:rsid w:val="00E435E8"/>
    <w:rsid w:val="00E466AC"/>
    <w:rsid w:val="00E47151"/>
    <w:rsid w:val="00E47C9B"/>
    <w:rsid w:val="00E51D1F"/>
    <w:rsid w:val="00E577E3"/>
    <w:rsid w:val="00E624E3"/>
    <w:rsid w:val="00E64552"/>
    <w:rsid w:val="00E64C79"/>
    <w:rsid w:val="00E66DC8"/>
    <w:rsid w:val="00E724C8"/>
    <w:rsid w:val="00E74CCD"/>
    <w:rsid w:val="00E774EB"/>
    <w:rsid w:val="00E77E01"/>
    <w:rsid w:val="00E840B0"/>
    <w:rsid w:val="00E92BA5"/>
    <w:rsid w:val="00E93C1D"/>
    <w:rsid w:val="00E9613D"/>
    <w:rsid w:val="00E979D9"/>
    <w:rsid w:val="00EA1049"/>
    <w:rsid w:val="00EA1EC1"/>
    <w:rsid w:val="00EA2504"/>
    <w:rsid w:val="00EA2A7C"/>
    <w:rsid w:val="00EA67CC"/>
    <w:rsid w:val="00EB1799"/>
    <w:rsid w:val="00EB1C1A"/>
    <w:rsid w:val="00EB430F"/>
    <w:rsid w:val="00EB6B6B"/>
    <w:rsid w:val="00EC1150"/>
    <w:rsid w:val="00EC5E12"/>
    <w:rsid w:val="00EC723E"/>
    <w:rsid w:val="00ED0A29"/>
    <w:rsid w:val="00ED6D27"/>
    <w:rsid w:val="00EE30C4"/>
    <w:rsid w:val="00EE500C"/>
    <w:rsid w:val="00EE7C87"/>
    <w:rsid w:val="00EE7D87"/>
    <w:rsid w:val="00EF0D9F"/>
    <w:rsid w:val="00EF2832"/>
    <w:rsid w:val="00EF6A5C"/>
    <w:rsid w:val="00F0048F"/>
    <w:rsid w:val="00F01591"/>
    <w:rsid w:val="00F05BBD"/>
    <w:rsid w:val="00F05F72"/>
    <w:rsid w:val="00F0613C"/>
    <w:rsid w:val="00F06C27"/>
    <w:rsid w:val="00F070B0"/>
    <w:rsid w:val="00F07182"/>
    <w:rsid w:val="00F1227E"/>
    <w:rsid w:val="00F15541"/>
    <w:rsid w:val="00F16AAD"/>
    <w:rsid w:val="00F2237D"/>
    <w:rsid w:val="00F246A9"/>
    <w:rsid w:val="00F249BA"/>
    <w:rsid w:val="00F254B8"/>
    <w:rsid w:val="00F2678E"/>
    <w:rsid w:val="00F30BE9"/>
    <w:rsid w:val="00F30CE2"/>
    <w:rsid w:val="00F310FE"/>
    <w:rsid w:val="00F315BE"/>
    <w:rsid w:val="00F31C89"/>
    <w:rsid w:val="00F32DEC"/>
    <w:rsid w:val="00F338C5"/>
    <w:rsid w:val="00F350A4"/>
    <w:rsid w:val="00F401DE"/>
    <w:rsid w:val="00F410CE"/>
    <w:rsid w:val="00F430BF"/>
    <w:rsid w:val="00F43AF2"/>
    <w:rsid w:val="00F51082"/>
    <w:rsid w:val="00F513C3"/>
    <w:rsid w:val="00F531E5"/>
    <w:rsid w:val="00F538D0"/>
    <w:rsid w:val="00F55E22"/>
    <w:rsid w:val="00F62A8C"/>
    <w:rsid w:val="00F67CE5"/>
    <w:rsid w:val="00F70A31"/>
    <w:rsid w:val="00F7283F"/>
    <w:rsid w:val="00F822C8"/>
    <w:rsid w:val="00F84D5D"/>
    <w:rsid w:val="00F8552C"/>
    <w:rsid w:val="00F85B3B"/>
    <w:rsid w:val="00F85E16"/>
    <w:rsid w:val="00F9082E"/>
    <w:rsid w:val="00F927FB"/>
    <w:rsid w:val="00F9327C"/>
    <w:rsid w:val="00F95C90"/>
    <w:rsid w:val="00F976A9"/>
    <w:rsid w:val="00FA0770"/>
    <w:rsid w:val="00FA08EF"/>
    <w:rsid w:val="00FA15D9"/>
    <w:rsid w:val="00FB28A2"/>
    <w:rsid w:val="00FB441B"/>
    <w:rsid w:val="00FB54E9"/>
    <w:rsid w:val="00FB6A9E"/>
    <w:rsid w:val="00FB7288"/>
    <w:rsid w:val="00FC1B1C"/>
    <w:rsid w:val="00FC295C"/>
    <w:rsid w:val="00FC3F04"/>
    <w:rsid w:val="00FC4DDD"/>
    <w:rsid w:val="00FC6D33"/>
    <w:rsid w:val="00FC6FB6"/>
    <w:rsid w:val="00FD0B1D"/>
    <w:rsid w:val="00FD2737"/>
    <w:rsid w:val="00FD4C6C"/>
    <w:rsid w:val="00FE22C9"/>
    <w:rsid w:val="00FE24A5"/>
    <w:rsid w:val="00FE7AE0"/>
    <w:rsid w:val="00FF08C0"/>
    <w:rsid w:val="00FF2883"/>
    <w:rsid w:val="00FF2F27"/>
    <w:rsid w:val="00FF583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6FC1A2"/>
  <w15:chartTrackingRefBased/>
  <w15:docId w15:val="{1DD1F359-CE49-4BAB-ABFB-5AB9AD4F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rPr>
      <w:lang w:eastAsia="x-none"/>
    </w:rPr>
  </w:style>
  <w:style w:type="paragraph" w:styleId="Piedepgina">
    <w:name w:val="footer"/>
    <w:basedOn w:val="Normal"/>
    <w:link w:val="PiedepginaCar"/>
    <w:pPr>
      <w:tabs>
        <w:tab w:val="center" w:pos="4419"/>
        <w:tab w:val="right" w:pos="8838"/>
      </w:tabs>
    </w:pPr>
    <w:rPr>
      <w:lang w:eastAsia="x-none"/>
    </w:r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styleId="Ttulo">
    <w:name w:val="Title"/>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link w:val="TextocomentarioCar"/>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link w:val="SangradetextonormalCar"/>
    <w:pPr>
      <w:spacing w:after="120"/>
      <w:ind w:left="283"/>
    </w:pPr>
    <w:rPr>
      <w:sz w:val="24"/>
      <w:szCs w:val="24"/>
      <w:lang w:val="es-ES"/>
    </w:rPr>
  </w:style>
  <w:style w:type="paragraph" w:customStyle="1" w:styleId="BodyText22">
    <w:name w:val="Body Text 22"/>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1"/>
      </w:numPr>
    </w:pPr>
    <w:rPr>
      <w:sz w:val="24"/>
      <w:szCs w:val="24"/>
      <w:lang w:val="es-ES"/>
    </w:rPr>
  </w:style>
  <w:style w:type="paragraph" w:styleId="Listaconvietas3">
    <w:name w:val="List Bullet 3"/>
    <w:basedOn w:val="Normal"/>
    <w:pPr>
      <w:numPr>
        <w:numId w:val="2"/>
      </w:numPr>
    </w:pPr>
    <w:rPr>
      <w:sz w:val="24"/>
      <w:szCs w:val="24"/>
      <w:lang w:val="es-ES"/>
    </w:rPr>
  </w:style>
  <w:style w:type="paragraph" w:styleId="Listaconvietas4">
    <w:name w:val="List Bullet 4"/>
    <w:basedOn w:val="Normal"/>
    <w:pPr>
      <w:numPr>
        <w:numId w:val="3"/>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styleId="nfasis">
    <w:name w:val="Emphasis"/>
    <w:qFormat/>
    <w:rsid w:val="00C83CAA"/>
    <w:rPr>
      <w:i/>
      <w:iCs/>
    </w:rPr>
  </w:style>
  <w:style w:type="paragraph" w:customStyle="1" w:styleId="Default">
    <w:name w:val="Default"/>
    <w:rsid w:val="00C83CAA"/>
    <w:pPr>
      <w:autoSpaceDE w:val="0"/>
      <w:autoSpaceDN w:val="0"/>
      <w:adjustRightInd w:val="0"/>
    </w:pPr>
    <w:rPr>
      <w:rFonts w:ascii="Arial" w:hAnsi="Arial" w:cs="Arial"/>
      <w:color w:val="000000"/>
      <w:sz w:val="24"/>
      <w:szCs w:val="24"/>
      <w:lang w:eastAsia="es-ES"/>
    </w:rPr>
  </w:style>
  <w:style w:type="paragraph" w:styleId="Prrafodelista">
    <w:name w:val="List Paragraph"/>
    <w:basedOn w:val="Normal"/>
    <w:uiPriority w:val="34"/>
    <w:qFormat/>
    <w:rsid w:val="002A2E26"/>
    <w:pPr>
      <w:ind w:left="720"/>
    </w:pPr>
    <w:rPr>
      <w:rFonts w:ascii="Calibri" w:eastAsia="Calibri" w:hAnsi="Calibri"/>
      <w:sz w:val="22"/>
      <w:szCs w:val="22"/>
      <w:lang w:val="es-ES"/>
    </w:rPr>
  </w:style>
  <w:style w:type="paragraph" w:customStyle="1" w:styleId="Textoindependiente31">
    <w:name w:val="Texto independiente 31"/>
    <w:basedOn w:val="Normal"/>
    <w:rsid w:val="003303A6"/>
    <w:pPr>
      <w:pBdr>
        <w:left w:val="single" w:sz="6" w:space="1" w:color="auto"/>
      </w:pBdr>
      <w:jc w:val="both"/>
    </w:pPr>
    <w:rPr>
      <w:rFonts w:ascii="Arial" w:hAnsi="Arial"/>
      <w:spacing w:val="20"/>
      <w:sz w:val="16"/>
      <w:lang w:eastAsia="es-CO"/>
    </w:rPr>
  </w:style>
  <w:style w:type="character" w:customStyle="1" w:styleId="EncabezadoCar">
    <w:name w:val="Encabezado Car"/>
    <w:link w:val="Encabezado"/>
    <w:uiPriority w:val="99"/>
    <w:rsid w:val="00832C01"/>
    <w:rPr>
      <w:lang w:val="es-ES_tradnl"/>
    </w:rPr>
  </w:style>
  <w:style w:type="character" w:customStyle="1" w:styleId="PiedepginaCar">
    <w:name w:val="Pie de página Car"/>
    <w:link w:val="Piedepgina"/>
    <w:rsid w:val="00832C01"/>
    <w:rPr>
      <w:lang w:val="es-ES_tradnl"/>
    </w:rPr>
  </w:style>
  <w:style w:type="character" w:styleId="Refdecomentario">
    <w:name w:val="annotation reference"/>
    <w:rsid w:val="008B7FB1"/>
    <w:rPr>
      <w:sz w:val="16"/>
      <w:szCs w:val="16"/>
    </w:rPr>
  </w:style>
  <w:style w:type="paragraph" w:styleId="Asuntodelcomentario">
    <w:name w:val="annotation subject"/>
    <w:basedOn w:val="Textocomentario"/>
    <w:next w:val="Textocomentario"/>
    <w:link w:val="AsuntodelcomentarioCar"/>
    <w:rsid w:val="008B7FB1"/>
    <w:rPr>
      <w:b/>
      <w:bCs/>
      <w:lang w:val="es-ES_tradnl" w:eastAsia="x-none"/>
    </w:rPr>
  </w:style>
  <w:style w:type="character" w:customStyle="1" w:styleId="TextocomentarioCar">
    <w:name w:val="Texto comentario Car"/>
    <w:basedOn w:val="Fuentedeprrafopredeter"/>
    <w:link w:val="Textocomentario"/>
    <w:rsid w:val="008B7FB1"/>
  </w:style>
  <w:style w:type="character" w:customStyle="1" w:styleId="AsuntodelcomentarioCar">
    <w:name w:val="Asunto del comentario Car"/>
    <w:link w:val="Asuntodelcomentario"/>
    <w:rsid w:val="008B7FB1"/>
    <w:rPr>
      <w:b/>
      <w:bCs/>
      <w:lang w:val="es-ES_tradnl"/>
    </w:rPr>
  </w:style>
  <w:style w:type="character" w:customStyle="1" w:styleId="SangradetextonormalCar">
    <w:name w:val="Sangría de texto normal Car"/>
    <w:link w:val="Sangradetextonormal"/>
    <w:rsid w:val="007F701B"/>
    <w:rPr>
      <w:sz w:val="24"/>
      <w:szCs w:val="24"/>
    </w:rPr>
  </w:style>
  <w:style w:type="paragraph" w:customStyle="1" w:styleId="Encabezadodetabladecontenido">
    <w:name w:val="Encabezado de tabla de contenido"/>
    <w:basedOn w:val="Ttulo1"/>
    <w:next w:val="Normal"/>
    <w:uiPriority w:val="39"/>
    <w:semiHidden/>
    <w:qFormat/>
    <w:rsid w:val="007F701B"/>
    <w:pPr>
      <w:keepLines/>
      <w:spacing w:before="480" w:after="0" w:line="276" w:lineRule="auto"/>
      <w:outlineLvl w:val="9"/>
    </w:pPr>
    <w:rPr>
      <w:rFonts w:ascii="Cambria" w:hAnsi="Cambria" w:cs="Times New Roman"/>
      <w:color w:val="365F91"/>
      <w:kern w:val="0"/>
      <w:sz w:val="28"/>
      <w:szCs w:val="28"/>
      <w:lang w:val="es-CO" w:eastAsia="es-CO"/>
    </w:rPr>
  </w:style>
  <w:style w:type="table" w:styleId="Tablaconcuadrcula">
    <w:name w:val="Table Grid"/>
    <w:basedOn w:val="Tablanormal"/>
    <w:rsid w:val="00AE1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4F53"/>
    <w:pPr>
      <w:spacing w:before="100" w:beforeAutospacing="1" w:after="100" w:afterAutospacing="1"/>
    </w:pPr>
    <w:rPr>
      <w:sz w:val="24"/>
      <w:szCs w:val="24"/>
      <w:lang w:val="es-CO" w:eastAsia="es-ES_tradnl"/>
    </w:rPr>
  </w:style>
  <w:style w:type="character" w:customStyle="1" w:styleId="eop">
    <w:name w:val="eop"/>
    <w:basedOn w:val="Fuentedeprrafopredeter"/>
    <w:rsid w:val="00094F53"/>
  </w:style>
  <w:style w:type="character" w:customStyle="1" w:styleId="normaltextrun">
    <w:name w:val="normaltextrun"/>
    <w:basedOn w:val="Fuentedeprrafopredeter"/>
    <w:rsid w:val="00094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85081">
      <w:bodyDiv w:val="1"/>
      <w:marLeft w:val="0"/>
      <w:marRight w:val="0"/>
      <w:marTop w:val="0"/>
      <w:marBottom w:val="0"/>
      <w:divBdr>
        <w:top w:val="none" w:sz="0" w:space="0" w:color="auto"/>
        <w:left w:val="none" w:sz="0" w:space="0" w:color="auto"/>
        <w:bottom w:val="none" w:sz="0" w:space="0" w:color="auto"/>
        <w:right w:val="none" w:sz="0" w:space="0" w:color="auto"/>
      </w:divBdr>
      <w:divsChild>
        <w:div w:id="1352611817">
          <w:marLeft w:val="0"/>
          <w:marRight w:val="0"/>
          <w:marTop w:val="0"/>
          <w:marBottom w:val="0"/>
          <w:divBdr>
            <w:top w:val="none" w:sz="0" w:space="0" w:color="auto"/>
            <w:left w:val="none" w:sz="0" w:space="0" w:color="auto"/>
            <w:bottom w:val="none" w:sz="0" w:space="0" w:color="auto"/>
            <w:right w:val="none" w:sz="0" w:space="0" w:color="auto"/>
          </w:divBdr>
        </w:div>
        <w:div w:id="55595147">
          <w:marLeft w:val="0"/>
          <w:marRight w:val="0"/>
          <w:marTop w:val="0"/>
          <w:marBottom w:val="0"/>
          <w:divBdr>
            <w:top w:val="none" w:sz="0" w:space="0" w:color="auto"/>
            <w:left w:val="none" w:sz="0" w:space="0" w:color="auto"/>
            <w:bottom w:val="none" w:sz="0" w:space="0" w:color="auto"/>
            <w:right w:val="none" w:sz="0" w:space="0" w:color="auto"/>
          </w:divBdr>
        </w:div>
        <w:div w:id="589659366">
          <w:marLeft w:val="0"/>
          <w:marRight w:val="0"/>
          <w:marTop w:val="0"/>
          <w:marBottom w:val="0"/>
          <w:divBdr>
            <w:top w:val="none" w:sz="0" w:space="0" w:color="auto"/>
            <w:left w:val="none" w:sz="0" w:space="0" w:color="auto"/>
            <w:bottom w:val="none" w:sz="0" w:space="0" w:color="auto"/>
            <w:right w:val="none" w:sz="0" w:space="0" w:color="auto"/>
          </w:divBdr>
          <w:divsChild>
            <w:div w:id="1565215974">
              <w:marLeft w:val="0"/>
              <w:marRight w:val="0"/>
              <w:marTop w:val="30"/>
              <w:marBottom w:val="30"/>
              <w:divBdr>
                <w:top w:val="none" w:sz="0" w:space="0" w:color="auto"/>
                <w:left w:val="none" w:sz="0" w:space="0" w:color="auto"/>
                <w:bottom w:val="none" w:sz="0" w:space="0" w:color="auto"/>
                <w:right w:val="none" w:sz="0" w:space="0" w:color="auto"/>
              </w:divBdr>
              <w:divsChild>
                <w:div w:id="918562179">
                  <w:marLeft w:val="0"/>
                  <w:marRight w:val="0"/>
                  <w:marTop w:val="0"/>
                  <w:marBottom w:val="0"/>
                  <w:divBdr>
                    <w:top w:val="none" w:sz="0" w:space="0" w:color="auto"/>
                    <w:left w:val="none" w:sz="0" w:space="0" w:color="auto"/>
                    <w:bottom w:val="none" w:sz="0" w:space="0" w:color="auto"/>
                    <w:right w:val="none" w:sz="0" w:space="0" w:color="auto"/>
                  </w:divBdr>
                  <w:divsChild>
                    <w:div w:id="357240584">
                      <w:marLeft w:val="0"/>
                      <w:marRight w:val="0"/>
                      <w:marTop w:val="0"/>
                      <w:marBottom w:val="0"/>
                      <w:divBdr>
                        <w:top w:val="none" w:sz="0" w:space="0" w:color="auto"/>
                        <w:left w:val="none" w:sz="0" w:space="0" w:color="auto"/>
                        <w:bottom w:val="none" w:sz="0" w:space="0" w:color="auto"/>
                        <w:right w:val="none" w:sz="0" w:space="0" w:color="auto"/>
                      </w:divBdr>
                    </w:div>
                  </w:divsChild>
                </w:div>
                <w:div w:id="1716588565">
                  <w:marLeft w:val="0"/>
                  <w:marRight w:val="0"/>
                  <w:marTop w:val="0"/>
                  <w:marBottom w:val="0"/>
                  <w:divBdr>
                    <w:top w:val="none" w:sz="0" w:space="0" w:color="auto"/>
                    <w:left w:val="none" w:sz="0" w:space="0" w:color="auto"/>
                    <w:bottom w:val="none" w:sz="0" w:space="0" w:color="auto"/>
                    <w:right w:val="none" w:sz="0" w:space="0" w:color="auto"/>
                  </w:divBdr>
                  <w:divsChild>
                    <w:div w:id="377635063">
                      <w:marLeft w:val="0"/>
                      <w:marRight w:val="0"/>
                      <w:marTop w:val="0"/>
                      <w:marBottom w:val="0"/>
                      <w:divBdr>
                        <w:top w:val="none" w:sz="0" w:space="0" w:color="auto"/>
                        <w:left w:val="none" w:sz="0" w:space="0" w:color="auto"/>
                        <w:bottom w:val="none" w:sz="0" w:space="0" w:color="auto"/>
                        <w:right w:val="none" w:sz="0" w:space="0" w:color="auto"/>
                      </w:divBdr>
                    </w:div>
                  </w:divsChild>
                </w:div>
                <w:div w:id="2089230168">
                  <w:marLeft w:val="0"/>
                  <w:marRight w:val="0"/>
                  <w:marTop w:val="0"/>
                  <w:marBottom w:val="0"/>
                  <w:divBdr>
                    <w:top w:val="none" w:sz="0" w:space="0" w:color="auto"/>
                    <w:left w:val="none" w:sz="0" w:space="0" w:color="auto"/>
                    <w:bottom w:val="none" w:sz="0" w:space="0" w:color="auto"/>
                    <w:right w:val="none" w:sz="0" w:space="0" w:color="auto"/>
                  </w:divBdr>
                  <w:divsChild>
                    <w:div w:id="1865047437">
                      <w:marLeft w:val="0"/>
                      <w:marRight w:val="0"/>
                      <w:marTop w:val="0"/>
                      <w:marBottom w:val="0"/>
                      <w:divBdr>
                        <w:top w:val="none" w:sz="0" w:space="0" w:color="auto"/>
                        <w:left w:val="none" w:sz="0" w:space="0" w:color="auto"/>
                        <w:bottom w:val="none" w:sz="0" w:space="0" w:color="auto"/>
                        <w:right w:val="none" w:sz="0" w:space="0" w:color="auto"/>
                      </w:divBdr>
                    </w:div>
                  </w:divsChild>
                </w:div>
                <w:div w:id="1255281390">
                  <w:marLeft w:val="0"/>
                  <w:marRight w:val="0"/>
                  <w:marTop w:val="0"/>
                  <w:marBottom w:val="0"/>
                  <w:divBdr>
                    <w:top w:val="none" w:sz="0" w:space="0" w:color="auto"/>
                    <w:left w:val="none" w:sz="0" w:space="0" w:color="auto"/>
                    <w:bottom w:val="none" w:sz="0" w:space="0" w:color="auto"/>
                    <w:right w:val="none" w:sz="0" w:space="0" w:color="auto"/>
                  </w:divBdr>
                  <w:divsChild>
                    <w:div w:id="145587758">
                      <w:marLeft w:val="0"/>
                      <w:marRight w:val="0"/>
                      <w:marTop w:val="0"/>
                      <w:marBottom w:val="0"/>
                      <w:divBdr>
                        <w:top w:val="none" w:sz="0" w:space="0" w:color="auto"/>
                        <w:left w:val="none" w:sz="0" w:space="0" w:color="auto"/>
                        <w:bottom w:val="none" w:sz="0" w:space="0" w:color="auto"/>
                        <w:right w:val="none" w:sz="0" w:space="0" w:color="auto"/>
                      </w:divBdr>
                    </w:div>
                  </w:divsChild>
                </w:div>
                <w:div w:id="711416659">
                  <w:marLeft w:val="0"/>
                  <w:marRight w:val="0"/>
                  <w:marTop w:val="0"/>
                  <w:marBottom w:val="0"/>
                  <w:divBdr>
                    <w:top w:val="none" w:sz="0" w:space="0" w:color="auto"/>
                    <w:left w:val="none" w:sz="0" w:space="0" w:color="auto"/>
                    <w:bottom w:val="none" w:sz="0" w:space="0" w:color="auto"/>
                    <w:right w:val="none" w:sz="0" w:space="0" w:color="auto"/>
                  </w:divBdr>
                  <w:divsChild>
                    <w:div w:id="1248996456">
                      <w:marLeft w:val="0"/>
                      <w:marRight w:val="0"/>
                      <w:marTop w:val="0"/>
                      <w:marBottom w:val="0"/>
                      <w:divBdr>
                        <w:top w:val="none" w:sz="0" w:space="0" w:color="auto"/>
                        <w:left w:val="none" w:sz="0" w:space="0" w:color="auto"/>
                        <w:bottom w:val="none" w:sz="0" w:space="0" w:color="auto"/>
                        <w:right w:val="none" w:sz="0" w:space="0" w:color="auto"/>
                      </w:divBdr>
                    </w:div>
                  </w:divsChild>
                </w:div>
                <w:div w:id="1783039558">
                  <w:marLeft w:val="0"/>
                  <w:marRight w:val="0"/>
                  <w:marTop w:val="0"/>
                  <w:marBottom w:val="0"/>
                  <w:divBdr>
                    <w:top w:val="none" w:sz="0" w:space="0" w:color="auto"/>
                    <w:left w:val="none" w:sz="0" w:space="0" w:color="auto"/>
                    <w:bottom w:val="none" w:sz="0" w:space="0" w:color="auto"/>
                    <w:right w:val="none" w:sz="0" w:space="0" w:color="auto"/>
                  </w:divBdr>
                  <w:divsChild>
                    <w:div w:id="5287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746435">
      <w:bodyDiv w:val="1"/>
      <w:marLeft w:val="0"/>
      <w:marRight w:val="0"/>
      <w:marTop w:val="0"/>
      <w:marBottom w:val="0"/>
      <w:divBdr>
        <w:top w:val="none" w:sz="0" w:space="0" w:color="auto"/>
        <w:left w:val="none" w:sz="0" w:space="0" w:color="auto"/>
        <w:bottom w:val="none" w:sz="0" w:space="0" w:color="auto"/>
        <w:right w:val="none" w:sz="0" w:space="0" w:color="auto"/>
      </w:divBdr>
    </w:div>
    <w:div w:id="1211305502">
      <w:bodyDiv w:val="1"/>
      <w:marLeft w:val="0"/>
      <w:marRight w:val="0"/>
      <w:marTop w:val="0"/>
      <w:marBottom w:val="0"/>
      <w:divBdr>
        <w:top w:val="none" w:sz="0" w:space="0" w:color="auto"/>
        <w:left w:val="none" w:sz="0" w:space="0" w:color="auto"/>
        <w:bottom w:val="none" w:sz="0" w:space="0" w:color="auto"/>
        <w:right w:val="none" w:sz="0" w:space="0" w:color="auto"/>
      </w:divBdr>
    </w:div>
    <w:div w:id="1260020558">
      <w:bodyDiv w:val="1"/>
      <w:marLeft w:val="0"/>
      <w:marRight w:val="0"/>
      <w:marTop w:val="0"/>
      <w:marBottom w:val="0"/>
      <w:divBdr>
        <w:top w:val="none" w:sz="0" w:space="0" w:color="auto"/>
        <w:left w:val="none" w:sz="0" w:space="0" w:color="auto"/>
        <w:bottom w:val="none" w:sz="0" w:space="0" w:color="auto"/>
        <w:right w:val="none" w:sz="0" w:space="0" w:color="auto"/>
      </w:divBdr>
    </w:div>
    <w:div w:id="1806197731">
      <w:bodyDiv w:val="1"/>
      <w:marLeft w:val="0"/>
      <w:marRight w:val="0"/>
      <w:marTop w:val="0"/>
      <w:marBottom w:val="0"/>
      <w:divBdr>
        <w:top w:val="none" w:sz="0" w:space="0" w:color="auto"/>
        <w:left w:val="none" w:sz="0" w:space="0" w:color="auto"/>
        <w:bottom w:val="none" w:sz="0" w:space="0" w:color="auto"/>
        <w:right w:val="none" w:sz="0" w:space="0" w:color="auto"/>
      </w:divBdr>
    </w:div>
    <w:div w:id="1818572777">
      <w:bodyDiv w:val="1"/>
      <w:marLeft w:val="0"/>
      <w:marRight w:val="0"/>
      <w:marTop w:val="0"/>
      <w:marBottom w:val="0"/>
      <w:divBdr>
        <w:top w:val="none" w:sz="0" w:space="0" w:color="auto"/>
        <w:left w:val="none" w:sz="0" w:space="0" w:color="auto"/>
        <w:bottom w:val="none" w:sz="0" w:space="0" w:color="auto"/>
        <w:right w:val="none" w:sz="0" w:space="0" w:color="auto"/>
      </w:divBdr>
    </w:div>
    <w:div w:id="2099406268">
      <w:bodyDiv w:val="1"/>
      <w:marLeft w:val="0"/>
      <w:marRight w:val="0"/>
      <w:marTop w:val="0"/>
      <w:marBottom w:val="0"/>
      <w:divBdr>
        <w:top w:val="none" w:sz="0" w:space="0" w:color="auto"/>
        <w:left w:val="none" w:sz="0" w:space="0" w:color="auto"/>
        <w:bottom w:val="none" w:sz="0" w:space="0" w:color="auto"/>
        <w:right w:val="none" w:sz="0" w:space="0" w:color="auto"/>
      </w:divBdr>
      <w:divsChild>
        <w:div w:id="718013704">
          <w:marLeft w:val="0"/>
          <w:marRight w:val="0"/>
          <w:marTop w:val="0"/>
          <w:marBottom w:val="0"/>
          <w:divBdr>
            <w:top w:val="none" w:sz="0" w:space="0" w:color="auto"/>
            <w:left w:val="none" w:sz="0" w:space="0" w:color="auto"/>
            <w:bottom w:val="none" w:sz="0" w:space="0" w:color="auto"/>
            <w:right w:val="none" w:sz="0" w:space="0" w:color="auto"/>
          </w:divBdr>
        </w:div>
        <w:div w:id="861091383">
          <w:marLeft w:val="0"/>
          <w:marRight w:val="0"/>
          <w:marTop w:val="0"/>
          <w:marBottom w:val="0"/>
          <w:divBdr>
            <w:top w:val="none" w:sz="0" w:space="0" w:color="auto"/>
            <w:left w:val="none" w:sz="0" w:space="0" w:color="auto"/>
            <w:bottom w:val="none" w:sz="0" w:space="0" w:color="auto"/>
            <w:right w:val="none" w:sz="0" w:space="0" w:color="auto"/>
          </w:divBdr>
        </w:div>
        <w:div w:id="1087923086">
          <w:marLeft w:val="0"/>
          <w:marRight w:val="0"/>
          <w:marTop w:val="0"/>
          <w:marBottom w:val="0"/>
          <w:divBdr>
            <w:top w:val="none" w:sz="0" w:space="0" w:color="auto"/>
            <w:left w:val="none" w:sz="0" w:space="0" w:color="auto"/>
            <w:bottom w:val="none" w:sz="0" w:space="0" w:color="auto"/>
            <w:right w:val="none" w:sz="0" w:space="0" w:color="auto"/>
          </w:divBdr>
        </w:div>
        <w:div w:id="1563561479">
          <w:marLeft w:val="0"/>
          <w:marRight w:val="0"/>
          <w:marTop w:val="0"/>
          <w:marBottom w:val="0"/>
          <w:divBdr>
            <w:top w:val="none" w:sz="0" w:space="0" w:color="auto"/>
            <w:left w:val="none" w:sz="0" w:space="0" w:color="auto"/>
            <w:bottom w:val="none" w:sz="0" w:space="0" w:color="auto"/>
            <w:right w:val="none" w:sz="0" w:space="0" w:color="auto"/>
          </w:divBdr>
        </w:div>
        <w:div w:id="1920670151">
          <w:marLeft w:val="0"/>
          <w:marRight w:val="0"/>
          <w:marTop w:val="0"/>
          <w:marBottom w:val="0"/>
          <w:divBdr>
            <w:top w:val="none" w:sz="0" w:space="0" w:color="auto"/>
            <w:left w:val="none" w:sz="0" w:space="0" w:color="auto"/>
            <w:bottom w:val="none" w:sz="0" w:space="0" w:color="auto"/>
            <w:right w:val="none" w:sz="0" w:space="0" w:color="auto"/>
          </w:divBdr>
        </w:div>
        <w:div w:id="2145460518">
          <w:marLeft w:val="0"/>
          <w:marRight w:val="0"/>
          <w:marTop w:val="0"/>
          <w:marBottom w:val="0"/>
          <w:divBdr>
            <w:top w:val="none" w:sz="0" w:space="0" w:color="auto"/>
            <w:left w:val="none" w:sz="0" w:space="0" w:color="auto"/>
            <w:bottom w:val="none" w:sz="0" w:space="0" w:color="auto"/>
            <w:right w:val="none" w:sz="0" w:space="0" w:color="auto"/>
          </w:divBdr>
        </w:div>
      </w:divsChild>
    </w:div>
    <w:div w:id="210495628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9AAC28DA5AAD40B76E5274427BF1F6" ma:contentTypeVersion="2" ma:contentTypeDescription="Create a new document." ma:contentTypeScope="" ma:versionID="773e67f0c28636e69a017ef2d998c26a">
  <xsd:schema xmlns:xsd="http://www.w3.org/2001/XMLSchema" xmlns:xs="http://www.w3.org/2001/XMLSchema" xmlns:p="http://schemas.microsoft.com/office/2006/metadata/properties" xmlns:ns2="cad59cb6-8bbf-4a8b-a4b6-796a94d3bfe1" targetNamespace="http://schemas.microsoft.com/office/2006/metadata/properties" ma:root="true" ma:fieldsID="007be5b0f88f309c781d05b58732643e" ns2:_="">
    <xsd:import namespace="cad59cb6-8bbf-4a8b-a4b6-796a94d3bf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59cb6-8bbf-4a8b-a4b6-796a94d3b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1B038-5C84-4981-9C63-A97ED62D3A51}">
  <ds:schemaRefs>
    <ds:schemaRef ds:uri="http://schemas.openxmlformats.org/officeDocument/2006/bibliography"/>
  </ds:schemaRefs>
</ds:datastoreItem>
</file>

<file path=customXml/itemProps2.xml><?xml version="1.0" encoding="utf-8"?>
<ds:datastoreItem xmlns:ds="http://schemas.openxmlformats.org/officeDocument/2006/customXml" ds:itemID="{55507CB9-1343-47E5-A712-53B3B2514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65003-3FC2-4F10-B185-7B9D10FB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59cb6-8bbf-4a8b-a4b6-796a94d3b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0F60B-9348-404D-A8CF-F6EB89074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2671</Characters>
  <Application>Microsoft Office Word</Application>
  <DocSecurity>4</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 CE</vt:lpstr>
      <vt:lpstr>Proy CE</vt:lpstr>
    </vt:vector>
  </TitlesOfParts>
  <Company>superfinanciera</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Juan Pablo Zapata Cruz</cp:lastModifiedBy>
  <cp:revision>2</cp:revision>
  <cp:lastPrinted>2018-12-20T14:35:00Z</cp:lastPrinted>
  <dcterms:created xsi:type="dcterms:W3CDTF">2021-05-14T16:16:00Z</dcterms:created>
  <dcterms:modified xsi:type="dcterms:W3CDTF">2021-05-14T16:16:00Z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0x010100AD9AAC28DA5AAD40B76E5274427BF1F6</vt:lpwstr>
  </property>
</Properties>
</file>