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633B36F2"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0A37501D"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5DAB6C7B"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257AA814" w14:textId="152B4D67" w:rsidR="00EF1775" w:rsidRPr="001C4E67" w:rsidRDefault="00B51F39">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b/>
          <w:bCs/>
          <w:sz w:val="24"/>
          <w:szCs w:val="24"/>
        </w:rPr>
        <w:t>PROYECTO DE</w:t>
      </w:r>
      <w:r w:rsidR="00F95A19">
        <w:rPr>
          <w:rFonts w:ascii="Arial" w:hAnsi="Arial" w:cs="Arial"/>
          <w:b/>
          <w:bCs/>
          <w:sz w:val="24"/>
          <w:szCs w:val="24"/>
        </w:rPr>
        <w:t xml:space="preserve"> CIRCULAR EXTERNA: </w:t>
      </w:r>
      <w:r w:rsidR="000155F6">
        <w:rPr>
          <w:rFonts w:ascii="Arial" w:hAnsi="Arial" w:cs="Arial"/>
          <w:sz w:val="24"/>
          <w:szCs w:val="24"/>
        </w:rPr>
        <w:t>Reserva de desviación de siniestralidad</w:t>
      </w:r>
      <w:r w:rsidR="005E77F3" w:rsidRPr="005E77F3">
        <w:rPr>
          <w:rFonts w:ascii="Arial" w:hAnsi="Arial" w:cs="Arial"/>
          <w:sz w:val="24"/>
          <w:szCs w:val="24"/>
        </w:rPr>
        <w:t>.</w:t>
      </w:r>
    </w:p>
    <w:p w14:paraId="1CF43F45" w14:textId="77777777" w:rsidR="00EF1775" w:rsidRDefault="00EF1775">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6D343DF" w14:textId="77777777" w:rsidR="005B22B4" w:rsidRDefault="005B22B4">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6B14A2F0" w14:textId="65F605C0" w:rsidR="005B22B4" w:rsidRDefault="00B51F39" w:rsidP="005B22B4">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 xml:space="preserve">PROPÓSITO: </w:t>
      </w:r>
      <w:r w:rsidR="000155F6" w:rsidRPr="000155F6">
        <w:rPr>
          <w:rFonts w:ascii="Arial" w:hAnsi="Arial" w:cs="Arial"/>
          <w:bCs/>
          <w:sz w:val="24"/>
          <w:szCs w:val="24"/>
        </w:rPr>
        <w:t>Impartir i</w:t>
      </w:r>
      <w:r w:rsidR="000155F6" w:rsidRPr="000155F6">
        <w:rPr>
          <w:rFonts w:ascii="Arial" w:hAnsi="Arial" w:cs="Arial"/>
          <w:sz w:val="24"/>
          <w:szCs w:val="24"/>
        </w:rPr>
        <w:t>nstrucciones relacionadas con la contratación de protecciones adicionales y reserva de desviación de siniestralidad para el ramo de riesgos laborales</w:t>
      </w:r>
      <w:r w:rsidR="005E77F3" w:rsidRPr="005E77F3">
        <w:rPr>
          <w:rFonts w:ascii="Arial" w:hAnsi="Arial" w:cs="Arial"/>
          <w:sz w:val="24"/>
          <w:szCs w:val="24"/>
        </w:rPr>
        <w:t>.</w:t>
      </w:r>
    </w:p>
    <w:p w14:paraId="5A69D53E" w14:textId="11BBC764" w:rsidR="002446F6" w:rsidRPr="00815E25" w:rsidRDefault="002446F6" w:rsidP="00022F23">
      <w:pPr>
        <w:pBdr>
          <w:top w:val="single" w:sz="4" w:space="0" w:color="auto"/>
          <w:left w:val="single" w:sz="4" w:space="4" w:color="auto"/>
          <w:bottom w:val="single" w:sz="4" w:space="1" w:color="auto"/>
          <w:right w:val="single" w:sz="4" w:space="4" w:color="auto"/>
        </w:pBdr>
        <w:jc w:val="both"/>
        <w:rPr>
          <w:rFonts w:ascii="Arial" w:hAnsi="Arial" w:cs="Arial"/>
          <w:sz w:val="24"/>
          <w:szCs w:val="24"/>
        </w:rPr>
      </w:pPr>
    </w:p>
    <w:p w14:paraId="56187F4A" w14:textId="77777777" w:rsidR="00A53326" w:rsidRDefault="00A5332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7635C6EE" w14:textId="11AFB361" w:rsidR="00F95A19" w:rsidRDefault="00B51F39" w:rsidP="00F95A19">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sidRPr="67DAE626">
        <w:rPr>
          <w:rFonts w:ascii="Arial" w:hAnsi="Arial" w:cs="Arial"/>
          <w:b/>
          <w:bCs/>
          <w:sz w:val="24"/>
          <w:szCs w:val="24"/>
        </w:rPr>
        <w:t xml:space="preserve">PLAZO PARA COMENTARIOS: </w:t>
      </w:r>
      <w:r w:rsidR="00F95A19" w:rsidRPr="00022F23">
        <w:rPr>
          <w:rFonts w:ascii="Arial" w:hAnsi="Arial" w:cs="Arial"/>
          <w:b/>
          <w:bCs/>
          <w:sz w:val="24"/>
          <w:szCs w:val="24"/>
          <w:u w:val="single"/>
        </w:rPr>
        <w:t>5:00</w:t>
      </w:r>
      <w:r w:rsidR="005B22B4">
        <w:rPr>
          <w:rFonts w:ascii="Arial" w:hAnsi="Arial" w:cs="Arial"/>
          <w:b/>
          <w:bCs/>
          <w:sz w:val="24"/>
          <w:szCs w:val="24"/>
          <w:u w:val="single"/>
        </w:rPr>
        <w:t xml:space="preserve"> </w:t>
      </w:r>
      <w:r w:rsidR="00F95A19" w:rsidRPr="00022F23">
        <w:rPr>
          <w:rFonts w:ascii="Arial" w:hAnsi="Arial" w:cs="Arial"/>
          <w:b/>
          <w:bCs/>
          <w:sz w:val="24"/>
          <w:szCs w:val="24"/>
          <w:u w:val="single"/>
        </w:rPr>
        <w:t>pm</w:t>
      </w:r>
      <w:r w:rsidR="00F95A19" w:rsidRPr="67DAE626">
        <w:rPr>
          <w:rFonts w:ascii="Arial" w:hAnsi="Arial" w:cs="Arial"/>
          <w:b/>
          <w:bCs/>
          <w:sz w:val="24"/>
          <w:szCs w:val="24"/>
        </w:rPr>
        <w:t xml:space="preserve"> del </w:t>
      </w:r>
      <w:r w:rsidR="000155F6">
        <w:rPr>
          <w:rFonts w:ascii="Arial" w:hAnsi="Arial" w:cs="Arial"/>
          <w:b/>
          <w:bCs/>
          <w:sz w:val="24"/>
          <w:szCs w:val="24"/>
        </w:rPr>
        <w:t>martes 8 de junio</w:t>
      </w:r>
      <w:r w:rsidR="00F95A19" w:rsidRPr="67DAE626">
        <w:rPr>
          <w:rFonts w:ascii="Arial" w:hAnsi="Arial" w:cs="Arial"/>
          <w:b/>
          <w:bCs/>
          <w:sz w:val="24"/>
          <w:szCs w:val="24"/>
        </w:rPr>
        <w:t xml:space="preserve"> de 202</w:t>
      </w:r>
      <w:r w:rsidR="00813305">
        <w:rPr>
          <w:rFonts w:ascii="Arial" w:hAnsi="Arial" w:cs="Arial"/>
          <w:b/>
          <w:bCs/>
          <w:sz w:val="24"/>
          <w:szCs w:val="24"/>
        </w:rPr>
        <w:t>1</w:t>
      </w:r>
      <w:r w:rsidR="00CF0C2B">
        <w:rPr>
          <w:rFonts w:ascii="Arial" w:hAnsi="Arial" w:cs="Arial"/>
          <w:b/>
          <w:bCs/>
          <w:sz w:val="24"/>
          <w:szCs w:val="24"/>
        </w:rPr>
        <w:t>.</w:t>
      </w:r>
    </w:p>
    <w:p w14:paraId="72A3D3EC" w14:textId="77777777" w:rsidR="00F95A19" w:rsidRDefault="00F95A19" w:rsidP="00F95A1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68E863E6" w14:textId="77777777" w:rsidR="003D4522" w:rsidRPr="003C1EDF" w:rsidRDefault="003D4522"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sidRPr="003D4522">
        <w:rPr>
          <w:rFonts w:ascii="Arial" w:hAnsi="Arial" w:cs="Arial"/>
          <w:b/>
          <w:bCs/>
          <w:sz w:val="24"/>
          <w:szCs w:val="24"/>
        </w:rPr>
        <w:t xml:space="preserve">REMISIÓN DE COMENTARIOS: </w:t>
      </w:r>
      <w:r w:rsidRPr="00022F23">
        <w:rPr>
          <w:rFonts w:ascii="Arial" w:hAnsi="Arial" w:cs="Arial"/>
          <w:sz w:val="24"/>
          <w:szCs w:val="24"/>
        </w:rPr>
        <w:t>Por favor diligenciar la proforma adjunta “MATRIZ PARA COMENTARIOS EXTERNOS - PUBLICACION WEB”.</w:t>
      </w:r>
      <w:r w:rsidRPr="003C1EDF">
        <w:rPr>
          <w:rFonts w:ascii="Arial" w:hAnsi="Arial" w:cs="Arial"/>
          <w:sz w:val="24"/>
          <w:szCs w:val="24"/>
        </w:rPr>
        <w:t xml:space="preserve"> </w:t>
      </w:r>
    </w:p>
    <w:p w14:paraId="364D4CBE" w14:textId="77777777" w:rsidR="003D4522" w:rsidRPr="003C1EDF" w:rsidRDefault="003D4522"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sidRPr="003C1EDF">
        <w:rPr>
          <w:rFonts w:ascii="Arial" w:hAnsi="Arial" w:cs="Arial"/>
          <w:sz w:val="24"/>
          <w:szCs w:val="24"/>
        </w:rPr>
        <w:t xml:space="preserve"> </w:t>
      </w:r>
    </w:p>
    <w:p w14:paraId="10CD95C1" w14:textId="77777777" w:rsidR="000B5678" w:rsidRDefault="003D4522"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sidRPr="003C1EDF">
        <w:rPr>
          <w:rFonts w:ascii="Arial" w:hAnsi="Arial" w:cs="Arial"/>
          <w:sz w:val="24"/>
          <w:szCs w:val="24"/>
        </w:rPr>
        <w:t xml:space="preserve">La proforma en formato Word puede ser radicada vía e-mail por medio del correo electrónico </w:t>
      </w:r>
      <w:hyperlink r:id="rId10" w:history="1">
        <w:r w:rsidR="005B22B4" w:rsidRPr="00BE1B02">
          <w:rPr>
            <w:rStyle w:val="Hipervnculo"/>
            <w:rFonts w:ascii="Arial" w:hAnsi="Arial" w:cs="Arial"/>
            <w:sz w:val="24"/>
            <w:szCs w:val="24"/>
          </w:rPr>
          <w:t>normativa@superfinanciera.gov.co</w:t>
        </w:r>
      </w:hyperlink>
      <w:r w:rsidR="005B22B4">
        <w:rPr>
          <w:rFonts w:ascii="Arial" w:hAnsi="Arial" w:cs="Arial"/>
          <w:sz w:val="24"/>
          <w:szCs w:val="24"/>
        </w:rPr>
        <w:t xml:space="preserve"> </w:t>
      </w:r>
    </w:p>
    <w:p w14:paraId="491C3FFA" w14:textId="77777777" w:rsidR="000B5678" w:rsidRDefault="000B5678"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rPr>
      </w:pPr>
    </w:p>
    <w:p w14:paraId="0E27B00A" w14:textId="5BCF39CD" w:rsidR="00CC4604" w:rsidRPr="003C1EDF" w:rsidRDefault="003D4522"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rPr>
      </w:pPr>
      <w:r w:rsidRPr="003C1EDF">
        <w:rPr>
          <w:rFonts w:ascii="Arial" w:hAnsi="Arial" w:cs="Arial"/>
          <w:sz w:val="24"/>
          <w:szCs w:val="24"/>
        </w:rPr>
        <w:t>En el asunto</w:t>
      </w:r>
      <w:r w:rsidRPr="003D4522">
        <w:rPr>
          <w:rFonts w:ascii="Arial" w:hAnsi="Arial" w:cs="Arial"/>
          <w:b/>
          <w:bCs/>
          <w:sz w:val="24"/>
          <w:szCs w:val="24"/>
        </w:rPr>
        <w:t xml:space="preserve"> únicamente </w:t>
      </w:r>
      <w:r w:rsidRPr="003C1EDF">
        <w:rPr>
          <w:rFonts w:ascii="Arial" w:hAnsi="Arial" w:cs="Arial"/>
          <w:sz w:val="24"/>
          <w:szCs w:val="24"/>
        </w:rPr>
        <w:t>incluir el siguiente número de radicación:</w:t>
      </w:r>
    </w:p>
    <w:p w14:paraId="27FC3412" w14:textId="77777777" w:rsidR="00C96050" w:rsidRPr="003C1EDF" w:rsidRDefault="00C96050" w:rsidP="003D4522">
      <w:pPr>
        <w:pBdr>
          <w:top w:val="single" w:sz="4" w:space="0" w:color="auto"/>
          <w:left w:val="single" w:sz="4" w:space="4" w:color="auto"/>
          <w:bottom w:val="single" w:sz="4" w:space="1" w:color="auto"/>
          <w:right w:val="single" w:sz="4" w:space="4" w:color="auto"/>
        </w:pBdr>
        <w:jc w:val="both"/>
        <w:rPr>
          <w:rFonts w:ascii="Arial" w:hAnsi="Arial" w:cs="Arial"/>
          <w:sz w:val="24"/>
          <w:szCs w:val="24"/>
          <w:lang w:val="es-ES"/>
        </w:rPr>
      </w:pPr>
    </w:p>
    <w:p w14:paraId="4455D184" w14:textId="55C5B0B7" w:rsidR="00B51F39" w:rsidRPr="00F95A19" w:rsidRDefault="006F70A6" w:rsidP="006F70A6">
      <w:pPr>
        <w:pBdr>
          <w:top w:val="single" w:sz="4" w:space="0" w:color="auto"/>
          <w:left w:val="single" w:sz="4" w:space="4" w:color="auto"/>
          <w:bottom w:val="single" w:sz="4" w:space="1" w:color="auto"/>
          <w:right w:val="single" w:sz="4" w:space="4" w:color="auto"/>
        </w:pBdr>
        <w:jc w:val="center"/>
        <w:rPr>
          <w:rFonts w:ascii="Arial" w:hAnsi="Arial" w:cs="Arial"/>
          <w:b/>
          <w:bCs/>
          <w:sz w:val="24"/>
          <w:szCs w:val="24"/>
          <w:u w:val="thick"/>
          <w:lang w:val="es-ES"/>
        </w:rPr>
      </w:pPr>
      <w:r w:rsidRPr="003870A8">
        <w:rPr>
          <w:rFonts w:ascii="Arial" w:hAnsi="Arial" w:cs="Arial"/>
          <w:b/>
          <w:bCs/>
          <w:sz w:val="24"/>
          <w:szCs w:val="24"/>
          <w:lang w:val="es-ES"/>
        </w:rPr>
        <w:t>R</w:t>
      </w:r>
      <w:r>
        <w:rPr>
          <w:rFonts w:ascii="Arial" w:hAnsi="Arial" w:cs="Arial"/>
          <w:b/>
          <w:bCs/>
          <w:sz w:val="24"/>
          <w:szCs w:val="24"/>
          <w:lang w:val="es-ES"/>
        </w:rPr>
        <w:t xml:space="preserve">ADICADO No. </w:t>
      </w:r>
      <w:r w:rsidR="000155F6" w:rsidRPr="000155F6">
        <w:rPr>
          <w:rFonts w:ascii="Arial" w:hAnsi="Arial" w:cs="Arial"/>
          <w:b/>
          <w:bCs/>
          <w:sz w:val="24"/>
          <w:szCs w:val="24"/>
          <w:lang w:val="es-ES"/>
        </w:rPr>
        <w:t>2021114638</w:t>
      </w:r>
    </w:p>
    <w:p w14:paraId="60061E4C" w14:textId="77777777" w:rsidR="00B51F39" w:rsidRPr="00E77E01"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p>
    <w:p w14:paraId="1D6DD68D" w14:textId="4A60D4BC" w:rsidR="00B51F39" w:rsidRPr="00E77E01" w:rsidRDefault="00E77E01" w:rsidP="00CC4604">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r w:rsidR="00824B7C">
        <w:rPr>
          <w:rFonts w:ascii="Arial" w:hAnsi="Arial" w:cs="Arial"/>
          <w:b/>
          <w:bCs/>
          <w:sz w:val="24"/>
          <w:szCs w:val="24"/>
        </w:rPr>
        <w:t>Subdirector</w:t>
      </w:r>
      <w:r w:rsidR="000B5678">
        <w:rPr>
          <w:rFonts w:ascii="Arial" w:hAnsi="Arial" w:cs="Arial"/>
          <w:b/>
          <w:bCs/>
          <w:sz w:val="24"/>
          <w:szCs w:val="24"/>
        </w:rPr>
        <w:t>a</w:t>
      </w:r>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con el número de radicación.</w:t>
      </w:r>
      <w:r w:rsidR="00B51F39" w:rsidRPr="00E77E01">
        <w:rPr>
          <w:rFonts w:ascii="Arial" w:hAnsi="Arial" w:cs="Arial"/>
          <w:bCs/>
          <w:sz w:val="24"/>
          <w:szCs w:val="24"/>
        </w:rPr>
        <w:tab/>
      </w:r>
      <w:r w:rsidR="00B51F39" w:rsidRPr="00E77E01">
        <w:rPr>
          <w:rFonts w:ascii="Arial" w:hAnsi="Arial" w:cs="Arial"/>
          <w:bCs/>
          <w:sz w:val="24"/>
          <w:szCs w:val="24"/>
        </w:rPr>
        <w:tab/>
        <w:t xml:space="preserve"> </w:t>
      </w:r>
      <w:bookmarkStart w:id="0" w:name="_GoBack"/>
      <w:bookmarkEnd w:id="0"/>
    </w:p>
    <w:p w14:paraId="44EAFD9C"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7C6EFA5E" w14:textId="77777777"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4B94D5A5"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DEEC669"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656B9AB"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5FB0818"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049F31CB"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3128261"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62486C05"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4101652C"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4D47DD1C" w14:textId="77777777" w:rsidR="00E77E01" w:rsidRDefault="00B51F39">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4B99056E" w14:textId="263D3217" w:rsidR="00E77E01" w:rsidRDefault="004E39D8"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r>
        <w:rPr>
          <w:rFonts w:ascii="Arial" w:hAnsi="Arial" w:cs="Arial"/>
          <w:b/>
          <w:bCs/>
          <w:sz w:val="28"/>
          <w:szCs w:val="28"/>
        </w:rPr>
        <w:t>Circular Externa.</w:t>
      </w:r>
    </w:p>
    <w:p w14:paraId="1299C43A"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1A1CE014" w14:textId="77777777" w:rsidR="000155F6" w:rsidRDefault="000155F6" w:rsidP="007368A1">
      <w:pPr>
        <w:tabs>
          <w:tab w:val="left" w:pos="4002"/>
        </w:tabs>
        <w:jc w:val="center"/>
        <w:rPr>
          <w:rFonts w:ascii="Arial" w:hAnsi="Arial" w:cs="Arial"/>
          <w:b/>
          <w:bCs/>
          <w:sz w:val="24"/>
          <w:szCs w:val="24"/>
        </w:rPr>
        <w:sectPr w:rsidR="000155F6" w:rsidSect="00EF1775">
          <w:headerReference w:type="default" r:id="rId11"/>
          <w:footerReference w:type="default" r:id="rId12"/>
          <w:headerReference w:type="first" r:id="rId13"/>
          <w:footerReference w:type="first" r:id="rId14"/>
          <w:pgSz w:w="12242" w:h="18722" w:code="14"/>
          <w:pgMar w:top="1800" w:right="1701" w:bottom="1701" w:left="2268" w:header="709" w:footer="709" w:gutter="0"/>
          <w:paperSrc w:first="2" w:other="2"/>
          <w:cols w:space="708"/>
          <w:titlePg/>
          <w:docGrid w:linePitch="360"/>
        </w:sectPr>
      </w:pPr>
    </w:p>
    <w:p w14:paraId="4159467A" w14:textId="77777777" w:rsidR="000155F6" w:rsidRPr="000155F6" w:rsidRDefault="000155F6" w:rsidP="000155F6">
      <w:pPr>
        <w:jc w:val="center"/>
        <w:rPr>
          <w:rStyle w:val="nfasis"/>
          <w:rFonts w:ascii="Arial" w:hAnsi="Arial" w:cs="Arial"/>
          <w:b/>
          <w:i w:val="0"/>
          <w:sz w:val="24"/>
          <w:szCs w:val="24"/>
          <w:lang w:val="es-ES"/>
        </w:rPr>
      </w:pPr>
      <w:r w:rsidRPr="000155F6">
        <w:rPr>
          <w:rStyle w:val="nfasis"/>
          <w:rFonts w:ascii="Arial" w:hAnsi="Arial" w:cs="Arial"/>
          <w:b/>
          <w:bCs/>
          <w:i w:val="0"/>
          <w:sz w:val="24"/>
          <w:szCs w:val="24"/>
          <w:lang w:val="es-ES"/>
        </w:rPr>
        <w:lastRenderedPageBreak/>
        <w:t>CIRCULAR EXTERNA                   DE 2021</w:t>
      </w:r>
    </w:p>
    <w:p w14:paraId="18F184B3" w14:textId="77777777" w:rsidR="000155F6" w:rsidRPr="000155F6" w:rsidRDefault="000155F6" w:rsidP="000155F6">
      <w:pPr>
        <w:jc w:val="center"/>
        <w:rPr>
          <w:rStyle w:val="nfasis"/>
          <w:rFonts w:ascii="Arial" w:hAnsi="Arial" w:cs="Arial"/>
          <w:b/>
          <w:bCs/>
          <w:i w:val="0"/>
          <w:iCs w:val="0"/>
          <w:sz w:val="24"/>
          <w:szCs w:val="24"/>
          <w:lang w:val="es-ES"/>
        </w:rPr>
      </w:pPr>
    </w:p>
    <w:p w14:paraId="047C7A5B" w14:textId="77777777" w:rsidR="000155F6" w:rsidRPr="000155F6" w:rsidRDefault="000155F6" w:rsidP="000155F6">
      <w:pPr>
        <w:jc w:val="center"/>
        <w:rPr>
          <w:rStyle w:val="nfasis"/>
          <w:rFonts w:ascii="Arial" w:hAnsi="Arial" w:cs="Arial"/>
          <w:b/>
          <w:bCs/>
          <w:i w:val="0"/>
          <w:iCs w:val="0"/>
          <w:sz w:val="24"/>
          <w:szCs w:val="24"/>
          <w:lang w:val="es-ES"/>
        </w:rPr>
      </w:pPr>
    </w:p>
    <w:p w14:paraId="366EB8CB" w14:textId="77777777" w:rsidR="000155F6" w:rsidRPr="000155F6" w:rsidRDefault="000155F6" w:rsidP="000155F6">
      <w:pPr>
        <w:jc w:val="center"/>
        <w:rPr>
          <w:rStyle w:val="nfasis"/>
          <w:rFonts w:ascii="Arial" w:hAnsi="Arial" w:cs="Arial"/>
          <w:b/>
          <w:i w:val="0"/>
          <w:sz w:val="24"/>
          <w:szCs w:val="24"/>
          <w:lang w:val="es-ES"/>
        </w:rPr>
      </w:pPr>
      <w:r w:rsidRPr="000155F6">
        <w:rPr>
          <w:rStyle w:val="nfasis"/>
          <w:rFonts w:ascii="Arial" w:hAnsi="Arial" w:cs="Arial"/>
          <w:b/>
          <w:i w:val="0"/>
          <w:sz w:val="24"/>
          <w:szCs w:val="24"/>
          <w:lang w:val="es-ES"/>
        </w:rPr>
        <w:t>(                                       )</w:t>
      </w:r>
    </w:p>
    <w:p w14:paraId="50B42561" w14:textId="77777777" w:rsidR="000155F6" w:rsidRPr="000155F6" w:rsidRDefault="000155F6" w:rsidP="000155F6">
      <w:pPr>
        <w:jc w:val="both"/>
        <w:rPr>
          <w:rStyle w:val="nfasis"/>
          <w:rFonts w:ascii="Arial" w:hAnsi="Arial" w:cs="Arial"/>
          <w:b/>
          <w:i w:val="0"/>
          <w:sz w:val="24"/>
          <w:szCs w:val="24"/>
          <w:lang w:val="es-ES"/>
        </w:rPr>
      </w:pPr>
    </w:p>
    <w:p w14:paraId="2A0AC7B7" w14:textId="77777777" w:rsidR="000155F6" w:rsidRPr="000155F6" w:rsidRDefault="000155F6" w:rsidP="000155F6">
      <w:pPr>
        <w:jc w:val="both"/>
        <w:rPr>
          <w:rStyle w:val="nfasis"/>
          <w:rFonts w:ascii="Arial" w:hAnsi="Arial" w:cs="Arial"/>
          <w:b/>
          <w:i w:val="0"/>
          <w:sz w:val="24"/>
          <w:szCs w:val="24"/>
          <w:lang w:val="es-ES"/>
        </w:rPr>
      </w:pPr>
      <w:r w:rsidRPr="000155F6">
        <w:rPr>
          <w:rStyle w:val="nfasis"/>
          <w:rFonts w:ascii="Arial" w:hAnsi="Arial" w:cs="Arial"/>
          <w:b/>
          <w:i w:val="0"/>
          <w:sz w:val="24"/>
          <w:szCs w:val="24"/>
          <w:lang w:val="es-ES"/>
        </w:rPr>
        <w:t>Señores</w:t>
      </w:r>
    </w:p>
    <w:p w14:paraId="7A9C8A46" w14:textId="77777777" w:rsidR="000155F6" w:rsidRPr="000155F6" w:rsidRDefault="000155F6" w:rsidP="000155F6">
      <w:pPr>
        <w:jc w:val="both"/>
      </w:pPr>
      <w:r w:rsidRPr="000155F6">
        <w:rPr>
          <w:rFonts w:ascii="Arial" w:hAnsi="Arial" w:cs="Arial"/>
          <w:sz w:val="24"/>
          <w:szCs w:val="24"/>
          <w:lang w:val="es-ES"/>
        </w:rPr>
        <w:t xml:space="preserve">REPRESENTANTES LEGALES Y REVISORES FISCALES DE ENTIDADES ASEGURADORAS </w:t>
      </w:r>
    </w:p>
    <w:p w14:paraId="6271949E" w14:textId="77777777" w:rsidR="000155F6" w:rsidRPr="000155F6" w:rsidRDefault="000155F6" w:rsidP="000155F6">
      <w:pPr>
        <w:jc w:val="both"/>
        <w:rPr>
          <w:rStyle w:val="nfasis"/>
          <w:b/>
          <w:i w:val="0"/>
        </w:rPr>
      </w:pPr>
    </w:p>
    <w:p w14:paraId="3A5F4E89" w14:textId="77777777" w:rsidR="000155F6" w:rsidRPr="000155F6" w:rsidRDefault="000155F6" w:rsidP="000155F6">
      <w:pPr>
        <w:jc w:val="both"/>
        <w:rPr>
          <w:rStyle w:val="nfasis"/>
          <w:rFonts w:ascii="Arial" w:hAnsi="Arial" w:cs="Arial"/>
          <w:b/>
          <w:i w:val="0"/>
          <w:sz w:val="24"/>
          <w:szCs w:val="24"/>
          <w:lang w:val="es-ES"/>
        </w:rPr>
      </w:pPr>
    </w:p>
    <w:p w14:paraId="7554AF24" w14:textId="77777777" w:rsidR="000155F6" w:rsidRPr="000155F6" w:rsidRDefault="000155F6" w:rsidP="000155F6">
      <w:pPr>
        <w:jc w:val="both"/>
        <w:rPr>
          <w:rStyle w:val="nfasis"/>
          <w:rFonts w:ascii="Arial" w:hAnsi="Arial" w:cs="Arial"/>
          <w:i w:val="0"/>
          <w:sz w:val="24"/>
          <w:szCs w:val="24"/>
        </w:rPr>
      </w:pPr>
      <w:r w:rsidRPr="000155F6">
        <w:rPr>
          <w:rStyle w:val="nfasis"/>
          <w:rFonts w:ascii="Arial" w:hAnsi="Arial" w:cs="Arial"/>
          <w:b/>
          <w:i w:val="0"/>
          <w:sz w:val="24"/>
          <w:szCs w:val="24"/>
          <w:lang w:val="es-ES"/>
        </w:rPr>
        <w:t>Referencia: Instrucciones relacionadas con la contratación de protecciones adicionales y reserva de desviación de siniestralidad para el ramo de riesgos laborales</w:t>
      </w:r>
    </w:p>
    <w:p w14:paraId="4CCFDBF5" w14:textId="77777777" w:rsidR="000155F6" w:rsidRPr="000155F6" w:rsidRDefault="000155F6" w:rsidP="000155F6">
      <w:pPr>
        <w:jc w:val="both"/>
        <w:rPr>
          <w:rStyle w:val="nfasis"/>
          <w:rFonts w:ascii="Arial" w:hAnsi="Arial" w:cs="Arial"/>
          <w:i w:val="0"/>
          <w:sz w:val="24"/>
          <w:szCs w:val="24"/>
        </w:rPr>
      </w:pPr>
    </w:p>
    <w:p w14:paraId="5D3624C9" w14:textId="77777777" w:rsidR="000155F6" w:rsidRPr="000155F6" w:rsidRDefault="000155F6" w:rsidP="000155F6">
      <w:pPr>
        <w:jc w:val="both"/>
        <w:rPr>
          <w:rStyle w:val="nfasis"/>
          <w:rFonts w:ascii="Arial" w:hAnsi="Arial" w:cs="Arial"/>
          <w:i w:val="0"/>
          <w:sz w:val="24"/>
          <w:szCs w:val="24"/>
        </w:rPr>
      </w:pPr>
    </w:p>
    <w:p w14:paraId="012E2A9C" w14:textId="77777777" w:rsidR="000155F6" w:rsidRPr="000155F6" w:rsidRDefault="000155F6" w:rsidP="000155F6">
      <w:pPr>
        <w:jc w:val="both"/>
        <w:rPr>
          <w:rStyle w:val="nfasis"/>
          <w:rFonts w:ascii="Arial" w:hAnsi="Arial" w:cs="Arial"/>
          <w:i w:val="0"/>
          <w:sz w:val="24"/>
          <w:szCs w:val="24"/>
          <w:lang w:val="es-ES"/>
        </w:rPr>
      </w:pPr>
      <w:r w:rsidRPr="000155F6">
        <w:rPr>
          <w:rStyle w:val="nfasis"/>
          <w:rFonts w:ascii="Arial" w:hAnsi="Arial" w:cs="Arial"/>
          <w:i w:val="0"/>
          <w:sz w:val="24"/>
          <w:szCs w:val="24"/>
          <w:lang w:val="es-ES"/>
        </w:rPr>
        <w:t>Apreciados señores:</w:t>
      </w:r>
    </w:p>
    <w:p w14:paraId="63255240" w14:textId="77777777" w:rsidR="000155F6" w:rsidRPr="000155F6" w:rsidRDefault="000155F6" w:rsidP="000155F6">
      <w:pPr>
        <w:jc w:val="both"/>
        <w:rPr>
          <w:rStyle w:val="nfasis"/>
          <w:rFonts w:ascii="Arial" w:hAnsi="Arial" w:cs="Arial"/>
          <w:i w:val="0"/>
          <w:sz w:val="24"/>
          <w:szCs w:val="24"/>
        </w:rPr>
      </w:pPr>
    </w:p>
    <w:p w14:paraId="29D14834" w14:textId="77777777" w:rsidR="000155F6" w:rsidRPr="000155F6" w:rsidRDefault="000155F6" w:rsidP="000155F6">
      <w:pPr>
        <w:jc w:val="both"/>
        <w:rPr>
          <w:rStyle w:val="nfasis"/>
          <w:rFonts w:ascii="Arial" w:hAnsi="Arial" w:cs="Arial"/>
          <w:i w:val="0"/>
          <w:iCs w:val="0"/>
          <w:sz w:val="24"/>
          <w:szCs w:val="24"/>
        </w:rPr>
      </w:pPr>
      <w:r w:rsidRPr="000155F6">
        <w:rPr>
          <w:rStyle w:val="nfasis"/>
          <w:rFonts w:ascii="Arial" w:hAnsi="Arial" w:cs="Arial"/>
          <w:i w:val="0"/>
          <w:sz w:val="24"/>
          <w:szCs w:val="24"/>
        </w:rPr>
        <w:t>De conformidad con lo dispuesto en el artículo 2.31.4.6.1 del Decreto 2555 de 2010, corresponde a la Superintendencia Financiera de Colombia (en adelante, SFC) establecer los parámetros generales que deben cumplir las entidades aseguradoras cuando celebren contratos de reaseguros que las protejan frente a desviaciones en la siniestralidad en el ramo de riesgos laborales. Adicionalmente, el artículo 2.31.4.5.1 del citado Decreto, impone a la SFC la obligación de señalar la metodología de cálculo y liberación de la reserva de desviación de siniestralidad para riesgos laborales, teniendo en cuenta las protecciones adicionales a las que se refiere el decreto.</w:t>
      </w:r>
    </w:p>
    <w:p w14:paraId="5CCBC7DC" w14:textId="77777777" w:rsidR="000155F6" w:rsidRPr="000155F6" w:rsidRDefault="000155F6" w:rsidP="000155F6">
      <w:pPr>
        <w:jc w:val="both"/>
        <w:rPr>
          <w:rStyle w:val="nfasis"/>
          <w:rFonts w:ascii="Arial" w:hAnsi="Arial" w:cs="Arial"/>
          <w:i w:val="0"/>
          <w:sz w:val="24"/>
          <w:szCs w:val="24"/>
        </w:rPr>
      </w:pPr>
    </w:p>
    <w:p w14:paraId="10BF1C04" w14:textId="77777777" w:rsidR="000155F6" w:rsidRPr="000155F6" w:rsidRDefault="000155F6" w:rsidP="000155F6">
      <w:pPr>
        <w:jc w:val="both"/>
        <w:rPr>
          <w:rStyle w:val="nfasis"/>
          <w:rFonts w:ascii="Arial" w:hAnsi="Arial" w:cs="Arial"/>
          <w:i w:val="0"/>
          <w:iCs w:val="0"/>
          <w:sz w:val="24"/>
          <w:szCs w:val="24"/>
        </w:rPr>
      </w:pPr>
      <w:r w:rsidRPr="000155F6">
        <w:rPr>
          <w:rStyle w:val="nfasis"/>
          <w:rFonts w:ascii="Arial" w:hAnsi="Arial" w:cs="Arial"/>
          <w:i w:val="0"/>
          <w:sz w:val="24"/>
          <w:szCs w:val="24"/>
        </w:rPr>
        <w:t>Por medio de la presente Circular, la SFC en ejercicio de las facultades antes mencionadas y la establecida en el numeral 4 del artículo 11.2.1.4.2 del Decreto 2555 de 2010, imparte las siguientes instrucciones:</w:t>
      </w:r>
    </w:p>
    <w:p w14:paraId="0EA277CF" w14:textId="77777777" w:rsidR="000155F6" w:rsidRPr="000155F6" w:rsidRDefault="000155F6" w:rsidP="000155F6">
      <w:pPr>
        <w:jc w:val="both"/>
        <w:rPr>
          <w:rStyle w:val="nfasis"/>
          <w:rFonts w:ascii="Arial" w:hAnsi="Arial" w:cs="Arial"/>
          <w:i w:val="0"/>
          <w:iCs w:val="0"/>
          <w:sz w:val="24"/>
          <w:szCs w:val="24"/>
        </w:rPr>
      </w:pPr>
    </w:p>
    <w:p w14:paraId="09DAF614" w14:textId="77777777" w:rsidR="000155F6" w:rsidRPr="000155F6" w:rsidRDefault="000155F6" w:rsidP="000155F6">
      <w:pPr>
        <w:adjustRightInd w:val="0"/>
        <w:jc w:val="both"/>
        <w:rPr>
          <w:b/>
        </w:rPr>
      </w:pPr>
      <w:r w:rsidRPr="000155F6">
        <w:rPr>
          <w:rFonts w:ascii="Arial" w:hAnsi="Arial" w:cs="Arial"/>
          <w:b/>
          <w:sz w:val="24"/>
          <w:szCs w:val="24"/>
        </w:rPr>
        <w:t xml:space="preserve">PRIMERA: </w:t>
      </w:r>
      <w:r w:rsidRPr="000155F6">
        <w:rPr>
          <w:rFonts w:ascii="Arial" w:hAnsi="Arial" w:cs="Arial"/>
          <w:sz w:val="24"/>
          <w:szCs w:val="24"/>
        </w:rPr>
        <w:t>Adicionar el subnumeral 1.6.4.2. en el Capítulo II, Título IV, Parte II de la Circular Básica Jurídica, relacionado con los parámetros para la contratación de las coberturas de reaseguro aplicables al ramo de riesgos laborales.</w:t>
      </w:r>
    </w:p>
    <w:p w14:paraId="301F0162" w14:textId="77777777" w:rsidR="000155F6" w:rsidRPr="000155F6" w:rsidRDefault="000155F6" w:rsidP="000155F6">
      <w:pPr>
        <w:adjustRightInd w:val="0"/>
        <w:jc w:val="both"/>
        <w:rPr>
          <w:rFonts w:ascii="Arial" w:hAnsi="Arial" w:cs="Arial"/>
          <w:b/>
          <w:sz w:val="24"/>
          <w:szCs w:val="24"/>
        </w:rPr>
      </w:pPr>
    </w:p>
    <w:p w14:paraId="3084D535" w14:textId="77777777" w:rsidR="000155F6" w:rsidRPr="000155F6" w:rsidRDefault="000155F6" w:rsidP="000155F6">
      <w:pPr>
        <w:adjustRightInd w:val="0"/>
        <w:jc w:val="both"/>
        <w:rPr>
          <w:rFonts w:ascii="Arial" w:hAnsi="Arial" w:cs="Arial"/>
          <w:sz w:val="24"/>
          <w:szCs w:val="24"/>
        </w:rPr>
      </w:pPr>
      <w:r w:rsidRPr="000155F6">
        <w:rPr>
          <w:rFonts w:ascii="Arial" w:hAnsi="Arial" w:cs="Arial"/>
          <w:b/>
          <w:sz w:val="24"/>
          <w:szCs w:val="24"/>
        </w:rPr>
        <w:t xml:space="preserve">SEGUNDA: </w:t>
      </w:r>
      <w:r w:rsidRPr="000155F6">
        <w:rPr>
          <w:rFonts w:ascii="Arial" w:hAnsi="Arial" w:cs="Arial"/>
          <w:sz w:val="24"/>
          <w:szCs w:val="24"/>
        </w:rPr>
        <w:t>Adicionar el subnumeral 3.4.6. en el Capítulo II, Título IV, Parte II de la Circular Básica Jurídica, referente a las reglas aplicables al cálculo de la reserva de desviación de siniestralidad.</w:t>
      </w:r>
    </w:p>
    <w:p w14:paraId="72F42C77" w14:textId="77777777" w:rsidR="000155F6" w:rsidRPr="000155F6" w:rsidRDefault="000155F6" w:rsidP="000155F6">
      <w:pPr>
        <w:adjustRightInd w:val="0"/>
        <w:jc w:val="both"/>
        <w:rPr>
          <w:rFonts w:ascii="Arial" w:hAnsi="Arial" w:cs="Arial"/>
          <w:sz w:val="24"/>
          <w:szCs w:val="24"/>
        </w:rPr>
      </w:pPr>
    </w:p>
    <w:p w14:paraId="1C5AC5BF" w14:textId="77777777" w:rsidR="000155F6" w:rsidRPr="000155F6" w:rsidRDefault="000155F6" w:rsidP="000155F6">
      <w:pPr>
        <w:adjustRightInd w:val="0"/>
        <w:jc w:val="both"/>
        <w:rPr>
          <w:rFonts w:ascii="Arial" w:hAnsi="Arial" w:cs="Arial"/>
          <w:bCs/>
          <w:sz w:val="24"/>
          <w:szCs w:val="24"/>
        </w:rPr>
      </w:pPr>
      <w:r w:rsidRPr="000155F6">
        <w:rPr>
          <w:rFonts w:ascii="Arial" w:hAnsi="Arial" w:cs="Arial"/>
          <w:b/>
          <w:sz w:val="24"/>
          <w:szCs w:val="24"/>
        </w:rPr>
        <w:t xml:space="preserve">TERCERA. INSTRUCCIÓN TRANSITORIA. </w:t>
      </w:r>
      <w:r w:rsidRPr="000155F6">
        <w:rPr>
          <w:rFonts w:ascii="Arial" w:hAnsi="Arial" w:cs="Arial"/>
          <w:sz w:val="24"/>
          <w:szCs w:val="24"/>
        </w:rPr>
        <w:t>Las entidades aseguradoras deben recopilar la información que estimen necesaria para determinar el impacto de eventos de terrorismo, pandemia y explosión por accidentes industriales sobre el portafolio de riesgos asegurados.</w:t>
      </w:r>
      <w:r w:rsidRPr="000155F6">
        <w:rPr>
          <w:rFonts w:ascii="Arial" w:hAnsi="Arial" w:cs="Arial"/>
          <w:bCs/>
          <w:sz w:val="24"/>
          <w:szCs w:val="24"/>
        </w:rPr>
        <w:t xml:space="preserve"> </w:t>
      </w:r>
      <w:r w:rsidRPr="000155F6">
        <w:rPr>
          <w:rFonts w:ascii="Arial" w:hAnsi="Arial" w:cs="Arial"/>
          <w:sz w:val="24"/>
          <w:szCs w:val="24"/>
        </w:rPr>
        <w:t xml:space="preserve">Para dar cumplimiento a lo anterior, deben adoptar un plan de trabajo con su respectivo cronograma, que </w:t>
      </w:r>
      <w:r w:rsidRPr="000155F6">
        <w:rPr>
          <w:rFonts w:ascii="Arial" w:hAnsi="Arial" w:cs="Arial"/>
          <w:bCs/>
          <w:sz w:val="24"/>
          <w:szCs w:val="24"/>
        </w:rPr>
        <w:t>incorpore los procedimientos de recopilación de información y un informe semestral de avance. Los procedimientos deben tener como mínimo descripciones de las tareas a ejecutar, entregables y responsables, así como los criterios que adoptaron al definir las estrategias para recolectar la información.</w:t>
      </w:r>
    </w:p>
    <w:p w14:paraId="6160F53E" w14:textId="77777777" w:rsidR="000155F6" w:rsidRPr="000155F6" w:rsidRDefault="000155F6" w:rsidP="000155F6">
      <w:pPr>
        <w:adjustRightInd w:val="0"/>
        <w:jc w:val="both"/>
        <w:rPr>
          <w:rFonts w:ascii="Arial" w:hAnsi="Arial" w:cs="Arial"/>
          <w:sz w:val="24"/>
          <w:szCs w:val="24"/>
        </w:rPr>
      </w:pPr>
    </w:p>
    <w:p w14:paraId="5FAD48F4" w14:textId="77777777" w:rsidR="000155F6" w:rsidRPr="000155F6" w:rsidRDefault="000155F6" w:rsidP="000155F6">
      <w:pPr>
        <w:adjustRightInd w:val="0"/>
        <w:jc w:val="both"/>
        <w:rPr>
          <w:rFonts w:ascii="Arial" w:hAnsi="Arial" w:cs="Arial"/>
          <w:sz w:val="24"/>
          <w:szCs w:val="24"/>
        </w:rPr>
      </w:pPr>
      <w:r w:rsidRPr="000155F6">
        <w:rPr>
          <w:rFonts w:ascii="Arial" w:hAnsi="Arial" w:cs="Arial"/>
          <w:sz w:val="24"/>
          <w:szCs w:val="24"/>
        </w:rPr>
        <w:t xml:space="preserve">Las variables que sean relevantes para cada uno de los eventos junto con los criterios técnicos que sustentan su escogencia deben estar documentadas. </w:t>
      </w:r>
    </w:p>
    <w:p w14:paraId="15D49508" w14:textId="77777777" w:rsidR="000155F6" w:rsidRPr="000155F6" w:rsidRDefault="000155F6" w:rsidP="000155F6">
      <w:pPr>
        <w:adjustRightInd w:val="0"/>
        <w:jc w:val="both"/>
        <w:rPr>
          <w:rFonts w:ascii="Arial" w:hAnsi="Arial" w:cs="Arial"/>
          <w:sz w:val="24"/>
          <w:szCs w:val="24"/>
        </w:rPr>
      </w:pPr>
    </w:p>
    <w:p w14:paraId="176605F6" w14:textId="77777777" w:rsidR="000155F6" w:rsidRPr="000155F6" w:rsidRDefault="000155F6" w:rsidP="000155F6">
      <w:pPr>
        <w:adjustRightInd w:val="0"/>
        <w:jc w:val="both"/>
        <w:rPr>
          <w:rFonts w:ascii="Arial" w:hAnsi="Arial" w:cs="Arial"/>
          <w:bCs/>
          <w:sz w:val="24"/>
          <w:szCs w:val="24"/>
        </w:rPr>
      </w:pPr>
      <w:r w:rsidRPr="000155F6">
        <w:rPr>
          <w:rFonts w:ascii="Arial" w:hAnsi="Arial" w:cs="Arial"/>
          <w:sz w:val="24"/>
          <w:szCs w:val="24"/>
        </w:rPr>
        <w:lastRenderedPageBreak/>
        <w:t>Las variables que deben recopilarse para el evento de pandemia deben contemplar como mínimo:</w:t>
      </w:r>
    </w:p>
    <w:p w14:paraId="3FFF6EBB" w14:textId="77777777" w:rsidR="000155F6" w:rsidRPr="000155F6" w:rsidRDefault="000155F6" w:rsidP="000155F6">
      <w:pPr>
        <w:adjustRightInd w:val="0"/>
        <w:jc w:val="both"/>
        <w:rPr>
          <w:rFonts w:ascii="Arial" w:hAnsi="Arial" w:cs="Arial"/>
          <w:bCs/>
          <w:sz w:val="24"/>
          <w:szCs w:val="24"/>
        </w:rPr>
      </w:pPr>
    </w:p>
    <w:p w14:paraId="4547D6E6" w14:textId="77777777" w:rsidR="000155F6" w:rsidRPr="000155F6" w:rsidRDefault="000155F6" w:rsidP="000155F6">
      <w:pPr>
        <w:tabs>
          <w:tab w:val="left" w:pos="720"/>
        </w:tabs>
        <w:jc w:val="both"/>
        <w:rPr>
          <w:rFonts w:ascii="Arial" w:hAnsi="Arial" w:cs="Arial"/>
          <w:sz w:val="24"/>
          <w:szCs w:val="24"/>
        </w:rPr>
      </w:pPr>
      <w:r w:rsidRPr="000155F6">
        <w:rPr>
          <w:rFonts w:ascii="Arial" w:hAnsi="Arial" w:cs="Arial"/>
          <w:sz w:val="24"/>
          <w:szCs w:val="24"/>
        </w:rPr>
        <w:t>1. Velocidad de propagación de la enfermedad,</w:t>
      </w:r>
    </w:p>
    <w:p w14:paraId="700BFCA9" w14:textId="77777777" w:rsidR="000155F6" w:rsidRPr="000155F6" w:rsidRDefault="000155F6" w:rsidP="000155F6">
      <w:pPr>
        <w:tabs>
          <w:tab w:val="left" w:pos="720"/>
        </w:tabs>
        <w:jc w:val="both"/>
        <w:rPr>
          <w:rFonts w:ascii="Arial" w:hAnsi="Arial" w:cs="Arial"/>
          <w:sz w:val="24"/>
          <w:szCs w:val="24"/>
        </w:rPr>
      </w:pPr>
      <w:r w:rsidRPr="000155F6">
        <w:rPr>
          <w:rFonts w:ascii="Arial" w:hAnsi="Arial" w:cs="Arial"/>
          <w:sz w:val="24"/>
          <w:szCs w:val="24"/>
        </w:rPr>
        <w:t>2. Tasa de contagio de la enfermedad,</w:t>
      </w:r>
    </w:p>
    <w:p w14:paraId="16E8C7B3" w14:textId="77777777" w:rsidR="000155F6" w:rsidRPr="000155F6" w:rsidRDefault="000155F6" w:rsidP="000155F6">
      <w:pPr>
        <w:tabs>
          <w:tab w:val="left" w:pos="720"/>
        </w:tabs>
        <w:jc w:val="both"/>
        <w:rPr>
          <w:rFonts w:ascii="Arial" w:hAnsi="Arial" w:cs="Arial"/>
          <w:sz w:val="24"/>
          <w:szCs w:val="24"/>
        </w:rPr>
      </w:pPr>
      <w:r w:rsidRPr="000155F6">
        <w:rPr>
          <w:rFonts w:ascii="Arial" w:hAnsi="Arial" w:cs="Arial"/>
          <w:sz w:val="24"/>
          <w:szCs w:val="24"/>
        </w:rPr>
        <w:t>3. Tasa de recuperación de los enfermos,</w:t>
      </w:r>
    </w:p>
    <w:p w14:paraId="7B41CB81" w14:textId="77777777" w:rsidR="000155F6" w:rsidRPr="000155F6" w:rsidRDefault="000155F6" w:rsidP="000155F6">
      <w:pPr>
        <w:tabs>
          <w:tab w:val="left" w:pos="720"/>
        </w:tabs>
        <w:jc w:val="both"/>
        <w:rPr>
          <w:rFonts w:ascii="Arial" w:hAnsi="Arial" w:cs="Arial"/>
          <w:sz w:val="24"/>
          <w:szCs w:val="24"/>
        </w:rPr>
      </w:pPr>
      <w:r w:rsidRPr="000155F6">
        <w:rPr>
          <w:rFonts w:ascii="Arial" w:hAnsi="Arial" w:cs="Arial"/>
          <w:sz w:val="24"/>
          <w:szCs w:val="24"/>
        </w:rPr>
        <w:t>4. Velocidad de recuperación de los enfermos,</w:t>
      </w:r>
    </w:p>
    <w:p w14:paraId="26291DE2" w14:textId="77777777" w:rsidR="000155F6" w:rsidRPr="000155F6" w:rsidRDefault="000155F6" w:rsidP="000155F6">
      <w:pPr>
        <w:tabs>
          <w:tab w:val="left" w:pos="720"/>
        </w:tabs>
        <w:jc w:val="both"/>
        <w:rPr>
          <w:rFonts w:ascii="Arial" w:hAnsi="Arial" w:cs="Arial"/>
          <w:sz w:val="24"/>
          <w:szCs w:val="24"/>
        </w:rPr>
      </w:pPr>
      <w:r w:rsidRPr="000155F6">
        <w:rPr>
          <w:rFonts w:ascii="Arial" w:hAnsi="Arial" w:cs="Arial"/>
          <w:sz w:val="24"/>
          <w:szCs w:val="24"/>
        </w:rPr>
        <w:t>5. Periodo de incubación de los virus, y</w:t>
      </w:r>
    </w:p>
    <w:p w14:paraId="126C310F" w14:textId="77777777" w:rsidR="000155F6" w:rsidRPr="000155F6" w:rsidRDefault="000155F6" w:rsidP="000155F6">
      <w:pPr>
        <w:tabs>
          <w:tab w:val="left" w:pos="720"/>
        </w:tabs>
        <w:jc w:val="both"/>
        <w:rPr>
          <w:rFonts w:ascii="Arial" w:hAnsi="Arial" w:cs="Arial"/>
          <w:sz w:val="24"/>
          <w:szCs w:val="24"/>
        </w:rPr>
      </w:pPr>
      <w:r w:rsidRPr="000155F6">
        <w:rPr>
          <w:rFonts w:ascii="Arial" w:hAnsi="Arial" w:cs="Arial"/>
          <w:sz w:val="24"/>
          <w:szCs w:val="24"/>
        </w:rPr>
        <w:t>6. Tasa de mortalidad y de invalidez.</w:t>
      </w:r>
    </w:p>
    <w:p w14:paraId="5BA2CAA3" w14:textId="77777777" w:rsidR="000155F6" w:rsidRPr="000155F6" w:rsidRDefault="000155F6" w:rsidP="000155F6">
      <w:pPr>
        <w:adjustRightInd w:val="0"/>
        <w:jc w:val="both"/>
        <w:rPr>
          <w:rFonts w:ascii="Arial" w:hAnsi="Arial" w:cs="Arial"/>
          <w:bCs/>
          <w:sz w:val="24"/>
          <w:szCs w:val="24"/>
        </w:rPr>
      </w:pPr>
    </w:p>
    <w:p w14:paraId="0F44C647" w14:textId="77777777" w:rsidR="000155F6" w:rsidRPr="000155F6" w:rsidRDefault="000155F6" w:rsidP="000155F6">
      <w:pPr>
        <w:adjustRightInd w:val="0"/>
        <w:jc w:val="both"/>
        <w:rPr>
          <w:rFonts w:ascii="Arial" w:hAnsi="Arial" w:cs="Arial"/>
          <w:sz w:val="24"/>
          <w:szCs w:val="24"/>
        </w:rPr>
      </w:pPr>
      <w:r w:rsidRPr="000155F6">
        <w:rPr>
          <w:rFonts w:ascii="Arial" w:hAnsi="Arial" w:cs="Arial"/>
          <w:sz w:val="24"/>
          <w:szCs w:val="24"/>
        </w:rPr>
        <w:t xml:space="preserve">El plazo máximo para la recopilación de los datos anteriormente mencionados será el 31 de diciembre de 2024. Las entidades aseguradoras que cumplan de manera anticipada con la recopilación de la información y modelen todos los eventos de que trata de que trata el numeral 1.6.4.2.1 de la Circular Básica Jurídica, podrán liberar los excesos que acrediten con base en las reglas allí señaladas. </w:t>
      </w:r>
    </w:p>
    <w:p w14:paraId="5C775D52" w14:textId="77777777" w:rsidR="000155F6" w:rsidRPr="000155F6" w:rsidRDefault="000155F6" w:rsidP="000155F6">
      <w:pPr>
        <w:adjustRightInd w:val="0"/>
        <w:jc w:val="both"/>
        <w:rPr>
          <w:rFonts w:ascii="Arial" w:hAnsi="Arial" w:cs="Arial"/>
          <w:sz w:val="24"/>
          <w:szCs w:val="24"/>
        </w:rPr>
      </w:pPr>
    </w:p>
    <w:p w14:paraId="6A43F039" w14:textId="77777777" w:rsidR="000155F6" w:rsidRPr="000155F6" w:rsidRDefault="000155F6" w:rsidP="000155F6">
      <w:pPr>
        <w:adjustRightInd w:val="0"/>
        <w:jc w:val="both"/>
        <w:rPr>
          <w:rFonts w:ascii="Arial" w:hAnsi="Arial" w:cs="Arial"/>
          <w:sz w:val="24"/>
          <w:szCs w:val="24"/>
        </w:rPr>
      </w:pPr>
      <w:r w:rsidRPr="000155F6">
        <w:rPr>
          <w:rFonts w:ascii="Arial" w:hAnsi="Arial" w:cs="Arial"/>
          <w:bCs/>
          <w:sz w:val="24"/>
          <w:szCs w:val="24"/>
        </w:rPr>
        <w:t xml:space="preserve">Los documentos que soporten el cumplimiento de la presente instrucción deben </w:t>
      </w:r>
      <w:r w:rsidRPr="000155F6">
        <w:rPr>
          <w:rFonts w:ascii="Arial" w:hAnsi="Arial" w:cs="Arial"/>
          <w:sz w:val="24"/>
          <w:szCs w:val="24"/>
        </w:rPr>
        <w:t>permanecer a disposición de la SFC.</w:t>
      </w:r>
    </w:p>
    <w:p w14:paraId="4B63A7F4" w14:textId="77777777" w:rsidR="000155F6" w:rsidRPr="000155F6" w:rsidRDefault="000155F6" w:rsidP="000155F6">
      <w:pPr>
        <w:adjustRightInd w:val="0"/>
        <w:jc w:val="both"/>
        <w:rPr>
          <w:rFonts w:ascii="Arial" w:hAnsi="Arial" w:cs="Arial"/>
          <w:sz w:val="24"/>
          <w:szCs w:val="24"/>
        </w:rPr>
      </w:pPr>
    </w:p>
    <w:p w14:paraId="492F0F09" w14:textId="77777777" w:rsidR="000155F6" w:rsidRPr="000155F6" w:rsidRDefault="000155F6" w:rsidP="000155F6">
      <w:pPr>
        <w:adjustRightInd w:val="0"/>
        <w:jc w:val="both"/>
        <w:rPr>
          <w:rFonts w:ascii="Arial" w:hAnsi="Arial" w:cs="Arial"/>
          <w:b/>
          <w:bCs/>
          <w:sz w:val="24"/>
          <w:szCs w:val="24"/>
        </w:rPr>
      </w:pPr>
      <w:r w:rsidRPr="000155F6">
        <w:rPr>
          <w:rFonts w:ascii="Arial" w:hAnsi="Arial" w:cs="Arial"/>
          <w:b/>
          <w:sz w:val="24"/>
          <w:szCs w:val="24"/>
        </w:rPr>
        <w:t>CUARTA. VIGENCIA</w:t>
      </w:r>
      <w:r w:rsidRPr="000155F6">
        <w:rPr>
          <w:rFonts w:ascii="Arial" w:hAnsi="Arial" w:cs="Arial"/>
          <w:b/>
          <w:bCs/>
          <w:sz w:val="24"/>
          <w:szCs w:val="24"/>
        </w:rPr>
        <w:t xml:space="preserve">: </w:t>
      </w:r>
      <w:r w:rsidRPr="000155F6">
        <w:rPr>
          <w:rFonts w:ascii="Arial" w:hAnsi="Arial" w:cs="Arial"/>
          <w:sz w:val="24"/>
          <w:szCs w:val="24"/>
        </w:rPr>
        <w:t>La instrucción tercera de la presente circular rige a partir de su publicación. Las instrucciones primera y segunda entran en vigencia un año después de la expedición de la presente circular, según lo dispuesto en el artículo 5 del Decreto 2973 de 2013, fecha para la cual las entidades aseguradoras deberán modelar los eventos de incendio y terremoto. Los eventos de terrorismo, pandemia y explosión por accidentes industriales, se modelarán atendiendo la disponibilidad de la información. En todo caso, el plazo máximo para que las entidades aseguradoras tengan modelados todos los eventos será el 30 de junio de 2025.</w:t>
      </w:r>
    </w:p>
    <w:p w14:paraId="2D60AC7B" w14:textId="77777777" w:rsidR="000155F6" w:rsidRPr="000155F6" w:rsidRDefault="000155F6" w:rsidP="000155F6">
      <w:pPr>
        <w:pStyle w:val="Default"/>
        <w:autoSpaceDE/>
        <w:adjustRightInd/>
        <w:jc w:val="both"/>
      </w:pPr>
    </w:p>
    <w:p w14:paraId="70C5A6D9" w14:textId="77777777" w:rsidR="000155F6" w:rsidRPr="000155F6" w:rsidRDefault="000155F6" w:rsidP="000155F6">
      <w:pPr>
        <w:pStyle w:val="Default"/>
        <w:autoSpaceDE/>
        <w:adjustRightInd/>
        <w:jc w:val="both"/>
      </w:pPr>
      <w:r w:rsidRPr="000155F6">
        <w:t>Se anexan las páginas objeto de modificación.</w:t>
      </w:r>
    </w:p>
    <w:p w14:paraId="699ECD90" w14:textId="77777777" w:rsidR="000155F6" w:rsidRPr="000155F6" w:rsidRDefault="000155F6" w:rsidP="000155F6">
      <w:pPr>
        <w:pStyle w:val="Default"/>
        <w:autoSpaceDE/>
        <w:adjustRightInd/>
        <w:jc w:val="both"/>
      </w:pPr>
    </w:p>
    <w:p w14:paraId="0C40FB89" w14:textId="77777777" w:rsidR="000155F6" w:rsidRPr="000155F6" w:rsidRDefault="000155F6" w:rsidP="000155F6">
      <w:pPr>
        <w:pStyle w:val="Default"/>
        <w:autoSpaceDE/>
        <w:adjustRightInd/>
        <w:jc w:val="both"/>
      </w:pPr>
      <w:r w:rsidRPr="000155F6">
        <w:t>Cordialmente,</w:t>
      </w:r>
    </w:p>
    <w:p w14:paraId="33FE71AA" w14:textId="77777777" w:rsidR="000155F6" w:rsidRPr="000155F6" w:rsidRDefault="000155F6" w:rsidP="000155F6">
      <w:pPr>
        <w:jc w:val="both"/>
        <w:rPr>
          <w:rStyle w:val="nfasis"/>
          <w:rFonts w:ascii="Arial" w:hAnsi="Arial" w:cs="Arial"/>
          <w:b/>
          <w:bCs/>
          <w:i w:val="0"/>
          <w:iCs w:val="0"/>
          <w:sz w:val="24"/>
          <w:szCs w:val="24"/>
        </w:rPr>
      </w:pPr>
    </w:p>
    <w:p w14:paraId="435B57C1" w14:textId="77777777" w:rsidR="000155F6" w:rsidRPr="000155F6" w:rsidRDefault="000155F6" w:rsidP="000155F6">
      <w:pPr>
        <w:jc w:val="both"/>
        <w:rPr>
          <w:rStyle w:val="nfasis"/>
          <w:rFonts w:ascii="Arial" w:hAnsi="Arial" w:cs="Arial"/>
          <w:b/>
          <w:bCs/>
          <w:i w:val="0"/>
          <w:iCs w:val="0"/>
          <w:sz w:val="24"/>
          <w:szCs w:val="24"/>
        </w:rPr>
      </w:pPr>
    </w:p>
    <w:p w14:paraId="22426E84" w14:textId="77777777" w:rsidR="000155F6" w:rsidRPr="000155F6" w:rsidRDefault="000155F6" w:rsidP="000155F6">
      <w:pPr>
        <w:jc w:val="both"/>
        <w:rPr>
          <w:rStyle w:val="nfasis"/>
          <w:rFonts w:ascii="Arial" w:hAnsi="Arial" w:cs="Arial"/>
          <w:b/>
          <w:bCs/>
          <w:i w:val="0"/>
          <w:iCs w:val="0"/>
          <w:sz w:val="24"/>
          <w:szCs w:val="24"/>
        </w:rPr>
      </w:pPr>
    </w:p>
    <w:p w14:paraId="69968AE7" w14:textId="77777777" w:rsidR="000155F6" w:rsidRPr="000155F6" w:rsidRDefault="000155F6" w:rsidP="000155F6">
      <w:pPr>
        <w:jc w:val="both"/>
        <w:rPr>
          <w:rStyle w:val="nfasis"/>
          <w:rFonts w:ascii="Arial" w:hAnsi="Arial" w:cs="Arial"/>
          <w:b/>
          <w:i w:val="0"/>
          <w:sz w:val="24"/>
          <w:szCs w:val="24"/>
        </w:rPr>
      </w:pPr>
      <w:r w:rsidRPr="000155F6">
        <w:rPr>
          <w:rStyle w:val="nfasis"/>
          <w:rFonts w:ascii="Arial" w:hAnsi="Arial" w:cs="Arial"/>
          <w:b/>
          <w:i w:val="0"/>
          <w:sz w:val="24"/>
          <w:szCs w:val="24"/>
        </w:rPr>
        <w:t>JORGE CASTAÑO GUTIÉRREZ</w:t>
      </w:r>
    </w:p>
    <w:p w14:paraId="4F5BAEA9" w14:textId="77777777" w:rsidR="000155F6" w:rsidRPr="000155F6" w:rsidRDefault="000155F6" w:rsidP="000155F6">
      <w:pPr>
        <w:ind w:right="-160"/>
        <w:outlineLvl w:val="0"/>
        <w:rPr>
          <w:bCs/>
          <w:lang w:val="es-ES"/>
        </w:rPr>
      </w:pPr>
      <w:r w:rsidRPr="000155F6">
        <w:rPr>
          <w:rFonts w:ascii="Arial" w:hAnsi="Arial" w:cs="Arial"/>
          <w:bCs/>
          <w:sz w:val="24"/>
          <w:szCs w:val="24"/>
          <w:lang w:val="es-ES"/>
        </w:rPr>
        <w:t>Superintendente Financiero</w:t>
      </w:r>
    </w:p>
    <w:p w14:paraId="0B487512" w14:textId="77777777" w:rsidR="000155F6" w:rsidRPr="000155F6" w:rsidRDefault="000155F6" w:rsidP="000155F6">
      <w:pPr>
        <w:ind w:right="-160"/>
        <w:rPr>
          <w:rFonts w:ascii="Arial" w:hAnsi="Arial" w:cs="Arial"/>
          <w:szCs w:val="24"/>
          <w:lang w:val="es-ES"/>
        </w:rPr>
      </w:pPr>
      <w:r w:rsidRPr="000155F6">
        <w:rPr>
          <w:rFonts w:ascii="Arial" w:hAnsi="Arial" w:cs="Arial"/>
          <w:szCs w:val="24"/>
          <w:lang w:val="es-ES"/>
        </w:rPr>
        <w:t>050000</w:t>
      </w:r>
    </w:p>
    <w:p w14:paraId="75BFE7B0" w14:textId="77777777" w:rsidR="000155F6" w:rsidRPr="000155F6" w:rsidRDefault="000155F6" w:rsidP="000155F6">
      <w:pPr>
        <w:jc w:val="center"/>
        <w:rPr>
          <w:rFonts w:ascii="Arial" w:hAnsi="Arial" w:cs="Arial"/>
          <w:b/>
          <w:bCs/>
          <w:sz w:val="24"/>
          <w:szCs w:val="24"/>
        </w:rPr>
      </w:pPr>
    </w:p>
    <w:p w14:paraId="44E871BC" w14:textId="37062986" w:rsidR="00B51F39" w:rsidRPr="00022F23" w:rsidRDefault="00B51F39" w:rsidP="000155F6">
      <w:pPr>
        <w:tabs>
          <w:tab w:val="left" w:pos="4002"/>
        </w:tabs>
        <w:jc w:val="center"/>
        <w:rPr>
          <w:rFonts w:ascii="Arial" w:hAnsi="Arial" w:cs="Arial"/>
          <w:sz w:val="22"/>
          <w:szCs w:val="24"/>
          <w:lang w:val="es-CO"/>
        </w:rPr>
      </w:pPr>
    </w:p>
    <w:sectPr w:rsidR="00B51F39" w:rsidRPr="00022F23" w:rsidSect="00EF1775">
      <w:headerReference w:type="default" r:id="rId15"/>
      <w:headerReference w:type="first" r:id="rId16"/>
      <w:pgSz w:w="12242" w:h="18722" w:code="14"/>
      <w:pgMar w:top="1800" w:right="1701" w:bottom="1701" w:left="2268"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EAF06" w14:textId="77777777" w:rsidR="001D3081" w:rsidRDefault="001D3081">
      <w:r>
        <w:separator/>
      </w:r>
    </w:p>
  </w:endnote>
  <w:endnote w:type="continuationSeparator" w:id="0">
    <w:p w14:paraId="74BFB985" w14:textId="77777777" w:rsidR="001D3081" w:rsidRDefault="001D3081">
      <w:r>
        <w:continuationSeparator/>
      </w:r>
    </w:p>
  </w:endnote>
  <w:endnote w:type="continuationNotice" w:id="1">
    <w:p w14:paraId="15A84127" w14:textId="77777777" w:rsidR="001D3081" w:rsidRDefault="001D3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DBDC" w14:textId="77777777" w:rsidR="00564B20" w:rsidRDefault="00564B20">
    <w:pPr>
      <w:widowControl w:val="0"/>
      <w:autoSpaceDE w:val="0"/>
      <w:autoSpaceDN w:val="0"/>
      <w:adjustRightInd w:val="0"/>
      <w:jc w:val="both"/>
      <w:rPr>
        <w:rFonts w:ascii="Arial" w:hAnsi="Arial" w:cs="Arial"/>
        <w:sz w:val="22"/>
        <w:szCs w:val="22"/>
      </w:rPr>
    </w:pPr>
  </w:p>
  <w:p w14:paraId="769D0D3C"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29076" w14:textId="77777777" w:rsidR="00564B20" w:rsidRDefault="00564B20">
    <w:pPr>
      <w:widowControl w:val="0"/>
      <w:autoSpaceDE w:val="0"/>
      <w:autoSpaceDN w:val="0"/>
      <w:adjustRightInd w:val="0"/>
      <w:jc w:val="both"/>
      <w:rPr>
        <w:rFonts w:ascii="Arial" w:hAnsi="Arial" w:cs="Arial"/>
        <w:sz w:val="22"/>
        <w:szCs w:val="22"/>
      </w:rPr>
    </w:pPr>
  </w:p>
  <w:p w14:paraId="2BA226A1" w14:textId="77777777" w:rsidR="00564B20" w:rsidRDefault="00564B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9391D" w14:textId="77777777" w:rsidR="001D3081" w:rsidRDefault="001D3081">
      <w:r>
        <w:separator/>
      </w:r>
    </w:p>
  </w:footnote>
  <w:footnote w:type="continuationSeparator" w:id="0">
    <w:p w14:paraId="7E7BDA0E" w14:textId="77777777" w:rsidR="001D3081" w:rsidRDefault="001D3081">
      <w:r>
        <w:continuationSeparator/>
      </w:r>
    </w:p>
  </w:footnote>
  <w:footnote w:type="continuationNotice" w:id="1">
    <w:p w14:paraId="128B66DB" w14:textId="77777777" w:rsidR="001D3081" w:rsidRDefault="001D3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A78D"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463F29E8" w14:textId="77777777" w:rsidR="00564B20" w:rsidRDefault="00564B20">
    <w:pPr>
      <w:pStyle w:val="Encabezado"/>
      <w:jc w:val="center"/>
      <w:rPr>
        <w:rFonts w:ascii="Arial" w:hAnsi="Arial" w:cs="Arial"/>
        <w:b/>
        <w:bCs/>
        <w:sz w:val="24"/>
        <w:szCs w:val="24"/>
        <w:lang w:val="es-CO"/>
      </w:rPr>
    </w:pPr>
  </w:p>
  <w:p w14:paraId="178D78F1" w14:textId="756D3D93" w:rsidR="000414B7" w:rsidRDefault="000414B7" w:rsidP="000414B7">
    <w:pPr>
      <w:pStyle w:val="Encabezado"/>
      <w:tabs>
        <w:tab w:val="center" w:pos="4135"/>
        <w:tab w:val="right" w:pos="8271"/>
      </w:tabs>
      <w:rPr>
        <w:rFonts w:ascii="Arial" w:hAnsi="Arial" w:cs="Arial"/>
        <w:b/>
        <w:sz w:val="24"/>
        <w:szCs w:val="24"/>
      </w:rPr>
    </w:pPr>
  </w:p>
  <w:p w14:paraId="3B7B4B86" w14:textId="77777777" w:rsidR="00564B20" w:rsidRPr="000414B7" w:rsidRDefault="00564B20">
    <w:pPr>
      <w:pStyle w:val="Encabezado"/>
      <w:jc w:val="both"/>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090"/>
      <w:gridCol w:w="4399"/>
      <w:gridCol w:w="2052"/>
    </w:tblGrid>
    <w:tr w:rsidR="00564B20" w14:paraId="3B57F441" w14:textId="77777777" w:rsidTr="67DAE626">
      <w:trPr>
        <w:cantSplit/>
        <w:trHeight w:val="850"/>
      </w:trPr>
      <w:tc>
        <w:tcPr>
          <w:tcW w:w="2055" w:type="dxa"/>
          <w:vMerge w:val="restart"/>
          <w:noWrap/>
          <w:vAlign w:val="bottom"/>
        </w:tcPr>
        <w:p w14:paraId="66204FF1" w14:textId="77777777" w:rsidR="00564B20" w:rsidRDefault="67DAE626" w:rsidP="000F6CB5">
          <w:pPr>
            <w:rPr>
              <w:rFonts w:cs="Arial"/>
              <w:sz w:val="2"/>
              <w:szCs w:val="2"/>
              <w:lang w:val="es-CO"/>
            </w:rPr>
          </w:pPr>
          <w:r>
            <w:rPr>
              <w:noProof/>
            </w:rPr>
            <w:drawing>
              <wp:inline distT="0" distB="0" distL="0" distR="0" wp14:anchorId="44171D4D" wp14:editId="342E29A6">
                <wp:extent cx="1238250" cy="666750"/>
                <wp:effectExtent l="0" t="0" r="0" b="0"/>
                <wp:docPr id="2" name="Imagen 2" descr="C:\Users\maariza\AppData\Local\Microsoft\Windows\INetCache\Content.Word\Logo Definitivo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238250" cy="666750"/>
                        </a:xfrm>
                        <a:prstGeom prst="rect">
                          <a:avLst/>
                        </a:prstGeom>
                      </pic:spPr>
                    </pic:pic>
                  </a:graphicData>
                </a:graphic>
              </wp:inline>
            </w:drawing>
          </w:r>
        </w:p>
        <w:p w14:paraId="2DBF0D7D" w14:textId="77777777" w:rsidR="00564B20" w:rsidRDefault="00564B20" w:rsidP="000F6CB5">
          <w:pPr>
            <w:rPr>
              <w:rFonts w:cs="Arial"/>
              <w:sz w:val="2"/>
              <w:szCs w:val="2"/>
              <w:lang w:val="es-CO"/>
            </w:rPr>
          </w:pPr>
        </w:p>
        <w:p w14:paraId="6B62F1B3" w14:textId="77777777" w:rsidR="00564B20" w:rsidRDefault="00564B20" w:rsidP="000F6CB5">
          <w:pPr>
            <w:rPr>
              <w:rFonts w:cs="Arial"/>
              <w:sz w:val="2"/>
              <w:szCs w:val="2"/>
              <w:lang w:val="es-CO"/>
            </w:rPr>
          </w:pPr>
        </w:p>
        <w:p w14:paraId="02F2C34E" w14:textId="77777777" w:rsidR="00564B20" w:rsidRDefault="00564B20" w:rsidP="000F6CB5">
          <w:pPr>
            <w:rPr>
              <w:rFonts w:cs="Arial"/>
              <w:sz w:val="2"/>
              <w:szCs w:val="2"/>
              <w:lang w:val="es-CO"/>
            </w:rPr>
          </w:pPr>
        </w:p>
        <w:p w14:paraId="680A4E5D" w14:textId="77777777" w:rsidR="00564B20" w:rsidRDefault="00564B20" w:rsidP="000F6CB5">
          <w:pPr>
            <w:rPr>
              <w:rFonts w:cs="Arial"/>
              <w:sz w:val="2"/>
              <w:szCs w:val="2"/>
              <w:lang w:val="es-CO"/>
            </w:rPr>
          </w:pPr>
        </w:p>
      </w:tc>
      <w:tc>
        <w:tcPr>
          <w:tcW w:w="4399" w:type="dxa"/>
          <w:shd w:val="clear" w:color="auto" w:fill="FFFFFF" w:themeFill="background1"/>
          <w:noWrap/>
          <w:vAlign w:val="center"/>
        </w:tcPr>
        <w:p w14:paraId="286C4139"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themeFill="background1"/>
          <w:noWrap/>
          <w:vAlign w:val="center"/>
        </w:tcPr>
        <w:p w14:paraId="7F94DA32" w14:textId="77777777" w:rsidR="00564B20" w:rsidRDefault="00564B20" w:rsidP="000F6CB5">
          <w:pPr>
            <w:jc w:val="center"/>
            <w:rPr>
              <w:rFonts w:ascii="Arial" w:hAnsi="Arial" w:cs="Arial"/>
              <w:lang w:val="es-CO"/>
            </w:rPr>
          </w:pPr>
          <w:r>
            <w:rPr>
              <w:rFonts w:ascii="Arial" w:hAnsi="Arial" w:cs="Arial"/>
              <w:bCs/>
            </w:rPr>
            <w:t>E-PI-DDS-002</w:t>
          </w:r>
        </w:p>
      </w:tc>
    </w:tr>
    <w:tr w:rsidR="00564B20" w14:paraId="28E362ED" w14:textId="77777777" w:rsidTr="67DAE626">
      <w:trPr>
        <w:cantSplit/>
        <w:trHeight w:val="378"/>
      </w:trPr>
      <w:tc>
        <w:tcPr>
          <w:tcW w:w="2055" w:type="dxa"/>
          <w:vMerge/>
          <w:noWrap/>
          <w:vAlign w:val="bottom"/>
        </w:tcPr>
        <w:p w14:paraId="19219836" w14:textId="77777777" w:rsidR="00564B20" w:rsidRDefault="00564B20" w:rsidP="000F6CB5">
          <w:pPr>
            <w:rPr>
              <w:rFonts w:cs="Arial"/>
              <w:color w:val="FFFFFF"/>
              <w:lang w:val="es-CO"/>
            </w:rPr>
          </w:pPr>
        </w:p>
      </w:tc>
      <w:tc>
        <w:tcPr>
          <w:tcW w:w="4399" w:type="dxa"/>
          <w:vAlign w:val="center"/>
        </w:tcPr>
        <w:p w14:paraId="08462A8F"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themeFill="background1"/>
          <w:noWrap/>
          <w:vAlign w:val="center"/>
        </w:tcPr>
        <w:p w14:paraId="2EC57B1D" w14:textId="7EADAECA" w:rsidR="00564B20" w:rsidRDefault="00564B20" w:rsidP="000F6CB5">
          <w:pPr>
            <w:jc w:val="center"/>
            <w:rPr>
              <w:rFonts w:ascii="Arial" w:hAnsi="Arial" w:cs="Arial"/>
              <w:lang w:val="es-CO"/>
            </w:rPr>
          </w:pPr>
          <w:r>
            <w:rPr>
              <w:rFonts w:ascii="Arial" w:hAnsi="Arial" w:cs="Arial"/>
              <w:bCs/>
            </w:rPr>
            <w:t xml:space="preserve">Versión </w:t>
          </w:r>
          <w:r w:rsidR="009761C2">
            <w:rPr>
              <w:rFonts w:ascii="Arial" w:hAnsi="Arial" w:cs="Arial"/>
              <w:bCs/>
            </w:rPr>
            <w:t>4</w:t>
          </w:r>
        </w:p>
      </w:tc>
    </w:tr>
  </w:tbl>
  <w:p w14:paraId="296FEF7D"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664D" w14:textId="77777777" w:rsidR="000155F6" w:rsidRDefault="000155F6">
    <w:pPr>
      <w:pStyle w:val="Encabezado"/>
      <w:jc w:val="center"/>
      <w:rPr>
        <w:rFonts w:ascii="Arial" w:hAnsi="Arial" w:cs="Arial"/>
        <w:b/>
        <w:sz w:val="24"/>
        <w:szCs w:val="24"/>
      </w:rPr>
    </w:pPr>
    <w:r>
      <w:rPr>
        <w:rFonts w:ascii="Arial" w:hAnsi="Arial" w:cs="Arial"/>
        <w:b/>
        <w:sz w:val="24"/>
        <w:szCs w:val="24"/>
      </w:rPr>
      <w:t>SUPERINTENDENCIA FINANCIERA DE COLOMBIA</w:t>
    </w:r>
  </w:p>
  <w:p w14:paraId="6FB351F7" w14:textId="77777777" w:rsidR="000155F6" w:rsidRDefault="000155F6">
    <w:pPr>
      <w:pStyle w:val="Encabezado"/>
      <w:jc w:val="center"/>
      <w:rPr>
        <w:rFonts w:ascii="Arial" w:hAnsi="Arial" w:cs="Arial"/>
        <w:b/>
        <w:bCs/>
        <w:sz w:val="24"/>
        <w:szCs w:val="24"/>
        <w:lang w:val="es-CO"/>
      </w:rPr>
    </w:pPr>
  </w:p>
  <w:p w14:paraId="6C09ADBA" w14:textId="60181850" w:rsidR="000155F6" w:rsidRPr="000414B7" w:rsidRDefault="000155F6">
    <w:pPr>
      <w:pStyle w:val="Encabezado"/>
      <w:jc w:val="both"/>
      <w:rPr>
        <w:rFonts w:ascii="Arial" w:hAnsi="Arial" w:cs="Arial"/>
        <w:b/>
        <w:bCs/>
        <w:sz w:val="24"/>
        <w:szCs w:val="24"/>
      </w:rPr>
    </w:pPr>
    <w:r>
      <w:rPr>
        <w:rFonts w:ascii="Arial" w:hAnsi="Arial" w:cs="Arial"/>
        <w:b/>
        <w:bCs/>
        <w:sz w:val="22"/>
        <w:szCs w:val="22"/>
      </w:rPr>
      <w:t>Circular Externa         de 2021                                                                     Página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DE54" w14:textId="77777777" w:rsidR="000155F6" w:rsidRDefault="000155F6" w:rsidP="000155F6">
    <w:pPr>
      <w:pStyle w:val="Encabezado"/>
      <w:jc w:val="center"/>
      <w:rPr>
        <w:rFonts w:ascii="Arial" w:hAnsi="Arial" w:cs="Arial"/>
        <w:b/>
        <w:sz w:val="22"/>
      </w:rPr>
    </w:pPr>
    <w:r>
      <w:rPr>
        <w:rFonts w:ascii="Arial" w:hAnsi="Arial" w:cs="Arial"/>
        <w:b/>
        <w:sz w:val="24"/>
        <w:szCs w:val="24"/>
      </w:rPr>
      <w:t>SUPERINTENDENCIA FINANCIERA DE COLOMBIA</w:t>
    </w:r>
  </w:p>
  <w:p w14:paraId="4B41CAA4" w14:textId="77777777" w:rsidR="000155F6" w:rsidRDefault="000155F6" w:rsidP="000155F6">
    <w:pPr>
      <w:pStyle w:val="Encabezado"/>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hybridMultilevel"/>
    <w:tmpl w:val="EDF2FD7A"/>
    <w:lvl w:ilvl="0" w:tplc="F5BCAF84">
      <w:start w:val="1"/>
      <w:numFmt w:val="bullet"/>
      <w:pStyle w:val="Listaconvietas3"/>
      <w:lvlText w:val=""/>
      <w:lvlJc w:val="left"/>
      <w:pPr>
        <w:tabs>
          <w:tab w:val="num" w:pos="926"/>
        </w:tabs>
        <w:ind w:left="926" w:hanging="360"/>
      </w:pPr>
      <w:rPr>
        <w:rFonts w:ascii="Symbol" w:hAnsi="Symbol" w:hint="default"/>
      </w:rPr>
    </w:lvl>
    <w:lvl w:ilvl="1" w:tplc="C9C2BDFA">
      <w:numFmt w:val="decimal"/>
      <w:lvlText w:val=""/>
      <w:lvlJc w:val="left"/>
    </w:lvl>
    <w:lvl w:ilvl="2" w:tplc="94168E92">
      <w:numFmt w:val="decimal"/>
      <w:lvlText w:val=""/>
      <w:lvlJc w:val="left"/>
    </w:lvl>
    <w:lvl w:ilvl="3" w:tplc="F8E87058">
      <w:numFmt w:val="decimal"/>
      <w:lvlText w:val=""/>
      <w:lvlJc w:val="left"/>
    </w:lvl>
    <w:lvl w:ilvl="4" w:tplc="7988D5CA">
      <w:numFmt w:val="decimal"/>
      <w:lvlText w:val=""/>
      <w:lvlJc w:val="left"/>
    </w:lvl>
    <w:lvl w:ilvl="5" w:tplc="4196A414">
      <w:numFmt w:val="decimal"/>
      <w:lvlText w:val=""/>
      <w:lvlJc w:val="left"/>
    </w:lvl>
    <w:lvl w:ilvl="6" w:tplc="2E085EB2">
      <w:numFmt w:val="decimal"/>
      <w:lvlText w:val=""/>
      <w:lvlJc w:val="left"/>
    </w:lvl>
    <w:lvl w:ilvl="7" w:tplc="3738A8EE">
      <w:numFmt w:val="decimal"/>
      <w:lvlText w:val=""/>
      <w:lvlJc w:val="left"/>
    </w:lvl>
    <w:lvl w:ilvl="8" w:tplc="37AE8D3E">
      <w:numFmt w:val="decimal"/>
      <w:lvlText w:val=""/>
      <w:lvlJc w:val="left"/>
    </w:lvl>
  </w:abstractNum>
  <w:abstractNum w:abstractNumId="2" w15:restartNumberingAfterBreak="0">
    <w:nsid w:val="FFFFFF83"/>
    <w:multiLevelType w:val="hybridMultilevel"/>
    <w:tmpl w:val="2E8C2D0C"/>
    <w:lvl w:ilvl="0" w:tplc="2C44BB40">
      <w:start w:val="1"/>
      <w:numFmt w:val="bullet"/>
      <w:pStyle w:val="Listaconvietas2"/>
      <w:lvlText w:val=""/>
      <w:lvlJc w:val="left"/>
      <w:pPr>
        <w:tabs>
          <w:tab w:val="num" w:pos="643"/>
        </w:tabs>
        <w:ind w:left="643" w:hanging="360"/>
      </w:pPr>
      <w:rPr>
        <w:rFonts w:ascii="Symbol" w:hAnsi="Symbol" w:hint="default"/>
      </w:rPr>
    </w:lvl>
    <w:lvl w:ilvl="1" w:tplc="0D54C2DA">
      <w:numFmt w:val="decimal"/>
      <w:lvlText w:val=""/>
      <w:lvlJc w:val="left"/>
    </w:lvl>
    <w:lvl w:ilvl="2" w:tplc="A1C81926">
      <w:numFmt w:val="decimal"/>
      <w:lvlText w:val=""/>
      <w:lvlJc w:val="left"/>
    </w:lvl>
    <w:lvl w:ilvl="3" w:tplc="2ABA8D0A">
      <w:numFmt w:val="decimal"/>
      <w:lvlText w:val=""/>
      <w:lvlJc w:val="left"/>
    </w:lvl>
    <w:lvl w:ilvl="4" w:tplc="1AD49AE8">
      <w:numFmt w:val="decimal"/>
      <w:lvlText w:val=""/>
      <w:lvlJc w:val="left"/>
    </w:lvl>
    <w:lvl w:ilvl="5" w:tplc="3482DCCE">
      <w:numFmt w:val="decimal"/>
      <w:lvlText w:val=""/>
      <w:lvlJc w:val="left"/>
    </w:lvl>
    <w:lvl w:ilvl="6" w:tplc="60261B84">
      <w:numFmt w:val="decimal"/>
      <w:lvlText w:val=""/>
      <w:lvlJc w:val="left"/>
    </w:lvl>
    <w:lvl w:ilvl="7" w:tplc="EBE44B56">
      <w:numFmt w:val="decimal"/>
      <w:lvlText w:val=""/>
      <w:lvlJc w:val="left"/>
    </w:lvl>
    <w:lvl w:ilvl="8" w:tplc="AC98DD9E">
      <w:numFmt w:val="decimal"/>
      <w:lvlText w:val=""/>
      <w:lvlJc w:val="left"/>
    </w:lvl>
  </w:abstractNum>
  <w:abstractNum w:abstractNumId="3" w15:restartNumberingAfterBreak="0">
    <w:nsid w:val="FFFFFF89"/>
    <w:multiLevelType w:val="hybridMultilevel"/>
    <w:tmpl w:val="D88E663A"/>
    <w:lvl w:ilvl="0" w:tplc="BA40C738">
      <w:start w:val="1"/>
      <w:numFmt w:val="bullet"/>
      <w:pStyle w:val="Listaconvietas"/>
      <w:lvlText w:val=""/>
      <w:lvlJc w:val="left"/>
      <w:pPr>
        <w:tabs>
          <w:tab w:val="num" w:pos="360"/>
        </w:tabs>
        <w:ind w:left="360" w:hanging="360"/>
      </w:pPr>
      <w:rPr>
        <w:rFonts w:ascii="Symbol" w:hAnsi="Symbol" w:hint="default"/>
      </w:rPr>
    </w:lvl>
    <w:lvl w:ilvl="1" w:tplc="4C8AC808">
      <w:numFmt w:val="decimal"/>
      <w:lvlText w:val=""/>
      <w:lvlJc w:val="left"/>
    </w:lvl>
    <w:lvl w:ilvl="2" w:tplc="68588E0E">
      <w:numFmt w:val="decimal"/>
      <w:lvlText w:val=""/>
      <w:lvlJc w:val="left"/>
    </w:lvl>
    <w:lvl w:ilvl="3" w:tplc="19201FA0">
      <w:numFmt w:val="decimal"/>
      <w:lvlText w:val=""/>
      <w:lvlJc w:val="left"/>
    </w:lvl>
    <w:lvl w:ilvl="4" w:tplc="B6069674">
      <w:numFmt w:val="decimal"/>
      <w:lvlText w:val=""/>
      <w:lvlJc w:val="left"/>
    </w:lvl>
    <w:lvl w:ilvl="5" w:tplc="5BA0664C">
      <w:numFmt w:val="decimal"/>
      <w:lvlText w:val=""/>
      <w:lvlJc w:val="left"/>
    </w:lvl>
    <w:lvl w:ilvl="6" w:tplc="D17ADC3E">
      <w:numFmt w:val="decimal"/>
      <w:lvlText w:val=""/>
      <w:lvlJc w:val="left"/>
    </w:lvl>
    <w:lvl w:ilvl="7" w:tplc="BB8EB88C">
      <w:numFmt w:val="decimal"/>
      <w:lvlText w:val=""/>
      <w:lvlJc w:val="left"/>
    </w:lvl>
    <w:lvl w:ilvl="8" w:tplc="59903CF6">
      <w:numFmt w:val="decimal"/>
      <w:lvlText w:val=""/>
      <w:lvlJc w:val="left"/>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hybridMultilevel"/>
    <w:tmpl w:val="8A0E9EF0"/>
    <w:lvl w:ilvl="0" w:tplc="8D56A8D6">
      <w:start w:val="1"/>
      <w:numFmt w:val="decimal"/>
      <w:lvlText w:val="%1)"/>
      <w:lvlJc w:val="left"/>
      <w:pPr>
        <w:tabs>
          <w:tab w:val="num" w:pos="720"/>
        </w:tabs>
        <w:ind w:left="720" w:hanging="360"/>
      </w:pPr>
    </w:lvl>
    <w:lvl w:ilvl="1" w:tplc="86D08096">
      <w:start w:val="1"/>
      <w:numFmt w:val="lowerLetter"/>
      <w:lvlText w:val="%2."/>
      <w:lvlJc w:val="left"/>
      <w:pPr>
        <w:tabs>
          <w:tab w:val="num" w:pos="1440"/>
        </w:tabs>
        <w:ind w:left="1440" w:hanging="360"/>
      </w:pPr>
    </w:lvl>
    <w:lvl w:ilvl="2" w:tplc="67CA434C">
      <w:start w:val="1"/>
      <w:numFmt w:val="lowerRoman"/>
      <w:lvlText w:val="%3."/>
      <w:lvlJc w:val="right"/>
      <w:pPr>
        <w:tabs>
          <w:tab w:val="num" w:pos="2160"/>
        </w:tabs>
        <w:ind w:left="2160" w:hanging="180"/>
      </w:pPr>
    </w:lvl>
    <w:lvl w:ilvl="3" w:tplc="334E8D4E">
      <w:start w:val="1"/>
      <w:numFmt w:val="decimal"/>
      <w:lvlText w:val="%4."/>
      <w:lvlJc w:val="left"/>
      <w:pPr>
        <w:tabs>
          <w:tab w:val="num" w:pos="2880"/>
        </w:tabs>
        <w:ind w:left="2880" w:hanging="360"/>
      </w:pPr>
    </w:lvl>
    <w:lvl w:ilvl="4" w:tplc="59E2A980">
      <w:start w:val="1"/>
      <w:numFmt w:val="lowerLetter"/>
      <w:lvlText w:val="%5."/>
      <w:lvlJc w:val="left"/>
      <w:pPr>
        <w:tabs>
          <w:tab w:val="num" w:pos="3600"/>
        </w:tabs>
        <w:ind w:left="3600" w:hanging="360"/>
      </w:pPr>
    </w:lvl>
    <w:lvl w:ilvl="5" w:tplc="15F82D92">
      <w:start w:val="1"/>
      <w:numFmt w:val="lowerRoman"/>
      <w:lvlText w:val="%6."/>
      <w:lvlJc w:val="right"/>
      <w:pPr>
        <w:tabs>
          <w:tab w:val="num" w:pos="4320"/>
        </w:tabs>
        <w:ind w:left="4320" w:hanging="180"/>
      </w:pPr>
    </w:lvl>
    <w:lvl w:ilvl="6" w:tplc="AA78421E">
      <w:start w:val="1"/>
      <w:numFmt w:val="decimal"/>
      <w:lvlText w:val="%7."/>
      <w:lvlJc w:val="left"/>
      <w:pPr>
        <w:tabs>
          <w:tab w:val="num" w:pos="5040"/>
        </w:tabs>
        <w:ind w:left="5040" w:hanging="360"/>
      </w:pPr>
    </w:lvl>
    <w:lvl w:ilvl="7" w:tplc="00E81590">
      <w:start w:val="1"/>
      <w:numFmt w:val="lowerLetter"/>
      <w:lvlText w:val="%8."/>
      <w:lvlJc w:val="left"/>
      <w:pPr>
        <w:tabs>
          <w:tab w:val="num" w:pos="5760"/>
        </w:tabs>
        <w:ind w:left="5760" w:hanging="360"/>
      </w:pPr>
    </w:lvl>
    <w:lvl w:ilvl="8" w:tplc="B1B86F96">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0"/>
  </w:num>
  <w:num w:numId="2">
    <w:abstractNumId w:val="42"/>
  </w:num>
  <w:num w:numId="3">
    <w:abstractNumId w:val="27"/>
  </w:num>
  <w:num w:numId="4">
    <w:abstractNumId w:val="2"/>
  </w:num>
  <w:num w:numId="5">
    <w:abstractNumId w:val="1"/>
  </w:num>
  <w:num w:numId="6">
    <w:abstractNumId w:val="0"/>
  </w:num>
  <w:num w:numId="7">
    <w:abstractNumId w:val="43"/>
  </w:num>
  <w:num w:numId="8">
    <w:abstractNumId w:val="12"/>
  </w:num>
  <w:num w:numId="9">
    <w:abstractNumId w:val="36"/>
  </w:num>
  <w:num w:numId="10">
    <w:abstractNumId w:val="14"/>
  </w:num>
  <w:num w:numId="11">
    <w:abstractNumId w:val="26"/>
  </w:num>
  <w:num w:numId="12">
    <w:abstractNumId w:val="5"/>
  </w:num>
  <w:num w:numId="13">
    <w:abstractNumId w:val="18"/>
  </w:num>
  <w:num w:numId="14">
    <w:abstractNumId w:val="25"/>
  </w:num>
  <w:num w:numId="15">
    <w:abstractNumId w:val="11"/>
  </w:num>
  <w:num w:numId="16">
    <w:abstractNumId w:val="13"/>
  </w:num>
  <w:num w:numId="17">
    <w:abstractNumId w:val="8"/>
  </w:num>
  <w:num w:numId="18">
    <w:abstractNumId w:val="45"/>
  </w:num>
  <w:num w:numId="19">
    <w:abstractNumId w:val="38"/>
  </w:num>
  <w:num w:numId="20">
    <w:abstractNumId w:val="20"/>
  </w:num>
  <w:num w:numId="21">
    <w:abstractNumId w:val="15"/>
  </w:num>
  <w:num w:numId="22">
    <w:abstractNumId w:val="16"/>
  </w:num>
  <w:num w:numId="23">
    <w:abstractNumId w:val="7"/>
  </w:num>
  <w:num w:numId="24">
    <w:abstractNumId w:val="24"/>
  </w:num>
  <w:num w:numId="25">
    <w:abstractNumId w:val="37"/>
  </w:num>
  <w:num w:numId="26">
    <w:abstractNumId w:val="23"/>
  </w:num>
  <w:num w:numId="27">
    <w:abstractNumId w:val="44"/>
  </w:num>
  <w:num w:numId="28">
    <w:abstractNumId w:val="6"/>
  </w:num>
  <w:num w:numId="29">
    <w:abstractNumId w:val="21"/>
  </w:num>
  <w:num w:numId="30">
    <w:abstractNumId w:val="19"/>
  </w:num>
  <w:num w:numId="31">
    <w:abstractNumId w:val="39"/>
  </w:num>
  <w:num w:numId="32">
    <w:abstractNumId w:val="32"/>
  </w:num>
  <w:num w:numId="33">
    <w:abstractNumId w:val="4"/>
  </w:num>
  <w:num w:numId="34">
    <w:abstractNumId w:val="29"/>
  </w:num>
  <w:num w:numId="35">
    <w:abstractNumId w:val="9"/>
  </w:num>
  <w:num w:numId="36">
    <w:abstractNumId w:val="28"/>
  </w:num>
  <w:num w:numId="37">
    <w:abstractNumId w:val="34"/>
  </w:num>
  <w:num w:numId="38">
    <w:abstractNumId w:val="22"/>
  </w:num>
  <w:num w:numId="39">
    <w:abstractNumId w:val="31"/>
  </w:num>
  <w:num w:numId="40">
    <w:abstractNumId w:val="41"/>
  </w:num>
  <w:num w:numId="41">
    <w:abstractNumId w:val="17"/>
  </w:num>
  <w:num w:numId="42">
    <w:abstractNumId w:val="30"/>
  </w:num>
  <w:num w:numId="43">
    <w:abstractNumId w:val="3"/>
  </w:num>
  <w:num w:numId="44">
    <w:abstractNumId w:val="35"/>
  </w:num>
  <w:num w:numId="45">
    <w:abstractNumId w:val="4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155F6"/>
    <w:rsid w:val="00022F23"/>
    <w:rsid w:val="00026223"/>
    <w:rsid w:val="000414B7"/>
    <w:rsid w:val="00043B3D"/>
    <w:rsid w:val="00047316"/>
    <w:rsid w:val="000779CA"/>
    <w:rsid w:val="000A622D"/>
    <w:rsid w:val="000B5678"/>
    <w:rsid w:val="000D147B"/>
    <w:rsid w:val="000F6CB5"/>
    <w:rsid w:val="00100E75"/>
    <w:rsid w:val="00120DA4"/>
    <w:rsid w:val="001309F0"/>
    <w:rsid w:val="001543F0"/>
    <w:rsid w:val="00190EE7"/>
    <w:rsid w:val="001C4E67"/>
    <w:rsid w:val="001D3081"/>
    <w:rsid w:val="00224433"/>
    <w:rsid w:val="002446F6"/>
    <w:rsid w:val="002A3FA4"/>
    <w:rsid w:val="002B6E99"/>
    <w:rsid w:val="002F4A2A"/>
    <w:rsid w:val="00305E02"/>
    <w:rsid w:val="00313F2E"/>
    <w:rsid w:val="00316E05"/>
    <w:rsid w:val="00346477"/>
    <w:rsid w:val="0037411F"/>
    <w:rsid w:val="00374F5A"/>
    <w:rsid w:val="003760B7"/>
    <w:rsid w:val="003870A8"/>
    <w:rsid w:val="00387DE5"/>
    <w:rsid w:val="003918C3"/>
    <w:rsid w:val="00391A33"/>
    <w:rsid w:val="003C1EDF"/>
    <w:rsid w:val="003D4522"/>
    <w:rsid w:val="003E3CC3"/>
    <w:rsid w:val="00404235"/>
    <w:rsid w:val="004043B0"/>
    <w:rsid w:val="0040661C"/>
    <w:rsid w:val="00410CAB"/>
    <w:rsid w:val="00414B14"/>
    <w:rsid w:val="004312D8"/>
    <w:rsid w:val="00451E47"/>
    <w:rsid w:val="004737AA"/>
    <w:rsid w:val="004B0EFB"/>
    <w:rsid w:val="004C2087"/>
    <w:rsid w:val="004D5BBF"/>
    <w:rsid w:val="004E39D8"/>
    <w:rsid w:val="004F111A"/>
    <w:rsid w:val="00500862"/>
    <w:rsid w:val="00502BE2"/>
    <w:rsid w:val="00513233"/>
    <w:rsid w:val="0052666F"/>
    <w:rsid w:val="005272FA"/>
    <w:rsid w:val="00564B20"/>
    <w:rsid w:val="00581497"/>
    <w:rsid w:val="00592A99"/>
    <w:rsid w:val="005B19E7"/>
    <w:rsid w:val="005B22B4"/>
    <w:rsid w:val="005D51F0"/>
    <w:rsid w:val="005E77F3"/>
    <w:rsid w:val="00610908"/>
    <w:rsid w:val="00621A24"/>
    <w:rsid w:val="0064423D"/>
    <w:rsid w:val="00655C9D"/>
    <w:rsid w:val="006611AD"/>
    <w:rsid w:val="00664B83"/>
    <w:rsid w:val="00672F08"/>
    <w:rsid w:val="006B29A5"/>
    <w:rsid w:val="006B56BB"/>
    <w:rsid w:val="006C2208"/>
    <w:rsid w:val="006D2615"/>
    <w:rsid w:val="006D42A3"/>
    <w:rsid w:val="006E5D34"/>
    <w:rsid w:val="006F70A6"/>
    <w:rsid w:val="007228D8"/>
    <w:rsid w:val="007368A1"/>
    <w:rsid w:val="0075215C"/>
    <w:rsid w:val="007A55C7"/>
    <w:rsid w:val="007C0F8A"/>
    <w:rsid w:val="007E4209"/>
    <w:rsid w:val="007F77DE"/>
    <w:rsid w:val="00804C62"/>
    <w:rsid w:val="008078CF"/>
    <w:rsid w:val="00813305"/>
    <w:rsid w:val="0081388E"/>
    <w:rsid w:val="00815E25"/>
    <w:rsid w:val="00820B7B"/>
    <w:rsid w:val="00824B7C"/>
    <w:rsid w:val="00836A72"/>
    <w:rsid w:val="0084010C"/>
    <w:rsid w:val="008443EF"/>
    <w:rsid w:val="008B697F"/>
    <w:rsid w:val="008C78C6"/>
    <w:rsid w:val="008D1DF6"/>
    <w:rsid w:val="008E4990"/>
    <w:rsid w:val="008F7C8D"/>
    <w:rsid w:val="00903F36"/>
    <w:rsid w:val="00944767"/>
    <w:rsid w:val="009761C2"/>
    <w:rsid w:val="009960BF"/>
    <w:rsid w:val="00997CB7"/>
    <w:rsid w:val="009A55F6"/>
    <w:rsid w:val="00A164B8"/>
    <w:rsid w:val="00A4745E"/>
    <w:rsid w:val="00A53326"/>
    <w:rsid w:val="00A57330"/>
    <w:rsid w:val="00A61CAF"/>
    <w:rsid w:val="00A84C1F"/>
    <w:rsid w:val="00A94DEA"/>
    <w:rsid w:val="00AB1C36"/>
    <w:rsid w:val="00AC0FDE"/>
    <w:rsid w:val="00AF4C81"/>
    <w:rsid w:val="00B05C8F"/>
    <w:rsid w:val="00B14D17"/>
    <w:rsid w:val="00B51F39"/>
    <w:rsid w:val="00B95D61"/>
    <w:rsid w:val="00BA3E39"/>
    <w:rsid w:val="00BB3603"/>
    <w:rsid w:val="00BB37DA"/>
    <w:rsid w:val="00BC13D7"/>
    <w:rsid w:val="00BF1048"/>
    <w:rsid w:val="00C340E1"/>
    <w:rsid w:val="00C350E4"/>
    <w:rsid w:val="00C518CA"/>
    <w:rsid w:val="00C66797"/>
    <w:rsid w:val="00C7603C"/>
    <w:rsid w:val="00C8742D"/>
    <w:rsid w:val="00C96050"/>
    <w:rsid w:val="00CA3357"/>
    <w:rsid w:val="00CB6F8A"/>
    <w:rsid w:val="00CC4604"/>
    <w:rsid w:val="00CD1B4E"/>
    <w:rsid w:val="00CD33D4"/>
    <w:rsid w:val="00CF0C2B"/>
    <w:rsid w:val="00D071C4"/>
    <w:rsid w:val="00D42523"/>
    <w:rsid w:val="00D42D4C"/>
    <w:rsid w:val="00D46E0C"/>
    <w:rsid w:val="00DB71F8"/>
    <w:rsid w:val="00DB7B95"/>
    <w:rsid w:val="00DF3624"/>
    <w:rsid w:val="00E416CF"/>
    <w:rsid w:val="00E435E8"/>
    <w:rsid w:val="00E47C9B"/>
    <w:rsid w:val="00E530A0"/>
    <w:rsid w:val="00E66DC8"/>
    <w:rsid w:val="00E7083B"/>
    <w:rsid w:val="00E77E01"/>
    <w:rsid w:val="00E84444"/>
    <w:rsid w:val="00E8735F"/>
    <w:rsid w:val="00E91ADD"/>
    <w:rsid w:val="00E93C1D"/>
    <w:rsid w:val="00E979D9"/>
    <w:rsid w:val="00EA1049"/>
    <w:rsid w:val="00EA2FDC"/>
    <w:rsid w:val="00EB26B9"/>
    <w:rsid w:val="00EC6395"/>
    <w:rsid w:val="00ED37AC"/>
    <w:rsid w:val="00EE3537"/>
    <w:rsid w:val="00EF1775"/>
    <w:rsid w:val="00F27EF6"/>
    <w:rsid w:val="00F32DEC"/>
    <w:rsid w:val="00F3352D"/>
    <w:rsid w:val="00F57E68"/>
    <w:rsid w:val="00F6044F"/>
    <w:rsid w:val="00F70A31"/>
    <w:rsid w:val="00F822C8"/>
    <w:rsid w:val="00F9082E"/>
    <w:rsid w:val="00F95A19"/>
    <w:rsid w:val="00FA0F28"/>
    <w:rsid w:val="00FB7DFB"/>
    <w:rsid w:val="00FC3F04"/>
    <w:rsid w:val="14A72D36"/>
    <w:rsid w:val="28068FD7"/>
    <w:rsid w:val="3F51D01F"/>
    <w:rsid w:val="4613E112"/>
    <w:rsid w:val="47BBADF6"/>
    <w:rsid w:val="609F80BF"/>
    <w:rsid w:val="6348D0DD"/>
    <w:rsid w:val="64AAB221"/>
    <w:rsid w:val="667A4BBF"/>
    <w:rsid w:val="67DAE62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00404B"/>
  <w15:chartTrackingRefBased/>
  <w15:docId w15:val="{3E5C989C-C350-47F4-B4D4-C983651A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BodyText20">
    <w:name w:val="Body Text 20"/>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uiPriority w:val="99"/>
    <w:rsid w:val="00F95A19"/>
    <w:rPr>
      <w:lang w:val="es-ES_tradnl" w:eastAsia="es-ES"/>
    </w:rPr>
  </w:style>
  <w:style w:type="character" w:customStyle="1" w:styleId="PiedepginaCar">
    <w:name w:val="Pie de página Car"/>
    <w:link w:val="Piedepgina"/>
    <w:rsid w:val="00F95A19"/>
    <w:rPr>
      <w:lang w:val="es-ES_tradnl" w:eastAsia="es-ES"/>
    </w:rPr>
  </w:style>
  <w:style w:type="table" w:styleId="Tablaconcuadrcula">
    <w:name w:val="Table Grid"/>
    <w:basedOn w:val="Tablanormal"/>
    <w:rsid w:val="00F95A1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22F23"/>
  </w:style>
  <w:style w:type="character" w:styleId="Mencinsinresolver">
    <w:name w:val="Unresolved Mention"/>
    <w:basedOn w:val="Fuentedeprrafopredeter"/>
    <w:uiPriority w:val="99"/>
    <w:semiHidden/>
    <w:unhideWhenUsed/>
    <w:rsid w:val="005B22B4"/>
    <w:rPr>
      <w:color w:val="605E5C"/>
      <w:shd w:val="clear" w:color="auto" w:fill="E1DFDD"/>
    </w:rPr>
  </w:style>
  <w:style w:type="paragraph" w:customStyle="1" w:styleId="Default">
    <w:name w:val="Default"/>
    <w:rsid w:val="000155F6"/>
    <w:pPr>
      <w:autoSpaceDE w:val="0"/>
      <w:autoSpaceDN w:val="0"/>
      <w:adjustRightInd w:val="0"/>
    </w:pPr>
    <w:rPr>
      <w:rFonts w:ascii="Arial" w:hAnsi="Arial" w:cs="Arial"/>
      <w:color w:val="000000"/>
      <w:sz w:val="24"/>
      <w:szCs w:val="24"/>
      <w:lang w:val="es-CO" w:eastAsia="es-ES"/>
    </w:rPr>
  </w:style>
  <w:style w:type="character" w:styleId="nfasis">
    <w:name w:val="Emphasis"/>
    <w:basedOn w:val="Fuentedeprrafopredeter"/>
    <w:qFormat/>
    <w:rsid w:val="000155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22962">
      <w:bodyDiv w:val="1"/>
      <w:marLeft w:val="0"/>
      <w:marRight w:val="0"/>
      <w:marTop w:val="0"/>
      <w:marBottom w:val="0"/>
      <w:divBdr>
        <w:top w:val="none" w:sz="0" w:space="0" w:color="auto"/>
        <w:left w:val="none" w:sz="0" w:space="0" w:color="auto"/>
        <w:bottom w:val="none" w:sz="0" w:space="0" w:color="auto"/>
        <w:right w:val="none" w:sz="0" w:space="0" w:color="auto"/>
      </w:divBdr>
    </w:div>
    <w:div w:id="1290471780">
      <w:bodyDiv w:val="1"/>
      <w:marLeft w:val="0"/>
      <w:marRight w:val="0"/>
      <w:marTop w:val="0"/>
      <w:marBottom w:val="0"/>
      <w:divBdr>
        <w:top w:val="none" w:sz="0" w:space="0" w:color="auto"/>
        <w:left w:val="none" w:sz="0" w:space="0" w:color="auto"/>
        <w:bottom w:val="none" w:sz="0" w:space="0" w:color="auto"/>
        <w:right w:val="none" w:sz="0" w:space="0" w:color="auto"/>
      </w:divBdr>
    </w:div>
    <w:div w:id="15270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ormativa@superfinancier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D68574237D849A835D1FFB895F586" ma:contentTypeVersion="4" ma:contentTypeDescription="Create a new document." ma:contentTypeScope="" ma:versionID="5958841fae27ea299a6d89b7e3e4f47a">
  <xsd:schema xmlns:xsd="http://www.w3.org/2001/XMLSchema" xmlns:xs="http://www.w3.org/2001/XMLSchema" xmlns:p="http://schemas.microsoft.com/office/2006/metadata/properties" xmlns:ns2="2806e0fb-3321-4a19-a0bb-629fbbee7344" xmlns:ns3="87507fc1-2ee4-4bca-8654-35e95601ee33" targetNamespace="http://schemas.microsoft.com/office/2006/metadata/properties" ma:root="true" ma:fieldsID="c4af565ebca125575291b81e0941d561" ns2:_="" ns3:_="">
    <xsd:import namespace="2806e0fb-3321-4a19-a0bb-629fbbee7344"/>
    <xsd:import namespace="87507fc1-2ee4-4bca-8654-35e95601e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0fb-3321-4a19-a0bb-629fbbee7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07fc1-2ee4-4bca-8654-35e95601ee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2F734-0500-4E87-86C8-7652D0485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0fb-3321-4a19-a0bb-629fbbee7344"/>
    <ds:schemaRef ds:uri="87507fc1-2ee4-4bca-8654-35e95601e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D41F0-FBF5-470D-BB61-01418EEFFDC7}">
  <ds:schemaRef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87507fc1-2ee4-4bca-8654-35e95601ee33"/>
    <ds:schemaRef ds:uri="2806e0fb-3321-4a19-a0bb-629fbbee7344"/>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B5863A6-BA2D-4A4F-A428-6ED54E14E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748</Words>
  <Characters>4428</Characters>
  <Application>Microsoft Office Word</Application>
  <DocSecurity>0</DocSecurity>
  <Lines>36</Lines>
  <Paragraphs>10</Paragraphs>
  <ScaleCrop>false</ScaleCrop>
  <Company>superfinanciera</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Juan Camilo Zuluaga Gomez</cp:lastModifiedBy>
  <cp:revision>18</cp:revision>
  <cp:lastPrinted>2016-09-26T20:13:00Z</cp:lastPrinted>
  <dcterms:created xsi:type="dcterms:W3CDTF">2021-03-09T17:39:00Z</dcterms:created>
  <dcterms:modified xsi:type="dcterms:W3CDTF">2021-05-31T19:25:00Z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0x010100C0FD68574237D849A835D1FFB895F586</vt:lpwstr>
  </property>
</Properties>
</file>