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633B36F2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0A37501D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5DAB6C7B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57AA814" w14:textId="705FDA2F" w:rsidR="00EF1775" w:rsidRPr="001C4E67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</w:t>
      </w:r>
      <w:r w:rsidR="00F95A19">
        <w:rPr>
          <w:rFonts w:ascii="Arial" w:hAnsi="Arial" w:cs="Arial"/>
          <w:b/>
          <w:bCs/>
          <w:sz w:val="24"/>
          <w:szCs w:val="24"/>
        </w:rPr>
        <w:t xml:space="preserve"> CIRCULAR EXTERNA: </w:t>
      </w:r>
      <w:r w:rsidR="00184373">
        <w:rPr>
          <w:rFonts w:ascii="Arial" w:hAnsi="Arial" w:cs="Arial"/>
          <w:b/>
          <w:sz w:val="24"/>
          <w:szCs w:val="24"/>
        </w:rPr>
        <w:t>Actividad de asesoría en el mercado de valores</w:t>
      </w:r>
    </w:p>
    <w:p w14:paraId="1CF43F45" w14:textId="77777777" w:rsidR="00EF1775" w:rsidRDefault="00EF17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56D343DF" w14:textId="77777777" w:rsidR="005B22B4" w:rsidRDefault="005B22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5A69D53E" w14:textId="4C6EADFB" w:rsidR="002446F6" w:rsidRPr="00815E25" w:rsidRDefault="00B51F39" w:rsidP="00022F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PROPÓSITO: </w:t>
      </w:r>
      <w:r w:rsidR="00815E25">
        <w:rPr>
          <w:rFonts w:ascii="Arial" w:hAnsi="Arial" w:cs="Arial"/>
          <w:sz w:val="24"/>
          <w:szCs w:val="24"/>
        </w:rPr>
        <w:t xml:space="preserve">Impartir instrucciones </w:t>
      </w:r>
      <w:r w:rsidR="005B22B4" w:rsidRPr="005B22B4">
        <w:rPr>
          <w:rFonts w:ascii="Arial" w:hAnsi="Arial" w:cs="Arial"/>
          <w:bCs/>
          <w:sz w:val="24"/>
          <w:szCs w:val="24"/>
        </w:rPr>
        <w:t xml:space="preserve">relacionadas con </w:t>
      </w:r>
      <w:r w:rsidR="0002794D">
        <w:rPr>
          <w:rFonts w:ascii="Arial" w:hAnsi="Arial" w:cs="Arial"/>
          <w:bCs/>
          <w:sz w:val="24"/>
          <w:szCs w:val="24"/>
        </w:rPr>
        <w:t xml:space="preserve">la </w:t>
      </w:r>
      <w:r w:rsidR="00184373" w:rsidRPr="00184373">
        <w:rPr>
          <w:rFonts w:ascii="Arial" w:hAnsi="Arial" w:cs="Arial"/>
          <w:bCs/>
          <w:sz w:val="24"/>
          <w:szCs w:val="24"/>
        </w:rPr>
        <w:t>actividad de asesoría en el mercado de valores.</w:t>
      </w:r>
    </w:p>
    <w:p w14:paraId="0D7B9FDB" w14:textId="77777777" w:rsidR="00AD797F" w:rsidRDefault="00AD79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7635C6EE" w14:textId="3554FBBC" w:rsidR="00F95A19" w:rsidRDefault="00B51F39" w:rsidP="00F95A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67DAE626">
        <w:rPr>
          <w:rFonts w:ascii="Arial" w:hAnsi="Arial" w:cs="Arial"/>
          <w:b/>
          <w:bCs/>
          <w:sz w:val="24"/>
          <w:szCs w:val="24"/>
        </w:rPr>
        <w:t xml:space="preserve">PLAZO PARA COMENTARIOS: </w:t>
      </w:r>
      <w:r w:rsidR="00F95A19" w:rsidRPr="00022F23">
        <w:rPr>
          <w:rFonts w:ascii="Arial" w:hAnsi="Arial" w:cs="Arial"/>
          <w:b/>
          <w:bCs/>
          <w:sz w:val="24"/>
          <w:szCs w:val="24"/>
          <w:u w:val="single"/>
        </w:rPr>
        <w:t>5:00</w:t>
      </w:r>
      <w:r w:rsidR="005B22B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95A19" w:rsidRPr="00022F23">
        <w:rPr>
          <w:rFonts w:ascii="Arial" w:hAnsi="Arial" w:cs="Arial"/>
          <w:b/>
          <w:bCs/>
          <w:sz w:val="24"/>
          <w:szCs w:val="24"/>
          <w:u w:val="single"/>
        </w:rPr>
        <w:t>pm</w:t>
      </w:r>
      <w:r w:rsidR="00F95A19" w:rsidRPr="67DAE626">
        <w:rPr>
          <w:rFonts w:ascii="Arial" w:hAnsi="Arial" w:cs="Arial"/>
          <w:b/>
          <w:bCs/>
          <w:sz w:val="24"/>
          <w:szCs w:val="24"/>
        </w:rPr>
        <w:t xml:space="preserve"> del </w:t>
      </w:r>
      <w:r w:rsidR="006440F1" w:rsidRPr="006440F1">
        <w:rPr>
          <w:rFonts w:ascii="Arial" w:hAnsi="Arial" w:cs="Arial"/>
          <w:b/>
          <w:bCs/>
          <w:sz w:val="24"/>
          <w:szCs w:val="24"/>
        </w:rPr>
        <w:t>miércoles 28 de julio de 2021</w:t>
      </w:r>
      <w:r w:rsidR="00CF0C2B">
        <w:rPr>
          <w:rFonts w:ascii="Arial" w:hAnsi="Arial" w:cs="Arial"/>
          <w:b/>
          <w:bCs/>
          <w:sz w:val="24"/>
          <w:szCs w:val="24"/>
        </w:rPr>
        <w:t>.</w:t>
      </w:r>
    </w:p>
    <w:p w14:paraId="72A3D3EC" w14:textId="77777777" w:rsidR="00F95A19" w:rsidRDefault="00F95A19" w:rsidP="00F95A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68E863E6" w14:textId="77777777" w:rsidR="003D4522" w:rsidRPr="003C1EDF" w:rsidRDefault="003D4522" w:rsidP="003D45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3D4522"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 w:rsidRPr="00022F23">
        <w:rPr>
          <w:rFonts w:ascii="Arial" w:hAnsi="Arial" w:cs="Arial"/>
          <w:sz w:val="24"/>
          <w:szCs w:val="24"/>
        </w:rPr>
        <w:t>Por favor diligenciar la proforma adjunta “MATRIZ PARA COMENTARIOS EXTERNOS - PUBLICACION WEB”.</w:t>
      </w:r>
      <w:r w:rsidRPr="003C1EDF">
        <w:rPr>
          <w:rFonts w:ascii="Arial" w:hAnsi="Arial" w:cs="Arial"/>
          <w:sz w:val="24"/>
          <w:szCs w:val="24"/>
        </w:rPr>
        <w:t xml:space="preserve"> </w:t>
      </w:r>
    </w:p>
    <w:p w14:paraId="364D4CBE" w14:textId="77777777" w:rsidR="003D4522" w:rsidRPr="003C1EDF" w:rsidRDefault="003D4522" w:rsidP="003D45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3C1EDF">
        <w:rPr>
          <w:rFonts w:ascii="Arial" w:hAnsi="Arial" w:cs="Arial"/>
          <w:sz w:val="24"/>
          <w:szCs w:val="24"/>
        </w:rPr>
        <w:t xml:space="preserve"> </w:t>
      </w:r>
    </w:p>
    <w:p w14:paraId="10CD95C1" w14:textId="77777777" w:rsidR="000B5678" w:rsidRDefault="003D4522" w:rsidP="003D45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3C1EDF">
        <w:rPr>
          <w:rFonts w:ascii="Arial" w:hAnsi="Arial" w:cs="Arial"/>
          <w:sz w:val="24"/>
          <w:szCs w:val="24"/>
        </w:rPr>
        <w:t xml:space="preserve">La proforma en formato Word puede ser radicada vía e-mail por medio del correo electrónico </w:t>
      </w:r>
      <w:hyperlink r:id="rId10" w:history="1">
        <w:r w:rsidR="005B22B4" w:rsidRPr="00BE1B02">
          <w:rPr>
            <w:rStyle w:val="Hipervnculo"/>
            <w:rFonts w:ascii="Arial" w:hAnsi="Arial" w:cs="Arial"/>
            <w:sz w:val="24"/>
            <w:szCs w:val="24"/>
          </w:rPr>
          <w:t>normativa@superfinanciera.gov.co</w:t>
        </w:r>
      </w:hyperlink>
      <w:r w:rsidR="005B22B4">
        <w:rPr>
          <w:rFonts w:ascii="Arial" w:hAnsi="Arial" w:cs="Arial"/>
          <w:sz w:val="24"/>
          <w:szCs w:val="24"/>
        </w:rPr>
        <w:t xml:space="preserve"> </w:t>
      </w:r>
    </w:p>
    <w:p w14:paraId="491C3FFA" w14:textId="77777777" w:rsidR="000B5678" w:rsidRDefault="000B5678" w:rsidP="003D45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0E27B00A" w14:textId="5BCF39CD" w:rsidR="00CC4604" w:rsidRPr="003C1EDF" w:rsidRDefault="003D4522" w:rsidP="003D45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3C1EDF">
        <w:rPr>
          <w:rFonts w:ascii="Arial" w:hAnsi="Arial" w:cs="Arial"/>
          <w:sz w:val="24"/>
          <w:szCs w:val="24"/>
        </w:rPr>
        <w:t>En el asunto</w:t>
      </w:r>
      <w:r w:rsidRPr="003D4522">
        <w:rPr>
          <w:rFonts w:ascii="Arial" w:hAnsi="Arial" w:cs="Arial"/>
          <w:b/>
          <w:bCs/>
          <w:sz w:val="24"/>
          <w:szCs w:val="24"/>
        </w:rPr>
        <w:t xml:space="preserve"> únicamente </w:t>
      </w:r>
      <w:r w:rsidRPr="003C1EDF">
        <w:rPr>
          <w:rFonts w:ascii="Arial" w:hAnsi="Arial" w:cs="Arial"/>
          <w:sz w:val="24"/>
          <w:szCs w:val="24"/>
        </w:rPr>
        <w:t>incluir el siguiente número de radicación:</w:t>
      </w:r>
    </w:p>
    <w:p w14:paraId="27FC3412" w14:textId="77777777" w:rsidR="00C96050" w:rsidRPr="003C1EDF" w:rsidRDefault="00C96050" w:rsidP="003D45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es-ES"/>
        </w:rPr>
      </w:pPr>
    </w:p>
    <w:p w14:paraId="4455D184" w14:textId="4D1A244A" w:rsidR="00B51F39" w:rsidRPr="00F95A19" w:rsidRDefault="006F70A6" w:rsidP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u w:val="thick"/>
          <w:lang w:val="es-ES"/>
        </w:rPr>
      </w:pPr>
      <w:r w:rsidRPr="003870A8">
        <w:rPr>
          <w:rFonts w:ascii="Arial" w:hAnsi="Arial" w:cs="Arial"/>
          <w:b/>
          <w:bCs/>
          <w:sz w:val="24"/>
          <w:szCs w:val="24"/>
          <w:lang w:val="es-ES"/>
        </w:rPr>
        <w:t>R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ADICADO No. </w:t>
      </w:r>
      <w:r w:rsidR="00FB7DFB" w:rsidRPr="00FB7DFB">
        <w:rPr>
          <w:rFonts w:ascii="Arial" w:hAnsi="Arial" w:cs="Arial"/>
          <w:b/>
          <w:bCs/>
          <w:sz w:val="24"/>
          <w:szCs w:val="24"/>
          <w:lang w:val="es-ES"/>
        </w:rPr>
        <w:t>202</w:t>
      </w:r>
      <w:r w:rsidR="000B5678">
        <w:rPr>
          <w:rFonts w:ascii="Arial" w:hAnsi="Arial" w:cs="Arial"/>
          <w:b/>
          <w:bCs/>
          <w:sz w:val="24"/>
          <w:szCs w:val="24"/>
          <w:lang w:val="es-ES"/>
        </w:rPr>
        <w:t>1</w:t>
      </w:r>
      <w:r w:rsidR="00B82326">
        <w:rPr>
          <w:rFonts w:ascii="Arial" w:hAnsi="Arial" w:cs="Arial"/>
          <w:b/>
          <w:bCs/>
          <w:sz w:val="24"/>
          <w:szCs w:val="24"/>
          <w:lang w:val="es-ES"/>
        </w:rPr>
        <w:t>08</w:t>
      </w:r>
      <w:r w:rsidR="008A440B">
        <w:rPr>
          <w:rFonts w:ascii="Arial" w:hAnsi="Arial" w:cs="Arial"/>
          <w:b/>
          <w:bCs/>
          <w:sz w:val="24"/>
          <w:szCs w:val="24"/>
          <w:lang w:val="es-ES"/>
        </w:rPr>
        <w:t>5989</w:t>
      </w:r>
    </w:p>
    <w:p w14:paraId="60061E4C" w14:textId="77777777" w:rsidR="00B51F39" w:rsidRPr="00E77E0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D6DD68D" w14:textId="4A60D4BC" w:rsidR="00B51F39" w:rsidRPr="00E77E01" w:rsidRDefault="00E77E01" w:rsidP="00CC46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24B7C">
        <w:rPr>
          <w:rFonts w:ascii="Arial" w:hAnsi="Arial" w:cs="Arial"/>
          <w:b/>
          <w:bCs/>
          <w:sz w:val="24"/>
          <w:szCs w:val="24"/>
        </w:rPr>
        <w:t>Subdirector</w:t>
      </w:r>
      <w:r w:rsidR="000B5678">
        <w:rPr>
          <w:rFonts w:ascii="Arial" w:hAnsi="Arial" w:cs="Arial"/>
          <w:b/>
          <w:bCs/>
          <w:sz w:val="24"/>
          <w:szCs w:val="24"/>
        </w:rPr>
        <w:t>a</w:t>
      </w:r>
      <w:r w:rsidR="00824B7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0FDE">
        <w:rPr>
          <w:rFonts w:ascii="Arial" w:hAnsi="Arial" w:cs="Arial"/>
          <w:b/>
          <w:bCs/>
          <w:sz w:val="24"/>
          <w:szCs w:val="24"/>
        </w:rPr>
        <w:t>Regulación</w:t>
      </w:r>
      <w:r w:rsidR="00A164B8">
        <w:rPr>
          <w:rFonts w:ascii="Arial" w:hAnsi="Arial" w:cs="Arial"/>
          <w:bCs/>
          <w:sz w:val="24"/>
          <w:szCs w:val="24"/>
        </w:rPr>
        <w:t>, con el número de radicación.</w:t>
      </w:r>
      <w:r w:rsidR="00B51F39" w:rsidRPr="00E77E01">
        <w:rPr>
          <w:rFonts w:ascii="Arial" w:hAnsi="Arial" w:cs="Arial"/>
          <w:bCs/>
          <w:sz w:val="24"/>
          <w:szCs w:val="24"/>
        </w:rPr>
        <w:tab/>
      </w:r>
      <w:r w:rsidR="00B51F39" w:rsidRPr="00E77E01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44EAFD9C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C6EFA5E" w14:textId="77777777" w:rsidR="00564B20" w:rsidRPr="00043B3D" w:rsidRDefault="00043B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 del correo electrónico</w:t>
      </w:r>
      <w:r>
        <w:rPr>
          <w:rFonts w:ascii="Arial" w:hAnsi="Arial" w:cs="Arial"/>
          <w:bCs/>
          <w:sz w:val="24"/>
          <w:szCs w:val="24"/>
        </w:rPr>
        <w:t>,</w:t>
      </w:r>
      <w:r w:rsidRPr="00043B3D">
        <w:rPr>
          <w:rFonts w:ascii="Arial" w:hAnsi="Arial" w:cs="Arial"/>
          <w:bCs/>
          <w:sz w:val="24"/>
          <w:szCs w:val="24"/>
        </w:rPr>
        <w:t xml:space="preserve"> la referencia señalada, así como por escrito.</w:t>
      </w:r>
    </w:p>
    <w:p w14:paraId="4B94D5A5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DEEC669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656B9AB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5FB0818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049F31CB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3128261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62486C05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101652C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D47DD1C" w14:textId="77777777" w:rsidR="00E77E0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</w:p>
    <w:p w14:paraId="67F675A6" w14:textId="77777777" w:rsidR="00B51F39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</w:t>
      </w:r>
    </w:p>
    <w:p w14:paraId="4B99056E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1299C43A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539442D6" w14:textId="5A12E927" w:rsidR="00EF1775" w:rsidRPr="00010E00" w:rsidRDefault="00F95A19" w:rsidP="00B82326">
      <w:pPr>
        <w:tabs>
          <w:tab w:val="left" w:pos="4002"/>
        </w:tabs>
        <w:jc w:val="center"/>
        <w:rPr>
          <w:rFonts w:ascii="Arial" w:hAnsi="Arial" w:cs="Arial"/>
          <w:sz w:val="22"/>
          <w:szCs w:val="24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2B2CAFC9" w14:textId="77777777" w:rsidR="00660C2B" w:rsidRPr="00D8798E" w:rsidRDefault="00660C2B" w:rsidP="00660C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798E">
        <w:rPr>
          <w:rFonts w:ascii="Arial" w:hAnsi="Arial" w:cs="Arial"/>
          <w:b/>
          <w:bCs/>
          <w:sz w:val="24"/>
          <w:szCs w:val="24"/>
        </w:rPr>
        <w:lastRenderedPageBreak/>
        <w:t xml:space="preserve">CIRCULAR EXTERNA        </w:t>
      </w:r>
      <w:r w:rsidRPr="00D8798E">
        <w:rPr>
          <w:rFonts w:ascii="Arial" w:hAnsi="Arial" w:cs="Arial"/>
          <w:b/>
          <w:bCs/>
          <w:sz w:val="24"/>
          <w:szCs w:val="24"/>
        </w:rPr>
        <w:tab/>
        <w:t xml:space="preserve">          DE 20</w:t>
      </w:r>
      <w:r>
        <w:rPr>
          <w:rFonts w:ascii="Arial" w:hAnsi="Arial" w:cs="Arial"/>
          <w:b/>
          <w:bCs/>
          <w:sz w:val="24"/>
          <w:szCs w:val="24"/>
        </w:rPr>
        <w:t>21</w:t>
      </w:r>
    </w:p>
    <w:p w14:paraId="6C6079CC" w14:textId="77777777" w:rsidR="00660C2B" w:rsidRPr="00C44FDB" w:rsidRDefault="00660C2B" w:rsidP="00660C2B">
      <w:pPr>
        <w:jc w:val="center"/>
        <w:rPr>
          <w:rFonts w:ascii="Arial" w:hAnsi="Arial" w:cs="Arial"/>
          <w:b/>
          <w:bCs/>
          <w:szCs w:val="24"/>
        </w:rPr>
      </w:pPr>
    </w:p>
    <w:p w14:paraId="4C2D87C3" w14:textId="77777777" w:rsidR="00660C2B" w:rsidRPr="00C44FDB" w:rsidRDefault="00660C2B" w:rsidP="00660C2B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C44FDB">
        <w:rPr>
          <w:rFonts w:ascii="Arial" w:hAnsi="Arial" w:cs="Arial"/>
          <w:b/>
          <w:bCs/>
          <w:sz w:val="22"/>
          <w:szCs w:val="24"/>
        </w:rPr>
        <w:t xml:space="preserve">(  </w:t>
      </w:r>
      <w:r w:rsidRPr="00C44FDB">
        <w:rPr>
          <w:rFonts w:ascii="Arial" w:hAnsi="Arial" w:cs="Arial"/>
          <w:b/>
          <w:bCs/>
          <w:sz w:val="22"/>
          <w:szCs w:val="24"/>
        </w:rPr>
        <w:tab/>
      </w:r>
      <w:r w:rsidRPr="00C44FDB">
        <w:rPr>
          <w:rFonts w:ascii="Arial" w:hAnsi="Arial" w:cs="Arial"/>
          <w:b/>
          <w:bCs/>
          <w:sz w:val="22"/>
          <w:szCs w:val="24"/>
        </w:rPr>
        <w:tab/>
        <w:t xml:space="preserve"> </w:t>
      </w:r>
      <w:r w:rsidRPr="00C44FDB">
        <w:rPr>
          <w:rFonts w:ascii="Arial" w:hAnsi="Arial" w:cs="Arial"/>
          <w:b/>
          <w:bCs/>
          <w:sz w:val="22"/>
          <w:szCs w:val="24"/>
        </w:rPr>
        <w:tab/>
      </w:r>
      <w:r w:rsidRPr="00C44FDB">
        <w:rPr>
          <w:rFonts w:ascii="Arial" w:hAnsi="Arial" w:cs="Arial"/>
          <w:b/>
          <w:bCs/>
          <w:sz w:val="22"/>
          <w:szCs w:val="24"/>
        </w:rPr>
        <w:tab/>
      </w:r>
      <w:r w:rsidRPr="00C44FDB">
        <w:rPr>
          <w:rFonts w:ascii="Arial" w:hAnsi="Arial" w:cs="Arial"/>
          <w:b/>
          <w:bCs/>
          <w:sz w:val="22"/>
          <w:szCs w:val="24"/>
        </w:rPr>
        <w:tab/>
        <w:t xml:space="preserve">  )</w:t>
      </w:r>
    </w:p>
    <w:p w14:paraId="09BE1909" w14:textId="77777777" w:rsidR="00660C2B" w:rsidRPr="00C44FDB" w:rsidRDefault="00660C2B" w:rsidP="00660C2B">
      <w:pPr>
        <w:pStyle w:val="Encabezado"/>
        <w:jc w:val="both"/>
        <w:rPr>
          <w:rFonts w:ascii="Arial" w:hAnsi="Arial" w:cs="Arial"/>
          <w:b/>
          <w:bCs/>
          <w:szCs w:val="24"/>
        </w:rPr>
      </w:pPr>
    </w:p>
    <w:p w14:paraId="5CD335E6" w14:textId="77777777" w:rsidR="00660C2B" w:rsidRPr="00C44FDB" w:rsidRDefault="00660C2B" w:rsidP="00660C2B">
      <w:pPr>
        <w:jc w:val="both"/>
        <w:rPr>
          <w:rFonts w:ascii="Arial" w:hAnsi="Arial" w:cs="Arial"/>
          <w:b/>
          <w:szCs w:val="24"/>
          <w:lang w:eastAsia="x-none"/>
        </w:rPr>
      </w:pPr>
    </w:p>
    <w:p w14:paraId="2DC7AB45" w14:textId="77777777" w:rsidR="00660C2B" w:rsidRPr="00B16FD1" w:rsidRDefault="00660C2B" w:rsidP="00660C2B">
      <w:pPr>
        <w:jc w:val="both"/>
        <w:rPr>
          <w:rFonts w:ascii="Arial" w:hAnsi="Arial" w:cs="Arial"/>
          <w:b/>
          <w:sz w:val="22"/>
          <w:szCs w:val="24"/>
          <w:lang w:eastAsia="x-none"/>
        </w:rPr>
      </w:pPr>
      <w:r w:rsidRPr="00B16FD1">
        <w:rPr>
          <w:rFonts w:ascii="Arial" w:hAnsi="Arial" w:cs="Arial"/>
          <w:b/>
          <w:sz w:val="22"/>
          <w:szCs w:val="24"/>
          <w:lang w:eastAsia="x-none"/>
        </w:rPr>
        <w:t>Señores</w:t>
      </w:r>
    </w:p>
    <w:p w14:paraId="6002536D" w14:textId="77777777" w:rsidR="00660C2B" w:rsidRPr="00D70BA8" w:rsidRDefault="00660C2B" w:rsidP="00660C2B">
      <w:pPr>
        <w:jc w:val="both"/>
        <w:rPr>
          <w:rFonts w:ascii="Arial" w:hAnsi="Arial" w:cs="Arial"/>
          <w:sz w:val="22"/>
          <w:szCs w:val="24"/>
        </w:rPr>
      </w:pPr>
      <w:r w:rsidRPr="00D70BA8">
        <w:rPr>
          <w:rFonts w:ascii="Arial" w:hAnsi="Arial" w:cs="Arial"/>
          <w:sz w:val="22"/>
          <w:szCs w:val="24"/>
        </w:rPr>
        <w:t>REPRESENTANTES LEGALES DE LAS ENTIDADES VIGILADAS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4"/>
          <w:szCs w:val="22"/>
        </w:rPr>
        <w:t>POR LA SUPERINTENDENCIA FINANCIERA DE COLOMBIA</w:t>
      </w:r>
    </w:p>
    <w:p w14:paraId="544762E0" w14:textId="77777777" w:rsidR="00660C2B" w:rsidRPr="00B16FD1" w:rsidRDefault="00660C2B" w:rsidP="00660C2B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Cs w:val="24"/>
        </w:rPr>
      </w:pPr>
    </w:p>
    <w:p w14:paraId="51A902E4" w14:textId="77777777" w:rsidR="00660C2B" w:rsidRPr="00B16FD1" w:rsidRDefault="00660C2B" w:rsidP="00660C2B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Cs w:val="24"/>
        </w:rPr>
      </w:pPr>
    </w:p>
    <w:p w14:paraId="5BE0C4A9" w14:textId="77777777" w:rsidR="00660C2B" w:rsidRPr="00B16FD1" w:rsidRDefault="00660C2B" w:rsidP="00660C2B">
      <w:pPr>
        <w:pStyle w:val="Piedepgina"/>
        <w:tabs>
          <w:tab w:val="right" w:pos="8789"/>
        </w:tabs>
        <w:jc w:val="both"/>
        <w:rPr>
          <w:rFonts w:ascii="Arial" w:hAnsi="Arial" w:cs="Arial"/>
          <w:sz w:val="22"/>
          <w:szCs w:val="24"/>
        </w:rPr>
      </w:pPr>
      <w:r w:rsidRPr="00B16FD1">
        <w:rPr>
          <w:rFonts w:ascii="Arial" w:hAnsi="Arial" w:cs="Arial"/>
          <w:b/>
          <w:sz w:val="22"/>
          <w:szCs w:val="24"/>
        </w:rPr>
        <w:t xml:space="preserve">Referencia: </w:t>
      </w:r>
      <w:r>
        <w:rPr>
          <w:rFonts w:ascii="Arial" w:hAnsi="Arial" w:cs="Arial"/>
          <w:b/>
          <w:sz w:val="22"/>
          <w:szCs w:val="24"/>
        </w:rPr>
        <w:t>Instrucciones relativas al desarrollo de la actividad de asesoría en el mercado de valores, criterios para la clasificación de productos simples o complejos y su distribución, y requisitos para la implementación de herramientas tecnológicas para el suministro de recomendaciones profesionales.</w:t>
      </w:r>
    </w:p>
    <w:p w14:paraId="58E56D72" w14:textId="77777777" w:rsidR="00660C2B" w:rsidRPr="00B16FD1" w:rsidRDefault="00660C2B" w:rsidP="00660C2B">
      <w:pPr>
        <w:jc w:val="both"/>
        <w:rPr>
          <w:rFonts w:ascii="Arial" w:hAnsi="Arial" w:cs="Arial"/>
          <w:szCs w:val="24"/>
        </w:rPr>
      </w:pPr>
    </w:p>
    <w:p w14:paraId="74A49763" w14:textId="77777777" w:rsidR="00660C2B" w:rsidRPr="00B16FD1" w:rsidRDefault="00660C2B" w:rsidP="00660C2B">
      <w:pPr>
        <w:jc w:val="both"/>
        <w:rPr>
          <w:rFonts w:ascii="Arial" w:hAnsi="Arial" w:cs="Arial"/>
          <w:szCs w:val="24"/>
        </w:rPr>
      </w:pPr>
    </w:p>
    <w:p w14:paraId="69509D29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  <w:r w:rsidRPr="00B16FD1">
        <w:rPr>
          <w:rFonts w:ascii="Arial" w:hAnsi="Arial" w:cs="Arial"/>
          <w:sz w:val="22"/>
          <w:szCs w:val="24"/>
        </w:rPr>
        <w:t>Apreciados señores:</w:t>
      </w:r>
    </w:p>
    <w:p w14:paraId="54AA12D2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</w:p>
    <w:p w14:paraId="1BA0F5D5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De conformidad con las modificaciones introducidas por el Decreto 661 de 2018, y, en aras de promover un adecuado suministro de información y asesoría por parte de los intermediarios del mercado de valores y administradores de recursos de terceros, que contribuya con el fortalecimiento de la protección a los inversionistas mediante la toma consciente de decisiones de inversión, así como el desarrollo y eficiencia del mercado de cara a las innovaciones y desarrollos tecnológicos, logrando así un mercado de valores más eficiente, justo y transparente. </w:t>
      </w:r>
    </w:p>
    <w:p w14:paraId="0903A34E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</w:p>
    <w:p w14:paraId="6B9CA047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De igual forma, se considera necesario impartir instrucciones para la clasificación de los productos entre simples y complejos, buscando que con base en esta clasificación se determinen los inversionistas destinatarios de los mismos, atendiendo a sus necesidades y objetivos de inversión.</w:t>
      </w:r>
    </w:p>
    <w:p w14:paraId="72BDC5CA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</w:p>
    <w:p w14:paraId="7559DC47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sz w:val="22"/>
          <w:szCs w:val="24"/>
        </w:rPr>
        <w:t>Así mismo, con la finalidad de promover la profundización y modernización del mercado de valores, se establecen las</w:t>
      </w:r>
      <w:r>
        <w:rPr>
          <w:rStyle w:val="Refdecomentario"/>
          <w:lang w:val="es-ES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instrucciones que deberán cumplir las entidades vigiladas que utilicen herramientas </w:t>
      </w:r>
      <w:r>
        <w:rPr>
          <w:rFonts w:ascii="Arial" w:hAnsi="Arial" w:cs="Arial"/>
          <w:sz w:val="22"/>
          <w:szCs w:val="24"/>
          <w:lang w:val="es-CO"/>
        </w:rPr>
        <w:t>tecnológicas para el suministro de recomendaciones profesionales.</w:t>
      </w:r>
    </w:p>
    <w:p w14:paraId="1364806A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val="es-CO"/>
        </w:rPr>
      </w:pPr>
    </w:p>
    <w:p w14:paraId="119F1649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val="es-CO"/>
        </w:rPr>
      </w:pPr>
      <w:r>
        <w:rPr>
          <w:rFonts w:ascii="Arial" w:hAnsi="Arial" w:cs="Arial"/>
          <w:sz w:val="22"/>
          <w:szCs w:val="24"/>
          <w:lang w:val="es-CO"/>
        </w:rPr>
        <w:t xml:space="preserve">Adicionalmente, se considera necesario adecuar la Circular Básica Jurídica de conformidad con las nuevas disposiciones aplicables a la actividad de asesoría en el mercado de valores y operaciones de intermediación de valores. </w:t>
      </w:r>
    </w:p>
    <w:p w14:paraId="1F26B5B4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</w:p>
    <w:p w14:paraId="2B15834C" w14:textId="77777777" w:rsidR="00660C2B" w:rsidRPr="00D70BA8" w:rsidRDefault="00660C2B" w:rsidP="00660C2B">
      <w:pPr>
        <w:jc w:val="both"/>
        <w:rPr>
          <w:rFonts w:ascii="Arial" w:hAnsi="Arial" w:cs="Arial"/>
          <w:sz w:val="22"/>
          <w:szCs w:val="24"/>
        </w:rPr>
      </w:pPr>
      <w:r w:rsidRPr="00D70BA8">
        <w:rPr>
          <w:rFonts w:ascii="Arial" w:hAnsi="Arial" w:cs="Arial"/>
          <w:sz w:val="22"/>
          <w:szCs w:val="24"/>
        </w:rPr>
        <w:t>En consecuencia, este Despacho, en ejercicio de sus facultades legales y en particular las establecidas en</w:t>
      </w:r>
      <w:r>
        <w:rPr>
          <w:rFonts w:ascii="Arial" w:hAnsi="Arial" w:cs="Arial"/>
          <w:sz w:val="22"/>
          <w:szCs w:val="24"/>
        </w:rPr>
        <w:t xml:space="preserve"> los artículos 2.40.2.1.2, 2.40.2.1.3, 2.40.5.1.1 del Libro 40 de la Parte 2, el numeral 1° del artículo 7.3.1.1.2, los numerales 4° y 5° del artículo 7.4.1.1.4, el artículo 7.4.1.1.5, y el numeral </w:t>
      </w:r>
      <w:r w:rsidRPr="00D70BA8">
        <w:rPr>
          <w:rFonts w:ascii="Arial" w:hAnsi="Arial" w:cs="Arial"/>
          <w:sz w:val="22"/>
          <w:szCs w:val="24"/>
        </w:rPr>
        <w:t>5º</w:t>
      </w:r>
      <w:r>
        <w:rPr>
          <w:rFonts w:ascii="Arial" w:hAnsi="Arial" w:cs="Arial"/>
          <w:sz w:val="22"/>
          <w:szCs w:val="24"/>
        </w:rPr>
        <w:t xml:space="preserve"> </w:t>
      </w:r>
      <w:r w:rsidRPr="00D70BA8">
        <w:rPr>
          <w:rFonts w:ascii="Arial" w:hAnsi="Arial" w:cs="Arial"/>
          <w:sz w:val="22"/>
          <w:szCs w:val="24"/>
        </w:rPr>
        <w:t>del artículo 11.2.1.4.2 del Decreto 2555 de 2010, imparte las siguientes instrucciones:</w:t>
      </w:r>
    </w:p>
    <w:p w14:paraId="735ACA55" w14:textId="77777777" w:rsidR="00660C2B" w:rsidRPr="00B16FD1" w:rsidRDefault="00660C2B" w:rsidP="00660C2B">
      <w:pPr>
        <w:jc w:val="both"/>
        <w:rPr>
          <w:rFonts w:ascii="Arial" w:hAnsi="Arial" w:cs="Arial"/>
          <w:sz w:val="18"/>
          <w:szCs w:val="24"/>
        </w:rPr>
      </w:pPr>
    </w:p>
    <w:p w14:paraId="7D1102E8" w14:textId="77777777" w:rsidR="00660C2B" w:rsidRPr="00B16FD1" w:rsidRDefault="00660C2B" w:rsidP="00660C2B">
      <w:pPr>
        <w:jc w:val="both"/>
        <w:rPr>
          <w:rFonts w:ascii="Arial" w:hAnsi="Arial" w:cs="Arial"/>
          <w:sz w:val="18"/>
          <w:szCs w:val="24"/>
        </w:rPr>
      </w:pPr>
    </w:p>
    <w:p w14:paraId="10A96B01" w14:textId="77777777" w:rsidR="00660C2B" w:rsidRPr="00DB4B15" w:rsidRDefault="00660C2B" w:rsidP="00660C2B">
      <w:pPr>
        <w:jc w:val="both"/>
        <w:rPr>
          <w:rFonts w:ascii="Arial" w:hAnsi="Arial" w:cs="Arial"/>
          <w:color w:val="FF0000"/>
          <w:sz w:val="22"/>
          <w:szCs w:val="24"/>
          <w:lang w:val="es-CO"/>
        </w:rPr>
      </w:pPr>
      <w:r w:rsidRPr="00B16FD1">
        <w:rPr>
          <w:rFonts w:ascii="Arial" w:hAnsi="Arial" w:cs="Arial"/>
          <w:b/>
          <w:sz w:val="22"/>
          <w:szCs w:val="24"/>
          <w:lang w:eastAsia="x-none"/>
        </w:rPr>
        <w:t xml:space="preserve">PRIMERA. </w:t>
      </w:r>
      <w:r>
        <w:rPr>
          <w:rFonts w:ascii="Arial" w:hAnsi="Arial" w:cs="Arial"/>
          <w:sz w:val="22"/>
          <w:szCs w:val="24"/>
          <w:lang w:eastAsia="x-none"/>
        </w:rPr>
        <w:t>Adicionar el Capítulo III al Título II de la Parte III de la Circular Básica Jurídica, relativo a la Actividad de asesoría en el mercado de valores.</w:t>
      </w:r>
    </w:p>
    <w:p w14:paraId="4E7ACE6B" w14:textId="77777777" w:rsidR="00660C2B" w:rsidRPr="001C1315" w:rsidRDefault="00660C2B" w:rsidP="00660C2B">
      <w:pPr>
        <w:ind w:left="426"/>
        <w:jc w:val="both"/>
        <w:rPr>
          <w:rFonts w:ascii="Arial" w:hAnsi="Arial" w:cs="Arial"/>
          <w:szCs w:val="24"/>
          <w:lang w:val="es-CO"/>
        </w:rPr>
      </w:pPr>
    </w:p>
    <w:p w14:paraId="584DBC88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  <w:r w:rsidRPr="00B16FD1">
        <w:rPr>
          <w:rFonts w:ascii="Arial" w:hAnsi="Arial" w:cs="Arial"/>
          <w:b/>
          <w:sz w:val="22"/>
          <w:szCs w:val="24"/>
        </w:rPr>
        <w:t xml:space="preserve">SEGUNDA. </w:t>
      </w:r>
      <w:r>
        <w:rPr>
          <w:rFonts w:ascii="Arial" w:hAnsi="Arial" w:cs="Arial"/>
          <w:sz w:val="22"/>
          <w:szCs w:val="24"/>
        </w:rPr>
        <w:t xml:space="preserve">Modificar el subnumeral 2.2.1 del Capítulo I del Título II de la Parte II de la </w:t>
      </w:r>
      <w:r w:rsidRPr="00501E11">
        <w:rPr>
          <w:rFonts w:ascii="Arial" w:hAnsi="Arial" w:cs="Arial"/>
          <w:sz w:val="22"/>
          <w:szCs w:val="24"/>
          <w:lang w:eastAsia="x-none"/>
        </w:rPr>
        <w:t>Circular Básica Jurídica</w:t>
      </w:r>
      <w:r>
        <w:rPr>
          <w:rFonts w:ascii="Arial" w:hAnsi="Arial" w:cs="Arial"/>
          <w:sz w:val="22"/>
          <w:szCs w:val="24"/>
          <w:lang w:eastAsia="x-none"/>
        </w:rPr>
        <w:t>, relativo a las normas y principios a considerar en la celebración de negocios fiduciarios.</w:t>
      </w:r>
    </w:p>
    <w:p w14:paraId="39468932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</w:p>
    <w:p w14:paraId="620A0A32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  <w:r>
        <w:rPr>
          <w:rFonts w:ascii="Arial" w:hAnsi="Arial" w:cs="Arial"/>
          <w:b/>
          <w:sz w:val="22"/>
          <w:szCs w:val="24"/>
        </w:rPr>
        <w:t>TERCERA</w:t>
      </w:r>
      <w:r w:rsidRPr="00101866">
        <w:rPr>
          <w:rFonts w:ascii="Arial" w:hAnsi="Arial" w:cs="Arial"/>
          <w:b/>
          <w:sz w:val="22"/>
          <w:szCs w:val="24"/>
        </w:rPr>
        <w:t>.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025DF0">
        <w:rPr>
          <w:rFonts w:ascii="Arial" w:hAnsi="Arial" w:cs="Arial"/>
          <w:sz w:val="22"/>
          <w:szCs w:val="24"/>
        </w:rPr>
        <w:t>Modificar el subnumeral 4.1 del Capítulo II del Título II de la Parte III de la</w:t>
      </w:r>
      <w:r w:rsidRPr="00DB4B15">
        <w:rPr>
          <w:rFonts w:ascii="Arial" w:hAnsi="Arial" w:cs="Arial"/>
          <w:sz w:val="22"/>
          <w:szCs w:val="24"/>
          <w:lang w:eastAsia="x-none"/>
        </w:rPr>
        <w:t xml:space="preserve"> </w:t>
      </w:r>
      <w:r w:rsidRPr="00501E11">
        <w:rPr>
          <w:rFonts w:ascii="Arial" w:hAnsi="Arial" w:cs="Arial"/>
          <w:sz w:val="22"/>
          <w:szCs w:val="24"/>
          <w:lang w:eastAsia="x-none"/>
        </w:rPr>
        <w:t>Circular Básica Jurídica</w:t>
      </w:r>
      <w:r>
        <w:rPr>
          <w:rFonts w:ascii="Arial" w:hAnsi="Arial" w:cs="Arial"/>
          <w:sz w:val="22"/>
          <w:szCs w:val="24"/>
          <w:lang w:eastAsia="x-none"/>
        </w:rPr>
        <w:t>, relativo al cumplimiento de los deberes de los intermediarios de valores respecto de contrapartes en el mercado mostrador que tengan la calidad de clientes inversionistas.</w:t>
      </w:r>
    </w:p>
    <w:p w14:paraId="3636017F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</w:p>
    <w:p w14:paraId="50E43D1A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  <w:r>
        <w:rPr>
          <w:rFonts w:ascii="Arial" w:hAnsi="Arial" w:cs="Arial"/>
          <w:b/>
          <w:sz w:val="22"/>
          <w:szCs w:val="24"/>
        </w:rPr>
        <w:lastRenderedPageBreak/>
        <w:t xml:space="preserve">CUARTA. </w:t>
      </w:r>
      <w:r>
        <w:rPr>
          <w:rFonts w:ascii="Arial" w:hAnsi="Arial" w:cs="Arial"/>
          <w:sz w:val="22"/>
          <w:szCs w:val="24"/>
        </w:rPr>
        <w:t xml:space="preserve">Modificar el numeral 1 del Capítulo I del </w:t>
      </w:r>
      <w:r w:rsidRPr="00025DF0">
        <w:rPr>
          <w:rFonts w:ascii="Arial" w:hAnsi="Arial" w:cs="Arial"/>
          <w:sz w:val="22"/>
          <w:szCs w:val="24"/>
        </w:rPr>
        <w:t>Título II de la Parte III de la</w:t>
      </w:r>
      <w:r w:rsidRPr="00DB4B15">
        <w:rPr>
          <w:rFonts w:ascii="Arial" w:hAnsi="Arial" w:cs="Arial"/>
          <w:sz w:val="22"/>
          <w:szCs w:val="24"/>
          <w:lang w:eastAsia="x-none"/>
        </w:rPr>
        <w:t xml:space="preserve"> </w:t>
      </w:r>
      <w:r w:rsidRPr="00501E11">
        <w:rPr>
          <w:rFonts w:ascii="Arial" w:hAnsi="Arial" w:cs="Arial"/>
          <w:sz w:val="22"/>
          <w:szCs w:val="24"/>
          <w:lang w:eastAsia="x-none"/>
        </w:rPr>
        <w:t>Circular Básica Jurídica</w:t>
      </w:r>
      <w:r>
        <w:rPr>
          <w:rFonts w:ascii="Arial" w:hAnsi="Arial" w:cs="Arial"/>
          <w:sz w:val="22"/>
          <w:szCs w:val="24"/>
          <w:lang w:eastAsia="x-none"/>
        </w:rPr>
        <w:t>, relativo a las reglas generales aplicables a la intermediación de valores.</w:t>
      </w:r>
    </w:p>
    <w:p w14:paraId="5F08F1B9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</w:p>
    <w:p w14:paraId="752E39E5" w14:textId="77777777" w:rsidR="00660C2B" w:rsidRPr="00CE3D7D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  <w:r>
        <w:rPr>
          <w:rFonts w:ascii="Arial" w:hAnsi="Arial" w:cs="Arial"/>
          <w:b/>
          <w:sz w:val="22"/>
          <w:szCs w:val="24"/>
        </w:rPr>
        <w:t xml:space="preserve">QUINTA. </w:t>
      </w:r>
      <w:r w:rsidRPr="00CE3D7D">
        <w:rPr>
          <w:rFonts w:ascii="Arial" w:hAnsi="Arial" w:cs="Arial"/>
          <w:sz w:val="22"/>
          <w:szCs w:val="24"/>
        </w:rPr>
        <w:t>Modificar el numeral 5 del Capítulo I del Título III de la Parte III de la</w:t>
      </w:r>
      <w:r w:rsidRPr="00CE3D7D">
        <w:rPr>
          <w:rFonts w:ascii="Arial" w:hAnsi="Arial" w:cs="Arial"/>
          <w:sz w:val="22"/>
          <w:szCs w:val="24"/>
          <w:lang w:eastAsia="x-none"/>
        </w:rPr>
        <w:t xml:space="preserve"> Circular Básica Jurídica, relativo a la asesoría y deber de información en operaciones de adquisición de acciones cuando el emisor actúe como depositante directo.</w:t>
      </w:r>
    </w:p>
    <w:p w14:paraId="096FF16B" w14:textId="77777777" w:rsidR="00660C2B" w:rsidRPr="00B16FD1" w:rsidRDefault="00660C2B" w:rsidP="00660C2B">
      <w:pPr>
        <w:jc w:val="both"/>
        <w:rPr>
          <w:rFonts w:ascii="Arial" w:hAnsi="Arial" w:cs="Arial"/>
          <w:sz w:val="22"/>
          <w:szCs w:val="24"/>
        </w:rPr>
      </w:pPr>
    </w:p>
    <w:p w14:paraId="268D46A7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  <w:r>
        <w:rPr>
          <w:rFonts w:ascii="Arial" w:hAnsi="Arial" w:cs="Arial"/>
          <w:b/>
          <w:sz w:val="22"/>
          <w:szCs w:val="24"/>
          <w:lang w:eastAsia="x-none"/>
        </w:rPr>
        <w:t xml:space="preserve">SEXTA. </w:t>
      </w:r>
      <w:r>
        <w:rPr>
          <w:rFonts w:ascii="Arial" w:hAnsi="Arial" w:cs="Arial"/>
          <w:sz w:val="22"/>
          <w:szCs w:val="24"/>
        </w:rPr>
        <w:t xml:space="preserve">Modificar los numerales 3 y 5 del Capítulo III del Título III de la Parte III </w:t>
      </w:r>
      <w:r w:rsidRPr="00CE3D7D">
        <w:rPr>
          <w:rFonts w:ascii="Arial" w:hAnsi="Arial" w:cs="Arial"/>
          <w:sz w:val="22"/>
          <w:szCs w:val="24"/>
        </w:rPr>
        <w:t>de la</w:t>
      </w:r>
      <w:r w:rsidRPr="00CE3D7D">
        <w:rPr>
          <w:rFonts w:ascii="Arial" w:hAnsi="Arial" w:cs="Arial"/>
          <w:sz w:val="22"/>
          <w:szCs w:val="24"/>
          <w:lang w:eastAsia="x-none"/>
        </w:rPr>
        <w:t xml:space="preserve"> Circular Básica Jurídica, relativo a l</w:t>
      </w:r>
      <w:r>
        <w:rPr>
          <w:rFonts w:ascii="Arial" w:hAnsi="Arial" w:cs="Arial"/>
          <w:sz w:val="22"/>
          <w:szCs w:val="24"/>
          <w:lang w:eastAsia="x-none"/>
        </w:rPr>
        <w:t>os sistemas electrónicos de ruteo de órdenes.</w:t>
      </w:r>
    </w:p>
    <w:p w14:paraId="14DC31AA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</w:p>
    <w:p w14:paraId="5E69F4B0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  <w:r>
        <w:rPr>
          <w:rFonts w:ascii="Arial" w:hAnsi="Arial" w:cs="Arial"/>
          <w:b/>
          <w:sz w:val="22"/>
          <w:szCs w:val="24"/>
          <w:lang w:eastAsia="x-none"/>
        </w:rPr>
        <w:t xml:space="preserve">SÉPTIMA. </w:t>
      </w:r>
      <w:r>
        <w:rPr>
          <w:rFonts w:ascii="Arial" w:hAnsi="Arial" w:cs="Arial"/>
          <w:sz w:val="22"/>
          <w:szCs w:val="24"/>
          <w:lang w:eastAsia="x-none"/>
        </w:rPr>
        <w:t xml:space="preserve">Modificar </w:t>
      </w:r>
      <w:r w:rsidRPr="00CE3D7D">
        <w:rPr>
          <w:rFonts w:ascii="Arial" w:hAnsi="Arial" w:cs="Arial"/>
          <w:sz w:val="22"/>
          <w:szCs w:val="24"/>
        </w:rPr>
        <w:t xml:space="preserve">el numeral </w:t>
      </w:r>
      <w:r>
        <w:rPr>
          <w:rFonts w:ascii="Arial" w:hAnsi="Arial" w:cs="Arial"/>
          <w:sz w:val="22"/>
          <w:szCs w:val="24"/>
        </w:rPr>
        <w:t>1</w:t>
      </w:r>
      <w:r w:rsidRPr="00CE3D7D">
        <w:rPr>
          <w:rFonts w:ascii="Arial" w:hAnsi="Arial" w:cs="Arial"/>
          <w:sz w:val="22"/>
          <w:szCs w:val="24"/>
        </w:rPr>
        <w:t xml:space="preserve"> del Capítulo I</w:t>
      </w:r>
      <w:r>
        <w:rPr>
          <w:rFonts w:ascii="Arial" w:hAnsi="Arial" w:cs="Arial"/>
          <w:sz w:val="22"/>
          <w:szCs w:val="24"/>
        </w:rPr>
        <w:t>II</w:t>
      </w:r>
      <w:r w:rsidRPr="00CE3D7D">
        <w:rPr>
          <w:rFonts w:ascii="Arial" w:hAnsi="Arial" w:cs="Arial"/>
          <w:sz w:val="22"/>
          <w:szCs w:val="24"/>
        </w:rPr>
        <w:t xml:space="preserve"> del Título </w:t>
      </w:r>
      <w:r>
        <w:rPr>
          <w:rFonts w:ascii="Arial" w:hAnsi="Arial" w:cs="Arial"/>
          <w:sz w:val="22"/>
          <w:szCs w:val="24"/>
        </w:rPr>
        <w:t>V</w:t>
      </w:r>
      <w:r w:rsidRPr="00CE3D7D">
        <w:rPr>
          <w:rFonts w:ascii="Arial" w:hAnsi="Arial" w:cs="Arial"/>
          <w:sz w:val="22"/>
          <w:szCs w:val="24"/>
        </w:rPr>
        <w:t xml:space="preserve"> de la Parte III de la</w:t>
      </w:r>
      <w:r w:rsidRPr="00CE3D7D">
        <w:rPr>
          <w:rFonts w:ascii="Arial" w:hAnsi="Arial" w:cs="Arial"/>
          <w:sz w:val="22"/>
          <w:szCs w:val="24"/>
          <w:lang w:eastAsia="x-none"/>
        </w:rPr>
        <w:t xml:space="preserve"> Circular Básica Jurídica, relativo a</w:t>
      </w:r>
      <w:r>
        <w:rPr>
          <w:rFonts w:ascii="Arial" w:hAnsi="Arial" w:cs="Arial"/>
          <w:sz w:val="22"/>
          <w:szCs w:val="24"/>
          <w:lang w:eastAsia="x-none"/>
        </w:rPr>
        <w:t>l Registro Nacional de Profesionales del Mercado de Valores – RNPMV.</w:t>
      </w:r>
    </w:p>
    <w:p w14:paraId="21DCEB0A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  <w:lang w:eastAsia="x-none"/>
        </w:rPr>
      </w:pPr>
    </w:p>
    <w:p w14:paraId="3331B613" w14:textId="77777777" w:rsidR="00660C2B" w:rsidRPr="004D4D6D" w:rsidRDefault="00660C2B" w:rsidP="00660C2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2"/>
          <w:szCs w:val="24"/>
          <w:lang w:eastAsia="x-none"/>
        </w:rPr>
        <w:t xml:space="preserve">OCTAVA. </w:t>
      </w:r>
      <w:r>
        <w:rPr>
          <w:rFonts w:ascii="Arial" w:hAnsi="Arial" w:cs="Arial"/>
          <w:sz w:val="22"/>
          <w:szCs w:val="24"/>
          <w:lang w:eastAsia="x-none"/>
        </w:rPr>
        <w:t xml:space="preserve">Modificar los numerales 2 y 3 del </w:t>
      </w:r>
      <w:proofErr w:type="spellStart"/>
      <w:r>
        <w:rPr>
          <w:rFonts w:ascii="Arial" w:hAnsi="Arial" w:cs="Arial"/>
          <w:sz w:val="22"/>
          <w:szCs w:val="24"/>
          <w:lang w:eastAsia="x-none"/>
        </w:rPr>
        <w:t>Capitulo</w:t>
      </w:r>
      <w:proofErr w:type="spellEnd"/>
      <w:r>
        <w:rPr>
          <w:rFonts w:ascii="Arial" w:hAnsi="Arial" w:cs="Arial"/>
          <w:sz w:val="22"/>
          <w:szCs w:val="24"/>
          <w:lang w:eastAsia="x-none"/>
        </w:rPr>
        <w:t xml:space="preserve"> V del Título VI de la Parte III </w:t>
      </w:r>
      <w:r w:rsidRPr="00CE3D7D">
        <w:rPr>
          <w:rFonts w:ascii="Arial" w:hAnsi="Arial" w:cs="Arial"/>
          <w:sz w:val="22"/>
          <w:szCs w:val="24"/>
        </w:rPr>
        <w:t>de la</w:t>
      </w:r>
      <w:r w:rsidRPr="00CE3D7D">
        <w:rPr>
          <w:rFonts w:ascii="Arial" w:hAnsi="Arial" w:cs="Arial"/>
          <w:sz w:val="22"/>
          <w:szCs w:val="24"/>
          <w:lang w:eastAsia="x-none"/>
        </w:rPr>
        <w:t xml:space="preserve"> Circular Básica Jurídica, relativo</w:t>
      </w:r>
      <w:r>
        <w:rPr>
          <w:rFonts w:ascii="Arial" w:hAnsi="Arial" w:cs="Arial"/>
          <w:sz w:val="22"/>
          <w:szCs w:val="24"/>
          <w:lang w:eastAsia="x-none"/>
        </w:rPr>
        <w:t>s</w:t>
      </w:r>
      <w:r w:rsidRPr="00CE3D7D">
        <w:rPr>
          <w:rFonts w:ascii="Arial" w:hAnsi="Arial" w:cs="Arial"/>
          <w:sz w:val="22"/>
          <w:szCs w:val="24"/>
          <w:lang w:eastAsia="x-none"/>
        </w:rPr>
        <w:t xml:space="preserve"> a</w:t>
      </w:r>
      <w:r>
        <w:rPr>
          <w:rFonts w:ascii="Arial" w:hAnsi="Arial" w:cs="Arial"/>
          <w:sz w:val="22"/>
          <w:szCs w:val="24"/>
          <w:lang w:eastAsia="x-none"/>
        </w:rPr>
        <w:t xml:space="preserve"> la distribución de fondos de inversión colectiva.</w:t>
      </w:r>
    </w:p>
    <w:p w14:paraId="1522CFC5" w14:textId="77777777" w:rsidR="00660C2B" w:rsidRPr="00B16FD1" w:rsidRDefault="00660C2B" w:rsidP="00660C2B">
      <w:pPr>
        <w:jc w:val="both"/>
        <w:rPr>
          <w:rFonts w:ascii="Arial" w:hAnsi="Arial" w:cs="Arial"/>
          <w:szCs w:val="24"/>
        </w:rPr>
      </w:pPr>
    </w:p>
    <w:p w14:paraId="73897C60" w14:textId="77777777" w:rsidR="00660C2B" w:rsidRPr="00101866" w:rsidRDefault="00660C2B" w:rsidP="00660C2B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NOVENA. </w:t>
      </w:r>
      <w:r w:rsidRPr="00101866">
        <w:rPr>
          <w:rFonts w:ascii="Arial" w:hAnsi="Arial" w:cs="Arial"/>
          <w:b/>
          <w:sz w:val="22"/>
          <w:szCs w:val="24"/>
        </w:rPr>
        <w:t xml:space="preserve">PERIODO DE </w:t>
      </w:r>
      <w:r>
        <w:rPr>
          <w:rFonts w:ascii="Arial" w:hAnsi="Arial" w:cs="Arial"/>
          <w:b/>
          <w:sz w:val="22"/>
          <w:szCs w:val="24"/>
        </w:rPr>
        <w:t>TRANSICIÓN</w:t>
      </w:r>
      <w:r w:rsidRPr="00101866">
        <w:rPr>
          <w:rFonts w:ascii="Arial" w:hAnsi="Arial" w:cs="Arial"/>
          <w:b/>
          <w:sz w:val="22"/>
          <w:szCs w:val="24"/>
        </w:rPr>
        <w:t xml:space="preserve">. </w:t>
      </w:r>
      <w:r w:rsidRPr="00025DF0">
        <w:rPr>
          <w:rFonts w:ascii="Arial" w:hAnsi="Arial" w:cs="Arial"/>
          <w:sz w:val="22"/>
          <w:szCs w:val="24"/>
        </w:rPr>
        <w:t>En atención a lo dispuesto en el artículo 14</w:t>
      </w:r>
      <w:r>
        <w:rPr>
          <w:rFonts w:ascii="Arial" w:hAnsi="Arial" w:cs="Arial"/>
          <w:sz w:val="22"/>
          <w:szCs w:val="24"/>
        </w:rPr>
        <w:t>°</w:t>
      </w:r>
      <w:r w:rsidRPr="00025DF0">
        <w:rPr>
          <w:rFonts w:ascii="Arial" w:hAnsi="Arial" w:cs="Arial"/>
          <w:sz w:val="22"/>
          <w:szCs w:val="24"/>
        </w:rPr>
        <w:t xml:space="preserve"> del Decreto 661 de 2018, </w:t>
      </w:r>
      <w:r w:rsidRPr="00501E11">
        <w:rPr>
          <w:rFonts w:ascii="Arial" w:hAnsi="Arial" w:cs="Arial"/>
          <w:sz w:val="22"/>
          <w:szCs w:val="24"/>
        </w:rPr>
        <w:t xml:space="preserve">las entidades vigiladas que deban cumplir con la actividad de asesoría </w:t>
      </w:r>
      <w:r>
        <w:rPr>
          <w:rFonts w:ascii="Arial" w:hAnsi="Arial" w:cs="Arial"/>
          <w:sz w:val="22"/>
          <w:szCs w:val="24"/>
        </w:rPr>
        <w:t>tendrán un (1) año desde</w:t>
      </w:r>
      <w:r w:rsidRPr="00AD77A0">
        <w:rPr>
          <w:rFonts w:ascii="Arial" w:hAnsi="Arial" w:cs="Arial"/>
          <w:sz w:val="22"/>
          <w:szCs w:val="24"/>
        </w:rPr>
        <w:t xml:space="preserve"> la expedición de la presente Circul</w:t>
      </w:r>
      <w:r w:rsidRPr="00786481">
        <w:rPr>
          <w:rFonts w:ascii="Arial" w:hAnsi="Arial" w:cs="Arial"/>
          <w:sz w:val="22"/>
          <w:szCs w:val="24"/>
        </w:rPr>
        <w:t>ar</w:t>
      </w:r>
      <w:r>
        <w:rPr>
          <w:rFonts w:ascii="Arial" w:hAnsi="Arial" w:cs="Arial"/>
          <w:sz w:val="22"/>
          <w:szCs w:val="24"/>
        </w:rPr>
        <w:t xml:space="preserve"> para ajustarse a </w:t>
      </w:r>
      <w:r w:rsidRPr="00501E11">
        <w:rPr>
          <w:rFonts w:ascii="Arial" w:hAnsi="Arial" w:cs="Arial"/>
          <w:sz w:val="22"/>
          <w:szCs w:val="24"/>
        </w:rPr>
        <w:t>la totalidad de las instrucciones relacionadas con esta actividad</w:t>
      </w:r>
      <w:r>
        <w:rPr>
          <w:rFonts w:ascii="Arial" w:hAnsi="Arial" w:cs="Arial"/>
          <w:sz w:val="22"/>
          <w:szCs w:val="24"/>
        </w:rPr>
        <w:t>.</w:t>
      </w:r>
    </w:p>
    <w:p w14:paraId="7C755779" w14:textId="77777777" w:rsidR="00660C2B" w:rsidRDefault="00660C2B" w:rsidP="00660C2B">
      <w:pPr>
        <w:jc w:val="both"/>
        <w:rPr>
          <w:rFonts w:ascii="Arial" w:hAnsi="Arial" w:cs="Arial"/>
          <w:b/>
          <w:sz w:val="22"/>
          <w:szCs w:val="24"/>
        </w:rPr>
      </w:pPr>
    </w:p>
    <w:p w14:paraId="3CA9ACAD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DÉCIMA</w:t>
      </w:r>
      <w:r w:rsidRPr="00B16FD1">
        <w:rPr>
          <w:rFonts w:ascii="Arial" w:hAnsi="Arial" w:cs="Arial"/>
          <w:b/>
          <w:sz w:val="22"/>
          <w:szCs w:val="24"/>
        </w:rPr>
        <w:t xml:space="preserve">. </w:t>
      </w:r>
      <w:r w:rsidRPr="00D70BA8">
        <w:rPr>
          <w:rFonts w:ascii="Arial" w:hAnsi="Arial" w:cs="Arial"/>
          <w:sz w:val="22"/>
          <w:szCs w:val="24"/>
        </w:rPr>
        <w:t>La presente Circular rige a partir de su</w:t>
      </w:r>
      <w:r>
        <w:rPr>
          <w:rFonts w:ascii="Arial" w:hAnsi="Arial" w:cs="Arial"/>
          <w:sz w:val="22"/>
          <w:szCs w:val="24"/>
        </w:rPr>
        <w:t xml:space="preserve"> expedición.</w:t>
      </w:r>
    </w:p>
    <w:p w14:paraId="54523C18" w14:textId="77777777" w:rsidR="00660C2B" w:rsidRDefault="00660C2B" w:rsidP="00660C2B">
      <w:pPr>
        <w:jc w:val="both"/>
        <w:rPr>
          <w:rFonts w:ascii="Arial" w:hAnsi="Arial" w:cs="Arial"/>
          <w:sz w:val="22"/>
          <w:szCs w:val="24"/>
        </w:rPr>
      </w:pPr>
    </w:p>
    <w:p w14:paraId="71D836FD" w14:textId="77777777" w:rsidR="00660C2B" w:rsidRPr="00B16FD1" w:rsidRDefault="00660C2B" w:rsidP="00660C2B">
      <w:pPr>
        <w:jc w:val="both"/>
        <w:rPr>
          <w:i/>
          <w:iCs/>
          <w:sz w:val="18"/>
          <w:szCs w:val="24"/>
        </w:rPr>
      </w:pPr>
    </w:p>
    <w:p w14:paraId="0EC272B0" w14:textId="77777777" w:rsidR="00660C2B" w:rsidRPr="00B16FD1" w:rsidRDefault="00660C2B" w:rsidP="00660C2B">
      <w:pPr>
        <w:tabs>
          <w:tab w:val="left" w:pos="6960"/>
        </w:tabs>
        <w:jc w:val="both"/>
        <w:rPr>
          <w:rFonts w:ascii="Arial" w:hAnsi="Arial" w:cs="Arial"/>
          <w:sz w:val="22"/>
          <w:szCs w:val="24"/>
        </w:rPr>
      </w:pPr>
      <w:r w:rsidRPr="00B16FD1">
        <w:rPr>
          <w:rFonts w:ascii="Arial" w:hAnsi="Arial" w:cs="Arial"/>
          <w:sz w:val="22"/>
          <w:szCs w:val="24"/>
        </w:rPr>
        <w:t>Se anexan las páginas objeto de modificación.</w:t>
      </w:r>
    </w:p>
    <w:p w14:paraId="54B67745" w14:textId="77777777" w:rsidR="00660C2B" w:rsidRPr="00B16FD1" w:rsidRDefault="00660C2B" w:rsidP="00660C2B">
      <w:pPr>
        <w:tabs>
          <w:tab w:val="left" w:pos="6960"/>
        </w:tabs>
        <w:jc w:val="both"/>
        <w:rPr>
          <w:rFonts w:ascii="Arial" w:hAnsi="Arial" w:cs="Arial"/>
          <w:sz w:val="18"/>
          <w:szCs w:val="24"/>
        </w:rPr>
      </w:pPr>
    </w:p>
    <w:p w14:paraId="770A67C8" w14:textId="77777777" w:rsidR="00660C2B" w:rsidRPr="00B16FD1" w:rsidRDefault="00660C2B" w:rsidP="00660C2B">
      <w:pPr>
        <w:widowControl w:val="0"/>
        <w:adjustRightInd w:val="0"/>
        <w:jc w:val="both"/>
        <w:rPr>
          <w:rFonts w:ascii="Arial" w:hAnsi="Arial" w:cs="Arial"/>
          <w:sz w:val="22"/>
          <w:szCs w:val="24"/>
        </w:rPr>
      </w:pPr>
      <w:r w:rsidRPr="00B16FD1">
        <w:rPr>
          <w:rFonts w:ascii="Arial" w:hAnsi="Arial" w:cs="Arial"/>
          <w:sz w:val="22"/>
          <w:szCs w:val="24"/>
        </w:rPr>
        <w:t>Cordialmente,</w:t>
      </w:r>
    </w:p>
    <w:p w14:paraId="653C5C10" w14:textId="77777777" w:rsidR="00660C2B" w:rsidRPr="001C1315" w:rsidRDefault="00660C2B" w:rsidP="00660C2B">
      <w:pPr>
        <w:widowControl w:val="0"/>
        <w:adjustRightInd w:val="0"/>
        <w:jc w:val="both"/>
        <w:rPr>
          <w:rFonts w:ascii="Arial" w:hAnsi="Arial" w:cs="Arial"/>
          <w:szCs w:val="24"/>
        </w:rPr>
      </w:pPr>
    </w:p>
    <w:p w14:paraId="57A4CE1E" w14:textId="77777777" w:rsidR="00660C2B" w:rsidRDefault="00660C2B" w:rsidP="00660C2B">
      <w:pPr>
        <w:widowControl w:val="0"/>
        <w:adjustRightInd w:val="0"/>
        <w:jc w:val="both"/>
        <w:rPr>
          <w:rFonts w:ascii="Arial" w:hAnsi="Arial" w:cs="Arial"/>
          <w:szCs w:val="24"/>
        </w:rPr>
      </w:pPr>
    </w:p>
    <w:p w14:paraId="68843BD9" w14:textId="77777777" w:rsidR="00660C2B" w:rsidRPr="001C1315" w:rsidRDefault="00660C2B" w:rsidP="00660C2B">
      <w:pPr>
        <w:widowControl w:val="0"/>
        <w:adjustRightInd w:val="0"/>
        <w:jc w:val="both"/>
        <w:rPr>
          <w:rFonts w:ascii="Arial" w:hAnsi="Arial" w:cs="Arial"/>
          <w:szCs w:val="24"/>
        </w:rPr>
      </w:pPr>
    </w:p>
    <w:p w14:paraId="33F8E3B3" w14:textId="77777777" w:rsidR="00660C2B" w:rsidRPr="001C1315" w:rsidRDefault="00660C2B" w:rsidP="00660C2B">
      <w:pPr>
        <w:widowControl w:val="0"/>
        <w:adjustRightInd w:val="0"/>
        <w:jc w:val="both"/>
        <w:rPr>
          <w:rFonts w:ascii="Arial" w:hAnsi="Arial" w:cs="Arial"/>
          <w:szCs w:val="24"/>
        </w:rPr>
      </w:pPr>
    </w:p>
    <w:p w14:paraId="6E442B22" w14:textId="77777777" w:rsidR="00660C2B" w:rsidRPr="00B16FD1" w:rsidRDefault="00660C2B" w:rsidP="00660C2B">
      <w:pPr>
        <w:jc w:val="both"/>
        <w:rPr>
          <w:rFonts w:ascii="Arial" w:hAnsi="Arial" w:cs="Arial"/>
          <w:b/>
          <w:sz w:val="22"/>
          <w:szCs w:val="24"/>
          <w:lang w:val="es-CO"/>
        </w:rPr>
      </w:pPr>
      <w:r w:rsidRPr="00B16FD1">
        <w:rPr>
          <w:rFonts w:ascii="Arial" w:hAnsi="Arial" w:cs="Arial"/>
          <w:b/>
          <w:sz w:val="22"/>
          <w:szCs w:val="24"/>
          <w:lang w:val="es-CO"/>
        </w:rPr>
        <w:t>JORGE CASTAÑO GUTIÉRREZ</w:t>
      </w:r>
    </w:p>
    <w:p w14:paraId="4837A0C7" w14:textId="77777777" w:rsidR="00660C2B" w:rsidRPr="00B16FD1" w:rsidRDefault="00660C2B" w:rsidP="00660C2B">
      <w:pPr>
        <w:jc w:val="both"/>
        <w:rPr>
          <w:rFonts w:ascii="Arial" w:hAnsi="Arial" w:cs="Arial"/>
          <w:sz w:val="22"/>
          <w:szCs w:val="24"/>
          <w:lang w:val="es-CO"/>
        </w:rPr>
      </w:pPr>
      <w:r w:rsidRPr="00B16FD1">
        <w:rPr>
          <w:rFonts w:ascii="Arial" w:hAnsi="Arial" w:cs="Arial"/>
          <w:sz w:val="22"/>
          <w:szCs w:val="24"/>
          <w:lang w:val="es-CO"/>
        </w:rPr>
        <w:t xml:space="preserve">Superintendente Financiero de Colombia </w:t>
      </w:r>
    </w:p>
    <w:p w14:paraId="191FBBA7" w14:textId="77777777" w:rsidR="00660C2B" w:rsidRPr="005A1D6C" w:rsidRDefault="00660C2B" w:rsidP="00660C2B">
      <w:pPr>
        <w:jc w:val="both"/>
        <w:rPr>
          <w:rFonts w:ascii="Arial" w:hAnsi="Arial" w:cs="Arial"/>
          <w:szCs w:val="24"/>
          <w:lang w:val="es-CO"/>
        </w:rPr>
      </w:pPr>
      <w:r w:rsidRPr="005A1D6C">
        <w:rPr>
          <w:rFonts w:ascii="Arial" w:hAnsi="Arial" w:cs="Arial"/>
          <w:szCs w:val="24"/>
          <w:lang w:val="es-CO"/>
        </w:rPr>
        <w:t>50000</w:t>
      </w:r>
    </w:p>
    <w:p w14:paraId="44E871BC" w14:textId="79D50007" w:rsidR="00B51F39" w:rsidRPr="00022F23" w:rsidRDefault="00B51F39" w:rsidP="00660C2B">
      <w:pPr>
        <w:jc w:val="center"/>
        <w:rPr>
          <w:rFonts w:ascii="Arial" w:hAnsi="Arial" w:cs="Arial"/>
          <w:sz w:val="22"/>
          <w:szCs w:val="24"/>
          <w:lang w:val="es-CO"/>
        </w:rPr>
      </w:pPr>
    </w:p>
    <w:sectPr w:rsidR="00B51F39" w:rsidRPr="00022F23" w:rsidSect="00EF1775">
      <w:headerReference w:type="default" r:id="rId11"/>
      <w:footerReference w:type="default" r:id="rId12"/>
      <w:headerReference w:type="first" r:id="rId13"/>
      <w:footerReference w:type="first" r:id="rId14"/>
      <w:pgSz w:w="12242" w:h="18722" w:code="14"/>
      <w:pgMar w:top="1800" w:right="1701" w:bottom="1701" w:left="2268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CFEF" w14:textId="77777777" w:rsidR="00004D2B" w:rsidRDefault="00004D2B">
      <w:r>
        <w:separator/>
      </w:r>
    </w:p>
  </w:endnote>
  <w:endnote w:type="continuationSeparator" w:id="0">
    <w:p w14:paraId="2C043A7F" w14:textId="77777777" w:rsidR="00004D2B" w:rsidRDefault="00004D2B">
      <w:r>
        <w:continuationSeparator/>
      </w:r>
    </w:p>
  </w:endnote>
  <w:endnote w:type="continuationNotice" w:id="1">
    <w:p w14:paraId="21E3D6F0" w14:textId="77777777" w:rsidR="00004D2B" w:rsidRDefault="00004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DBDC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69D0D3C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2BA226A1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5B28" w14:textId="77777777" w:rsidR="00004D2B" w:rsidRDefault="00004D2B">
      <w:r>
        <w:separator/>
      </w:r>
    </w:p>
  </w:footnote>
  <w:footnote w:type="continuationSeparator" w:id="0">
    <w:p w14:paraId="52B8EDB0" w14:textId="77777777" w:rsidR="00004D2B" w:rsidRDefault="00004D2B">
      <w:r>
        <w:continuationSeparator/>
      </w:r>
    </w:p>
  </w:footnote>
  <w:footnote w:type="continuationNotice" w:id="1">
    <w:p w14:paraId="1B80C623" w14:textId="77777777" w:rsidR="00004D2B" w:rsidRDefault="00004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A78D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463F29E8" w14:textId="77777777" w:rsidR="00564B20" w:rsidRDefault="00564B20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178D78F1" w14:textId="756D3D93" w:rsidR="000414B7" w:rsidRDefault="000414B7" w:rsidP="000414B7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</w:p>
  <w:p w14:paraId="3B7B4B86" w14:textId="77777777" w:rsidR="00564B20" w:rsidRPr="000414B7" w:rsidRDefault="00564B20">
    <w:pPr>
      <w:pStyle w:val="Encabezado"/>
      <w:jc w:val="both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0"/>
      <w:gridCol w:w="4399"/>
      <w:gridCol w:w="2052"/>
    </w:tblGrid>
    <w:tr w:rsidR="00564B20" w14:paraId="3B57F441" w14:textId="77777777" w:rsidTr="67DAE626">
      <w:trPr>
        <w:cantSplit/>
        <w:trHeight w:val="850"/>
      </w:trPr>
      <w:tc>
        <w:tcPr>
          <w:tcW w:w="2055" w:type="dxa"/>
          <w:vMerge w:val="restart"/>
          <w:noWrap/>
          <w:vAlign w:val="bottom"/>
        </w:tcPr>
        <w:p w14:paraId="66204FF1" w14:textId="77777777" w:rsidR="00564B20" w:rsidRDefault="67DAE626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noProof/>
            </w:rPr>
            <w:drawing>
              <wp:inline distT="0" distB="0" distL="0" distR="0" wp14:anchorId="44171D4D" wp14:editId="342E29A6">
                <wp:extent cx="1238250" cy="666750"/>
                <wp:effectExtent l="0" t="0" r="0" b="0"/>
                <wp:docPr id="5" name="Imagen 2" descr="C:\Users\maariza\AppData\Local\Microsoft\Windows\INetCache\Content.Word\Logo Definitivo_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BF0D7D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6B62F1B3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02F2C34E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680A4E5D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</w:tc>
      <w:tc>
        <w:tcPr>
          <w:tcW w:w="4399" w:type="dxa"/>
          <w:shd w:val="clear" w:color="auto" w:fill="FFFFFF" w:themeFill="background1"/>
          <w:noWrap/>
          <w:vAlign w:val="center"/>
        </w:tcPr>
        <w:p w14:paraId="286C4139" w14:textId="77777777" w:rsidR="00564B20" w:rsidRDefault="00564B20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 w:themeFill="background1"/>
          <w:noWrap/>
          <w:vAlign w:val="center"/>
        </w:tcPr>
        <w:p w14:paraId="7F94DA32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64B20" w14:paraId="28E362ED" w14:textId="77777777" w:rsidTr="67DAE626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19219836" w14:textId="77777777" w:rsidR="00564B20" w:rsidRDefault="00564B20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08462A8F" w14:textId="77777777" w:rsidR="00564B20" w:rsidRDefault="00564B20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</w:t>
          </w:r>
          <w:r w:rsidR="002B6E99">
            <w:rPr>
              <w:rFonts w:cs="Arial"/>
            </w:rPr>
            <w:t xml:space="preserve"> NORMA</w:t>
          </w:r>
        </w:p>
      </w:tc>
      <w:tc>
        <w:tcPr>
          <w:tcW w:w="2052" w:type="dxa"/>
          <w:shd w:val="clear" w:color="auto" w:fill="FFFFFF" w:themeFill="background1"/>
          <w:noWrap/>
          <w:vAlign w:val="center"/>
        </w:tcPr>
        <w:p w14:paraId="2EC57B1D" w14:textId="7EADAECA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 xml:space="preserve">Versión </w:t>
          </w:r>
          <w:r w:rsidR="009761C2">
            <w:rPr>
              <w:rFonts w:ascii="Arial" w:hAnsi="Arial" w:cs="Arial"/>
              <w:bCs/>
            </w:rPr>
            <w:t>4</w:t>
          </w:r>
        </w:p>
      </w:tc>
    </w:tr>
  </w:tbl>
  <w:p w14:paraId="296FEF7D" w14:textId="77777777" w:rsidR="00564B20" w:rsidRDefault="00564B20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hybridMultilevel"/>
    <w:tmpl w:val="EDF2FD7A"/>
    <w:lvl w:ilvl="0" w:tplc="F5BCAF84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C9C2BDFA">
      <w:numFmt w:val="decimal"/>
      <w:lvlText w:val=""/>
      <w:lvlJc w:val="left"/>
    </w:lvl>
    <w:lvl w:ilvl="2" w:tplc="94168E92">
      <w:numFmt w:val="decimal"/>
      <w:lvlText w:val=""/>
      <w:lvlJc w:val="left"/>
    </w:lvl>
    <w:lvl w:ilvl="3" w:tplc="F8E87058">
      <w:numFmt w:val="decimal"/>
      <w:lvlText w:val=""/>
      <w:lvlJc w:val="left"/>
    </w:lvl>
    <w:lvl w:ilvl="4" w:tplc="7988D5CA">
      <w:numFmt w:val="decimal"/>
      <w:lvlText w:val=""/>
      <w:lvlJc w:val="left"/>
    </w:lvl>
    <w:lvl w:ilvl="5" w:tplc="4196A414">
      <w:numFmt w:val="decimal"/>
      <w:lvlText w:val=""/>
      <w:lvlJc w:val="left"/>
    </w:lvl>
    <w:lvl w:ilvl="6" w:tplc="2E085EB2">
      <w:numFmt w:val="decimal"/>
      <w:lvlText w:val=""/>
      <w:lvlJc w:val="left"/>
    </w:lvl>
    <w:lvl w:ilvl="7" w:tplc="3738A8EE">
      <w:numFmt w:val="decimal"/>
      <w:lvlText w:val=""/>
      <w:lvlJc w:val="left"/>
    </w:lvl>
    <w:lvl w:ilvl="8" w:tplc="37AE8D3E">
      <w:numFmt w:val="decimal"/>
      <w:lvlText w:val=""/>
      <w:lvlJc w:val="left"/>
    </w:lvl>
  </w:abstractNum>
  <w:abstractNum w:abstractNumId="2" w15:restartNumberingAfterBreak="0">
    <w:nsid w:val="FFFFFF83"/>
    <w:multiLevelType w:val="hybridMultilevel"/>
    <w:tmpl w:val="2E8C2D0C"/>
    <w:lvl w:ilvl="0" w:tplc="2C44BB4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D54C2DA">
      <w:numFmt w:val="decimal"/>
      <w:lvlText w:val=""/>
      <w:lvlJc w:val="left"/>
    </w:lvl>
    <w:lvl w:ilvl="2" w:tplc="A1C81926">
      <w:numFmt w:val="decimal"/>
      <w:lvlText w:val=""/>
      <w:lvlJc w:val="left"/>
    </w:lvl>
    <w:lvl w:ilvl="3" w:tplc="2ABA8D0A">
      <w:numFmt w:val="decimal"/>
      <w:lvlText w:val=""/>
      <w:lvlJc w:val="left"/>
    </w:lvl>
    <w:lvl w:ilvl="4" w:tplc="1AD49AE8">
      <w:numFmt w:val="decimal"/>
      <w:lvlText w:val=""/>
      <w:lvlJc w:val="left"/>
    </w:lvl>
    <w:lvl w:ilvl="5" w:tplc="3482DCCE">
      <w:numFmt w:val="decimal"/>
      <w:lvlText w:val=""/>
      <w:lvlJc w:val="left"/>
    </w:lvl>
    <w:lvl w:ilvl="6" w:tplc="60261B84">
      <w:numFmt w:val="decimal"/>
      <w:lvlText w:val=""/>
      <w:lvlJc w:val="left"/>
    </w:lvl>
    <w:lvl w:ilvl="7" w:tplc="EBE44B56">
      <w:numFmt w:val="decimal"/>
      <w:lvlText w:val=""/>
      <w:lvlJc w:val="left"/>
    </w:lvl>
    <w:lvl w:ilvl="8" w:tplc="AC98DD9E">
      <w:numFmt w:val="decimal"/>
      <w:lvlText w:val=""/>
      <w:lvlJc w:val="left"/>
    </w:lvl>
  </w:abstractNum>
  <w:abstractNum w:abstractNumId="3" w15:restartNumberingAfterBreak="0">
    <w:nsid w:val="FFFFFF89"/>
    <w:multiLevelType w:val="hybridMultilevel"/>
    <w:tmpl w:val="D88E663A"/>
    <w:lvl w:ilvl="0" w:tplc="BA40C738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8AC808">
      <w:numFmt w:val="decimal"/>
      <w:lvlText w:val=""/>
      <w:lvlJc w:val="left"/>
    </w:lvl>
    <w:lvl w:ilvl="2" w:tplc="68588E0E">
      <w:numFmt w:val="decimal"/>
      <w:lvlText w:val=""/>
      <w:lvlJc w:val="left"/>
    </w:lvl>
    <w:lvl w:ilvl="3" w:tplc="19201FA0">
      <w:numFmt w:val="decimal"/>
      <w:lvlText w:val=""/>
      <w:lvlJc w:val="left"/>
    </w:lvl>
    <w:lvl w:ilvl="4" w:tplc="B6069674">
      <w:numFmt w:val="decimal"/>
      <w:lvlText w:val=""/>
      <w:lvlJc w:val="left"/>
    </w:lvl>
    <w:lvl w:ilvl="5" w:tplc="5BA0664C">
      <w:numFmt w:val="decimal"/>
      <w:lvlText w:val=""/>
      <w:lvlJc w:val="left"/>
    </w:lvl>
    <w:lvl w:ilvl="6" w:tplc="D17ADC3E">
      <w:numFmt w:val="decimal"/>
      <w:lvlText w:val=""/>
      <w:lvlJc w:val="left"/>
    </w:lvl>
    <w:lvl w:ilvl="7" w:tplc="BB8EB88C">
      <w:numFmt w:val="decimal"/>
      <w:lvlText w:val=""/>
      <w:lvlJc w:val="left"/>
    </w:lvl>
    <w:lvl w:ilvl="8" w:tplc="59903CF6">
      <w:numFmt w:val="decimal"/>
      <w:lvlText w:val=""/>
      <w:lvlJc w:val="left"/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hybridMultilevel"/>
    <w:tmpl w:val="8A0E9EF0"/>
    <w:lvl w:ilvl="0" w:tplc="8D56A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D08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A4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E8D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2A9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82D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7842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815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86F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42"/>
  </w:num>
  <w:num w:numId="3">
    <w:abstractNumId w:val="27"/>
  </w:num>
  <w:num w:numId="4">
    <w:abstractNumId w:val="2"/>
  </w:num>
  <w:num w:numId="5">
    <w:abstractNumId w:val="1"/>
  </w:num>
  <w:num w:numId="6">
    <w:abstractNumId w:val="0"/>
  </w:num>
  <w:num w:numId="7">
    <w:abstractNumId w:val="43"/>
  </w:num>
  <w:num w:numId="8">
    <w:abstractNumId w:val="12"/>
  </w:num>
  <w:num w:numId="9">
    <w:abstractNumId w:val="36"/>
  </w:num>
  <w:num w:numId="10">
    <w:abstractNumId w:val="14"/>
  </w:num>
  <w:num w:numId="11">
    <w:abstractNumId w:val="26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3"/>
  </w:num>
  <w:num w:numId="17">
    <w:abstractNumId w:val="8"/>
  </w:num>
  <w:num w:numId="18">
    <w:abstractNumId w:val="45"/>
  </w:num>
  <w:num w:numId="19">
    <w:abstractNumId w:val="38"/>
  </w:num>
  <w:num w:numId="20">
    <w:abstractNumId w:val="20"/>
  </w:num>
  <w:num w:numId="21">
    <w:abstractNumId w:val="15"/>
  </w:num>
  <w:num w:numId="22">
    <w:abstractNumId w:val="16"/>
  </w:num>
  <w:num w:numId="23">
    <w:abstractNumId w:val="7"/>
  </w:num>
  <w:num w:numId="24">
    <w:abstractNumId w:val="24"/>
  </w:num>
  <w:num w:numId="25">
    <w:abstractNumId w:val="37"/>
  </w:num>
  <w:num w:numId="26">
    <w:abstractNumId w:val="23"/>
  </w:num>
  <w:num w:numId="27">
    <w:abstractNumId w:val="44"/>
  </w:num>
  <w:num w:numId="28">
    <w:abstractNumId w:val="6"/>
  </w:num>
  <w:num w:numId="29">
    <w:abstractNumId w:val="21"/>
  </w:num>
  <w:num w:numId="30">
    <w:abstractNumId w:val="19"/>
  </w:num>
  <w:num w:numId="31">
    <w:abstractNumId w:val="39"/>
  </w:num>
  <w:num w:numId="32">
    <w:abstractNumId w:val="32"/>
  </w:num>
  <w:num w:numId="33">
    <w:abstractNumId w:val="4"/>
  </w:num>
  <w:num w:numId="34">
    <w:abstractNumId w:val="29"/>
  </w:num>
  <w:num w:numId="35">
    <w:abstractNumId w:val="9"/>
  </w:num>
  <w:num w:numId="36">
    <w:abstractNumId w:val="28"/>
  </w:num>
  <w:num w:numId="37">
    <w:abstractNumId w:val="34"/>
  </w:num>
  <w:num w:numId="38">
    <w:abstractNumId w:val="22"/>
  </w:num>
  <w:num w:numId="39">
    <w:abstractNumId w:val="31"/>
  </w:num>
  <w:num w:numId="40">
    <w:abstractNumId w:val="41"/>
  </w:num>
  <w:num w:numId="41">
    <w:abstractNumId w:val="17"/>
  </w:num>
  <w:num w:numId="42">
    <w:abstractNumId w:val="30"/>
  </w:num>
  <w:num w:numId="43">
    <w:abstractNumId w:val="3"/>
  </w:num>
  <w:num w:numId="44">
    <w:abstractNumId w:val="35"/>
  </w:num>
  <w:num w:numId="45">
    <w:abstractNumId w:val="4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4D2B"/>
    <w:rsid w:val="00022F23"/>
    <w:rsid w:val="0002794D"/>
    <w:rsid w:val="000414B7"/>
    <w:rsid w:val="00043B3D"/>
    <w:rsid w:val="00047316"/>
    <w:rsid w:val="000779CA"/>
    <w:rsid w:val="000A622D"/>
    <w:rsid w:val="000B5678"/>
    <w:rsid w:val="000D147B"/>
    <w:rsid w:val="000F6CB5"/>
    <w:rsid w:val="00100E75"/>
    <w:rsid w:val="00120DA4"/>
    <w:rsid w:val="001543F0"/>
    <w:rsid w:val="00184373"/>
    <w:rsid w:val="00190EE7"/>
    <w:rsid w:val="001C4E67"/>
    <w:rsid w:val="001D3081"/>
    <w:rsid w:val="001E112E"/>
    <w:rsid w:val="00224433"/>
    <w:rsid w:val="002446F6"/>
    <w:rsid w:val="002A3FA4"/>
    <w:rsid w:val="002B6E99"/>
    <w:rsid w:val="002F4A2A"/>
    <w:rsid w:val="00305E02"/>
    <w:rsid w:val="00313F2E"/>
    <w:rsid w:val="00316E05"/>
    <w:rsid w:val="0037411F"/>
    <w:rsid w:val="00374F5A"/>
    <w:rsid w:val="003760B7"/>
    <w:rsid w:val="003870A8"/>
    <w:rsid w:val="003918C3"/>
    <w:rsid w:val="003C1EDF"/>
    <w:rsid w:val="003D4522"/>
    <w:rsid w:val="003E3CC3"/>
    <w:rsid w:val="00404235"/>
    <w:rsid w:val="004043B0"/>
    <w:rsid w:val="0040661C"/>
    <w:rsid w:val="00410CAB"/>
    <w:rsid w:val="00414B14"/>
    <w:rsid w:val="004312D8"/>
    <w:rsid w:val="00451E47"/>
    <w:rsid w:val="004737AA"/>
    <w:rsid w:val="00475EF8"/>
    <w:rsid w:val="004B0EFB"/>
    <w:rsid w:val="004C2087"/>
    <w:rsid w:val="004D5BBF"/>
    <w:rsid w:val="004F111A"/>
    <w:rsid w:val="00500862"/>
    <w:rsid w:val="00502BE2"/>
    <w:rsid w:val="00513233"/>
    <w:rsid w:val="0052666F"/>
    <w:rsid w:val="005272FA"/>
    <w:rsid w:val="0052781B"/>
    <w:rsid w:val="00564B20"/>
    <w:rsid w:val="00581497"/>
    <w:rsid w:val="00592A99"/>
    <w:rsid w:val="005B19E7"/>
    <w:rsid w:val="005B22B4"/>
    <w:rsid w:val="005D51F0"/>
    <w:rsid w:val="00610908"/>
    <w:rsid w:val="00621A24"/>
    <w:rsid w:val="006440F1"/>
    <w:rsid w:val="0064423D"/>
    <w:rsid w:val="00655C9D"/>
    <w:rsid w:val="00660C2B"/>
    <w:rsid w:val="006611AD"/>
    <w:rsid w:val="00664B83"/>
    <w:rsid w:val="00672F08"/>
    <w:rsid w:val="006B29A5"/>
    <w:rsid w:val="006B56BB"/>
    <w:rsid w:val="006C2208"/>
    <w:rsid w:val="006D2615"/>
    <w:rsid w:val="006D42A3"/>
    <w:rsid w:val="006E5D34"/>
    <w:rsid w:val="006F70A6"/>
    <w:rsid w:val="007228D8"/>
    <w:rsid w:val="0075215C"/>
    <w:rsid w:val="00795656"/>
    <w:rsid w:val="007A55C7"/>
    <w:rsid w:val="007C0F8A"/>
    <w:rsid w:val="007E4209"/>
    <w:rsid w:val="007F77DE"/>
    <w:rsid w:val="008078CF"/>
    <w:rsid w:val="00813305"/>
    <w:rsid w:val="0081388E"/>
    <w:rsid w:val="00815E25"/>
    <w:rsid w:val="00824B7C"/>
    <w:rsid w:val="00836A72"/>
    <w:rsid w:val="0084010C"/>
    <w:rsid w:val="008443EF"/>
    <w:rsid w:val="008A0846"/>
    <w:rsid w:val="008A440B"/>
    <w:rsid w:val="008B697F"/>
    <w:rsid w:val="008C78C6"/>
    <w:rsid w:val="008D1DF6"/>
    <w:rsid w:val="008E4990"/>
    <w:rsid w:val="008F7C8D"/>
    <w:rsid w:val="00903F36"/>
    <w:rsid w:val="00944767"/>
    <w:rsid w:val="009761C2"/>
    <w:rsid w:val="009960BF"/>
    <w:rsid w:val="00997CB7"/>
    <w:rsid w:val="009A55F6"/>
    <w:rsid w:val="009B40EF"/>
    <w:rsid w:val="00A164B8"/>
    <w:rsid w:val="00A4745E"/>
    <w:rsid w:val="00A53326"/>
    <w:rsid w:val="00A57330"/>
    <w:rsid w:val="00A61CAF"/>
    <w:rsid w:val="00A84C1F"/>
    <w:rsid w:val="00A94DEA"/>
    <w:rsid w:val="00AB1C36"/>
    <w:rsid w:val="00AC0FDE"/>
    <w:rsid w:val="00AD797F"/>
    <w:rsid w:val="00AF4C81"/>
    <w:rsid w:val="00B05C8F"/>
    <w:rsid w:val="00B14D17"/>
    <w:rsid w:val="00B51F39"/>
    <w:rsid w:val="00B82326"/>
    <w:rsid w:val="00B95D61"/>
    <w:rsid w:val="00BA3E39"/>
    <w:rsid w:val="00BB3603"/>
    <w:rsid w:val="00BB37DA"/>
    <w:rsid w:val="00BC13D7"/>
    <w:rsid w:val="00BF1048"/>
    <w:rsid w:val="00C340E1"/>
    <w:rsid w:val="00C350E4"/>
    <w:rsid w:val="00C518CA"/>
    <w:rsid w:val="00C66797"/>
    <w:rsid w:val="00C7603C"/>
    <w:rsid w:val="00C8742D"/>
    <w:rsid w:val="00C96050"/>
    <w:rsid w:val="00CA3357"/>
    <w:rsid w:val="00CB6F8A"/>
    <w:rsid w:val="00CC4604"/>
    <w:rsid w:val="00CD1B4E"/>
    <w:rsid w:val="00CD33D4"/>
    <w:rsid w:val="00CF0C2B"/>
    <w:rsid w:val="00D071C4"/>
    <w:rsid w:val="00D42523"/>
    <w:rsid w:val="00D42D4C"/>
    <w:rsid w:val="00D46E0C"/>
    <w:rsid w:val="00DB71F8"/>
    <w:rsid w:val="00DB7B95"/>
    <w:rsid w:val="00DF3624"/>
    <w:rsid w:val="00E416CF"/>
    <w:rsid w:val="00E435E8"/>
    <w:rsid w:val="00E47C9B"/>
    <w:rsid w:val="00E530A0"/>
    <w:rsid w:val="00E66DC8"/>
    <w:rsid w:val="00E7083B"/>
    <w:rsid w:val="00E77E01"/>
    <w:rsid w:val="00E84444"/>
    <w:rsid w:val="00E8735F"/>
    <w:rsid w:val="00E91ADD"/>
    <w:rsid w:val="00E93C1D"/>
    <w:rsid w:val="00E979D9"/>
    <w:rsid w:val="00EA1049"/>
    <w:rsid w:val="00EA2FDC"/>
    <w:rsid w:val="00EB26B9"/>
    <w:rsid w:val="00EB4706"/>
    <w:rsid w:val="00EC6395"/>
    <w:rsid w:val="00ED37AC"/>
    <w:rsid w:val="00ED77A0"/>
    <w:rsid w:val="00EE3537"/>
    <w:rsid w:val="00EF1775"/>
    <w:rsid w:val="00F27EF6"/>
    <w:rsid w:val="00F32DEC"/>
    <w:rsid w:val="00F3352D"/>
    <w:rsid w:val="00F57E68"/>
    <w:rsid w:val="00F6044F"/>
    <w:rsid w:val="00F70A31"/>
    <w:rsid w:val="00F822C8"/>
    <w:rsid w:val="00F9082E"/>
    <w:rsid w:val="00F95A19"/>
    <w:rsid w:val="00F963D2"/>
    <w:rsid w:val="00FA0F28"/>
    <w:rsid w:val="00FB7DFB"/>
    <w:rsid w:val="00FC3F04"/>
    <w:rsid w:val="00FD7E44"/>
    <w:rsid w:val="14A72D36"/>
    <w:rsid w:val="28068FD7"/>
    <w:rsid w:val="3F51D01F"/>
    <w:rsid w:val="4613E112"/>
    <w:rsid w:val="47BBADF6"/>
    <w:rsid w:val="609F80BF"/>
    <w:rsid w:val="6348D0DD"/>
    <w:rsid w:val="64AAB221"/>
    <w:rsid w:val="667A4BBF"/>
    <w:rsid w:val="67DAE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B00404B"/>
  <w15:chartTrackingRefBased/>
  <w15:docId w15:val="{3E5C989C-C350-47F4-B4D4-C983651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BodyText20">
    <w:name w:val="Body Text 20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link w:val="Encabezado"/>
    <w:uiPriority w:val="99"/>
    <w:rsid w:val="00F95A19"/>
    <w:rPr>
      <w:lang w:val="es-ES_tradnl" w:eastAsia="es-ES"/>
    </w:rPr>
  </w:style>
  <w:style w:type="character" w:customStyle="1" w:styleId="PiedepginaCar">
    <w:name w:val="Pie de página Car"/>
    <w:link w:val="Piedepgina"/>
    <w:rsid w:val="00F95A19"/>
    <w:rPr>
      <w:lang w:val="es-ES_tradnl" w:eastAsia="es-ES"/>
    </w:rPr>
  </w:style>
  <w:style w:type="table" w:styleId="Tablaconcuadrcula">
    <w:name w:val="Table Grid"/>
    <w:basedOn w:val="Tablanormal"/>
    <w:rsid w:val="00F95A1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22F23"/>
  </w:style>
  <w:style w:type="character" w:styleId="Mencinsinresolver">
    <w:name w:val="Unresolved Mention"/>
    <w:basedOn w:val="Fuentedeprrafopredeter"/>
    <w:uiPriority w:val="99"/>
    <w:semiHidden/>
    <w:unhideWhenUsed/>
    <w:rsid w:val="005B22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B40EF"/>
    <w:pPr>
      <w:spacing w:before="100" w:beforeAutospacing="1" w:after="100" w:afterAutospacing="1"/>
    </w:pPr>
    <w:rPr>
      <w:sz w:val="24"/>
      <w:szCs w:val="24"/>
      <w:lang w:val="es-CO" w:eastAsia="es-ES_tradnl"/>
    </w:rPr>
  </w:style>
  <w:style w:type="character" w:styleId="Refdecomentario">
    <w:name w:val="annotation reference"/>
    <w:rsid w:val="00660C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normativa@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9D3F7F71F843963C03BA03E5231F" ma:contentTypeVersion="2" ma:contentTypeDescription="Create a new document." ma:contentTypeScope="" ma:versionID="ddbf0f1a36dcd266d994d48b07449a89">
  <xsd:schema xmlns:xsd="http://www.w3.org/2001/XMLSchema" xmlns:xs="http://www.w3.org/2001/XMLSchema" xmlns:p="http://schemas.microsoft.com/office/2006/metadata/properties" xmlns:ns2="b2ceadfd-915e-452a-89f7-57f78d473c05" targetNamespace="http://schemas.microsoft.com/office/2006/metadata/properties" ma:root="true" ma:fieldsID="e464227111b122801af2e5ede1d9ea98" ns2:_="">
    <xsd:import namespace="b2ceadfd-915e-452a-89f7-57f78d473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dfd-915e-452a-89f7-57f78d47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D41F0-FBF5-470D-BB61-01418EEFF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0461A-1CC6-44C2-B18C-619772B24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adfd-915e-452a-89f7-57f78d47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863A6-BA2D-4A4F-A428-6ED54E14E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4589</Characters>
  <Application>Microsoft Office Word</Application>
  <DocSecurity>0</DocSecurity>
  <Lines>38</Lines>
  <Paragraphs>10</Paragraphs>
  <ScaleCrop>false</ScaleCrop>
  <Company>superfinanciera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Oscar Andres Alvarez Torres</cp:lastModifiedBy>
  <cp:revision>2</cp:revision>
  <cp:lastPrinted>2016-09-26T20:13:00Z</cp:lastPrinted>
  <dcterms:created xsi:type="dcterms:W3CDTF">2021-07-26T16:35:00Z</dcterms:created>
  <dcterms:modified xsi:type="dcterms:W3CDTF">2021-07-26T16:35:00Z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0x0101006F079D3F7F71F843963C03BA03E5231F</vt:lpwstr>
  </property>
</Properties>
</file>