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0CD2" w14:textId="14B6CDE9" w:rsidR="00DE7DC5" w:rsidRPr="00CA5B75" w:rsidRDefault="00DE7DC5" w:rsidP="00DE7D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5B75">
        <w:rPr>
          <w:rFonts w:ascii="Arial" w:hAnsi="Arial" w:cs="Arial"/>
          <w:b/>
          <w:bCs/>
          <w:sz w:val="24"/>
          <w:szCs w:val="24"/>
        </w:rPr>
        <w:t>CIRCULAR EXTERNA</w:t>
      </w:r>
      <w:r w:rsidR="000C7042">
        <w:rPr>
          <w:rFonts w:ascii="Arial" w:hAnsi="Arial" w:cs="Arial"/>
          <w:b/>
          <w:bCs/>
          <w:sz w:val="24"/>
          <w:szCs w:val="24"/>
        </w:rPr>
        <w:t xml:space="preserve"> 023</w:t>
      </w:r>
      <w:r w:rsidRPr="00CA5B75">
        <w:rPr>
          <w:rFonts w:ascii="Arial" w:hAnsi="Arial" w:cs="Arial"/>
          <w:b/>
          <w:bCs/>
          <w:sz w:val="24"/>
          <w:szCs w:val="24"/>
        </w:rPr>
        <w:t xml:space="preserve"> DE 2021</w:t>
      </w:r>
    </w:p>
    <w:p w14:paraId="0A64D9E4" w14:textId="77777777" w:rsidR="00DE7DC5" w:rsidRPr="00CA5B75" w:rsidRDefault="00DE7DC5" w:rsidP="00DE7D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07AE35" w14:textId="004E9741" w:rsidR="00DE7DC5" w:rsidRPr="00CA5B75" w:rsidRDefault="00DE7DC5" w:rsidP="00DE7DC5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CA5B75">
        <w:rPr>
          <w:rFonts w:ascii="Arial" w:hAnsi="Arial" w:cs="Arial"/>
          <w:b/>
          <w:bCs/>
          <w:sz w:val="24"/>
          <w:szCs w:val="24"/>
        </w:rPr>
        <w:t xml:space="preserve">(  </w:t>
      </w:r>
      <w:r w:rsidR="000C7042">
        <w:rPr>
          <w:rFonts w:ascii="Arial" w:hAnsi="Arial" w:cs="Arial"/>
          <w:b/>
          <w:bCs/>
          <w:sz w:val="24"/>
          <w:szCs w:val="24"/>
        </w:rPr>
        <w:t>Octubre</w:t>
      </w:r>
      <w:proofErr w:type="gramEnd"/>
      <w:r w:rsidR="000C7042">
        <w:rPr>
          <w:rFonts w:ascii="Arial" w:hAnsi="Arial" w:cs="Arial"/>
          <w:b/>
          <w:bCs/>
          <w:sz w:val="24"/>
          <w:szCs w:val="24"/>
        </w:rPr>
        <w:t xml:space="preserve"> 21</w:t>
      </w:r>
      <w:r w:rsidRPr="00CA5B75">
        <w:rPr>
          <w:rFonts w:ascii="Arial" w:hAnsi="Arial" w:cs="Arial"/>
          <w:b/>
          <w:bCs/>
          <w:sz w:val="24"/>
          <w:szCs w:val="24"/>
        </w:rPr>
        <w:t xml:space="preserve">  )</w:t>
      </w:r>
    </w:p>
    <w:p w14:paraId="287D2C68" w14:textId="77777777" w:rsidR="00FC040D" w:rsidRPr="00CA5B75" w:rsidRDefault="00FC040D" w:rsidP="00DE7DC5">
      <w:pPr>
        <w:pStyle w:val="Encabezado"/>
        <w:tabs>
          <w:tab w:val="clear" w:pos="4419"/>
          <w:tab w:val="clear" w:pos="8838"/>
          <w:tab w:val="left" w:pos="549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D6D5E69" w14:textId="132DBEF5" w:rsidR="00DE7DC5" w:rsidRPr="00CA5B75" w:rsidRDefault="00DE7DC5" w:rsidP="004D297F">
      <w:pPr>
        <w:pStyle w:val="Encabezado"/>
        <w:tabs>
          <w:tab w:val="clear" w:pos="4419"/>
          <w:tab w:val="clear" w:pos="8838"/>
          <w:tab w:val="left" w:pos="54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CA5B75">
        <w:rPr>
          <w:rFonts w:ascii="Arial" w:hAnsi="Arial" w:cs="Arial"/>
          <w:b/>
          <w:sz w:val="24"/>
          <w:szCs w:val="24"/>
          <w:lang w:eastAsia="x-none"/>
        </w:rPr>
        <w:t>Señores</w:t>
      </w:r>
    </w:p>
    <w:p w14:paraId="5346CF79" w14:textId="3B16FF4E" w:rsidR="001F525F" w:rsidRDefault="00DE7DC5" w:rsidP="001F525F">
      <w:pPr>
        <w:ind w:right="51"/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sz w:val="24"/>
          <w:szCs w:val="24"/>
        </w:rPr>
        <w:t>REPRESENTANTES LEGALES, REVISORES FISCALES Y DEFENSORES DEL CONSUMIDOR FINANCIERO DE LAS ENTIDADES VIGILADAS</w:t>
      </w:r>
      <w:r w:rsidR="001F525F">
        <w:rPr>
          <w:rFonts w:ascii="Arial" w:hAnsi="Arial" w:cs="Arial"/>
          <w:sz w:val="24"/>
          <w:szCs w:val="24"/>
        </w:rPr>
        <w:t xml:space="preserve"> Y </w:t>
      </w:r>
      <w:r w:rsidR="001F525F" w:rsidRPr="000C3889">
        <w:rPr>
          <w:rFonts w:ascii="Arial" w:hAnsi="Arial" w:cs="Arial"/>
          <w:sz w:val="24"/>
          <w:szCs w:val="24"/>
        </w:rPr>
        <w:t>OPERADORES DE INFORMACIÓN DE LA PLANILLA INTEGRADA DE LIQUIDACIÓN DE APORTES -PILA-.</w:t>
      </w:r>
    </w:p>
    <w:p w14:paraId="3E4AE078" w14:textId="77777777" w:rsidR="00DE7DC5" w:rsidRPr="00CA5B75" w:rsidRDefault="00DE7DC5" w:rsidP="00DE7DC5">
      <w:pPr>
        <w:jc w:val="both"/>
        <w:rPr>
          <w:rFonts w:ascii="Arial" w:hAnsi="Arial" w:cs="Arial"/>
          <w:b/>
          <w:sz w:val="24"/>
          <w:szCs w:val="24"/>
        </w:rPr>
      </w:pPr>
    </w:p>
    <w:p w14:paraId="59923090" w14:textId="6BC020F4" w:rsidR="00DE7DC5" w:rsidRPr="00CA5B75" w:rsidRDefault="00DE7DC5" w:rsidP="00DE7DC5">
      <w:pPr>
        <w:jc w:val="both"/>
        <w:rPr>
          <w:rFonts w:ascii="Arial" w:hAnsi="Arial" w:cs="Arial"/>
          <w:b/>
          <w:sz w:val="24"/>
          <w:szCs w:val="24"/>
        </w:rPr>
      </w:pPr>
      <w:r w:rsidRPr="00CA5B75">
        <w:rPr>
          <w:rFonts w:ascii="Arial" w:hAnsi="Arial" w:cs="Arial"/>
          <w:b/>
          <w:sz w:val="24"/>
          <w:szCs w:val="24"/>
        </w:rPr>
        <w:t xml:space="preserve">Referencia: Instrucciones relacionadas con la implementación del </w:t>
      </w:r>
      <w:r w:rsidR="00AF4C61" w:rsidRPr="00AF4C61">
        <w:rPr>
          <w:rFonts w:ascii="Arial" w:hAnsi="Arial" w:cs="Arial"/>
          <w:b/>
          <w:bCs/>
          <w:sz w:val="24"/>
          <w:szCs w:val="24"/>
        </w:rPr>
        <w:t>desarrollo tecnológico</w:t>
      </w:r>
      <w:r w:rsidRPr="00CA5B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B75">
        <w:rPr>
          <w:rFonts w:ascii="Arial" w:hAnsi="Arial" w:cs="Arial"/>
          <w:b/>
          <w:sz w:val="24"/>
          <w:szCs w:val="24"/>
        </w:rPr>
        <w:t>Smartsupervision</w:t>
      </w:r>
      <w:proofErr w:type="spellEnd"/>
      <w:r w:rsidRPr="00CA5B75">
        <w:rPr>
          <w:rFonts w:ascii="Arial" w:hAnsi="Arial" w:cs="Arial"/>
          <w:b/>
          <w:sz w:val="24"/>
          <w:szCs w:val="24"/>
        </w:rPr>
        <w:t xml:space="preserve"> y el Sistema de Atención al Consumidor Financiero (SAC) </w:t>
      </w:r>
    </w:p>
    <w:p w14:paraId="585DDD67" w14:textId="651D6480" w:rsidR="00DE7DC5" w:rsidRPr="00CA5B75" w:rsidRDefault="00DE7DC5" w:rsidP="00DE7DC5">
      <w:pPr>
        <w:jc w:val="both"/>
        <w:rPr>
          <w:rFonts w:ascii="Arial" w:hAnsi="Arial" w:cs="Arial"/>
          <w:b/>
          <w:sz w:val="24"/>
          <w:szCs w:val="24"/>
        </w:rPr>
      </w:pPr>
    </w:p>
    <w:p w14:paraId="24039123" w14:textId="77777777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sz w:val="24"/>
          <w:szCs w:val="24"/>
        </w:rPr>
        <w:t>Apreciados señores:</w:t>
      </w:r>
    </w:p>
    <w:p w14:paraId="37E3A197" w14:textId="77777777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</w:p>
    <w:p w14:paraId="32BAE856" w14:textId="0A20E61B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sz w:val="24"/>
          <w:szCs w:val="24"/>
        </w:rPr>
        <w:t>La Ley 1328 de 2009 defin</w:t>
      </w:r>
      <w:r w:rsidR="00010263" w:rsidRPr="00CA5B75">
        <w:rPr>
          <w:rFonts w:ascii="Arial" w:hAnsi="Arial" w:cs="Arial"/>
          <w:sz w:val="24"/>
          <w:szCs w:val="24"/>
        </w:rPr>
        <w:t>e</w:t>
      </w:r>
      <w:r w:rsidRPr="00CA5B75">
        <w:rPr>
          <w:rFonts w:ascii="Arial" w:hAnsi="Arial" w:cs="Arial"/>
          <w:sz w:val="24"/>
          <w:szCs w:val="24"/>
        </w:rPr>
        <w:t xml:space="preserve"> el marco normativo que rige “</w:t>
      </w:r>
      <w:r w:rsidRPr="00CA5B75">
        <w:rPr>
          <w:rFonts w:ascii="Arial" w:hAnsi="Arial" w:cs="Arial"/>
          <w:i/>
          <w:iCs/>
          <w:sz w:val="24"/>
          <w:szCs w:val="24"/>
        </w:rPr>
        <w:t>la protección de los consumidores financieros en las relaciones entre estos y las entidades vigiladas por la Superintendencia Financiera de Colombia”</w:t>
      </w:r>
      <w:r w:rsidRPr="00CA5B75">
        <w:rPr>
          <w:rFonts w:ascii="Arial" w:hAnsi="Arial" w:cs="Arial"/>
          <w:sz w:val="24"/>
          <w:szCs w:val="24"/>
        </w:rPr>
        <w:t xml:space="preserve">. </w:t>
      </w:r>
      <w:r w:rsidR="00010263" w:rsidRPr="00CA5B75">
        <w:rPr>
          <w:rFonts w:ascii="Arial" w:hAnsi="Arial" w:cs="Arial"/>
          <w:sz w:val="24"/>
          <w:szCs w:val="24"/>
        </w:rPr>
        <w:t>Así mismo, c</w:t>
      </w:r>
      <w:r w:rsidRPr="00CA5B75">
        <w:rPr>
          <w:rFonts w:ascii="Arial" w:hAnsi="Arial" w:cs="Arial"/>
          <w:sz w:val="24"/>
          <w:szCs w:val="24"/>
        </w:rPr>
        <w:t>onsagr</w:t>
      </w:r>
      <w:r w:rsidR="00010263" w:rsidRPr="00CA5B75">
        <w:rPr>
          <w:rFonts w:ascii="Arial" w:hAnsi="Arial" w:cs="Arial"/>
          <w:sz w:val="24"/>
          <w:szCs w:val="24"/>
        </w:rPr>
        <w:t>a</w:t>
      </w:r>
      <w:r w:rsidRPr="00CA5B75">
        <w:rPr>
          <w:rFonts w:ascii="Arial" w:hAnsi="Arial" w:cs="Arial"/>
          <w:sz w:val="24"/>
          <w:szCs w:val="24"/>
        </w:rPr>
        <w:t xml:space="preserve"> </w:t>
      </w:r>
      <w:r w:rsidR="00010263" w:rsidRPr="00CA5B75">
        <w:rPr>
          <w:rFonts w:ascii="Arial" w:hAnsi="Arial" w:cs="Arial"/>
          <w:sz w:val="24"/>
          <w:szCs w:val="24"/>
        </w:rPr>
        <w:t xml:space="preserve">los </w:t>
      </w:r>
      <w:r w:rsidRPr="00CA5B75">
        <w:rPr>
          <w:rFonts w:ascii="Arial" w:hAnsi="Arial" w:cs="Arial"/>
          <w:sz w:val="24"/>
          <w:szCs w:val="24"/>
        </w:rPr>
        <w:t>principios, reglas, obligaciones, medidas e instrumentos para su efectiva implementación y facult</w:t>
      </w:r>
      <w:r w:rsidR="00010263" w:rsidRPr="00CA5B75">
        <w:rPr>
          <w:rFonts w:ascii="Arial" w:hAnsi="Arial" w:cs="Arial"/>
          <w:sz w:val="24"/>
          <w:szCs w:val="24"/>
        </w:rPr>
        <w:t>a</w:t>
      </w:r>
      <w:r w:rsidRPr="00CA5B75">
        <w:rPr>
          <w:rFonts w:ascii="Arial" w:hAnsi="Arial" w:cs="Arial"/>
          <w:sz w:val="24"/>
          <w:szCs w:val="24"/>
        </w:rPr>
        <w:t xml:space="preserve"> a </w:t>
      </w:r>
      <w:r w:rsidR="00E14CAC">
        <w:rPr>
          <w:rFonts w:ascii="Arial" w:hAnsi="Arial" w:cs="Arial"/>
          <w:sz w:val="24"/>
          <w:szCs w:val="24"/>
        </w:rPr>
        <w:t xml:space="preserve">esta Entidad </w:t>
      </w:r>
      <w:r w:rsidRPr="00CA5B75">
        <w:rPr>
          <w:rFonts w:ascii="Arial" w:hAnsi="Arial" w:cs="Arial"/>
          <w:sz w:val="24"/>
          <w:szCs w:val="24"/>
        </w:rPr>
        <w:t xml:space="preserve">para impartir las instrucciones necesarias para el adecuado funcionamiento del Sistema de Atención al Consumidor (SAC). </w:t>
      </w:r>
    </w:p>
    <w:p w14:paraId="476FF3D9" w14:textId="77777777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</w:p>
    <w:p w14:paraId="2CEAA60C" w14:textId="74AED225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sz w:val="24"/>
          <w:szCs w:val="24"/>
        </w:rPr>
        <w:t>Por su parte, el artículo 11.2.1.4.10 del Decreto 2555 de 2010 dispone que la Superintendencia Financiera de Colombia supervisa el cumplimiento de las normas sobre protección al consumidor financiero</w:t>
      </w:r>
      <w:r w:rsidR="004772A8" w:rsidRPr="00CA5B75">
        <w:rPr>
          <w:rFonts w:ascii="Arial" w:hAnsi="Arial" w:cs="Arial"/>
          <w:sz w:val="24"/>
          <w:szCs w:val="24"/>
        </w:rPr>
        <w:t xml:space="preserve"> por parte de las entidades vigiladas </w:t>
      </w:r>
      <w:r w:rsidRPr="00CA5B75">
        <w:rPr>
          <w:rFonts w:ascii="Arial" w:hAnsi="Arial" w:cs="Arial"/>
          <w:sz w:val="24"/>
          <w:szCs w:val="24"/>
        </w:rPr>
        <w:t>con el fin de identificar conductas que vulneren sus derechos, así como la implementación del SAC y el trámite de las quejas</w:t>
      </w:r>
      <w:r w:rsidR="006811DF">
        <w:rPr>
          <w:rFonts w:ascii="Arial" w:hAnsi="Arial" w:cs="Arial"/>
          <w:sz w:val="24"/>
          <w:szCs w:val="24"/>
        </w:rPr>
        <w:t xml:space="preserve"> o reclamaciones </w:t>
      </w:r>
      <w:r w:rsidRPr="00CA5B75">
        <w:rPr>
          <w:rFonts w:ascii="Arial" w:hAnsi="Arial" w:cs="Arial"/>
          <w:sz w:val="24"/>
          <w:szCs w:val="24"/>
        </w:rPr>
        <w:t xml:space="preserve"> interpuestas por los consumidores financieros. </w:t>
      </w:r>
    </w:p>
    <w:p w14:paraId="40F0E883" w14:textId="77777777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</w:p>
    <w:p w14:paraId="7514AE5F" w14:textId="7CFEBC40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sz w:val="24"/>
          <w:szCs w:val="24"/>
        </w:rPr>
        <w:t xml:space="preserve">Bajo este contexto, </w:t>
      </w:r>
      <w:r w:rsidR="00E14CAC">
        <w:rPr>
          <w:rFonts w:ascii="Arial" w:hAnsi="Arial" w:cs="Arial"/>
          <w:sz w:val="24"/>
          <w:szCs w:val="24"/>
        </w:rPr>
        <w:t>esta</w:t>
      </w:r>
      <w:r w:rsidRPr="00CA5B75">
        <w:rPr>
          <w:rFonts w:ascii="Arial" w:hAnsi="Arial" w:cs="Arial"/>
          <w:sz w:val="24"/>
          <w:szCs w:val="24"/>
        </w:rPr>
        <w:t xml:space="preserve"> Superintendencia considera necesario fortalecer diferentes aspectos normativos para contribuir a consolidar una cultura de </w:t>
      </w:r>
      <w:r w:rsidR="00010263" w:rsidRPr="00CA5B75">
        <w:rPr>
          <w:rFonts w:ascii="Arial" w:hAnsi="Arial" w:cs="Arial"/>
          <w:sz w:val="24"/>
          <w:szCs w:val="24"/>
        </w:rPr>
        <w:t>debida atención, trato justo,</w:t>
      </w:r>
      <w:r w:rsidR="004772A8" w:rsidRPr="00CA5B75">
        <w:rPr>
          <w:rFonts w:ascii="Arial" w:hAnsi="Arial" w:cs="Arial"/>
          <w:sz w:val="24"/>
          <w:szCs w:val="24"/>
        </w:rPr>
        <w:t xml:space="preserve"> protección,</w:t>
      </w:r>
      <w:r w:rsidR="00010263" w:rsidRPr="00CA5B75">
        <w:rPr>
          <w:rFonts w:ascii="Arial" w:hAnsi="Arial" w:cs="Arial"/>
          <w:sz w:val="24"/>
          <w:szCs w:val="24"/>
        </w:rPr>
        <w:t xml:space="preserve"> respeto y servicio </w:t>
      </w:r>
      <w:r w:rsidRPr="00CA5B75">
        <w:rPr>
          <w:rFonts w:ascii="Arial" w:hAnsi="Arial" w:cs="Arial"/>
          <w:sz w:val="24"/>
          <w:szCs w:val="24"/>
        </w:rPr>
        <w:t>al interior de las entidades vigiladas.</w:t>
      </w:r>
      <w:r w:rsidR="004772A8" w:rsidRPr="00CA5B75">
        <w:rPr>
          <w:rFonts w:ascii="Arial" w:hAnsi="Arial" w:cs="Arial"/>
          <w:sz w:val="24"/>
          <w:szCs w:val="24"/>
        </w:rPr>
        <w:t xml:space="preserve"> Igualmente</w:t>
      </w:r>
      <w:r w:rsidRPr="00CA5B75">
        <w:rPr>
          <w:rFonts w:ascii="Arial" w:hAnsi="Arial" w:cs="Arial"/>
          <w:sz w:val="24"/>
          <w:szCs w:val="24"/>
        </w:rPr>
        <w:t>, busca armonizar el marco normativo del SAC con las mejores prácticas internacionales</w:t>
      </w:r>
      <w:r w:rsidR="00E14CAC">
        <w:rPr>
          <w:rFonts w:ascii="Arial" w:hAnsi="Arial" w:cs="Arial"/>
          <w:sz w:val="24"/>
          <w:szCs w:val="24"/>
        </w:rPr>
        <w:t>, de tal forma</w:t>
      </w:r>
      <w:r w:rsidRPr="00CA5B75">
        <w:rPr>
          <w:rFonts w:ascii="Arial" w:hAnsi="Arial" w:cs="Arial"/>
          <w:sz w:val="24"/>
          <w:szCs w:val="24"/>
        </w:rPr>
        <w:t xml:space="preserve"> </w:t>
      </w:r>
      <w:r w:rsidR="00E14CAC">
        <w:rPr>
          <w:rFonts w:ascii="Arial" w:hAnsi="Arial" w:cs="Arial"/>
          <w:sz w:val="24"/>
          <w:szCs w:val="24"/>
        </w:rPr>
        <w:t>q</w:t>
      </w:r>
      <w:r w:rsidRPr="00CA5B75">
        <w:rPr>
          <w:rFonts w:ascii="Arial" w:hAnsi="Arial" w:cs="Arial"/>
          <w:sz w:val="24"/>
          <w:szCs w:val="24"/>
        </w:rPr>
        <w:t xml:space="preserve">ue </w:t>
      </w:r>
      <w:r w:rsidR="00E14CAC">
        <w:rPr>
          <w:rFonts w:ascii="Arial" w:hAnsi="Arial" w:cs="Arial"/>
          <w:sz w:val="24"/>
          <w:szCs w:val="24"/>
        </w:rPr>
        <w:t xml:space="preserve">se </w:t>
      </w:r>
      <w:r w:rsidRPr="00CA5B75">
        <w:rPr>
          <w:rFonts w:ascii="Arial" w:hAnsi="Arial" w:cs="Arial"/>
          <w:sz w:val="24"/>
          <w:szCs w:val="24"/>
        </w:rPr>
        <w:t>genere una oferta de productos y servicios financieros acordes con las necesidades</w:t>
      </w:r>
      <w:r w:rsidR="000D1737" w:rsidRPr="00CA5B75">
        <w:rPr>
          <w:rFonts w:ascii="Arial" w:hAnsi="Arial" w:cs="Arial"/>
          <w:sz w:val="24"/>
          <w:szCs w:val="24"/>
        </w:rPr>
        <w:t xml:space="preserve"> y el perfil</w:t>
      </w:r>
      <w:r w:rsidR="00FC040D" w:rsidRPr="00CA5B75">
        <w:rPr>
          <w:rFonts w:ascii="Arial" w:hAnsi="Arial" w:cs="Arial"/>
          <w:sz w:val="24"/>
          <w:szCs w:val="24"/>
        </w:rPr>
        <w:t xml:space="preserve"> </w:t>
      </w:r>
      <w:r w:rsidRPr="00CA5B75">
        <w:rPr>
          <w:rFonts w:ascii="Arial" w:hAnsi="Arial" w:cs="Arial"/>
          <w:sz w:val="24"/>
          <w:szCs w:val="24"/>
        </w:rPr>
        <w:t>de los consumidores financieros.</w:t>
      </w:r>
    </w:p>
    <w:p w14:paraId="357268F9" w14:textId="77777777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</w:p>
    <w:p w14:paraId="6E201E19" w14:textId="2AEA2CAE" w:rsidR="004D297F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sz w:val="24"/>
          <w:szCs w:val="24"/>
        </w:rPr>
        <w:t>Adicionalmente, teniendo en cuenta el principio</w:t>
      </w:r>
      <w:r w:rsidR="00122AFF" w:rsidRPr="00CA5B75">
        <w:rPr>
          <w:rFonts w:ascii="Arial" w:hAnsi="Arial" w:cs="Arial"/>
          <w:sz w:val="24"/>
          <w:szCs w:val="24"/>
        </w:rPr>
        <w:t xml:space="preserve"> de responsabilidad de las entidades vigiladas en el trámite de quejas</w:t>
      </w:r>
      <w:r w:rsidRPr="00CA5B75">
        <w:rPr>
          <w:rFonts w:ascii="Arial" w:hAnsi="Arial" w:cs="Arial"/>
          <w:sz w:val="24"/>
          <w:szCs w:val="24"/>
        </w:rPr>
        <w:t xml:space="preserve"> consagrado en el literal d) del artículo 3 de la Ley 1328 de 2009,</w:t>
      </w:r>
      <w:r w:rsidR="004D297F" w:rsidRPr="00CA5B75">
        <w:rPr>
          <w:rFonts w:ascii="Arial" w:hAnsi="Arial" w:cs="Arial"/>
          <w:sz w:val="24"/>
          <w:szCs w:val="24"/>
        </w:rPr>
        <w:t xml:space="preserve"> y la función a cargo del Defensor del Consumidor Financiero de conocer y resolver las quejas ante </w:t>
      </w:r>
      <w:r w:rsidR="0031681C">
        <w:rPr>
          <w:rFonts w:ascii="Arial" w:hAnsi="Arial" w:cs="Arial"/>
          <w:sz w:val="24"/>
          <w:szCs w:val="24"/>
        </w:rPr>
        <w:t>é</w:t>
      </w:r>
      <w:r w:rsidR="0031681C" w:rsidRPr="00CA5B75">
        <w:rPr>
          <w:rFonts w:ascii="Arial" w:hAnsi="Arial" w:cs="Arial"/>
          <w:sz w:val="24"/>
          <w:szCs w:val="24"/>
        </w:rPr>
        <w:t xml:space="preserve">l </w:t>
      </w:r>
      <w:r w:rsidR="004D297F" w:rsidRPr="00CA5B75">
        <w:rPr>
          <w:rFonts w:ascii="Arial" w:hAnsi="Arial" w:cs="Arial"/>
          <w:sz w:val="24"/>
          <w:szCs w:val="24"/>
        </w:rPr>
        <w:t xml:space="preserve">interpuestas </w:t>
      </w:r>
      <w:r w:rsidR="0087328D">
        <w:rPr>
          <w:rFonts w:ascii="Arial" w:hAnsi="Arial" w:cs="Arial"/>
          <w:sz w:val="24"/>
          <w:szCs w:val="24"/>
        </w:rPr>
        <w:t xml:space="preserve">consagrada </w:t>
      </w:r>
      <w:r w:rsidR="004D297F" w:rsidRPr="00CA5B75">
        <w:rPr>
          <w:rFonts w:ascii="Arial" w:hAnsi="Arial" w:cs="Arial"/>
          <w:sz w:val="24"/>
          <w:szCs w:val="24"/>
        </w:rPr>
        <w:t xml:space="preserve">en el literal b) del artículo 13 de la </w:t>
      </w:r>
      <w:r w:rsidR="00FF3473">
        <w:rPr>
          <w:rFonts w:ascii="Arial" w:hAnsi="Arial" w:cs="Arial"/>
          <w:sz w:val="24"/>
          <w:szCs w:val="24"/>
        </w:rPr>
        <w:t xml:space="preserve">referida </w:t>
      </w:r>
      <w:r w:rsidR="004D297F" w:rsidRPr="00CA5B75">
        <w:rPr>
          <w:rFonts w:ascii="Arial" w:hAnsi="Arial" w:cs="Arial"/>
          <w:sz w:val="24"/>
          <w:szCs w:val="24"/>
        </w:rPr>
        <w:t>Ley,</w:t>
      </w:r>
      <w:r w:rsidR="000D1737" w:rsidRPr="00CA5B75">
        <w:rPr>
          <w:rFonts w:ascii="Arial" w:hAnsi="Arial" w:cs="Arial"/>
          <w:sz w:val="24"/>
          <w:szCs w:val="24"/>
        </w:rPr>
        <w:t xml:space="preserve"> esta Superintendencia</w:t>
      </w:r>
      <w:r w:rsidRPr="00CA5B75">
        <w:rPr>
          <w:rFonts w:ascii="Arial" w:hAnsi="Arial" w:cs="Arial"/>
          <w:sz w:val="24"/>
          <w:szCs w:val="24"/>
        </w:rPr>
        <w:t xml:space="preserve"> adopta una nueva estructura en el proceso de atención y reporte de la información </w:t>
      </w:r>
      <w:r w:rsidR="00122AFF" w:rsidRPr="00CA5B75">
        <w:rPr>
          <w:rFonts w:ascii="Arial" w:hAnsi="Arial" w:cs="Arial"/>
          <w:sz w:val="24"/>
          <w:szCs w:val="24"/>
        </w:rPr>
        <w:t xml:space="preserve">relacionada con </w:t>
      </w:r>
      <w:r w:rsidRPr="00CA5B75">
        <w:rPr>
          <w:rFonts w:ascii="Arial" w:hAnsi="Arial" w:cs="Arial"/>
          <w:sz w:val="24"/>
          <w:szCs w:val="24"/>
        </w:rPr>
        <w:t>la gestión de quejas</w:t>
      </w:r>
      <w:r w:rsidR="00FE659B">
        <w:rPr>
          <w:rFonts w:ascii="Arial" w:hAnsi="Arial" w:cs="Arial"/>
          <w:sz w:val="24"/>
          <w:szCs w:val="24"/>
        </w:rPr>
        <w:t xml:space="preserve"> </w:t>
      </w:r>
      <w:r w:rsidR="00A44B8F">
        <w:rPr>
          <w:rFonts w:ascii="Arial" w:hAnsi="Arial" w:cs="Arial"/>
          <w:sz w:val="24"/>
          <w:szCs w:val="24"/>
        </w:rPr>
        <w:t>o</w:t>
      </w:r>
      <w:r w:rsidR="00FE659B">
        <w:rPr>
          <w:rFonts w:ascii="Arial" w:hAnsi="Arial" w:cs="Arial"/>
          <w:sz w:val="24"/>
          <w:szCs w:val="24"/>
        </w:rPr>
        <w:t xml:space="preserve"> recla</w:t>
      </w:r>
      <w:r w:rsidR="00201011">
        <w:rPr>
          <w:rFonts w:ascii="Arial" w:hAnsi="Arial" w:cs="Arial"/>
          <w:sz w:val="24"/>
          <w:szCs w:val="24"/>
        </w:rPr>
        <w:t>maciones</w:t>
      </w:r>
      <w:r w:rsidRPr="00CA5B75">
        <w:rPr>
          <w:rFonts w:ascii="Arial" w:hAnsi="Arial" w:cs="Arial"/>
          <w:sz w:val="24"/>
          <w:szCs w:val="24"/>
        </w:rPr>
        <w:t xml:space="preserve"> por parte de las entidades vigiladas.</w:t>
      </w:r>
    </w:p>
    <w:p w14:paraId="7C438EEC" w14:textId="77777777" w:rsidR="004D297F" w:rsidRPr="00CA5B75" w:rsidRDefault="004D297F" w:rsidP="00DE7DC5">
      <w:pPr>
        <w:jc w:val="both"/>
        <w:rPr>
          <w:rFonts w:ascii="Arial" w:hAnsi="Arial" w:cs="Arial"/>
          <w:sz w:val="24"/>
          <w:szCs w:val="24"/>
        </w:rPr>
      </w:pPr>
    </w:p>
    <w:p w14:paraId="519C03D8" w14:textId="5388D597" w:rsidR="00FC040D" w:rsidRPr="00CA5B75" w:rsidRDefault="004D297F" w:rsidP="00DE7DC5">
      <w:pPr>
        <w:jc w:val="both"/>
        <w:rPr>
          <w:rFonts w:ascii="Arial" w:hAnsi="Arial" w:cs="Arial"/>
          <w:sz w:val="24"/>
          <w:szCs w:val="24"/>
        </w:rPr>
        <w:sectPr w:rsidR="00FC040D" w:rsidRPr="00CA5B75" w:rsidSect="00E11838">
          <w:headerReference w:type="default" r:id="rId10"/>
          <w:headerReference w:type="first" r:id="rId11"/>
          <w:pgSz w:w="12242" w:h="18722" w:code="14"/>
          <w:pgMar w:top="1276" w:right="1701" w:bottom="1701" w:left="2268" w:header="624" w:footer="680" w:gutter="0"/>
          <w:paperSrc w:first="2" w:other="2"/>
          <w:cols w:space="708"/>
          <w:titlePg/>
          <w:docGrid w:linePitch="360"/>
        </w:sectPr>
      </w:pPr>
      <w:r w:rsidRPr="00CA5B75">
        <w:rPr>
          <w:rFonts w:ascii="Arial" w:hAnsi="Arial" w:cs="Arial"/>
          <w:sz w:val="24"/>
          <w:szCs w:val="24"/>
        </w:rPr>
        <w:t>E</w:t>
      </w:r>
      <w:r w:rsidR="00DE7DC5" w:rsidRPr="00CA5B75">
        <w:rPr>
          <w:rFonts w:ascii="Arial" w:hAnsi="Arial" w:cs="Arial"/>
          <w:sz w:val="24"/>
          <w:szCs w:val="24"/>
        </w:rPr>
        <w:t>ste e</w:t>
      </w:r>
      <w:r w:rsidR="000D1737" w:rsidRPr="00CA5B75">
        <w:rPr>
          <w:rFonts w:ascii="Arial" w:hAnsi="Arial" w:cs="Arial"/>
          <w:sz w:val="24"/>
          <w:szCs w:val="24"/>
        </w:rPr>
        <w:t>squema</w:t>
      </w:r>
      <w:r w:rsidR="00DE7DC5" w:rsidRPr="00CA5B75">
        <w:rPr>
          <w:rFonts w:ascii="Arial" w:hAnsi="Arial" w:cs="Arial"/>
          <w:sz w:val="24"/>
          <w:szCs w:val="24"/>
        </w:rPr>
        <w:t xml:space="preserve"> estandariza la estructura de clasificación de los motivos de quejas</w:t>
      </w:r>
      <w:r w:rsidR="008647F9">
        <w:rPr>
          <w:rFonts w:ascii="Arial" w:hAnsi="Arial" w:cs="Arial"/>
          <w:sz w:val="24"/>
          <w:szCs w:val="24"/>
        </w:rPr>
        <w:t xml:space="preserve"> o reclamaciones</w:t>
      </w:r>
      <w:r w:rsidR="00A44B8F">
        <w:rPr>
          <w:rFonts w:ascii="Arial" w:hAnsi="Arial" w:cs="Arial"/>
          <w:sz w:val="24"/>
          <w:szCs w:val="24"/>
        </w:rPr>
        <w:t xml:space="preserve"> </w:t>
      </w:r>
      <w:r w:rsidR="00DE7DC5" w:rsidRPr="00CA5B75">
        <w:rPr>
          <w:rFonts w:ascii="Arial" w:hAnsi="Arial" w:cs="Arial"/>
          <w:sz w:val="24"/>
          <w:szCs w:val="24"/>
        </w:rPr>
        <w:t>por producto</w:t>
      </w:r>
      <w:r w:rsidR="00164084">
        <w:rPr>
          <w:rFonts w:ascii="Arial" w:hAnsi="Arial" w:cs="Arial"/>
          <w:sz w:val="24"/>
          <w:szCs w:val="24"/>
        </w:rPr>
        <w:t xml:space="preserve"> e industria</w:t>
      </w:r>
      <w:r w:rsidR="002025BD">
        <w:rPr>
          <w:rFonts w:ascii="Arial" w:hAnsi="Arial" w:cs="Arial"/>
          <w:sz w:val="24"/>
          <w:szCs w:val="24"/>
        </w:rPr>
        <w:t>,</w:t>
      </w:r>
      <w:r w:rsidR="00164084">
        <w:rPr>
          <w:rFonts w:ascii="Arial" w:hAnsi="Arial" w:cs="Arial"/>
          <w:sz w:val="24"/>
          <w:szCs w:val="24"/>
        </w:rPr>
        <w:t xml:space="preserve"> </w:t>
      </w:r>
      <w:r w:rsidR="00DE7DC5" w:rsidRPr="00CA5B75">
        <w:rPr>
          <w:rFonts w:ascii="Arial" w:hAnsi="Arial" w:cs="Arial"/>
          <w:sz w:val="24"/>
          <w:szCs w:val="24"/>
        </w:rPr>
        <w:t>e implementa un desarrollo tecnológico</w:t>
      </w:r>
      <w:r w:rsidR="00FC040D" w:rsidRPr="00CA5B75">
        <w:rPr>
          <w:rFonts w:ascii="Arial" w:hAnsi="Arial" w:cs="Arial"/>
          <w:sz w:val="24"/>
          <w:szCs w:val="24"/>
        </w:rPr>
        <w:t xml:space="preserve"> denominado Smartsupervision</w:t>
      </w:r>
      <w:r w:rsidR="00DE7DC5" w:rsidRPr="00CA5B75">
        <w:rPr>
          <w:rFonts w:ascii="Arial" w:hAnsi="Arial" w:cs="Arial"/>
          <w:sz w:val="24"/>
          <w:szCs w:val="24"/>
        </w:rPr>
        <w:t xml:space="preserve"> que permit</w:t>
      </w:r>
      <w:r w:rsidRPr="00CA5B75">
        <w:rPr>
          <w:rFonts w:ascii="Arial" w:hAnsi="Arial" w:cs="Arial"/>
          <w:sz w:val="24"/>
          <w:szCs w:val="24"/>
        </w:rPr>
        <w:t>e</w:t>
      </w:r>
      <w:r w:rsidR="00DE7DC5" w:rsidRPr="00CA5B75">
        <w:rPr>
          <w:rFonts w:ascii="Arial" w:hAnsi="Arial" w:cs="Arial"/>
          <w:sz w:val="24"/>
          <w:szCs w:val="24"/>
        </w:rPr>
        <w:t xml:space="preserve"> </w:t>
      </w:r>
      <w:r w:rsidR="00F17312" w:rsidRPr="00CA5B75">
        <w:rPr>
          <w:rFonts w:ascii="Arial" w:hAnsi="Arial" w:cs="Arial"/>
          <w:sz w:val="24"/>
          <w:szCs w:val="24"/>
        </w:rPr>
        <w:t xml:space="preserve">a esta Entidad </w:t>
      </w:r>
      <w:r w:rsidR="00DE7DC5" w:rsidRPr="00CA5B75">
        <w:rPr>
          <w:rFonts w:ascii="Arial" w:hAnsi="Arial" w:cs="Arial"/>
          <w:sz w:val="24"/>
          <w:szCs w:val="24"/>
        </w:rPr>
        <w:t xml:space="preserve">contar con información </w:t>
      </w:r>
      <w:r w:rsidR="00F17312" w:rsidRPr="00CA5B75">
        <w:rPr>
          <w:rFonts w:ascii="Arial" w:hAnsi="Arial" w:cs="Arial"/>
          <w:sz w:val="24"/>
          <w:szCs w:val="24"/>
        </w:rPr>
        <w:t xml:space="preserve">oportuna y </w:t>
      </w:r>
      <w:r w:rsidR="00C72F45" w:rsidRPr="00CA5B75">
        <w:rPr>
          <w:rFonts w:ascii="Arial" w:hAnsi="Arial" w:cs="Arial"/>
          <w:sz w:val="24"/>
          <w:szCs w:val="24"/>
        </w:rPr>
        <w:t>actualizada</w:t>
      </w:r>
      <w:r w:rsidR="004772A8" w:rsidRPr="00CA5B75">
        <w:rPr>
          <w:rFonts w:ascii="Arial" w:hAnsi="Arial" w:cs="Arial"/>
          <w:sz w:val="24"/>
          <w:szCs w:val="24"/>
        </w:rPr>
        <w:t xml:space="preserve"> </w:t>
      </w:r>
      <w:r w:rsidR="00E51AB2" w:rsidRPr="00CA5B75">
        <w:rPr>
          <w:rFonts w:ascii="Arial" w:hAnsi="Arial" w:cs="Arial"/>
          <w:sz w:val="24"/>
          <w:szCs w:val="24"/>
        </w:rPr>
        <w:t>sobre la</w:t>
      </w:r>
      <w:r w:rsidR="00DE7DC5" w:rsidRPr="00CA5B75">
        <w:rPr>
          <w:rFonts w:ascii="Arial" w:hAnsi="Arial" w:cs="Arial"/>
          <w:sz w:val="24"/>
          <w:szCs w:val="24"/>
        </w:rPr>
        <w:t xml:space="preserve"> gestión de las quejas</w:t>
      </w:r>
      <w:r w:rsidR="008647F9">
        <w:rPr>
          <w:rFonts w:ascii="Arial" w:hAnsi="Arial" w:cs="Arial"/>
          <w:sz w:val="24"/>
          <w:szCs w:val="24"/>
        </w:rPr>
        <w:t xml:space="preserve"> o reclamaciones </w:t>
      </w:r>
      <w:r w:rsidR="00DE7DC5" w:rsidRPr="00CA5B75">
        <w:rPr>
          <w:rFonts w:ascii="Arial" w:hAnsi="Arial" w:cs="Arial"/>
          <w:sz w:val="24"/>
          <w:szCs w:val="24"/>
        </w:rPr>
        <w:t xml:space="preserve">interpuestas por los consumidores financieros ante las entidades vigiladas, el </w:t>
      </w:r>
      <w:r w:rsidR="0031681C">
        <w:rPr>
          <w:rFonts w:ascii="Arial" w:hAnsi="Arial" w:cs="Arial"/>
          <w:sz w:val="24"/>
          <w:szCs w:val="24"/>
        </w:rPr>
        <w:t>D</w:t>
      </w:r>
      <w:r w:rsidR="0031681C" w:rsidRPr="00CA5B75">
        <w:rPr>
          <w:rFonts w:ascii="Arial" w:hAnsi="Arial" w:cs="Arial"/>
          <w:sz w:val="24"/>
          <w:szCs w:val="24"/>
        </w:rPr>
        <w:t xml:space="preserve">efensor </w:t>
      </w:r>
      <w:r w:rsidR="00DE7DC5" w:rsidRPr="00CA5B75">
        <w:rPr>
          <w:rFonts w:ascii="Arial" w:hAnsi="Arial" w:cs="Arial"/>
          <w:sz w:val="24"/>
          <w:szCs w:val="24"/>
        </w:rPr>
        <w:t xml:space="preserve">del </w:t>
      </w:r>
      <w:r w:rsidR="0031681C">
        <w:rPr>
          <w:rFonts w:ascii="Arial" w:hAnsi="Arial" w:cs="Arial"/>
          <w:sz w:val="24"/>
          <w:szCs w:val="24"/>
        </w:rPr>
        <w:t>C</w:t>
      </w:r>
      <w:r w:rsidR="00DE7DC5" w:rsidRPr="00CA5B75">
        <w:rPr>
          <w:rFonts w:ascii="Arial" w:hAnsi="Arial" w:cs="Arial"/>
          <w:sz w:val="24"/>
          <w:szCs w:val="24"/>
        </w:rPr>
        <w:t xml:space="preserve">onsumidor </w:t>
      </w:r>
      <w:r w:rsidR="0031681C">
        <w:rPr>
          <w:rFonts w:ascii="Arial" w:hAnsi="Arial" w:cs="Arial"/>
          <w:sz w:val="24"/>
          <w:szCs w:val="24"/>
        </w:rPr>
        <w:t>F</w:t>
      </w:r>
      <w:r w:rsidR="00DE7DC5" w:rsidRPr="00CA5B75">
        <w:rPr>
          <w:rFonts w:ascii="Arial" w:hAnsi="Arial" w:cs="Arial"/>
          <w:sz w:val="24"/>
          <w:szCs w:val="24"/>
        </w:rPr>
        <w:t xml:space="preserve">inanciero y </w:t>
      </w:r>
      <w:r w:rsidR="00F17312" w:rsidRPr="00CA5B75">
        <w:rPr>
          <w:rFonts w:ascii="Arial" w:hAnsi="Arial" w:cs="Arial"/>
          <w:sz w:val="24"/>
          <w:szCs w:val="24"/>
        </w:rPr>
        <w:t xml:space="preserve">esta </w:t>
      </w:r>
      <w:r w:rsidR="00DE7DC5" w:rsidRPr="00CA5B75">
        <w:rPr>
          <w:rFonts w:ascii="Arial" w:hAnsi="Arial" w:cs="Arial"/>
          <w:sz w:val="24"/>
          <w:szCs w:val="24"/>
        </w:rPr>
        <w:t>Superintendencia.</w:t>
      </w:r>
    </w:p>
    <w:p w14:paraId="2D6320B5" w14:textId="65E27FD3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sz w:val="24"/>
          <w:szCs w:val="24"/>
        </w:rPr>
        <w:lastRenderedPageBreak/>
        <w:t xml:space="preserve">La integración gradual de las entidades </w:t>
      </w:r>
      <w:r w:rsidR="00FC040D" w:rsidRPr="00CA5B75">
        <w:rPr>
          <w:rFonts w:ascii="Arial" w:hAnsi="Arial" w:cs="Arial"/>
          <w:sz w:val="24"/>
          <w:szCs w:val="24"/>
        </w:rPr>
        <w:t>al</w:t>
      </w:r>
      <w:r w:rsidR="000D1737" w:rsidRPr="00CA5B75">
        <w:rPr>
          <w:rFonts w:ascii="Arial" w:hAnsi="Arial" w:cs="Arial"/>
          <w:sz w:val="24"/>
          <w:szCs w:val="24"/>
        </w:rPr>
        <w:t xml:space="preserve"> </w:t>
      </w:r>
      <w:r w:rsidR="00E14CAC">
        <w:rPr>
          <w:rFonts w:ascii="Arial" w:hAnsi="Arial" w:cs="Arial"/>
          <w:sz w:val="24"/>
          <w:szCs w:val="24"/>
        </w:rPr>
        <w:t xml:space="preserve">desarrollo tecnológico </w:t>
      </w:r>
      <w:proofErr w:type="spellStart"/>
      <w:r w:rsidR="00811124" w:rsidRPr="00CA5B75">
        <w:rPr>
          <w:rFonts w:ascii="Arial" w:hAnsi="Arial" w:cs="Arial"/>
          <w:sz w:val="24"/>
          <w:szCs w:val="24"/>
        </w:rPr>
        <w:t>Smartsupervision</w:t>
      </w:r>
      <w:proofErr w:type="spellEnd"/>
      <w:r w:rsidR="00811124" w:rsidRPr="00CA5B75">
        <w:rPr>
          <w:rFonts w:ascii="Arial" w:hAnsi="Arial" w:cs="Arial"/>
          <w:sz w:val="24"/>
          <w:szCs w:val="24"/>
        </w:rPr>
        <w:t xml:space="preserve"> se</w:t>
      </w:r>
      <w:r w:rsidRPr="00CA5B75">
        <w:rPr>
          <w:rFonts w:ascii="Arial" w:hAnsi="Arial" w:cs="Arial"/>
          <w:sz w:val="24"/>
          <w:szCs w:val="24"/>
        </w:rPr>
        <w:t xml:space="preserve"> hará </w:t>
      </w:r>
      <w:r w:rsidR="00F8737A" w:rsidRPr="00CA5B75">
        <w:rPr>
          <w:rFonts w:ascii="Arial" w:hAnsi="Arial" w:cs="Arial"/>
          <w:sz w:val="24"/>
          <w:szCs w:val="24"/>
        </w:rPr>
        <w:t>a partir del 1 de noviembre de 2021</w:t>
      </w:r>
      <w:r w:rsidR="00827651">
        <w:rPr>
          <w:rFonts w:ascii="Arial" w:hAnsi="Arial" w:cs="Arial"/>
          <w:sz w:val="24"/>
          <w:szCs w:val="24"/>
        </w:rPr>
        <w:t>,</w:t>
      </w:r>
      <w:r w:rsidR="00F8737A" w:rsidRPr="00CA5B75">
        <w:rPr>
          <w:rFonts w:ascii="Arial" w:hAnsi="Arial" w:cs="Arial"/>
          <w:sz w:val="24"/>
          <w:szCs w:val="24"/>
        </w:rPr>
        <w:t xml:space="preserve"> </w:t>
      </w:r>
      <w:r w:rsidRPr="00CA5B75">
        <w:rPr>
          <w:rFonts w:ascii="Arial" w:hAnsi="Arial" w:cs="Arial"/>
          <w:sz w:val="24"/>
          <w:szCs w:val="24"/>
        </w:rPr>
        <w:t>atendiendo el volumen de quejas</w:t>
      </w:r>
      <w:r w:rsidR="00201011">
        <w:rPr>
          <w:rFonts w:ascii="Arial" w:hAnsi="Arial" w:cs="Arial"/>
          <w:sz w:val="24"/>
          <w:szCs w:val="24"/>
        </w:rPr>
        <w:t xml:space="preserve"> </w:t>
      </w:r>
      <w:r w:rsidR="008647F9">
        <w:rPr>
          <w:rFonts w:ascii="Arial" w:hAnsi="Arial" w:cs="Arial"/>
          <w:sz w:val="24"/>
          <w:szCs w:val="24"/>
        </w:rPr>
        <w:t>o</w:t>
      </w:r>
      <w:r w:rsidR="00201011">
        <w:rPr>
          <w:rFonts w:ascii="Arial" w:hAnsi="Arial" w:cs="Arial"/>
          <w:sz w:val="24"/>
          <w:szCs w:val="24"/>
        </w:rPr>
        <w:t xml:space="preserve"> reclamaciones</w:t>
      </w:r>
      <w:r w:rsidRPr="00CA5B75">
        <w:rPr>
          <w:rFonts w:ascii="Arial" w:hAnsi="Arial" w:cs="Arial"/>
          <w:sz w:val="24"/>
          <w:szCs w:val="24"/>
        </w:rPr>
        <w:t xml:space="preserve"> y el alistamiento tecnológico derivado de la nueva estructura</w:t>
      </w:r>
      <w:r w:rsidR="00E14CAC">
        <w:rPr>
          <w:rFonts w:ascii="Arial" w:hAnsi="Arial" w:cs="Arial"/>
          <w:sz w:val="24"/>
          <w:szCs w:val="24"/>
        </w:rPr>
        <w:t>,</w:t>
      </w:r>
      <w:r w:rsidR="00F8737A" w:rsidRPr="00CA5B75">
        <w:rPr>
          <w:rFonts w:ascii="Arial" w:hAnsi="Arial" w:cs="Arial"/>
          <w:sz w:val="24"/>
          <w:szCs w:val="24"/>
        </w:rPr>
        <w:t xml:space="preserve"> </w:t>
      </w:r>
      <w:r w:rsidR="00122AFF" w:rsidRPr="00CA5B75">
        <w:rPr>
          <w:rFonts w:ascii="Arial" w:hAnsi="Arial" w:cs="Arial"/>
          <w:sz w:val="24"/>
          <w:szCs w:val="24"/>
        </w:rPr>
        <w:t xml:space="preserve">y </w:t>
      </w:r>
      <w:r w:rsidR="00BC6D0B">
        <w:rPr>
          <w:rFonts w:ascii="Arial" w:hAnsi="Arial" w:cs="Arial"/>
          <w:sz w:val="24"/>
          <w:szCs w:val="24"/>
        </w:rPr>
        <w:t xml:space="preserve">finalizará </w:t>
      </w:r>
      <w:r w:rsidRPr="00CA5B75">
        <w:rPr>
          <w:rFonts w:ascii="Arial" w:hAnsi="Arial" w:cs="Arial"/>
          <w:sz w:val="24"/>
          <w:szCs w:val="24"/>
        </w:rPr>
        <w:t>a más tardar el 30 de junio de 2022</w:t>
      </w:r>
      <w:r w:rsidR="00BC6D0B">
        <w:rPr>
          <w:rFonts w:ascii="Arial" w:hAnsi="Arial" w:cs="Arial"/>
          <w:sz w:val="24"/>
          <w:szCs w:val="24"/>
        </w:rPr>
        <w:t>,</w:t>
      </w:r>
      <w:r w:rsidRPr="00CA5B75">
        <w:rPr>
          <w:rFonts w:ascii="Arial" w:hAnsi="Arial" w:cs="Arial"/>
          <w:sz w:val="24"/>
          <w:szCs w:val="24"/>
        </w:rPr>
        <w:t xml:space="preserve"> de acuerdo con la</w:t>
      </w:r>
      <w:r w:rsidR="00F8737A" w:rsidRPr="00CA5B75">
        <w:rPr>
          <w:rFonts w:ascii="Arial" w:hAnsi="Arial" w:cs="Arial"/>
          <w:sz w:val="24"/>
          <w:szCs w:val="24"/>
        </w:rPr>
        <w:t xml:space="preserve"> </w:t>
      </w:r>
      <w:r w:rsidRPr="00CA5B75">
        <w:rPr>
          <w:rFonts w:ascii="Arial" w:hAnsi="Arial" w:cs="Arial"/>
          <w:sz w:val="24"/>
          <w:szCs w:val="24"/>
        </w:rPr>
        <w:t xml:space="preserve">presente circular. </w:t>
      </w:r>
    </w:p>
    <w:p w14:paraId="1860F5E9" w14:textId="77777777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</w:p>
    <w:p w14:paraId="15B3B2EB" w14:textId="561EC209" w:rsidR="00DE7DC5" w:rsidRPr="00CA5B75" w:rsidRDefault="00DE7DC5" w:rsidP="00DE7DC5">
      <w:pPr>
        <w:pStyle w:val="Textoindependiente"/>
        <w:rPr>
          <w:spacing w:val="0"/>
          <w:lang w:val="es-ES_tradnl"/>
        </w:rPr>
      </w:pPr>
      <w:r w:rsidRPr="00CA5B75">
        <w:rPr>
          <w:spacing w:val="0"/>
          <w:lang w:val="es-ES_tradnl"/>
        </w:rPr>
        <w:t>En virtud de lo anterior, este Despacho, en ejercicio de sus facultades legales y en especial, las establecidas en el numeral 5°del artículo 97</w:t>
      </w:r>
      <w:r w:rsidRPr="00CA5B75">
        <w:rPr>
          <w:color w:val="FF0000"/>
          <w:spacing w:val="0"/>
          <w:lang w:val="es-ES_tradnl"/>
        </w:rPr>
        <w:t xml:space="preserve"> </w:t>
      </w:r>
      <w:r w:rsidRPr="00CA5B75">
        <w:rPr>
          <w:spacing w:val="0"/>
          <w:lang w:val="es-ES_tradnl"/>
        </w:rPr>
        <w:t>y</w:t>
      </w:r>
      <w:r w:rsidR="00122AFF" w:rsidRPr="00CA5B75">
        <w:rPr>
          <w:spacing w:val="0"/>
          <w:lang w:val="es-ES_tradnl"/>
        </w:rPr>
        <w:t xml:space="preserve"> el</w:t>
      </w:r>
      <w:r w:rsidRPr="00CA5B75">
        <w:rPr>
          <w:spacing w:val="0"/>
          <w:lang w:val="es-ES_tradnl"/>
        </w:rPr>
        <w:t xml:space="preserve"> literal a</w:t>
      </w:r>
      <w:r w:rsidR="00E14CAC">
        <w:rPr>
          <w:spacing w:val="0"/>
          <w:lang w:val="es-ES_tradnl"/>
        </w:rPr>
        <w:t>)</w:t>
      </w:r>
      <w:r w:rsidRPr="00CA5B75">
        <w:rPr>
          <w:spacing w:val="0"/>
          <w:lang w:val="es-ES_tradnl"/>
        </w:rPr>
        <w:t>,</w:t>
      </w:r>
      <w:r w:rsidR="00B8019E" w:rsidRPr="00CA5B75">
        <w:rPr>
          <w:spacing w:val="0"/>
          <w:lang w:val="es-ES_tradnl"/>
        </w:rPr>
        <w:t xml:space="preserve"> </w:t>
      </w:r>
      <w:r w:rsidRPr="00CA5B75">
        <w:rPr>
          <w:spacing w:val="0"/>
          <w:lang w:val="es-ES_tradnl"/>
        </w:rPr>
        <w:t>numeral 3 del artículo 326 del Estatuto Orgánico del Sistema Financiero; el literal c</w:t>
      </w:r>
      <w:r w:rsidR="00E14CAC">
        <w:rPr>
          <w:spacing w:val="0"/>
          <w:lang w:val="es-ES_tradnl"/>
        </w:rPr>
        <w:t>)</w:t>
      </w:r>
      <w:r w:rsidRPr="00CA5B75">
        <w:rPr>
          <w:spacing w:val="0"/>
          <w:lang w:val="es-ES_tradnl"/>
        </w:rPr>
        <w:t xml:space="preserve"> y el parágrafo del artículo 8 de la Ley 1328 de 2009 y en el numeral 4° del artículo 11.2.1.4.2 del Decreto 2555 de 2010, imparte las siguientes instrucciones:</w:t>
      </w:r>
    </w:p>
    <w:p w14:paraId="29E39287" w14:textId="77777777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</w:p>
    <w:p w14:paraId="1A78FE84" w14:textId="20C009CD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b/>
          <w:sz w:val="24"/>
          <w:szCs w:val="24"/>
        </w:rPr>
        <w:t xml:space="preserve">PRIMERA: </w:t>
      </w:r>
      <w:r w:rsidRPr="00CA5B75">
        <w:rPr>
          <w:rFonts w:ascii="Arial" w:hAnsi="Arial" w:cs="Arial"/>
          <w:sz w:val="24"/>
          <w:szCs w:val="24"/>
        </w:rPr>
        <w:t xml:space="preserve">Modificar el numeral 1, el subnumeral 2.4 </w:t>
      </w:r>
      <w:r w:rsidR="00BC603A" w:rsidRPr="00CA5B75">
        <w:rPr>
          <w:rFonts w:ascii="Arial" w:hAnsi="Arial" w:cs="Arial"/>
          <w:sz w:val="24"/>
          <w:szCs w:val="24"/>
        </w:rPr>
        <w:t xml:space="preserve">y el numeral 4 </w:t>
      </w:r>
      <w:r w:rsidRPr="00CA5B75">
        <w:rPr>
          <w:rFonts w:ascii="Arial" w:hAnsi="Arial" w:cs="Arial"/>
          <w:sz w:val="24"/>
          <w:szCs w:val="24"/>
        </w:rPr>
        <w:t xml:space="preserve">del Capítulo II del Título III de la Parte I </w:t>
      </w:r>
      <w:r w:rsidRPr="00CA5B75">
        <w:rPr>
          <w:rFonts w:ascii="Arial" w:hAnsi="Arial" w:cs="Arial"/>
          <w:i/>
          <w:sz w:val="24"/>
          <w:szCs w:val="24"/>
        </w:rPr>
        <w:t>“Instancias de atención al consumidor en las entidades vigiladas”</w:t>
      </w:r>
      <w:r w:rsidRPr="00CA5B75">
        <w:rPr>
          <w:rFonts w:ascii="Arial" w:hAnsi="Arial" w:cs="Arial"/>
          <w:sz w:val="24"/>
          <w:szCs w:val="24"/>
        </w:rPr>
        <w:t xml:space="preserve"> de la Circular Básica Jurídica r</w:t>
      </w:r>
      <w:r w:rsidR="004772A8" w:rsidRPr="00CA5B75">
        <w:rPr>
          <w:rFonts w:ascii="Arial" w:hAnsi="Arial" w:cs="Arial"/>
          <w:sz w:val="24"/>
          <w:szCs w:val="24"/>
        </w:rPr>
        <w:t>elacionado con</w:t>
      </w:r>
      <w:r w:rsidRPr="00CA5B75">
        <w:rPr>
          <w:rFonts w:ascii="Arial" w:hAnsi="Arial" w:cs="Arial"/>
          <w:sz w:val="24"/>
          <w:szCs w:val="24"/>
        </w:rPr>
        <w:t xml:space="preserve"> el Sistema de Atención al Consumidor Financiero. </w:t>
      </w:r>
    </w:p>
    <w:p w14:paraId="2EC8CDA5" w14:textId="77777777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</w:p>
    <w:p w14:paraId="6885F58D" w14:textId="3AEE6E6E" w:rsidR="00DE7DC5" w:rsidRPr="00CA5B75" w:rsidRDefault="00DE7DC5" w:rsidP="00DE7DC5">
      <w:pPr>
        <w:tabs>
          <w:tab w:val="left" w:pos="1705"/>
        </w:tabs>
        <w:jc w:val="both"/>
        <w:rPr>
          <w:rFonts w:ascii="Arial" w:hAnsi="Arial" w:cs="Arial"/>
          <w:b/>
          <w:sz w:val="24"/>
          <w:szCs w:val="24"/>
        </w:rPr>
      </w:pPr>
      <w:r w:rsidRPr="00CA5B75">
        <w:rPr>
          <w:rFonts w:ascii="Arial" w:hAnsi="Arial" w:cs="Arial"/>
          <w:b/>
          <w:sz w:val="24"/>
          <w:szCs w:val="24"/>
        </w:rPr>
        <w:t xml:space="preserve">SEGUNDA: </w:t>
      </w:r>
      <w:r w:rsidRPr="00CA5B75">
        <w:rPr>
          <w:rFonts w:ascii="Arial" w:hAnsi="Arial" w:cs="Arial"/>
          <w:sz w:val="24"/>
          <w:szCs w:val="24"/>
        </w:rPr>
        <w:t xml:space="preserve">Modificar </w:t>
      </w:r>
      <w:r w:rsidR="00E14CAC">
        <w:rPr>
          <w:rFonts w:ascii="Arial" w:hAnsi="Arial" w:cs="Arial"/>
          <w:sz w:val="24"/>
          <w:szCs w:val="24"/>
        </w:rPr>
        <w:t>el</w:t>
      </w:r>
      <w:r w:rsidRPr="00CA5B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B75">
        <w:rPr>
          <w:rFonts w:ascii="Arial" w:hAnsi="Arial" w:cs="Arial"/>
          <w:sz w:val="24"/>
          <w:szCs w:val="24"/>
        </w:rPr>
        <w:t>subnumeral</w:t>
      </w:r>
      <w:proofErr w:type="spellEnd"/>
      <w:r w:rsidRPr="00CA5B75">
        <w:rPr>
          <w:rFonts w:ascii="Arial" w:hAnsi="Arial" w:cs="Arial"/>
          <w:sz w:val="24"/>
          <w:szCs w:val="24"/>
        </w:rPr>
        <w:t xml:space="preserve"> 3.5 y el numeral 8 del Capítulo II del Título IV de la Parte I “</w:t>
      </w:r>
      <w:r w:rsidRPr="00CA5B75">
        <w:rPr>
          <w:rFonts w:ascii="Arial" w:hAnsi="Arial" w:cs="Arial"/>
          <w:i/>
          <w:sz w:val="24"/>
          <w:szCs w:val="24"/>
        </w:rPr>
        <w:t>Actuaciones ante la Superintendencia Financiera de Colombia”</w:t>
      </w:r>
      <w:r w:rsidRPr="00CA5B75">
        <w:rPr>
          <w:rFonts w:ascii="Arial" w:hAnsi="Arial" w:cs="Arial"/>
          <w:sz w:val="24"/>
          <w:szCs w:val="24"/>
        </w:rPr>
        <w:t xml:space="preserve"> de la Circular Básica Jurídica</w:t>
      </w:r>
      <w:r w:rsidR="00122AFF" w:rsidRPr="00CA5B75">
        <w:rPr>
          <w:rFonts w:ascii="Arial" w:hAnsi="Arial" w:cs="Arial"/>
          <w:sz w:val="24"/>
          <w:szCs w:val="24"/>
        </w:rPr>
        <w:t xml:space="preserve"> </w:t>
      </w:r>
      <w:r w:rsidRPr="00CA5B75">
        <w:rPr>
          <w:rFonts w:ascii="Arial" w:hAnsi="Arial" w:cs="Arial"/>
          <w:sz w:val="24"/>
          <w:szCs w:val="24"/>
        </w:rPr>
        <w:t>relacionado con el trámite de quejas.</w:t>
      </w:r>
    </w:p>
    <w:p w14:paraId="762A0E6B" w14:textId="77777777" w:rsidR="00DE7DC5" w:rsidRPr="00CA5B75" w:rsidRDefault="00DE7DC5" w:rsidP="00DE7DC5">
      <w:pPr>
        <w:jc w:val="both"/>
        <w:rPr>
          <w:rFonts w:ascii="Arial" w:hAnsi="Arial" w:cs="Arial"/>
          <w:b/>
          <w:sz w:val="24"/>
          <w:szCs w:val="24"/>
        </w:rPr>
      </w:pPr>
    </w:p>
    <w:p w14:paraId="467803CD" w14:textId="039A55DF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b/>
          <w:bCs/>
          <w:sz w:val="24"/>
          <w:szCs w:val="24"/>
        </w:rPr>
        <w:t xml:space="preserve">TERCERA: </w:t>
      </w:r>
      <w:r w:rsidRPr="00CA5B75">
        <w:rPr>
          <w:rFonts w:ascii="Arial" w:hAnsi="Arial" w:cs="Arial"/>
          <w:sz w:val="24"/>
          <w:szCs w:val="24"/>
        </w:rPr>
        <w:t>Crear l</w:t>
      </w:r>
      <w:r w:rsidR="004D297F" w:rsidRPr="00CA5B75">
        <w:rPr>
          <w:rFonts w:ascii="Arial" w:hAnsi="Arial" w:cs="Arial"/>
          <w:sz w:val="24"/>
          <w:szCs w:val="24"/>
        </w:rPr>
        <w:t>a</w:t>
      </w:r>
      <w:r w:rsidR="008D351E" w:rsidRPr="00CA5B75">
        <w:rPr>
          <w:rFonts w:ascii="Arial" w:hAnsi="Arial" w:cs="Arial"/>
          <w:sz w:val="24"/>
          <w:szCs w:val="24"/>
        </w:rPr>
        <w:t>s</w:t>
      </w:r>
      <w:r w:rsidR="004D297F" w:rsidRPr="00CA5B75">
        <w:rPr>
          <w:rFonts w:ascii="Arial" w:hAnsi="Arial" w:cs="Arial"/>
          <w:sz w:val="24"/>
          <w:szCs w:val="24"/>
        </w:rPr>
        <w:t xml:space="preserve"> proforma</w:t>
      </w:r>
      <w:r w:rsidR="008D351E" w:rsidRPr="00CA5B75">
        <w:rPr>
          <w:rFonts w:ascii="Arial" w:hAnsi="Arial" w:cs="Arial"/>
          <w:sz w:val="24"/>
          <w:szCs w:val="24"/>
        </w:rPr>
        <w:t>s</w:t>
      </w:r>
      <w:r w:rsidRPr="00CA5B75">
        <w:rPr>
          <w:rFonts w:ascii="Arial" w:hAnsi="Arial" w:cs="Arial"/>
          <w:sz w:val="24"/>
          <w:szCs w:val="24"/>
        </w:rPr>
        <w:t xml:space="preserve"> </w:t>
      </w:r>
      <w:r w:rsidR="004D297F" w:rsidRPr="00CA5B75">
        <w:rPr>
          <w:rFonts w:ascii="Arial" w:hAnsi="Arial" w:cs="Arial"/>
          <w:sz w:val="24"/>
          <w:szCs w:val="24"/>
        </w:rPr>
        <w:t>F.</w:t>
      </w:r>
      <w:r w:rsidR="00CC60AC" w:rsidRPr="00CA5B75">
        <w:rPr>
          <w:rFonts w:ascii="Arial" w:hAnsi="Arial" w:cs="Arial"/>
          <w:sz w:val="24"/>
          <w:szCs w:val="24"/>
        </w:rPr>
        <w:t>0000-165</w:t>
      </w:r>
      <w:r w:rsidRPr="00CA5B75">
        <w:rPr>
          <w:rFonts w:ascii="Arial" w:hAnsi="Arial" w:cs="Arial"/>
          <w:sz w:val="24"/>
          <w:szCs w:val="24"/>
        </w:rPr>
        <w:t xml:space="preserve"> (</w:t>
      </w:r>
      <w:r w:rsidR="004D297F" w:rsidRPr="00CA5B75">
        <w:rPr>
          <w:rFonts w:ascii="Arial" w:hAnsi="Arial" w:cs="Arial"/>
          <w:sz w:val="24"/>
          <w:szCs w:val="24"/>
        </w:rPr>
        <w:t>formato</w:t>
      </w:r>
      <w:r w:rsidRPr="00CA5B75">
        <w:rPr>
          <w:rFonts w:ascii="Arial" w:hAnsi="Arial" w:cs="Arial"/>
          <w:sz w:val="24"/>
          <w:szCs w:val="24"/>
        </w:rPr>
        <w:t xml:space="preserve"> </w:t>
      </w:r>
      <w:r w:rsidR="00E47CEF" w:rsidRPr="00CA5B75">
        <w:rPr>
          <w:rFonts w:ascii="Arial" w:hAnsi="Arial" w:cs="Arial"/>
          <w:sz w:val="24"/>
          <w:szCs w:val="24"/>
        </w:rPr>
        <w:t>410)</w:t>
      </w:r>
      <w:r w:rsidRPr="00CA5B75">
        <w:rPr>
          <w:rFonts w:ascii="Arial" w:hAnsi="Arial" w:cs="Arial"/>
          <w:sz w:val="24"/>
          <w:szCs w:val="24"/>
        </w:rPr>
        <w:t xml:space="preserve"> </w:t>
      </w:r>
      <w:r w:rsidRPr="00CA5B75">
        <w:rPr>
          <w:rFonts w:ascii="Arial" w:hAnsi="Arial" w:cs="Arial"/>
          <w:i/>
          <w:iCs/>
          <w:sz w:val="24"/>
          <w:szCs w:val="24"/>
        </w:rPr>
        <w:t>“Smartsupervision</w:t>
      </w:r>
      <w:r w:rsidR="0095540B">
        <w:rPr>
          <w:rFonts w:ascii="Arial" w:hAnsi="Arial" w:cs="Arial"/>
          <w:i/>
          <w:iCs/>
          <w:sz w:val="24"/>
          <w:szCs w:val="24"/>
        </w:rPr>
        <w:t xml:space="preserve"> </w:t>
      </w:r>
      <w:r w:rsidRPr="00CA5B75">
        <w:rPr>
          <w:rFonts w:ascii="Arial" w:hAnsi="Arial" w:cs="Arial"/>
          <w:i/>
          <w:iCs/>
          <w:sz w:val="24"/>
          <w:szCs w:val="24"/>
        </w:rPr>
        <w:t>- Interposición</w:t>
      </w:r>
      <w:r w:rsidR="004D297F" w:rsidRPr="00CA5B75">
        <w:rPr>
          <w:rFonts w:ascii="Arial" w:hAnsi="Arial" w:cs="Arial"/>
          <w:i/>
          <w:iCs/>
          <w:sz w:val="24"/>
          <w:szCs w:val="24"/>
        </w:rPr>
        <w:t xml:space="preserve"> de </w:t>
      </w:r>
      <w:r w:rsidR="004A4288">
        <w:rPr>
          <w:rFonts w:ascii="Arial" w:hAnsi="Arial" w:cs="Arial"/>
          <w:i/>
          <w:iCs/>
          <w:sz w:val="24"/>
          <w:szCs w:val="24"/>
        </w:rPr>
        <w:t xml:space="preserve">la </w:t>
      </w:r>
      <w:r w:rsidR="004D297F" w:rsidRPr="00CA5B75">
        <w:rPr>
          <w:rFonts w:ascii="Arial" w:hAnsi="Arial" w:cs="Arial"/>
          <w:i/>
          <w:iCs/>
          <w:sz w:val="24"/>
          <w:szCs w:val="24"/>
        </w:rPr>
        <w:t>queja o reclamo</w:t>
      </w:r>
      <w:r w:rsidRPr="00CA5B75">
        <w:rPr>
          <w:rFonts w:ascii="Arial" w:hAnsi="Arial" w:cs="Arial"/>
          <w:i/>
          <w:iCs/>
          <w:sz w:val="24"/>
          <w:szCs w:val="24"/>
        </w:rPr>
        <w:t>”</w:t>
      </w:r>
      <w:r w:rsidRPr="00CA5B75">
        <w:rPr>
          <w:rFonts w:ascii="Arial" w:hAnsi="Arial" w:cs="Arial"/>
          <w:sz w:val="24"/>
          <w:szCs w:val="24"/>
        </w:rPr>
        <w:t xml:space="preserve"> y </w:t>
      </w:r>
      <w:r w:rsidR="008D351E" w:rsidRPr="00CA5B75">
        <w:rPr>
          <w:rFonts w:ascii="Arial" w:hAnsi="Arial" w:cs="Arial"/>
          <w:sz w:val="24"/>
          <w:szCs w:val="24"/>
        </w:rPr>
        <w:t>F.0000-166</w:t>
      </w:r>
      <w:r w:rsidRPr="00CA5B75">
        <w:rPr>
          <w:rFonts w:ascii="Arial" w:hAnsi="Arial" w:cs="Arial"/>
          <w:sz w:val="24"/>
          <w:szCs w:val="24"/>
        </w:rPr>
        <w:t xml:space="preserve"> </w:t>
      </w:r>
      <w:r w:rsidR="004D297F" w:rsidRPr="00CA5B75">
        <w:rPr>
          <w:rFonts w:ascii="Arial" w:hAnsi="Arial" w:cs="Arial"/>
          <w:sz w:val="24"/>
          <w:szCs w:val="24"/>
        </w:rPr>
        <w:t>(formato</w:t>
      </w:r>
      <w:r w:rsidR="005848BD">
        <w:rPr>
          <w:rFonts w:ascii="Arial" w:hAnsi="Arial" w:cs="Arial"/>
          <w:sz w:val="24"/>
          <w:szCs w:val="24"/>
        </w:rPr>
        <w:t xml:space="preserve"> </w:t>
      </w:r>
      <w:r w:rsidR="008D351E" w:rsidRPr="00CA5B75">
        <w:rPr>
          <w:rFonts w:ascii="Arial" w:hAnsi="Arial" w:cs="Arial"/>
          <w:sz w:val="24"/>
          <w:szCs w:val="24"/>
        </w:rPr>
        <w:t>411</w:t>
      </w:r>
      <w:r w:rsidRPr="00CA5B75">
        <w:rPr>
          <w:rFonts w:ascii="Arial" w:hAnsi="Arial" w:cs="Arial"/>
          <w:sz w:val="24"/>
          <w:szCs w:val="24"/>
        </w:rPr>
        <w:t xml:space="preserve">) </w:t>
      </w:r>
      <w:r w:rsidRPr="00CA5B75">
        <w:rPr>
          <w:rFonts w:ascii="Arial" w:hAnsi="Arial" w:cs="Arial"/>
          <w:i/>
          <w:iCs/>
          <w:sz w:val="24"/>
          <w:szCs w:val="24"/>
        </w:rPr>
        <w:t>“Smartsupervision</w:t>
      </w:r>
      <w:r w:rsidR="0095540B">
        <w:rPr>
          <w:rFonts w:ascii="Arial" w:hAnsi="Arial" w:cs="Arial"/>
          <w:i/>
          <w:iCs/>
          <w:sz w:val="24"/>
          <w:szCs w:val="24"/>
        </w:rPr>
        <w:t xml:space="preserve"> </w:t>
      </w:r>
      <w:r w:rsidRPr="00CA5B75">
        <w:rPr>
          <w:rFonts w:ascii="Arial" w:hAnsi="Arial" w:cs="Arial"/>
          <w:i/>
          <w:iCs/>
          <w:sz w:val="24"/>
          <w:szCs w:val="24"/>
        </w:rPr>
        <w:t>- Gestión</w:t>
      </w:r>
      <w:r w:rsidR="004D297F" w:rsidRPr="00CA5B75">
        <w:rPr>
          <w:rFonts w:ascii="Arial" w:hAnsi="Arial" w:cs="Arial"/>
          <w:i/>
          <w:iCs/>
          <w:sz w:val="24"/>
          <w:szCs w:val="24"/>
        </w:rPr>
        <w:t xml:space="preserve"> de</w:t>
      </w:r>
      <w:r w:rsidR="00A07325">
        <w:rPr>
          <w:rFonts w:ascii="Arial" w:hAnsi="Arial" w:cs="Arial"/>
          <w:i/>
          <w:iCs/>
          <w:sz w:val="24"/>
          <w:szCs w:val="24"/>
        </w:rPr>
        <w:t xml:space="preserve"> la</w:t>
      </w:r>
      <w:r w:rsidR="004D297F" w:rsidRPr="00CA5B75">
        <w:rPr>
          <w:rFonts w:ascii="Arial" w:hAnsi="Arial" w:cs="Arial"/>
          <w:i/>
          <w:iCs/>
          <w:sz w:val="24"/>
          <w:szCs w:val="24"/>
        </w:rPr>
        <w:t xml:space="preserve"> queja o reclamo</w:t>
      </w:r>
      <w:r w:rsidRPr="00CA5B75">
        <w:rPr>
          <w:rFonts w:ascii="Arial" w:hAnsi="Arial" w:cs="Arial"/>
          <w:i/>
          <w:iCs/>
          <w:sz w:val="24"/>
          <w:szCs w:val="24"/>
        </w:rPr>
        <w:t>”</w:t>
      </w:r>
      <w:r w:rsidRPr="00CA5B75">
        <w:rPr>
          <w:rFonts w:ascii="Arial" w:hAnsi="Arial" w:cs="Arial"/>
          <w:sz w:val="24"/>
          <w:szCs w:val="24"/>
        </w:rPr>
        <w:t xml:space="preserve"> para definir la estructura de la información que deben </w:t>
      </w:r>
      <w:r w:rsidR="00365470">
        <w:rPr>
          <w:rFonts w:ascii="Arial" w:hAnsi="Arial" w:cs="Arial"/>
          <w:sz w:val="24"/>
          <w:szCs w:val="24"/>
        </w:rPr>
        <w:t xml:space="preserve">reportar </w:t>
      </w:r>
      <w:r w:rsidRPr="00CA5B75">
        <w:rPr>
          <w:rFonts w:ascii="Arial" w:hAnsi="Arial" w:cs="Arial"/>
          <w:sz w:val="24"/>
          <w:szCs w:val="24"/>
        </w:rPr>
        <w:t>las entidades</w:t>
      </w:r>
      <w:r w:rsidR="000D1737" w:rsidRPr="00CA5B75">
        <w:rPr>
          <w:rFonts w:ascii="Arial" w:hAnsi="Arial" w:cs="Arial"/>
          <w:sz w:val="24"/>
          <w:szCs w:val="24"/>
        </w:rPr>
        <w:t xml:space="preserve"> vigiladas</w:t>
      </w:r>
      <w:r w:rsidRPr="00CA5B75">
        <w:rPr>
          <w:rFonts w:ascii="Arial" w:hAnsi="Arial" w:cs="Arial"/>
          <w:sz w:val="24"/>
          <w:szCs w:val="24"/>
        </w:rPr>
        <w:t xml:space="preserve"> destinatarias de </w:t>
      </w:r>
      <w:r w:rsidR="00E14CAC">
        <w:rPr>
          <w:rFonts w:ascii="Arial" w:hAnsi="Arial" w:cs="Arial"/>
          <w:sz w:val="24"/>
          <w:szCs w:val="24"/>
        </w:rPr>
        <w:t xml:space="preserve">la presente </w:t>
      </w:r>
      <w:r w:rsidRPr="00CA5B75">
        <w:rPr>
          <w:rFonts w:ascii="Arial" w:hAnsi="Arial" w:cs="Arial"/>
          <w:sz w:val="24"/>
          <w:szCs w:val="24"/>
        </w:rPr>
        <w:t>circular.</w:t>
      </w:r>
    </w:p>
    <w:p w14:paraId="05369CBA" w14:textId="77777777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</w:rPr>
      </w:pPr>
    </w:p>
    <w:p w14:paraId="4ECE2BCF" w14:textId="0823C415" w:rsidR="00811124" w:rsidRPr="00CA5B75" w:rsidRDefault="00DE7DC5" w:rsidP="00E51AB2">
      <w:pPr>
        <w:pBdr>
          <w:top w:val="single" w:sz="6" w:space="0" w:color="FFFFFF"/>
        </w:pBdr>
        <w:shd w:val="clear" w:color="auto" w:fill="FFFFFF"/>
        <w:ind w:right="150"/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b/>
          <w:sz w:val="24"/>
          <w:szCs w:val="24"/>
        </w:rPr>
        <w:t>CUARTA:</w:t>
      </w:r>
      <w:r w:rsidRPr="00CA5B75">
        <w:rPr>
          <w:rFonts w:ascii="Arial" w:hAnsi="Arial" w:cs="Arial"/>
          <w:sz w:val="24"/>
          <w:szCs w:val="24"/>
        </w:rPr>
        <w:t xml:space="preserve"> Para el desarrollo tecnológico requerido en la presente circular, las entidades deberán tener en cuenta el documento técnico disponible en la página web de la Superintendencia Financiera de Colombia</w:t>
      </w:r>
      <w:r w:rsidR="00FC040D" w:rsidRPr="00CA5B75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025A72" w:rsidRPr="003F0557">
          <w:rPr>
            <w:rStyle w:val="Hipervnculo"/>
            <w:rFonts w:ascii="Arial" w:hAnsi="Arial" w:cs="Arial"/>
            <w:sz w:val="24"/>
            <w:szCs w:val="24"/>
          </w:rPr>
          <w:t>www.superfinanciera.gov.co</w:t>
        </w:r>
      </w:hyperlink>
      <w:r w:rsidR="00025A72">
        <w:rPr>
          <w:rFonts w:ascii="Arial" w:hAnsi="Arial" w:cs="Arial"/>
          <w:sz w:val="24"/>
          <w:szCs w:val="24"/>
        </w:rPr>
        <w:t xml:space="preserve"> </w:t>
      </w:r>
      <w:r w:rsidR="006C080F">
        <w:rPr>
          <w:rFonts w:ascii="Arial" w:hAnsi="Arial" w:cs="Arial"/>
          <w:sz w:val="24"/>
          <w:szCs w:val="24"/>
        </w:rPr>
        <w:t>en la ruta</w:t>
      </w:r>
      <w:r w:rsidR="004D297F" w:rsidRPr="00CA5B75">
        <w:rPr>
          <w:rFonts w:ascii="Arial" w:hAnsi="Arial" w:cs="Arial"/>
          <w:sz w:val="24"/>
          <w:szCs w:val="24"/>
        </w:rPr>
        <w:t xml:space="preserve">: </w:t>
      </w:r>
      <w:r w:rsidR="00811124" w:rsidRPr="00CA5B75">
        <w:rPr>
          <w:rFonts w:ascii="Arial" w:hAnsi="Arial" w:cs="Arial"/>
          <w:sz w:val="24"/>
          <w:szCs w:val="24"/>
        </w:rPr>
        <w:t xml:space="preserve">Industrias supervisadas </w:t>
      </w:r>
      <w:r w:rsidR="004D297F" w:rsidRPr="00CA5B75">
        <w:rPr>
          <w:rFonts w:ascii="Arial" w:hAnsi="Arial" w:cs="Arial"/>
          <w:sz w:val="24"/>
          <w:szCs w:val="24"/>
        </w:rPr>
        <w:t xml:space="preserve">/ </w:t>
      </w:r>
      <w:hyperlink r:id="rId13" w:history="1">
        <w:r w:rsidR="00811124" w:rsidRPr="00CA5B75">
          <w:rPr>
            <w:rFonts w:ascii="Arial" w:hAnsi="Arial" w:cs="Arial"/>
            <w:sz w:val="24"/>
            <w:szCs w:val="24"/>
          </w:rPr>
          <w:t>Interés del Vigilado</w:t>
        </w:r>
      </w:hyperlink>
      <w:r w:rsidR="00811124" w:rsidRPr="00CA5B75">
        <w:rPr>
          <w:rFonts w:ascii="Arial" w:hAnsi="Arial" w:cs="Arial"/>
          <w:sz w:val="24"/>
          <w:szCs w:val="24"/>
        </w:rPr>
        <w:t xml:space="preserve"> </w:t>
      </w:r>
      <w:r w:rsidR="00E51AB2" w:rsidRPr="00CA5B75">
        <w:rPr>
          <w:rFonts w:ascii="Arial" w:hAnsi="Arial" w:cs="Arial"/>
          <w:sz w:val="24"/>
          <w:szCs w:val="24"/>
        </w:rPr>
        <w:t xml:space="preserve">/ </w:t>
      </w:r>
      <w:hyperlink r:id="rId14" w:history="1">
        <w:r w:rsidR="00811124" w:rsidRPr="00CA5B75">
          <w:rPr>
            <w:rFonts w:ascii="Arial" w:hAnsi="Arial" w:cs="Arial"/>
            <w:sz w:val="24"/>
            <w:szCs w:val="24"/>
          </w:rPr>
          <w:t>Reportes</w:t>
        </w:r>
      </w:hyperlink>
      <w:r w:rsidR="00E51AB2" w:rsidRPr="00CA5B75">
        <w:rPr>
          <w:rFonts w:ascii="Arial" w:hAnsi="Arial" w:cs="Arial"/>
          <w:sz w:val="24"/>
          <w:szCs w:val="24"/>
        </w:rPr>
        <w:t xml:space="preserve"> / </w:t>
      </w:r>
      <w:hyperlink r:id="rId15" w:history="1">
        <w:r w:rsidR="00811124" w:rsidRPr="00CA5B75">
          <w:rPr>
            <w:rFonts w:ascii="Arial" w:hAnsi="Arial" w:cs="Arial"/>
            <w:sz w:val="24"/>
            <w:szCs w:val="24"/>
          </w:rPr>
          <w:t>Índice de reportes de información a la Superintendencia Financiera</w:t>
        </w:r>
      </w:hyperlink>
      <w:r w:rsidR="00E51AB2" w:rsidRPr="00CA5B75">
        <w:rPr>
          <w:rFonts w:ascii="Arial" w:hAnsi="Arial" w:cs="Arial"/>
          <w:sz w:val="24"/>
          <w:szCs w:val="24"/>
        </w:rPr>
        <w:t xml:space="preserve"> / </w:t>
      </w:r>
      <w:hyperlink r:id="rId16" w:history="1">
        <w:r w:rsidR="00811124" w:rsidRPr="00CA5B75">
          <w:rPr>
            <w:rFonts w:ascii="Arial" w:hAnsi="Arial" w:cs="Arial"/>
            <w:sz w:val="24"/>
            <w:szCs w:val="24"/>
          </w:rPr>
          <w:t>Guías para el Reporte de Información</w:t>
        </w:r>
      </w:hyperlink>
      <w:r w:rsidR="00E51AB2" w:rsidRPr="00CA5B75">
        <w:rPr>
          <w:rFonts w:ascii="Arial" w:hAnsi="Arial" w:cs="Arial"/>
          <w:sz w:val="24"/>
          <w:szCs w:val="24"/>
        </w:rPr>
        <w:t xml:space="preserve"> / </w:t>
      </w:r>
      <w:r w:rsidR="00811124" w:rsidRPr="00CA5B75">
        <w:rPr>
          <w:rFonts w:ascii="Arial" w:hAnsi="Arial" w:cs="Arial"/>
          <w:sz w:val="24"/>
          <w:szCs w:val="24"/>
        </w:rPr>
        <w:t>Documentos Técnico</w:t>
      </w:r>
      <w:r w:rsidR="00F17312" w:rsidRPr="00CA5B75">
        <w:rPr>
          <w:rFonts w:ascii="Arial" w:hAnsi="Arial" w:cs="Arial"/>
          <w:sz w:val="24"/>
          <w:szCs w:val="24"/>
        </w:rPr>
        <w:t>s</w:t>
      </w:r>
      <w:r w:rsidR="0095540B">
        <w:rPr>
          <w:rFonts w:ascii="Arial" w:hAnsi="Arial" w:cs="Arial"/>
          <w:sz w:val="24"/>
          <w:szCs w:val="24"/>
        </w:rPr>
        <w:t xml:space="preserve"> /</w:t>
      </w:r>
      <w:r w:rsidR="000B0797">
        <w:rPr>
          <w:rFonts w:ascii="Arial" w:hAnsi="Arial" w:cs="Arial"/>
          <w:sz w:val="24"/>
          <w:szCs w:val="24"/>
        </w:rPr>
        <w:t xml:space="preserve"> Construcción </w:t>
      </w:r>
      <w:r w:rsidR="0095540B">
        <w:rPr>
          <w:rFonts w:ascii="Arial" w:hAnsi="Arial" w:cs="Arial"/>
          <w:sz w:val="24"/>
          <w:szCs w:val="24"/>
        </w:rPr>
        <w:t>Web Service Smartsupervision</w:t>
      </w:r>
      <w:r w:rsidR="006C080F">
        <w:rPr>
          <w:rFonts w:ascii="Arial" w:hAnsi="Arial" w:cs="Arial"/>
          <w:sz w:val="24"/>
          <w:szCs w:val="24"/>
        </w:rPr>
        <w:t xml:space="preserve">. </w:t>
      </w:r>
    </w:p>
    <w:p w14:paraId="58866305" w14:textId="77777777" w:rsidR="00DE7DC5" w:rsidRPr="00CA5B75" w:rsidRDefault="00DE7DC5" w:rsidP="00DE7DC5">
      <w:pPr>
        <w:jc w:val="both"/>
        <w:rPr>
          <w:rFonts w:ascii="Arial" w:hAnsi="Arial" w:cs="Arial"/>
          <w:b/>
          <w:sz w:val="24"/>
          <w:szCs w:val="24"/>
        </w:rPr>
      </w:pPr>
    </w:p>
    <w:p w14:paraId="2C8D4AF4" w14:textId="47BF7A93" w:rsidR="00FC040D" w:rsidRPr="00CA5B75" w:rsidRDefault="00DE7DC5" w:rsidP="00DE7DC5">
      <w:pPr>
        <w:jc w:val="both"/>
        <w:rPr>
          <w:rFonts w:ascii="Arial" w:hAnsi="Arial" w:cs="Arial"/>
          <w:bCs/>
          <w:sz w:val="24"/>
          <w:szCs w:val="24"/>
        </w:rPr>
      </w:pPr>
      <w:r w:rsidRPr="00CA5B75">
        <w:rPr>
          <w:rFonts w:ascii="Arial" w:hAnsi="Arial" w:cs="Arial"/>
          <w:b/>
          <w:sz w:val="24"/>
          <w:szCs w:val="24"/>
        </w:rPr>
        <w:t xml:space="preserve">QUINTA: </w:t>
      </w:r>
      <w:r w:rsidRPr="00CA5B75">
        <w:rPr>
          <w:rFonts w:ascii="Arial" w:hAnsi="Arial" w:cs="Arial"/>
          <w:bCs/>
          <w:sz w:val="24"/>
          <w:szCs w:val="24"/>
        </w:rPr>
        <w:t xml:space="preserve">Las entidades destinatarias de la presente circular </w:t>
      </w:r>
      <w:r w:rsidR="005620D4" w:rsidRPr="00CA5B75">
        <w:rPr>
          <w:rFonts w:ascii="Arial" w:hAnsi="Arial" w:cs="Arial"/>
          <w:bCs/>
          <w:sz w:val="24"/>
          <w:szCs w:val="24"/>
        </w:rPr>
        <w:t xml:space="preserve">deben </w:t>
      </w:r>
      <w:r w:rsidRPr="00CA5B75">
        <w:rPr>
          <w:rFonts w:ascii="Arial" w:hAnsi="Arial" w:cs="Arial"/>
          <w:bCs/>
          <w:sz w:val="24"/>
          <w:szCs w:val="24"/>
        </w:rPr>
        <w:t>implementa</w:t>
      </w:r>
      <w:r w:rsidR="0070208D" w:rsidRPr="00CA5B75">
        <w:rPr>
          <w:rFonts w:ascii="Arial" w:hAnsi="Arial" w:cs="Arial"/>
          <w:bCs/>
          <w:sz w:val="24"/>
          <w:szCs w:val="24"/>
        </w:rPr>
        <w:t>r</w:t>
      </w:r>
      <w:r w:rsidRPr="00CA5B75">
        <w:rPr>
          <w:rFonts w:ascii="Arial" w:hAnsi="Arial" w:cs="Arial"/>
          <w:bCs/>
          <w:sz w:val="24"/>
          <w:szCs w:val="24"/>
        </w:rPr>
        <w:t xml:space="preserve"> las instrucciones relacionadas con </w:t>
      </w:r>
      <w:r w:rsidR="00FC040D" w:rsidRPr="00CA5B75">
        <w:rPr>
          <w:rFonts w:ascii="Arial" w:hAnsi="Arial" w:cs="Arial"/>
          <w:bCs/>
          <w:sz w:val="24"/>
          <w:szCs w:val="24"/>
        </w:rPr>
        <w:t>el</w:t>
      </w:r>
      <w:r w:rsidR="00E14CAC">
        <w:rPr>
          <w:rFonts w:ascii="Arial" w:hAnsi="Arial" w:cs="Arial"/>
          <w:bCs/>
          <w:sz w:val="24"/>
          <w:szCs w:val="24"/>
        </w:rPr>
        <w:t xml:space="preserve"> desarrollo tecnológico</w:t>
      </w:r>
      <w:r w:rsidR="00FC040D" w:rsidRPr="00CA5B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8215D">
        <w:rPr>
          <w:rFonts w:ascii="Arial" w:hAnsi="Arial" w:cs="Arial"/>
          <w:bCs/>
          <w:sz w:val="24"/>
          <w:szCs w:val="24"/>
        </w:rPr>
        <w:t>S</w:t>
      </w:r>
      <w:r w:rsidR="00FC040D" w:rsidRPr="00CA5B75">
        <w:rPr>
          <w:rFonts w:ascii="Arial" w:hAnsi="Arial" w:cs="Arial"/>
          <w:bCs/>
          <w:sz w:val="24"/>
          <w:szCs w:val="24"/>
        </w:rPr>
        <w:t>martsupervision</w:t>
      </w:r>
      <w:proofErr w:type="spellEnd"/>
      <w:r w:rsidR="00071D4D">
        <w:rPr>
          <w:rFonts w:ascii="Arial" w:hAnsi="Arial" w:cs="Arial"/>
          <w:bCs/>
          <w:sz w:val="24"/>
          <w:szCs w:val="24"/>
        </w:rPr>
        <w:t xml:space="preserve"> </w:t>
      </w:r>
      <w:r w:rsidR="00B47BF5" w:rsidRPr="00CA5B75">
        <w:rPr>
          <w:rFonts w:ascii="Arial" w:hAnsi="Arial" w:cs="Arial"/>
          <w:bCs/>
          <w:sz w:val="24"/>
          <w:szCs w:val="24"/>
        </w:rPr>
        <w:t xml:space="preserve">atendiendo </w:t>
      </w:r>
      <w:r w:rsidR="0007702D" w:rsidRPr="00CA5B75">
        <w:rPr>
          <w:rFonts w:ascii="Arial" w:hAnsi="Arial" w:cs="Arial"/>
          <w:bCs/>
          <w:sz w:val="24"/>
          <w:szCs w:val="24"/>
        </w:rPr>
        <w:t xml:space="preserve">los tres momentos de intercambio de información a los que hace referencia el </w:t>
      </w:r>
      <w:r w:rsidR="00FB1A72">
        <w:rPr>
          <w:rFonts w:ascii="Arial" w:hAnsi="Arial" w:cs="Arial"/>
          <w:bCs/>
          <w:sz w:val="24"/>
          <w:szCs w:val="24"/>
        </w:rPr>
        <w:t>d</w:t>
      </w:r>
      <w:r w:rsidR="0007702D" w:rsidRPr="00CA5B75">
        <w:rPr>
          <w:rFonts w:ascii="Arial" w:hAnsi="Arial" w:cs="Arial"/>
          <w:bCs/>
          <w:sz w:val="24"/>
          <w:szCs w:val="24"/>
        </w:rPr>
        <w:t xml:space="preserve">ocumento </w:t>
      </w:r>
      <w:r w:rsidR="00FB1A72">
        <w:rPr>
          <w:rFonts w:ascii="Arial" w:hAnsi="Arial" w:cs="Arial"/>
          <w:bCs/>
          <w:sz w:val="24"/>
          <w:szCs w:val="24"/>
        </w:rPr>
        <w:t>t</w:t>
      </w:r>
      <w:r w:rsidR="0007702D" w:rsidRPr="00CA5B75">
        <w:rPr>
          <w:rFonts w:ascii="Arial" w:hAnsi="Arial" w:cs="Arial"/>
          <w:bCs/>
          <w:sz w:val="24"/>
          <w:szCs w:val="24"/>
        </w:rPr>
        <w:t>écnico</w:t>
      </w:r>
      <w:r w:rsidR="008520CC">
        <w:rPr>
          <w:rFonts w:ascii="Arial" w:hAnsi="Arial" w:cs="Arial"/>
          <w:bCs/>
          <w:sz w:val="24"/>
          <w:szCs w:val="24"/>
        </w:rPr>
        <w:t xml:space="preserve"> atrás mencionado</w:t>
      </w:r>
      <w:r w:rsidR="005570AE">
        <w:rPr>
          <w:rFonts w:ascii="Arial" w:hAnsi="Arial" w:cs="Arial"/>
          <w:bCs/>
          <w:sz w:val="24"/>
          <w:szCs w:val="24"/>
        </w:rPr>
        <w:t>, y</w:t>
      </w:r>
      <w:r w:rsidR="00FC040D" w:rsidRPr="00CA5B75">
        <w:rPr>
          <w:rFonts w:ascii="Arial" w:hAnsi="Arial" w:cs="Arial"/>
          <w:bCs/>
          <w:sz w:val="24"/>
          <w:szCs w:val="24"/>
        </w:rPr>
        <w:t xml:space="preserve"> </w:t>
      </w:r>
      <w:r w:rsidR="00F8737A" w:rsidRPr="00CA5B75">
        <w:rPr>
          <w:rFonts w:ascii="Arial" w:hAnsi="Arial" w:cs="Arial"/>
          <w:bCs/>
          <w:sz w:val="24"/>
          <w:szCs w:val="24"/>
        </w:rPr>
        <w:t>de acuerdo con el siguiente cronograma:</w:t>
      </w:r>
    </w:p>
    <w:p w14:paraId="04696896" w14:textId="2CFB3D3E" w:rsidR="00F8737A" w:rsidRDefault="00F8737A" w:rsidP="00DE7DC5">
      <w:pPr>
        <w:jc w:val="both"/>
        <w:rPr>
          <w:rFonts w:ascii="Arial" w:hAnsi="Arial" w:cs="Arial"/>
          <w:bCs/>
          <w:sz w:val="24"/>
          <w:szCs w:val="24"/>
        </w:rPr>
      </w:pPr>
    </w:p>
    <w:p w14:paraId="3D692C18" w14:textId="77777777" w:rsidR="00CA5B75" w:rsidRPr="00CA5B75" w:rsidRDefault="00CA5B75" w:rsidP="00DE7DC5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4144"/>
      </w:tblGrid>
      <w:tr w:rsidR="005C4D29" w:rsidRPr="00EA03D4" w14:paraId="72633E15" w14:textId="77777777" w:rsidTr="000A1028">
        <w:tc>
          <w:tcPr>
            <w:tcW w:w="4119" w:type="dxa"/>
            <w:shd w:val="clear" w:color="auto" w:fill="auto"/>
          </w:tcPr>
          <w:p w14:paraId="0476253A" w14:textId="77777777" w:rsidR="005C4D29" w:rsidRPr="00EA03D4" w:rsidRDefault="00DA2F63" w:rsidP="00E00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03D4">
              <w:rPr>
                <w:rFonts w:ascii="Arial" w:hAnsi="Arial" w:cs="Arial"/>
                <w:b/>
                <w:sz w:val="24"/>
                <w:szCs w:val="24"/>
              </w:rPr>
              <w:t xml:space="preserve">ENTIDADES </w:t>
            </w:r>
            <w:r w:rsidR="009B46DC" w:rsidRPr="00EA03D4">
              <w:rPr>
                <w:rFonts w:ascii="Arial" w:hAnsi="Arial" w:cs="Arial"/>
                <w:b/>
                <w:sz w:val="24"/>
                <w:szCs w:val="24"/>
              </w:rPr>
              <w:t>GRUPO 1</w:t>
            </w:r>
          </w:p>
        </w:tc>
        <w:tc>
          <w:tcPr>
            <w:tcW w:w="4144" w:type="dxa"/>
            <w:shd w:val="clear" w:color="auto" w:fill="auto"/>
          </w:tcPr>
          <w:p w14:paraId="437ECBF5" w14:textId="32222540" w:rsidR="005C4D29" w:rsidRPr="00EA03D4" w:rsidRDefault="00DA2F63" w:rsidP="00E00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03D4">
              <w:rPr>
                <w:rFonts w:ascii="Arial" w:hAnsi="Arial" w:cs="Arial"/>
                <w:b/>
                <w:sz w:val="24"/>
                <w:szCs w:val="24"/>
              </w:rPr>
              <w:t xml:space="preserve">CRONOGRAMA DE </w:t>
            </w:r>
            <w:r w:rsidR="00FB2C0F" w:rsidRPr="00EA03D4">
              <w:rPr>
                <w:rFonts w:ascii="Arial" w:hAnsi="Arial" w:cs="Arial"/>
                <w:b/>
                <w:sz w:val="24"/>
                <w:szCs w:val="24"/>
              </w:rPr>
              <w:t>PRUEBAS Y ENTRAD</w:t>
            </w:r>
            <w:r w:rsidR="00FE026F" w:rsidRPr="00EA03D4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FB2C0F" w:rsidRPr="00EA03D4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FE026F" w:rsidRPr="00EA03D4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FB2C0F" w:rsidRPr="00EA03D4">
              <w:rPr>
                <w:rFonts w:ascii="Arial" w:hAnsi="Arial" w:cs="Arial"/>
                <w:b/>
                <w:sz w:val="24"/>
                <w:szCs w:val="24"/>
              </w:rPr>
              <w:t xml:space="preserve"> PRODUCCIÓN</w:t>
            </w:r>
          </w:p>
        </w:tc>
      </w:tr>
      <w:tr w:rsidR="00DA2F63" w:rsidRPr="00A0303F" w14:paraId="077891CE" w14:textId="77777777" w:rsidTr="000A1028">
        <w:tc>
          <w:tcPr>
            <w:tcW w:w="4119" w:type="dxa"/>
            <w:vMerge w:val="restart"/>
            <w:shd w:val="clear" w:color="auto" w:fill="auto"/>
          </w:tcPr>
          <w:p w14:paraId="6451A1CA" w14:textId="17CE4693" w:rsidR="00DA2F63" w:rsidRPr="00A0303F" w:rsidRDefault="00DA2F63" w:rsidP="00DA2F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0303F">
              <w:rPr>
                <w:rFonts w:ascii="Arial" w:hAnsi="Arial" w:cs="Arial"/>
                <w:bCs/>
                <w:sz w:val="24"/>
                <w:szCs w:val="24"/>
              </w:rPr>
              <w:t>Bancolombia S.A</w:t>
            </w:r>
            <w:r w:rsidR="00E14CA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AB8AD75" w14:textId="64CFF895" w:rsidR="00DA2F63" w:rsidRPr="00A0303F" w:rsidRDefault="000F3223" w:rsidP="00DA2F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Banco </w:t>
            </w:r>
            <w:r w:rsidR="00DA2F63" w:rsidRPr="00A0303F">
              <w:rPr>
                <w:rFonts w:ascii="Arial" w:hAnsi="Arial" w:cs="Arial"/>
                <w:bCs/>
                <w:sz w:val="24"/>
                <w:szCs w:val="24"/>
              </w:rPr>
              <w:t xml:space="preserve">Davivienda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S.A.</w:t>
            </w:r>
          </w:p>
          <w:p w14:paraId="09E32AA3" w14:textId="5F7641D4" w:rsidR="00DA2F63" w:rsidRPr="00A0303F" w:rsidRDefault="00DA2F63" w:rsidP="00DA2F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0303F">
              <w:rPr>
                <w:rFonts w:ascii="Arial" w:hAnsi="Arial" w:cs="Arial"/>
                <w:bCs/>
                <w:sz w:val="24"/>
                <w:szCs w:val="24"/>
              </w:rPr>
              <w:t>Scotiabank Colpatria</w:t>
            </w:r>
            <w:r w:rsidR="000F3223">
              <w:rPr>
                <w:rFonts w:ascii="Arial" w:hAnsi="Arial" w:cs="Arial"/>
                <w:bCs/>
                <w:sz w:val="24"/>
                <w:szCs w:val="24"/>
              </w:rPr>
              <w:t xml:space="preserve"> S.A</w:t>
            </w:r>
            <w:r w:rsidR="00E14CA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AE76D7A" w14:textId="56C84658" w:rsidR="00DA2F63" w:rsidRPr="00A0303F" w:rsidRDefault="00DA2F63" w:rsidP="00DA2F63">
            <w:pPr>
              <w:rPr>
                <w:rFonts w:ascii="Arial" w:hAnsi="Arial" w:cs="Arial"/>
                <w:bCs/>
                <w:sz w:val="24"/>
                <w:szCs w:val="24"/>
                <w:lang w:val="es-CO"/>
              </w:rPr>
            </w:pPr>
            <w:r w:rsidRPr="00A0303F">
              <w:rPr>
                <w:rFonts w:ascii="Arial" w:hAnsi="Arial" w:cs="Arial"/>
                <w:bCs/>
                <w:sz w:val="24"/>
                <w:szCs w:val="24"/>
                <w:lang w:val="es-CO"/>
              </w:rPr>
              <w:t>Seguros de Vida Suramericana S.A</w:t>
            </w:r>
            <w:r w:rsidR="00E14CAC">
              <w:rPr>
                <w:rFonts w:ascii="Arial" w:hAnsi="Arial" w:cs="Arial"/>
                <w:bCs/>
                <w:sz w:val="24"/>
                <w:szCs w:val="24"/>
                <w:lang w:val="es-CO"/>
              </w:rPr>
              <w:t>.</w:t>
            </w:r>
          </w:p>
          <w:p w14:paraId="4B5FDF59" w14:textId="5C3F8020" w:rsidR="00DA2F63" w:rsidRPr="00A0303F" w:rsidRDefault="00DA2F63" w:rsidP="00DA2F63">
            <w:pPr>
              <w:rPr>
                <w:rFonts w:ascii="Arial" w:hAnsi="Arial" w:cs="Arial"/>
                <w:bCs/>
                <w:sz w:val="24"/>
                <w:szCs w:val="24"/>
                <w:lang w:val="es-CO"/>
              </w:rPr>
            </w:pPr>
            <w:r w:rsidRPr="00A0303F">
              <w:rPr>
                <w:rFonts w:ascii="Arial" w:hAnsi="Arial" w:cs="Arial"/>
                <w:bCs/>
                <w:sz w:val="24"/>
                <w:szCs w:val="24"/>
                <w:lang w:val="es-CO"/>
              </w:rPr>
              <w:t>Seguros Generales Suramericana S.A</w:t>
            </w:r>
            <w:r w:rsidR="00E14CAC">
              <w:rPr>
                <w:rFonts w:ascii="Arial" w:hAnsi="Arial" w:cs="Arial"/>
                <w:bCs/>
                <w:sz w:val="24"/>
                <w:szCs w:val="24"/>
                <w:lang w:val="es-CO"/>
              </w:rPr>
              <w:t>.</w:t>
            </w:r>
          </w:p>
          <w:p w14:paraId="38084741" w14:textId="77777777" w:rsidR="00DA2F63" w:rsidRPr="00A0303F" w:rsidRDefault="00DA2F63" w:rsidP="00E00F8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44" w:type="dxa"/>
            <w:shd w:val="clear" w:color="auto" w:fill="auto"/>
          </w:tcPr>
          <w:p w14:paraId="5D97111E" w14:textId="0B232385" w:rsidR="00AF7809" w:rsidRPr="00A0303F" w:rsidRDefault="000E0753" w:rsidP="00E00F8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Pruebas</w:t>
            </w:r>
            <w:r w:rsidR="00E42463">
              <w:rPr>
                <w:rFonts w:ascii="Arial" w:hAnsi="Arial" w:cs="Arial"/>
                <w:b/>
                <w:sz w:val="24"/>
                <w:szCs w:val="24"/>
              </w:rPr>
              <w:t xml:space="preserve"> momento</w:t>
            </w:r>
            <w:r w:rsidR="00E14CA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42463">
              <w:rPr>
                <w:rFonts w:ascii="Arial" w:hAnsi="Arial" w:cs="Arial"/>
                <w:b/>
                <w:sz w:val="24"/>
                <w:szCs w:val="24"/>
              </w:rPr>
              <w:t xml:space="preserve"> 1, 2 y 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8737A" w:rsidRPr="009E0CBA">
              <w:rPr>
                <w:rFonts w:ascii="Arial" w:hAnsi="Arial" w:cs="Arial"/>
                <w:bCs/>
                <w:sz w:val="24"/>
                <w:szCs w:val="24"/>
              </w:rPr>
              <w:t>Desde</w:t>
            </w:r>
            <w:r w:rsidR="00F8737A" w:rsidRPr="00A0303F">
              <w:rPr>
                <w:rFonts w:ascii="Arial" w:hAnsi="Arial" w:cs="Arial"/>
                <w:bCs/>
                <w:sz w:val="24"/>
                <w:szCs w:val="24"/>
              </w:rPr>
              <w:t xml:space="preserve"> el 1 de noviembre de 2021 y h</w:t>
            </w:r>
            <w:r w:rsidR="000A1028" w:rsidRPr="00A0303F">
              <w:rPr>
                <w:rFonts w:ascii="Arial" w:hAnsi="Arial" w:cs="Arial"/>
                <w:bCs/>
                <w:sz w:val="24"/>
                <w:szCs w:val="24"/>
              </w:rPr>
              <w:t>asta el 31 de diciembre de 2021</w:t>
            </w:r>
          </w:p>
        </w:tc>
      </w:tr>
      <w:tr w:rsidR="00DA2F63" w:rsidRPr="00A0303F" w14:paraId="30CFFB69" w14:textId="77777777" w:rsidTr="000A1028">
        <w:tc>
          <w:tcPr>
            <w:tcW w:w="4119" w:type="dxa"/>
            <w:vMerge/>
            <w:shd w:val="clear" w:color="auto" w:fill="auto"/>
          </w:tcPr>
          <w:p w14:paraId="377E4083" w14:textId="77777777" w:rsidR="00DA2F63" w:rsidRPr="00A0303F" w:rsidRDefault="00DA2F63" w:rsidP="00E00F8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44" w:type="dxa"/>
            <w:shd w:val="clear" w:color="auto" w:fill="auto"/>
          </w:tcPr>
          <w:p w14:paraId="4DC8F0F0" w14:textId="5E165B43" w:rsidR="002E6A72" w:rsidRPr="00A0303F" w:rsidRDefault="00DA2F63" w:rsidP="000E07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303F">
              <w:rPr>
                <w:rFonts w:ascii="Arial" w:hAnsi="Arial" w:cs="Arial"/>
                <w:b/>
                <w:sz w:val="24"/>
                <w:szCs w:val="24"/>
              </w:rPr>
              <w:t>Entrada en producción</w:t>
            </w:r>
            <w:r w:rsidR="00E42463">
              <w:rPr>
                <w:rFonts w:ascii="Arial" w:hAnsi="Arial" w:cs="Arial"/>
                <w:b/>
                <w:sz w:val="24"/>
                <w:szCs w:val="24"/>
              </w:rPr>
              <w:t xml:space="preserve"> momento</w:t>
            </w:r>
            <w:r w:rsidR="00E14CA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42463">
              <w:rPr>
                <w:rFonts w:ascii="Arial" w:hAnsi="Arial" w:cs="Arial"/>
                <w:b/>
                <w:sz w:val="24"/>
                <w:szCs w:val="24"/>
              </w:rPr>
              <w:t xml:space="preserve"> 1, 2 y 3</w:t>
            </w:r>
            <w:r w:rsidR="000E075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B71BB7" w:rsidRPr="00B71BB7">
              <w:rPr>
                <w:rFonts w:ascii="Arial" w:hAnsi="Arial" w:cs="Arial"/>
                <w:bCs/>
                <w:sz w:val="24"/>
                <w:szCs w:val="24"/>
              </w:rPr>
              <w:t xml:space="preserve">A más tardar </w:t>
            </w:r>
            <w:r w:rsidR="006C5C62">
              <w:rPr>
                <w:rFonts w:ascii="Arial" w:hAnsi="Arial" w:cs="Arial"/>
                <w:bCs/>
                <w:sz w:val="24"/>
                <w:szCs w:val="24"/>
              </w:rPr>
              <w:t xml:space="preserve">el </w:t>
            </w:r>
            <w:r w:rsidR="002E6A72" w:rsidRPr="00A0303F">
              <w:rPr>
                <w:rFonts w:ascii="Arial" w:hAnsi="Arial" w:cs="Arial"/>
                <w:bCs/>
                <w:sz w:val="24"/>
                <w:szCs w:val="24"/>
              </w:rPr>
              <w:t>1 de marzo de 2022</w:t>
            </w:r>
          </w:p>
        </w:tc>
      </w:tr>
    </w:tbl>
    <w:p w14:paraId="71F86C81" w14:textId="34F84C64" w:rsidR="002160CE" w:rsidRPr="00A0303F" w:rsidRDefault="002160CE" w:rsidP="00DE7DC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D7EDDA" w14:textId="77777777" w:rsidR="009338E1" w:rsidRPr="00A0303F" w:rsidRDefault="009338E1" w:rsidP="00DE7DC5">
      <w:pPr>
        <w:jc w:val="both"/>
        <w:rPr>
          <w:rFonts w:ascii="Arial" w:hAnsi="Arial" w:cs="Arial"/>
          <w:b/>
          <w:bCs/>
          <w:sz w:val="24"/>
          <w:szCs w:val="24"/>
        </w:rPr>
        <w:sectPr w:rsidR="009338E1" w:rsidRPr="00A0303F" w:rsidSect="00E11838">
          <w:headerReference w:type="first" r:id="rId17"/>
          <w:pgSz w:w="12242" w:h="18722" w:code="14"/>
          <w:pgMar w:top="1276" w:right="1701" w:bottom="1701" w:left="2268" w:header="624" w:footer="680" w:gutter="0"/>
          <w:paperSrc w:first="2" w:other="2"/>
          <w:cols w:space="708"/>
          <w:titlePg/>
          <w:docGrid w:linePitch="360"/>
        </w:sectPr>
      </w:pPr>
    </w:p>
    <w:p w14:paraId="34975ACA" w14:textId="53078DCE" w:rsidR="00CA5B75" w:rsidRPr="00A0303F" w:rsidRDefault="00CA5B75" w:rsidP="00DE7DC5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139"/>
      </w:tblGrid>
      <w:tr w:rsidR="00E00F88" w:rsidRPr="00EA03D4" w14:paraId="2E3A0565" w14:textId="77777777" w:rsidTr="000A1028">
        <w:tc>
          <w:tcPr>
            <w:tcW w:w="4124" w:type="dxa"/>
            <w:tcBorders>
              <w:bottom w:val="single" w:sz="4" w:space="0" w:color="auto"/>
            </w:tcBorders>
            <w:shd w:val="clear" w:color="auto" w:fill="auto"/>
          </w:tcPr>
          <w:p w14:paraId="62677CFC" w14:textId="77777777" w:rsidR="00860157" w:rsidRPr="00EA03D4" w:rsidRDefault="00860157" w:rsidP="00E00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03D4">
              <w:rPr>
                <w:rFonts w:ascii="Arial" w:hAnsi="Arial" w:cs="Arial"/>
                <w:b/>
                <w:sz w:val="24"/>
                <w:szCs w:val="24"/>
              </w:rPr>
              <w:t xml:space="preserve">ENTIDADES </w:t>
            </w:r>
            <w:r w:rsidR="009B46DC" w:rsidRPr="00EA03D4">
              <w:rPr>
                <w:rFonts w:ascii="Arial" w:hAnsi="Arial" w:cs="Arial"/>
                <w:b/>
                <w:sz w:val="24"/>
                <w:szCs w:val="24"/>
              </w:rPr>
              <w:t>GRUPO 2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3732AD95" w14:textId="7547D504" w:rsidR="00860157" w:rsidRPr="00EA03D4" w:rsidRDefault="006C5C62" w:rsidP="00E00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03D4">
              <w:rPr>
                <w:rFonts w:ascii="Arial" w:hAnsi="Arial" w:cs="Arial"/>
                <w:b/>
                <w:sz w:val="24"/>
                <w:szCs w:val="24"/>
              </w:rPr>
              <w:t>CRONOGRAMA DE PRUEBAS Y ENTRADA EN PRODUCCIÓN</w:t>
            </w:r>
          </w:p>
        </w:tc>
      </w:tr>
      <w:tr w:rsidR="00E00F88" w:rsidRPr="00A0303F" w14:paraId="0DD183DD" w14:textId="77777777" w:rsidTr="000A1028">
        <w:tc>
          <w:tcPr>
            <w:tcW w:w="4124" w:type="dxa"/>
            <w:vMerge w:val="restart"/>
            <w:tcBorders>
              <w:bottom w:val="nil"/>
            </w:tcBorders>
            <w:shd w:val="clear" w:color="auto" w:fill="auto"/>
          </w:tcPr>
          <w:p w14:paraId="02EDCC7C" w14:textId="464954F8" w:rsidR="00860157" w:rsidRPr="00A0303F" w:rsidRDefault="00860157" w:rsidP="00E00F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303F">
              <w:rPr>
                <w:rFonts w:ascii="Arial" w:hAnsi="Arial" w:cs="Arial"/>
                <w:bCs/>
                <w:sz w:val="24"/>
                <w:szCs w:val="24"/>
              </w:rPr>
              <w:t xml:space="preserve">Establecimientos de crédito, </w:t>
            </w:r>
            <w:r w:rsidRPr="00A0303F">
              <w:rPr>
                <w:rFonts w:ascii="Arial" w:hAnsi="Arial" w:cs="Arial"/>
                <w:sz w:val="24"/>
                <w:szCs w:val="24"/>
              </w:rPr>
              <w:t xml:space="preserve">compañías de seguros generales y seguros de vida </w:t>
            </w:r>
            <w:r w:rsidR="00365BC2" w:rsidRPr="00A0303F">
              <w:rPr>
                <w:rFonts w:ascii="Arial" w:hAnsi="Arial" w:cs="Arial"/>
                <w:sz w:val="24"/>
                <w:szCs w:val="24"/>
              </w:rPr>
              <w:t>que no hagan parte del grupo 1</w:t>
            </w:r>
            <w:r w:rsidRPr="00A0303F">
              <w:rPr>
                <w:rFonts w:ascii="Arial" w:hAnsi="Arial" w:cs="Arial"/>
                <w:sz w:val="24"/>
                <w:szCs w:val="24"/>
              </w:rPr>
              <w:t xml:space="preserve">, sociedades de servicios financieros, sociedades de capitalización, entidades de seguridad social administradoras del régimen solidario de prima media con prestación definida, los miembros de las bolsas de bienes y productos agropecuarios y agroindustriales, sociedades comisionistas de bolsas de valores, comisionistas independientes de valores y sociedades administradoras de fondos de inversión, </w:t>
            </w:r>
            <w:r w:rsidR="0031681C">
              <w:rPr>
                <w:rFonts w:ascii="Arial" w:hAnsi="Arial" w:cs="Arial"/>
                <w:sz w:val="24"/>
                <w:szCs w:val="24"/>
              </w:rPr>
              <w:t>s</w:t>
            </w:r>
            <w:r w:rsidR="0031681C" w:rsidRPr="00A0303F">
              <w:rPr>
                <w:rFonts w:ascii="Arial" w:hAnsi="Arial" w:cs="Arial"/>
                <w:sz w:val="24"/>
                <w:szCs w:val="24"/>
              </w:rPr>
              <w:t xml:space="preserve">ociedades </w:t>
            </w:r>
            <w:r w:rsidRPr="00A0303F">
              <w:rPr>
                <w:rFonts w:ascii="Arial" w:hAnsi="Arial" w:cs="Arial"/>
                <w:sz w:val="24"/>
                <w:szCs w:val="24"/>
              </w:rPr>
              <w:t>corredoras de seguros y reaseguros y las cooperativas de seguros, Fondo Nacional del Ahorro</w:t>
            </w:r>
            <w:r w:rsidR="0095540B">
              <w:rPr>
                <w:rFonts w:ascii="Arial" w:hAnsi="Arial" w:cs="Arial"/>
                <w:sz w:val="24"/>
                <w:szCs w:val="24"/>
              </w:rPr>
              <w:t xml:space="preserve"> (FNA)</w:t>
            </w:r>
            <w:r w:rsidRPr="00A0303F">
              <w:rPr>
                <w:rFonts w:ascii="Arial" w:hAnsi="Arial" w:cs="Arial"/>
                <w:sz w:val="24"/>
                <w:szCs w:val="24"/>
              </w:rPr>
              <w:t xml:space="preserve">, el Instituto Colombiano de Crédito Educativo y </w:t>
            </w:r>
            <w:r w:rsidR="0031681C">
              <w:rPr>
                <w:rFonts w:ascii="Arial" w:hAnsi="Arial" w:cs="Arial"/>
                <w:sz w:val="24"/>
                <w:szCs w:val="24"/>
              </w:rPr>
              <w:t>E</w:t>
            </w:r>
            <w:r w:rsidR="0031681C" w:rsidRPr="00A0303F">
              <w:rPr>
                <w:rFonts w:ascii="Arial" w:hAnsi="Arial" w:cs="Arial"/>
                <w:sz w:val="24"/>
                <w:szCs w:val="24"/>
              </w:rPr>
              <w:t xml:space="preserve">studios </w:t>
            </w:r>
            <w:r w:rsidR="0031681C">
              <w:rPr>
                <w:rFonts w:ascii="Arial" w:hAnsi="Arial" w:cs="Arial"/>
                <w:sz w:val="24"/>
                <w:szCs w:val="24"/>
              </w:rPr>
              <w:t>T</w:t>
            </w:r>
            <w:r w:rsidRPr="00A0303F">
              <w:rPr>
                <w:rFonts w:ascii="Arial" w:hAnsi="Arial" w:cs="Arial"/>
                <w:sz w:val="24"/>
                <w:szCs w:val="24"/>
              </w:rPr>
              <w:t xml:space="preserve">écnicos en el Exterior (ICETEX), la Caja Honor, </w:t>
            </w:r>
            <w:r w:rsidRPr="00A0303F">
              <w:rPr>
                <w:rFonts w:ascii="Arial" w:hAnsi="Arial" w:cs="Arial"/>
                <w:bCs/>
                <w:sz w:val="24"/>
                <w:szCs w:val="24"/>
              </w:rPr>
              <w:t xml:space="preserve">Sociedades </w:t>
            </w:r>
            <w:r w:rsidR="0031681C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31681C" w:rsidRPr="00A0303F">
              <w:rPr>
                <w:rFonts w:ascii="Arial" w:hAnsi="Arial" w:cs="Arial"/>
                <w:bCs/>
                <w:sz w:val="24"/>
                <w:szCs w:val="24"/>
              </w:rPr>
              <w:t xml:space="preserve">specializadas </w:t>
            </w:r>
            <w:r w:rsidRPr="00A0303F">
              <w:rPr>
                <w:rFonts w:ascii="Arial" w:hAnsi="Arial" w:cs="Arial"/>
                <w:bCs/>
                <w:sz w:val="24"/>
                <w:szCs w:val="24"/>
              </w:rPr>
              <w:t xml:space="preserve">en </w:t>
            </w:r>
            <w:r w:rsidR="0031681C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A0303F">
              <w:rPr>
                <w:rFonts w:ascii="Arial" w:hAnsi="Arial" w:cs="Arial"/>
                <w:bCs/>
                <w:sz w:val="24"/>
                <w:szCs w:val="24"/>
              </w:rPr>
              <w:t xml:space="preserve">epósitos y </w:t>
            </w:r>
            <w:r w:rsidR="0031681C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31681C" w:rsidRPr="00A0303F">
              <w:rPr>
                <w:rFonts w:ascii="Arial" w:hAnsi="Arial" w:cs="Arial"/>
                <w:bCs/>
                <w:sz w:val="24"/>
                <w:szCs w:val="24"/>
              </w:rPr>
              <w:t xml:space="preserve">agos </w:t>
            </w:r>
            <w:r w:rsidRPr="00A0303F">
              <w:rPr>
                <w:rFonts w:ascii="Arial" w:hAnsi="Arial" w:cs="Arial"/>
                <w:bCs/>
                <w:sz w:val="24"/>
                <w:szCs w:val="24"/>
              </w:rPr>
              <w:t>Electrónicos (SEDPE)</w:t>
            </w:r>
            <w:r w:rsidRPr="00A0303F">
              <w:rPr>
                <w:rFonts w:ascii="Arial" w:hAnsi="Arial" w:cs="Arial"/>
                <w:sz w:val="24"/>
                <w:szCs w:val="24"/>
              </w:rPr>
              <w:t xml:space="preserve"> y las </w:t>
            </w:r>
            <w:r w:rsidR="002025BD">
              <w:rPr>
                <w:rFonts w:ascii="Arial" w:hAnsi="Arial" w:cs="Arial"/>
                <w:sz w:val="24"/>
                <w:szCs w:val="24"/>
              </w:rPr>
              <w:t>S</w:t>
            </w:r>
            <w:r w:rsidRPr="00A0303F">
              <w:rPr>
                <w:rFonts w:ascii="Arial" w:hAnsi="Arial" w:cs="Arial"/>
                <w:sz w:val="24"/>
                <w:szCs w:val="24"/>
              </w:rPr>
              <w:t xml:space="preserve">ociedades de </w:t>
            </w:r>
            <w:r w:rsidR="002025BD">
              <w:rPr>
                <w:rFonts w:ascii="Arial" w:hAnsi="Arial" w:cs="Arial"/>
                <w:sz w:val="24"/>
                <w:szCs w:val="24"/>
              </w:rPr>
              <w:t>F</w:t>
            </w:r>
            <w:r w:rsidRPr="00A0303F">
              <w:rPr>
                <w:rFonts w:ascii="Arial" w:hAnsi="Arial" w:cs="Arial"/>
                <w:sz w:val="24"/>
                <w:szCs w:val="24"/>
              </w:rPr>
              <w:t xml:space="preserve">inanciación </w:t>
            </w:r>
            <w:r w:rsidR="002025BD">
              <w:rPr>
                <w:rFonts w:ascii="Arial" w:hAnsi="Arial" w:cs="Arial"/>
                <w:sz w:val="24"/>
                <w:szCs w:val="24"/>
              </w:rPr>
              <w:t>C</w:t>
            </w:r>
            <w:r w:rsidRPr="00A0303F">
              <w:rPr>
                <w:rFonts w:ascii="Arial" w:hAnsi="Arial" w:cs="Arial"/>
                <w:sz w:val="24"/>
                <w:szCs w:val="24"/>
              </w:rPr>
              <w:t>olaborativa a través de valores, las bolsas de valores y los sistemas de negociación o registro de valores que realicen la actividad de financiación colaborativa (SOFICO) y</w:t>
            </w:r>
            <w:r w:rsidR="000266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303F">
              <w:rPr>
                <w:rFonts w:ascii="Arial" w:hAnsi="Arial" w:cs="Arial"/>
                <w:sz w:val="24"/>
                <w:szCs w:val="24"/>
              </w:rPr>
              <w:t>cualquier otra entidad vigilada por la SFC que esté obligada a contar con un Sistema de Atención al Consumidor (SAC)</w:t>
            </w:r>
            <w:r w:rsidR="003B7977">
              <w:rPr>
                <w:rFonts w:ascii="Arial" w:hAnsi="Arial" w:cs="Arial"/>
                <w:sz w:val="24"/>
                <w:szCs w:val="24"/>
              </w:rPr>
              <w:t>, así como los</w:t>
            </w:r>
            <w:r w:rsidR="001F5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99D" w:rsidRPr="001F525F">
              <w:rPr>
                <w:rFonts w:ascii="Arial" w:hAnsi="Arial" w:cs="Arial"/>
                <w:sz w:val="24"/>
                <w:szCs w:val="24"/>
              </w:rPr>
              <w:t>operadores de información de la planilla integrada de liquidación de aportes -PILA-</w:t>
            </w:r>
            <w:r w:rsidR="001F525F" w:rsidRPr="001F525F">
              <w:rPr>
                <w:rFonts w:ascii="Arial" w:hAnsi="Arial" w:cs="Arial"/>
                <w:sz w:val="24"/>
                <w:szCs w:val="24"/>
              </w:rPr>
              <w:t>.</w:t>
            </w:r>
            <w:r w:rsidR="003B7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CA6DE3" w14:textId="77777777" w:rsidR="00860157" w:rsidRPr="00A0303F" w:rsidRDefault="00860157" w:rsidP="00E00F8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bottom w:val="nil"/>
            </w:tcBorders>
            <w:shd w:val="clear" w:color="auto" w:fill="auto"/>
          </w:tcPr>
          <w:p w14:paraId="4650336C" w14:textId="474A692B" w:rsidR="00860157" w:rsidRPr="00A0303F" w:rsidRDefault="00860157" w:rsidP="000E07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303F">
              <w:rPr>
                <w:rFonts w:ascii="Arial" w:hAnsi="Arial" w:cs="Arial"/>
                <w:b/>
                <w:sz w:val="24"/>
                <w:szCs w:val="24"/>
              </w:rPr>
              <w:t>Pruebas</w:t>
            </w:r>
            <w:r w:rsidR="00E42463">
              <w:rPr>
                <w:rFonts w:ascii="Arial" w:hAnsi="Arial" w:cs="Arial"/>
                <w:b/>
                <w:sz w:val="24"/>
                <w:szCs w:val="24"/>
              </w:rPr>
              <w:t xml:space="preserve"> momento</w:t>
            </w:r>
            <w:r w:rsidR="00E14CA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42463">
              <w:rPr>
                <w:rFonts w:ascii="Arial" w:hAnsi="Arial" w:cs="Arial"/>
                <w:b/>
                <w:sz w:val="24"/>
                <w:szCs w:val="24"/>
              </w:rPr>
              <w:t xml:space="preserve"> 1, 2 y 3</w:t>
            </w:r>
            <w:r w:rsidR="000E075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620D4" w:rsidRPr="00A0303F">
              <w:rPr>
                <w:rFonts w:ascii="Arial" w:hAnsi="Arial" w:cs="Arial"/>
                <w:bCs/>
                <w:sz w:val="24"/>
                <w:szCs w:val="24"/>
              </w:rPr>
              <w:t xml:space="preserve">Entre </w:t>
            </w:r>
            <w:r w:rsidR="00F8737A" w:rsidRPr="00A0303F">
              <w:rPr>
                <w:rFonts w:ascii="Arial" w:hAnsi="Arial" w:cs="Arial"/>
                <w:bCs/>
                <w:sz w:val="24"/>
                <w:szCs w:val="24"/>
              </w:rPr>
              <w:t>el 1 de diciembre de 2021 y h</w:t>
            </w:r>
            <w:r w:rsidR="000A1028" w:rsidRPr="00A0303F">
              <w:rPr>
                <w:rFonts w:ascii="Arial" w:hAnsi="Arial" w:cs="Arial"/>
                <w:bCs/>
                <w:sz w:val="24"/>
                <w:szCs w:val="24"/>
              </w:rPr>
              <w:t>asta el 13 de mayo de 2022</w:t>
            </w:r>
            <w:r w:rsidR="00E71B6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E00F88" w:rsidRPr="00CA5B75" w14:paraId="3F407237" w14:textId="77777777" w:rsidTr="000A1028">
        <w:tc>
          <w:tcPr>
            <w:tcW w:w="4124" w:type="dxa"/>
            <w:vMerge/>
            <w:shd w:val="clear" w:color="auto" w:fill="auto"/>
          </w:tcPr>
          <w:p w14:paraId="001AC477" w14:textId="77777777" w:rsidR="00860157" w:rsidRPr="00A0303F" w:rsidRDefault="00860157" w:rsidP="00E00F8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14:paraId="11975863" w14:textId="0C90836D" w:rsidR="00860157" w:rsidRPr="00A0303F" w:rsidRDefault="00860157" w:rsidP="00E00F8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303F">
              <w:rPr>
                <w:rFonts w:ascii="Arial" w:hAnsi="Arial" w:cs="Arial"/>
                <w:b/>
                <w:sz w:val="24"/>
                <w:szCs w:val="24"/>
              </w:rPr>
              <w:t>Entrada en producción</w:t>
            </w:r>
            <w:r w:rsidR="00E42463">
              <w:rPr>
                <w:rFonts w:ascii="Arial" w:hAnsi="Arial" w:cs="Arial"/>
                <w:b/>
                <w:sz w:val="24"/>
                <w:szCs w:val="24"/>
              </w:rPr>
              <w:t xml:space="preserve"> momento</w:t>
            </w:r>
            <w:r w:rsidR="00E71B69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42463">
              <w:rPr>
                <w:rFonts w:ascii="Arial" w:hAnsi="Arial" w:cs="Arial"/>
                <w:b/>
                <w:sz w:val="24"/>
                <w:szCs w:val="24"/>
              </w:rPr>
              <w:t xml:space="preserve"> 1, 2 y 3: </w:t>
            </w:r>
            <w:r w:rsidR="00FF1B65" w:rsidRPr="00A0303F">
              <w:rPr>
                <w:rFonts w:ascii="Arial" w:hAnsi="Arial" w:cs="Arial"/>
                <w:bCs/>
                <w:sz w:val="24"/>
                <w:szCs w:val="24"/>
              </w:rPr>
              <w:t>A más tardar e</w:t>
            </w:r>
            <w:r w:rsidR="000A1028" w:rsidRPr="00A0303F">
              <w:rPr>
                <w:rFonts w:ascii="Arial" w:hAnsi="Arial" w:cs="Arial"/>
                <w:bCs/>
                <w:sz w:val="24"/>
                <w:szCs w:val="24"/>
              </w:rPr>
              <w:t>l 30 de junio de 2022</w:t>
            </w:r>
            <w:r w:rsidR="00E71B6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626881B" w14:textId="77777777" w:rsidR="00277CC1" w:rsidRPr="00A0303F" w:rsidRDefault="00277CC1" w:rsidP="00D61F4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A08BA94" w14:textId="04BA788C" w:rsidR="00FC040D" w:rsidRDefault="00FC040D" w:rsidP="000C1C9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874D09" w14:textId="064D87B6" w:rsidR="006C2B92" w:rsidRPr="008742B0" w:rsidRDefault="006C2B92" w:rsidP="006C2B92">
      <w:pPr>
        <w:jc w:val="both"/>
        <w:rPr>
          <w:rFonts w:ascii="Arial" w:hAnsi="Arial" w:cs="Arial"/>
          <w:sz w:val="24"/>
          <w:szCs w:val="24"/>
        </w:rPr>
      </w:pPr>
      <w:r w:rsidRPr="008742B0">
        <w:rPr>
          <w:rFonts w:ascii="Arial" w:hAnsi="Arial" w:cs="Arial"/>
          <w:sz w:val="24"/>
          <w:szCs w:val="24"/>
        </w:rPr>
        <w:t>Las entidades del grupo 2</w:t>
      </w:r>
      <w:r w:rsidR="002D495E" w:rsidRPr="008742B0">
        <w:rPr>
          <w:rFonts w:ascii="Arial" w:hAnsi="Arial" w:cs="Arial"/>
          <w:sz w:val="24"/>
          <w:szCs w:val="24"/>
        </w:rPr>
        <w:t xml:space="preserve"> </w:t>
      </w:r>
      <w:r w:rsidRPr="008742B0">
        <w:rPr>
          <w:rFonts w:ascii="Arial" w:hAnsi="Arial" w:cs="Arial"/>
          <w:sz w:val="24"/>
          <w:szCs w:val="24"/>
        </w:rPr>
        <w:t>deberán</w:t>
      </w:r>
      <w:r w:rsidR="000C0050" w:rsidRPr="008742B0">
        <w:rPr>
          <w:rFonts w:ascii="Arial" w:hAnsi="Arial" w:cs="Arial"/>
          <w:sz w:val="24"/>
          <w:szCs w:val="24"/>
        </w:rPr>
        <w:t xml:space="preserve"> </w:t>
      </w:r>
      <w:r w:rsidR="0043358C">
        <w:rPr>
          <w:rFonts w:ascii="Arial" w:hAnsi="Arial" w:cs="Arial"/>
          <w:sz w:val="24"/>
          <w:szCs w:val="24"/>
        </w:rPr>
        <w:t xml:space="preserve">diligenciar </w:t>
      </w:r>
      <w:r w:rsidR="00A1754C" w:rsidRPr="008742B0">
        <w:rPr>
          <w:rFonts w:ascii="Arial" w:hAnsi="Arial" w:cs="Arial"/>
          <w:sz w:val="24"/>
          <w:szCs w:val="24"/>
        </w:rPr>
        <w:t>a más tardar el 19 de noviembre de 2021</w:t>
      </w:r>
      <w:r w:rsidR="0043358C">
        <w:rPr>
          <w:rFonts w:ascii="Arial" w:hAnsi="Arial" w:cs="Arial"/>
          <w:sz w:val="24"/>
          <w:szCs w:val="24"/>
        </w:rPr>
        <w:t xml:space="preserve"> el formulario </w:t>
      </w:r>
      <w:r w:rsidR="001C01F4">
        <w:rPr>
          <w:rFonts w:ascii="Arial" w:hAnsi="Arial" w:cs="Arial"/>
          <w:sz w:val="24"/>
          <w:szCs w:val="24"/>
        </w:rPr>
        <w:t xml:space="preserve">publicado en el enlace </w:t>
      </w:r>
      <w:hyperlink r:id="rId18" w:history="1">
        <w:r w:rsidR="00620ED0" w:rsidRPr="003F0557">
          <w:rPr>
            <w:rStyle w:val="Hipervnculo"/>
            <w:rFonts w:ascii="Arial" w:hAnsi="Arial" w:cs="Arial"/>
            <w:sz w:val="24"/>
            <w:szCs w:val="24"/>
          </w:rPr>
          <w:t>https://docs.google.com/forms/d/e/1FAIpQLSe5ZxPK0pBm80CixhXWvmshJAxiIznhG03mQk-KtDM49je0XQ/viewform</w:t>
        </w:r>
      </w:hyperlink>
      <w:r w:rsidR="00816287">
        <w:rPr>
          <w:rStyle w:val="Hipervnculo"/>
          <w:rFonts w:ascii="Arial" w:hAnsi="Arial" w:cs="Arial"/>
          <w:sz w:val="24"/>
          <w:szCs w:val="24"/>
        </w:rPr>
        <w:t>.</w:t>
      </w:r>
      <w:r w:rsidR="00620ED0">
        <w:rPr>
          <w:rFonts w:ascii="Arial" w:hAnsi="Arial" w:cs="Arial"/>
          <w:sz w:val="24"/>
          <w:szCs w:val="24"/>
        </w:rPr>
        <w:t xml:space="preserve"> </w:t>
      </w:r>
      <w:r w:rsidR="00816287">
        <w:rPr>
          <w:rFonts w:ascii="Arial" w:hAnsi="Arial" w:cs="Arial"/>
          <w:sz w:val="24"/>
          <w:szCs w:val="24"/>
        </w:rPr>
        <w:t>C</w:t>
      </w:r>
      <w:r w:rsidR="00F251FF" w:rsidRPr="008742B0">
        <w:rPr>
          <w:rFonts w:ascii="Arial" w:hAnsi="Arial" w:cs="Arial"/>
          <w:sz w:val="24"/>
          <w:szCs w:val="24"/>
        </w:rPr>
        <w:t>on base</w:t>
      </w:r>
      <w:r w:rsidRPr="008742B0">
        <w:rPr>
          <w:rFonts w:ascii="Arial" w:hAnsi="Arial" w:cs="Arial"/>
          <w:sz w:val="24"/>
          <w:szCs w:val="24"/>
        </w:rPr>
        <w:t xml:space="preserve"> en esta información</w:t>
      </w:r>
      <w:r w:rsidR="0025218B" w:rsidRPr="008742B0">
        <w:rPr>
          <w:rFonts w:ascii="Arial" w:hAnsi="Arial" w:cs="Arial"/>
          <w:sz w:val="24"/>
          <w:szCs w:val="24"/>
        </w:rPr>
        <w:t xml:space="preserve"> se</w:t>
      </w:r>
      <w:r w:rsidRPr="008742B0">
        <w:rPr>
          <w:rFonts w:ascii="Arial" w:hAnsi="Arial" w:cs="Arial"/>
          <w:sz w:val="24"/>
          <w:szCs w:val="24"/>
        </w:rPr>
        <w:t xml:space="preserve"> establecerá un cronograma de pruebas y entrada en producción para cada entidad. </w:t>
      </w:r>
    </w:p>
    <w:p w14:paraId="00AF47FD" w14:textId="77777777" w:rsidR="00205BD3" w:rsidRDefault="00205BD3" w:rsidP="000C1C9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7F0AF1" w14:textId="09247BCC" w:rsidR="00FC040D" w:rsidRPr="00CA5B75" w:rsidRDefault="00021D37" w:rsidP="00EE6DB8">
      <w:pPr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b/>
          <w:bCs/>
          <w:sz w:val="24"/>
          <w:szCs w:val="24"/>
        </w:rPr>
        <w:t>SEXTA</w:t>
      </w:r>
      <w:r w:rsidRPr="00CA5B75">
        <w:rPr>
          <w:rFonts w:ascii="Arial" w:hAnsi="Arial" w:cs="Arial"/>
          <w:bCs/>
          <w:sz w:val="24"/>
          <w:szCs w:val="24"/>
        </w:rPr>
        <w:t xml:space="preserve">: </w:t>
      </w:r>
      <w:r w:rsidR="00BD6786" w:rsidRPr="00CA5B75">
        <w:rPr>
          <w:rFonts w:ascii="Arial" w:hAnsi="Arial" w:cs="Arial"/>
          <w:bCs/>
          <w:sz w:val="24"/>
          <w:szCs w:val="24"/>
        </w:rPr>
        <w:t>Las entidades deberán continuar reportando la información de l</w:t>
      </w:r>
      <w:r w:rsidR="00EC4326" w:rsidRPr="00CA5B75">
        <w:rPr>
          <w:rFonts w:ascii="Arial" w:hAnsi="Arial" w:cs="Arial"/>
          <w:bCs/>
          <w:sz w:val="24"/>
          <w:szCs w:val="24"/>
        </w:rPr>
        <w:t>a</w:t>
      </w:r>
      <w:r w:rsidR="003309BD" w:rsidRPr="00CA5B75">
        <w:rPr>
          <w:rFonts w:ascii="Arial" w:hAnsi="Arial" w:cs="Arial"/>
          <w:bCs/>
          <w:sz w:val="24"/>
          <w:szCs w:val="24"/>
        </w:rPr>
        <w:t>s</w:t>
      </w:r>
      <w:r w:rsidR="00BD6786" w:rsidRPr="00CA5B75">
        <w:rPr>
          <w:rFonts w:ascii="Arial" w:hAnsi="Arial" w:cs="Arial"/>
          <w:bCs/>
          <w:sz w:val="24"/>
          <w:szCs w:val="24"/>
        </w:rPr>
        <w:t xml:space="preserve"> </w:t>
      </w:r>
      <w:r w:rsidR="009F39B2" w:rsidRPr="00CA5B75">
        <w:rPr>
          <w:rFonts w:ascii="Arial" w:hAnsi="Arial" w:cs="Arial"/>
          <w:sz w:val="24"/>
          <w:szCs w:val="24"/>
        </w:rPr>
        <w:t>p</w:t>
      </w:r>
      <w:r w:rsidR="00BD6786" w:rsidRPr="00CA5B75">
        <w:rPr>
          <w:rFonts w:ascii="Arial" w:hAnsi="Arial" w:cs="Arial"/>
          <w:sz w:val="24"/>
          <w:szCs w:val="24"/>
        </w:rPr>
        <w:t>roforma</w:t>
      </w:r>
      <w:r w:rsidR="003309BD" w:rsidRPr="00CA5B75">
        <w:rPr>
          <w:rFonts w:ascii="Arial" w:hAnsi="Arial" w:cs="Arial"/>
          <w:sz w:val="24"/>
          <w:szCs w:val="24"/>
        </w:rPr>
        <w:t>s</w:t>
      </w:r>
      <w:r w:rsidR="00BD6786" w:rsidRPr="00CA5B75">
        <w:rPr>
          <w:rFonts w:ascii="Arial" w:hAnsi="Arial" w:cs="Arial"/>
          <w:sz w:val="24"/>
          <w:szCs w:val="24"/>
        </w:rPr>
        <w:t xml:space="preserve"> F.0000-98 </w:t>
      </w:r>
      <w:r w:rsidR="00CF46A2" w:rsidRPr="00CA5B75">
        <w:rPr>
          <w:rFonts w:ascii="Arial" w:hAnsi="Arial" w:cs="Arial"/>
          <w:sz w:val="24"/>
          <w:szCs w:val="24"/>
        </w:rPr>
        <w:t>(</w:t>
      </w:r>
      <w:r w:rsidR="00CF46A2" w:rsidRPr="00CA5B75">
        <w:rPr>
          <w:rFonts w:ascii="Arial" w:hAnsi="Arial" w:cs="Arial"/>
          <w:bCs/>
          <w:sz w:val="24"/>
          <w:szCs w:val="24"/>
        </w:rPr>
        <w:t xml:space="preserve">formato </w:t>
      </w:r>
      <w:r w:rsidR="00CF46A2" w:rsidRPr="00CA5B75">
        <w:rPr>
          <w:rFonts w:ascii="Arial" w:hAnsi="Arial" w:cs="Arial"/>
          <w:sz w:val="24"/>
          <w:szCs w:val="24"/>
        </w:rPr>
        <w:t xml:space="preserve">378) </w:t>
      </w:r>
      <w:r w:rsidR="00BD6786" w:rsidRPr="00CA5B75">
        <w:rPr>
          <w:rFonts w:ascii="Arial" w:hAnsi="Arial" w:cs="Arial"/>
          <w:i/>
          <w:iCs/>
          <w:sz w:val="24"/>
          <w:szCs w:val="24"/>
        </w:rPr>
        <w:t xml:space="preserve">“Informe estadístico de reclamaciones- Defensor del </w:t>
      </w:r>
      <w:r w:rsidR="0097289C">
        <w:rPr>
          <w:rFonts w:ascii="Arial" w:hAnsi="Arial" w:cs="Arial"/>
          <w:i/>
          <w:iCs/>
          <w:sz w:val="24"/>
          <w:szCs w:val="24"/>
        </w:rPr>
        <w:t>Consumidor Financiero</w:t>
      </w:r>
      <w:r w:rsidR="00BD6786" w:rsidRPr="00CA5B75">
        <w:rPr>
          <w:rFonts w:ascii="Arial" w:hAnsi="Arial" w:cs="Arial"/>
          <w:i/>
          <w:iCs/>
          <w:sz w:val="24"/>
          <w:szCs w:val="24"/>
        </w:rPr>
        <w:t>”,</w:t>
      </w:r>
      <w:r w:rsidR="00BD6786" w:rsidRPr="00CA5B75">
        <w:rPr>
          <w:rFonts w:ascii="Arial" w:hAnsi="Arial" w:cs="Arial"/>
          <w:sz w:val="24"/>
          <w:szCs w:val="24"/>
        </w:rPr>
        <w:t xml:space="preserve"> F.0000-116</w:t>
      </w:r>
      <w:r w:rsidR="00CF46A2" w:rsidRPr="00CA5B75">
        <w:rPr>
          <w:rFonts w:ascii="Arial" w:hAnsi="Arial" w:cs="Arial"/>
          <w:sz w:val="24"/>
          <w:szCs w:val="24"/>
        </w:rPr>
        <w:t xml:space="preserve"> (</w:t>
      </w:r>
      <w:r w:rsidR="00CF46A2" w:rsidRPr="00CA5B75">
        <w:rPr>
          <w:rFonts w:ascii="Arial" w:hAnsi="Arial" w:cs="Arial"/>
          <w:bCs/>
          <w:sz w:val="24"/>
          <w:szCs w:val="24"/>
        </w:rPr>
        <w:t xml:space="preserve">formato </w:t>
      </w:r>
      <w:r w:rsidR="00CF46A2" w:rsidRPr="00CA5B75">
        <w:rPr>
          <w:rFonts w:ascii="Arial" w:hAnsi="Arial" w:cs="Arial"/>
          <w:sz w:val="24"/>
          <w:szCs w:val="24"/>
        </w:rPr>
        <w:t>379)</w:t>
      </w:r>
      <w:r w:rsidR="00BD6786" w:rsidRPr="00CA5B75">
        <w:rPr>
          <w:rFonts w:ascii="Arial" w:hAnsi="Arial" w:cs="Arial"/>
          <w:sz w:val="24"/>
          <w:szCs w:val="24"/>
        </w:rPr>
        <w:t xml:space="preserve"> </w:t>
      </w:r>
      <w:r w:rsidR="00BD6786" w:rsidRPr="00CA5B75">
        <w:rPr>
          <w:rFonts w:ascii="Arial" w:hAnsi="Arial" w:cs="Arial"/>
          <w:i/>
          <w:iCs/>
          <w:sz w:val="24"/>
          <w:szCs w:val="24"/>
        </w:rPr>
        <w:t>“Informe estadístico de reclamaciones</w:t>
      </w:r>
      <w:r w:rsidR="0095540B">
        <w:rPr>
          <w:rFonts w:ascii="Arial" w:hAnsi="Arial" w:cs="Arial"/>
          <w:i/>
          <w:iCs/>
          <w:sz w:val="24"/>
          <w:szCs w:val="24"/>
        </w:rPr>
        <w:t xml:space="preserve"> </w:t>
      </w:r>
      <w:r w:rsidR="00BD6786" w:rsidRPr="00CA5B75">
        <w:rPr>
          <w:rFonts w:ascii="Arial" w:hAnsi="Arial" w:cs="Arial"/>
          <w:i/>
          <w:iCs/>
          <w:sz w:val="24"/>
          <w:szCs w:val="24"/>
        </w:rPr>
        <w:t xml:space="preserve">- </w:t>
      </w:r>
      <w:r w:rsidR="0097289C">
        <w:rPr>
          <w:rFonts w:ascii="Arial" w:hAnsi="Arial" w:cs="Arial"/>
          <w:i/>
          <w:iCs/>
          <w:sz w:val="24"/>
          <w:szCs w:val="24"/>
        </w:rPr>
        <w:t>e</w:t>
      </w:r>
      <w:r w:rsidR="0097289C" w:rsidRPr="00CA5B75">
        <w:rPr>
          <w:rFonts w:ascii="Arial" w:hAnsi="Arial" w:cs="Arial"/>
          <w:i/>
          <w:iCs/>
          <w:sz w:val="24"/>
          <w:szCs w:val="24"/>
        </w:rPr>
        <w:t>ntidad</w:t>
      </w:r>
      <w:r w:rsidR="00BD6786" w:rsidRPr="00CA5B75">
        <w:rPr>
          <w:rFonts w:ascii="Arial" w:hAnsi="Arial" w:cs="Arial"/>
          <w:i/>
          <w:iCs/>
          <w:sz w:val="24"/>
          <w:szCs w:val="24"/>
        </w:rPr>
        <w:t>”</w:t>
      </w:r>
      <w:r w:rsidR="00BD6786" w:rsidRPr="00CA5B75">
        <w:rPr>
          <w:rFonts w:ascii="Arial" w:hAnsi="Arial" w:cs="Arial"/>
          <w:sz w:val="24"/>
          <w:szCs w:val="24"/>
        </w:rPr>
        <w:t xml:space="preserve"> y F. 3000-91</w:t>
      </w:r>
      <w:r w:rsidR="002C249C" w:rsidRPr="00CA5B75">
        <w:rPr>
          <w:rFonts w:ascii="Arial" w:hAnsi="Arial" w:cs="Arial"/>
          <w:sz w:val="24"/>
          <w:szCs w:val="24"/>
        </w:rPr>
        <w:t xml:space="preserve"> (</w:t>
      </w:r>
      <w:r w:rsidR="002C249C" w:rsidRPr="00CA5B75">
        <w:rPr>
          <w:rFonts w:ascii="Arial" w:hAnsi="Arial" w:cs="Arial"/>
          <w:bCs/>
          <w:sz w:val="24"/>
          <w:szCs w:val="24"/>
        </w:rPr>
        <w:t xml:space="preserve">formato </w:t>
      </w:r>
      <w:r w:rsidR="002C249C" w:rsidRPr="00CA5B75">
        <w:rPr>
          <w:rFonts w:ascii="Arial" w:hAnsi="Arial" w:cs="Arial"/>
          <w:sz w:val="24"/>
          <w:szCs w:val="24"/>
        </w:rPr>
        <w:t>537)</w:t>
      </w:r>
      <w:r w:rsidR="00BD6786" w:rsidRPr="00CA5B75">
        <w:rPr>
          <w:rFonts w:ascii="Arial" w:hAnsi="Arial" w:cs="Arial"/>
          <w:sz w:val="24"/>
          <w:szCs w:val="24"/>
        </w:rPr>
        <w:t xml:space="preserve"> </w:t>
      </w:r>
      <w:r w:rsidR="00BD6786" w:rsidRPr="00CA5B75">
        <w:rPr>
          <w:rFonts w:ascii="Arial" w:hAnsi="Arial" w:cs="Arial"/>
          <w:i/>
          <w:iCs/>
          <w:sz w:val="24"/>
          <w:szCs w:val="24"/>
        </w:rPr>
        <w:lastRenderedPageBreak/>
        <w:t>“Experiencia del consumidor financiero con el sector asegurador”</w:t>
      </w:r>
      <w:r w:rsidR="00BD6786" w:rsidRPr="00CA5B75">
        <w:rPr>
          <w:rFonts w:ascii="Arial" w:hAnsi="Arial" w:cs="Arial"/>
          <w:sz w:val="24"/>
          <w:szCs w:val="24"/>
        </w:rPr>
        <w:t xml:space="preserve"> hasta la finalización de la gestión de las</w:t>
      </w:r>
      <w:r w:rsidR="00471FE6" w:rsidRPr="00CA5B75">
        <w:rPr>
          <w:rFonts w:ascii="Arial" w:hAnsi="Arial" w:cs="Arial"/>
          <w:sz w:val="24"/>
          <w:szCs w:val="24"/>
        </w:rPr>
        <w:t xml:space="preserve"> </w:t>
      </w:r>
      <w:r w:rsidR="00BC5009">
        <w:rPr>
          <w:rFonts w:ascii="Arial" w:hAnsi="Arial" w:cs="Arial"/>
          <w:sz w:val="24"/>
          <w:szCs w:val="24"/>
        </w:rPr>
        <w:t>quejas</w:t>
      </w:r>
      <w:r w:rsidR="002F3544">
        <w:rPr>
          <w:rFonts w:ascii="Arial" w:hAnsi="Arial" w:cs="Arial"/>
          <w:sz w:val="24"/>
          <w:szCs w:val="24"/>
        </w:rPr>
        <w:t xml:space="preserve"> o reclamaciones</w:t>
      </w:r>
      <w:r w:rsidR="00BD6786" w:rsidRPr="00CA5B75">
        <w:rPr>
          <w:rFonts w:ascii="Arial" w:hAnsi="Arial" w:cs="Arial"/>
          <w:sz w:val="24"/>
          <w:szCs w:val="24"/>
        </w:rPr>
        <w:t xml:space="preserve"> que se </w:t>
      </w:r>
      <w:r w:rsidR="00063CAE" w:rsidRPr="00CA5B75">
        <w:rPr>
          <w:rFonts w:ascii="Arial" w:hAnsi="Arial" w:cs="Arial"/>
          <w:sz w:val="24"/>
          <w:szCs w:val="24"/>
        </w:rPr>
        <w:t>estén</w:t>
      </w:r>
      <w:r w:rsidR="00BD6786" w:rsidRPr="00CA5B75">
        <w:rPr>
          <w:rFonts w:ascii="Arial" w:hAnsi="Arial" w:cs="Arial"/>
          <w:sz w:val="24"/>
          <w:szCs w:val="24"/>
        </w:rPr>
        <w:t xml:space="preserve"> reportando a través de </w:t>
      </w:r>
      <w:r w:rsidR="00364D96" w:rsidRPr="00CA5B75">
        <w:rPr>
          <w:rFonts w:ascii="Arial" w:hAnsi="Arial" w:cs="Arial"/>
          <w:sz w:val="24"/>
          <w:szCs w:val="24"/>
        </w:rPr>
        <w:t xml:space="preserve">dichos </w:t>
      </w:r>
      <w:r w:rsidR="00BD6786" w:rsidRPr="00CA5B75">
        <w:rPr>
          <w:rFonts w:ascii="Arial" w:hAnsi="Arial" w:cs="Arial"/>
          <w:sz w:val="24"/>
          <w:szCs w:val="24"/>
        </w:rPr>
        <w:t>formatos</w:t>
      </w:r>
      <w:r w:rsidR="000A68E4" w:rsidRPr="00CA5B75">
        <w:rPr>
          <w:rFonts w:ascii="Arial" w:hAnsi="Arial" w:cs="Arial"/>
          <w:sz w:val="24"/>
          <w:szCs w:val="24"/>
        </w:rPr>
        <w:t>.</w:t>
      </w:r>
      <w:r w:rsidR="00CF0283">
        <w:rPr>
          <w:rFonts w:ascii="Arial" w:hAnsi="Arial" w:cs="Arial"/>
          <w:sz w:val="24"/>
          <w:szCs w:val="24"/>
        </w:rPr>
        <w:t xml:space="preserve"> </w:t>
      </w:r>
      <w:r w:rsidR="00740819">
        <w:rPr>
          <w:rFonts w:ascii="Arial" w:hAnsi="Arial" w:cs="Arial"/>
          <w:sz w:val="24"/>
          <w:szCs w:val="24"/>
        </w:rPr>
        <w:t>L</w:t>
      </w:r>
      <w:r w:rsidR="00EE6DB8" w:rsidRPr="00CA5B75">
        <w:rPr>
          <w:rFonts w:ascii="Arial" w:hAnsi="Arial" w:cs="Arial"/>
          <w:sz w:val="24"/>
          <w:szCs w:val="24"/>
        </w:rPr>
        <w:t xml:space="preserve">as </w:t>
      </w:r>
      <w:r w:rsidR="005B45A9">
        <w:rPr>
          <w:rFonts w:ascii="Arial" w:hAnsi="Arial" w:cs="Arial"/>
          <w:sz w:val="24"/>
          <w:szCs w:val="24"/>
        </w:rPr>
        <w:t>quejas</w:t>
      </w:r>
      <w:r w:rsidR="00EE6DB8" w:rsidRPr="00CA5B75">
        <w:rPr>
          <w:rFonts w:ascii="Arial" w:hAnsi="Arial" w:cs="Arial"/>
          <w:sz w:val="24"/>
          <w:szCs w:val="24"/>
        </w:rPr>
        <w:t xml:space="preserve"> </w:t>
      </w:r>
      <w:r w:rsidR="002F3544">
        <w:rPr>
          <w:rFonts w:ascii="Arial" w:hAnsi="Arial" w:cs="Arial"/>
          <w:sz w:val="24"/>
          <w:szCs w:val="24"/>
        </w:rPr>
        <w:t xml:space="preserve">o reclamaciones </w:t>
      </w:r>
      <w:r w:rsidR="00EE6DB8" w:rsidRPr="00CA5B75">
        <w:rPr>
          <w:rFonts w:ascii="Arial" w:hAnsi="Arial" w:cs="Arial"/>
          <w:sz w:val="24"/>
          <w:szCs w:val="24"/>
        </w:rPr>
        <w:t xml:space="preserve">reportadas </w:t>
      </w:r>
      <w:r w:rsidR="007B68A5">
        <w:rPr>
          <w:rFonts w:ascii="Arial" w:hAnsi="Arial" w:cs="Arial"/>
          <w:sz w:val="24"/>
          <w:szCs w:val="24"/>
        </w:rPr>
        <w:t>en l</w:t>
      </w:r>
      <w:r w:rsidR="00C81C02">
        <w:rPr>
          <w:rFonts w:ascii="Arial" w:hAnsi="Arial" w:cs="Arial"/>
          <w:sz w:val="24"/>
          <w:szCs w:val="24"/>
        </w:rPr>
        <w:t xml:space="preserve">as proformas citadas </w:t>
      </w:r>
      <w:r w:rsidR="00740819">
        <w:rPr>
          <w:rFonts w:ascii="Arial" w:hAnsi="Arial" w:cs="Arial"/>
          <w:sz w:val="24"/>
          <w:szCs w:val="24"/>
        </w:rPr>
        <w:t xml:space="preserve">únicamente pueden corresponder a aquellas </w:t>
      </w:r>
      <w:r w:rsidR="00EE6DB8" w:rsidRPr="00CA5B75">
        <w:rPr>
          <w:rFonts w:ascii="Arial" w:hAnsi="Arial" w:cs="Arial"/>
          <w:sz w:val="24"/>
          <w:szCs w:val="24"/>
        </w:rPr>
        <w:t xml:space="preserve">interpuestas con </w:t>
      </w:r>
      <w:r w:rsidR="00740819">
        <w:rPr>
          <w:rFonts w:ascii="Arial" w:hAnsi="Arial" w:cs="Arial"/>
          <w:sz w:val="24"/>
          <w:szCs w:val="24"/>
        </w:rPr>
        <w:t>anterioridad</w:t>
      </w:r>
      <w:r w:rsidR="00EE6DB8" w:rsidRPr="00CA5B75">
        <w:rPr>
          <w:rFonts w:ascii="Arial" w:hAnsi="Arial" w:cs="Arial"/>
          <w:sz w:val="24"/>
          <w:szCs w:val="24"/>
        </w:rPr>
        <w:t xml:space="preserve"> al 1 de julio de 2022.</w:t>
      </w:r>
    </w:p>
    <w:p w14:paraId="7B8AB288" w14:textId="77777777" w:rsidR="00FC040D" w:rsidRPr="00CA5B75" w:rsidRDefault="00FC040D" w:rsidP="00DE7DC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9B7C87" w14:textId="68C4321D" w:rsidR="00A038B4" w:rsidRPr="00CA5B75" w:rsidRDefault="00D61F49" w:rsidP="00DE7DC5">
      <w:pPr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b/>
          <w:bCs/>
          <w:sz w:val="24"/>
          <w:szCs w:val="24"/>
        </w:rPr>
        <w:t>SÉPTIMA:</w:t>
      </w:r>
      <w:r w:rsidRPr="00CA5B75">
        <w:rPr>
          <w:rFonts w:ascii="Arial" w:hAnsi="Arial" w:cs="Arial"/>
          <w:sz w:val="24"/>
          <w:szCs w:val="24"/>
        </w:rPr>
        <w:t xml:space="preserve"> Derogar</w:t>
      </w:r>
      <w:r w:rsidR="00C726A4" w:rsidRPr="00CA5B75">
        <w:rPr>
          <w:rFonts w:ascii="Arial" w:hAnsi="Arial" w:cs="Arial"/>
          <w:sz w:val="24"/>
          <w:szCs w:val="24"/>
        </w:rPr>
        <w:t xml:space="preserve"> l</w:t>
      </w:r>
      <w:r w:rsidR="00E24CF7" w:rsidRPr="00CA5B75">
        <w:rPr>
          <w:rFonts w:ascii="Arial" w:hAnsi="Arial" w:cs="Arial"/>
          <w:sz w:val="24"/>
          <w:szCs w:val="24"/>
        </w:rPr>
        <w:t>a</w:t>
      </w:r>
      <w:r w:rsidR="00C726A4" w:rsidRPr="00CA5B75">
        <w:rPr>
          <w:rFonts w:ascii="Arial" w:hAnsi="Arial" w:cs="Arial"/>
          <w:sz w:val="24"/>
          <w:szCs w:val="24"/>
        </w:rPr>
        <w:t xml:space="preserve">s </w:t>
      </w:r>
      <w:r w:rsidR="00AB3412" w:rsidRPr="00CA5B75">
        <w:rPr>
          <w:rFonts w:ascii="Arial" w:hAnsi="Arial" w:cs="Arial"/>
          <w:sz w:val="24"/>
          <w:szCs w:val="24"/>
        </w:rPr>
        <w:t>p</w:t>
      </w:r>
      <w:r w:rsidR="00C726A4" w:rsidRPr="00CA5B75">
        <w:rPr>
          <w:rFonts w:ascii="Arial" w:hAnsi="Arial" w:cs="Arial"/>
          <w:sz w:val="24"/>
          <w:szCs w:val="24"/>
        </w:rPr>
        <w:t>roforma</w:t>
      </w:r>
      <w:r w:rsidR="00AB3412" w:rsidRPr="00CA5B75">
        <w:rPr>
          <w:rFonts w:ascii="Arial" w:hAnsi="Arial" w:cs="Arial"/>
          <w:sz w:val="24"/>
          <w:szCs w:val="24"/>
        </w:rPr>
        <w:t>s</w:t>
      </w:r>
      <w:r w:rsidR="00C726A4" w:rsidRPr="00CA5B75">
        <w:rPr>
          <w:rFonts w:ascii="Arial" w:hAnsi="Arial" w:cs="Arial"/>
          <w:sz w:val="24"/>
          <w:szCs w:val="24"/>
        </w:rPr>
        <w:t xml:space="preserve"> F.0000-98 </w:t>
      </w:r>
      <w:r w:rsidR="00AB3412" w:rsidRPr="00CA5B75">
        <w:rPr>
          <w:rFonts w:ascii="Arial" w:hAnsi="Arial" w:cs="Arial"/>
          <w:sz w:val="24"/>
          <w:szCs w:val="24"/>
        </w:rPr>
        <w:t>(</w:t>
      </w:r>
      <w:r w:rsidR="0079433C" w:rsidRPr="00CA5B75">
        <w:rPr>
          <w:rFonts w:ascii="Arial" w:hAnsi="Arial" w:cs="Arial"/>
          <w:sz w:val="24"/>
          <w:szCs w:val="24"/>
        </w:rPr>
        <w:t>f</w:t>
      </w:r>
      <w:r w:rsidR="00AB3412" w:rsidRPr="00CA5B75">
        <w:rPr>
          <w:rFonts w:ascii="Arial" w:hAnsi="Arial" w:cs="Arial"/>
          <w:sz w:val="24"/>
          <w:szCs w:val="24"/>
        </w:rPr>
        <w:t xml:space="preserve">ormato 378) </w:t>
      </w:r>
      <w:r w:rsidR="00C726A4" w:rsidRPr="00CA5B75">
        <w:rPr>
          <w:rFonts w:ascii="Arial" w:hAnsi="Arial" w:cs="Arial"/>
          <w:i/>
          <w:iCs/>
          <w:sz w:val="24"/>
          <w:szCs w:val="24"/>
        </w:rPr>
        <w:t>“Informe estadístico de reclamaciones</w:t>
      </w:r>
      <w:r w:rsidR="0095540B">
        <w:rPr>
          <w:rFonts w:ascii="Arial" w:hAnsi="Arial" w:cs="Arial"/>
          <w:i/>
          <w:iCs/>
          <w:sz w:val="24"/>
          <w:szCs w:val="24"/>
        </w:rPr>
        <w:t xml:space="preserve"> </w:t>
      </w:r>
      <w:r w:rsidR="00C726A4" w:rsidRPr="00CA5B75">
        <w:rPr>
          <w:rFonts w:ascii="Arial" w:hAnsi="Arial" w:cs="Arial"/>
          <w:i/>
          <w:iCs/>
          <w:sz w:val="24"/>
          <w:szCs w:val="24"/>
        </w:rPr>
        <w:t xml:space="preserve">- Defensor del </w:t>
      </w:r>
      <w:r w:rsidR="0097289C">
        <w:rPr>
          <w:rFonts w:ascii="Arial" w:hAnsi="Arial" w:cs="Arial"/>
          <w:i/>
          <w:iCs/>
          <w:sz w:val="24"/>
          <w:szCs w:val="24"/>
        </w:rPr>
        <w:t>Consumidor Financiero</w:t>
      </w:r>
      <w:r w:rsidR="00C726A4" w:rsidRPr="00CA5B75">
        <w:rPr>
          <w:rFonts w:ascii="Arial" w:hAnsi="Arial" w:cs="Arial"/>
          <w:i/>
          <w:iCs/>
          <w:sz w:val="24"/>
          <w:szCs w:val="24"/>
        </w:rPr>
        <w:t>”</w:t>
      </w:r>
      <w:r w:rsidR="00C726A4" w:rsidRPr="00CA5B75">
        <w:rPr>
          <w:rFonts w:ascii="Arial" w:hAnsi="Arial" w:cs="Arial"/>
          <w:sz w:val="24"/>
          <w:szCs w:val="24"/>
        </w:rPr>
        <w:t xml:space="preserve">, F.0000-116 </w:t>
      </w:r>
      <w:r w:rsidR="0079433C" w:rsidRPr="00CA5B75">
        <w:rPr>
          <w:rFonts w:ascii="Arial" w:hAnsi="Arial" w:cs="Arial"/>
          <w:sz w:val="24"/>
          <w:szCs w:val="24"/>
        </w:rPr>
        <w:t>(formato 37</w:t>
      </w:r>
      <w:r w:rsidR="00054597" w:rsidRPr="00CA5B75">
        <w:rPr>
          <w:rFonts w:ascii="Arial" w:hAnsi="Arial" w:cs="Arial"/>
          <w:sz w:val="24"/>
          <w:szCs w:val="24"/>
        </w:rPr>
        <w:t>9</w:t>
      </w:r>
      <w:r w:rsidR="0079433C" w:rsidRPr="00CA5B75">
        <w:rPr>
          <w:rFonts w:ascii="Arial" w:hAnsi="Arial" w:cs="Arial"/>
          <w:sz w:val="24"/>
          <w:szCs w:val="24"/>
        </w:rPr>
        <w:t>)</w:t>
      </w:r>
      <w:r w:rsidR="0079433C" w:rsidRPr="00CA5B75">
        <w:rPr>
          <w:rFonts w:ascii="Arial" w:hAnsi="Arial" w:cs="Arial"/>
          <w:i/>
          <w:iCs/>
          <w:sz w:val="24"/>
          <w:szCs w:val="24"/>
        </w:rPr>
        <w:t xml:space="preserve"> </w:t>
      </w:r>
      <w:r w:rsidR="00C726A4" w:rsidRPr="00CA5B75">
        <w:rPr>
          <w:rFonts w:ascii="Arial" w:hAnsi="Arial" w:cs="Arial"/>
          <w:i/>
          <w:iCs/>
          <w:sz w:val="24"/>
          <w:szCs w:val="24"/>
        </w:rPr>
        <w:t>“Informe estadístico de reclamaciones</w:t>
      </w:r>
      <w:r w:rsidR="0095540B">
        <w:rPr>
          <w:rFonts w:ascii="Arial" w:hAnsi="Arial" w:cs="Arial"/>
          <w:i/>
          <w:iCs/>
          <w:sz w:val="24"/>
          <w:szCs w:val="24"/>
        </w:rPr>
        <w:t xml:space="preserve"> </w:t>
      </w:r>
      <w:r w:rsidR="00C726A4" w:rsidRPr="00CA5B75">
        <w:rPr>
          <w:rFonts w:ascii="Arial" w:hAnsi="Arial" w:cs="Arial"/>
          <w:i/>
          <w:iCs/>
          <w:sz w:val="24"/>
          <w:szCs w:val="24"/>
        </w:rPr>
        <w:t xml:space="preserve">- </w:t>
      </w:r>
      <w:r w:rsidR="0097289C">
        <w:rPr>
          <w:rFonts w:ascii="Arial" w:hAnsi="Arial" w:cs="Arial"/>
          <w:i/>
          <w:iCs/>
          <w:sz w:val="24"/>
          <w:szCs w:val="24"/>
        </w:rPr>
        <w:t>e</w:t>
      </w:r>
      <w:r w:rsidR="00C726A4" w:rsidRPr="00CA5B75">
        <w:rPr>
          <w:rFonts w:ascii="Arial" w:hAnsi="Arial" w:cs="Arial"/>
          <w:i/>
          <w:iCs/>
          <w:sz w:val="24"/>
          <w:szCs w:val="24"/>
        </w:rPr>
        <w:t>ntidad”</w:t>
      </w:r>
      <w:r w:rsidR="00C726A4" w:rsidRPr="00CA5B75">
        <w:rPr>
          <w:rFonts w:ascii="Arial" w:hAnsi="Arial" w:cs="Arial"/>
          <w:sz w:val="24"/>
          <w:szCs w:val="24"/>
        </w:rPr>
        <w:t xml:space="preserve"> y F. 3000-91</w:t>
      </w:r>
      <w:r w:rsidR="00054597" w:rsidRPr="00CA5B75">
        <w:rPr>
          <w:rFonts w:ascii="Arial" w:hAnsi="Arial" w:cs="Arial"/>
          <w:sz w:val="24"/>
          <w:szCs w:val="24"/>
        </w:rPr>
        <w:t xml:space="preserve"> (formato 537)</w:t>
      </w:r>
      <w:r w:rsidR="00C726A4" w:rsidRPr="00CA5B75">
        <w:rPr>
          <w:rFonts w:ascii="Arial" w:hAnsi="Arial" w:cs="Arial"/>
          <w:sz w:val="24"/>
          <w:szCs w:val="24"/>
        </w:rPr>
        <w:t xml:space="preserve"> </w:t>
      </w:r>
      <w:r w:rsidR="00C726A4" w:rsidRPr="00CA5B75">
        <w:rPr>
          <w:rFonts w:ascii="Arial" w:hAnsi="Arial" w:cs="Arial"/>
          <w:i/>
          <w:iCs/>
          <w:sz w:val="24"/>
          <w:szCs w:val="24"/>
        </w:rPr>
        <w:t>“Experiencia del consumidor financiero con el sector asegurador”</w:t>
      </w:r>
      <w:r w:rsidR="00C726A4" w:rsidRPr="00CA5B75">
        <w:rPr>
          <w:rFonts w:ascii="Arial" w:hAnsi="Arial" w:cs="Arial"/>
          <w:sz w:val="24"/>
          <w:szCs w:val="24"/>
        </w:rPr>
        <w:t xml:space="preserve"> a partir del </w:t>
      </w:r>
      <w:r w:rsidR="001A5366" w:rsidRPr="00620ED0">
        <w:rPr>
          <w:rFonts w:ascii="Arial" w:hAnsi="Arial" w:cs="Arial"/>
          <w:sz w:val="24"/>
          <w:szCs w:val="24"/>
        </w:rPr>
        <w:t>2</w:t>
      </w:r>
      <w:r w:rsidR="00BD2819">
        <w:rPr>
          <w:rFonts w:ascii="Arial" w:hAnsi="Arial" w:cs="Arial"/>
          <w:sz w:val="24"/>
          <w:szCs w:val="24"/>
        </w:rPr>
        <w:t>1</w:t>
      </w:r>
      <w:r w:rsidR="001A5366" w:rsidRPr="00620ED0">
        <w:rPr>
          <w:rFonts w:ascii="Arial" w:hAnsi="Arial" w:cs="Arial"/>
          <w:sz w:val="24"/>
          <w:szCs w:val="24"/>
        </w:rPr>
        <w:t xml:space="preserve"> </w:t>
      </w:r>
      <w:r w:rsidR="00C726A4" w:rsidRPr="00620ED0">
        <w:rPr>
          <w:rFonts w:ascii="Arial" w:hAnsi="Arial" w:cs="Arial"/>
          <w:sz w:val="24"/>
          <w:szCs w:val="24"/>
        </w:rPr>
        <w:t>de enero</w:t>
      </w:r>
      <w:r w:rsidR="00987C9E" w:rsidRPr="00620ED0">
        <w:rPr>
          <w:rFonts w:ascii="Arial" w:hAnsi="Arial" w:cs="Arial"/>
          <w:sz w:val="24"/>
          <w:szCs w:val="24"/>
        </w:rPr>
        <w:t xml:space="preserve"> de</w:t>
      </w:r>
      <w:r w:rsidR="00C726A4" w:rsidRPr="00620ED0">
        <w:rPr>
          <w:rFonts w:ascii="Arial" w:hAnsi="Arial" w:cs="Arial"/>
          <w:sz w:val="24"/>
          <w:szCs w:val="24"/>
        </w:rPr>
        <w:t xml:space="preserve"> 2023.</w:t>
      </w:r>
      <w:r w:rsidR="00C726A4" w:rsidRPr="00CA5B75">
        <w:rPr>
          <w:rFonts w:ascii="Arial" w:hAnsi="Arial" w:cs="Arial"/>
          <w:sz w:val="24"/>
          <w:szCs w:val="24"/>
        </w:rPr>
        <w:t xml:space="preserve"> </w:t>
      </w:r>
      <w:r w:rsidR="00740819">
        <w:rPr>
          <w:rFonts w:ascii="Arial" w:hAnsi="Arial" w:cs="Arial"/>
          <w:sz w:val="24"/>
          <w:szCs w:val="24"/>
        </w:rPr>
        <w:t>En todo caso, e</w:t>
      </w:r>
      <w:r w:rsidR="00C726A4" w:rsidRPr="00CA5B75">
        <w:rPr>
          <w:rFonts w:ascii="Arial" w:hAnsi="Arial" w:cs="Arial"/>
          <w:sz w:val="24"/>
          <w:szCs w:val="24"/>
        </w:rPr>
        <w:t>l último reporte de estos formatos corresponderá al corte de 31 de diciembre de 202</w:t>
      </w:r>
      <w:r w:rsidR="00C2491B" w:rsidRPr="00CA5B75">
        <w:rPr>
          <w:rFonts w:ascii="Arial" w:hAnsi="Arial" w:cs="Arial"/>
          <w:sz w:val="24"/>
          <w:szCs w:val="24"/>
        </w:rPr>
        <w:t>2</w:t>
      </w:r>
      <w:r w:rsidR="00C726A4" w:rsidRPr="00CA5B75">
        <w:rPr>
          <w:rFonts w:ascii="Arial" w:hAnsi="Arial" w:cs="Arial"/>
          <w:sz w:val="24"/>
          <w:szCs w:val="24"/>
        </w:rPr>
        <w:t xml:space="preserve"> y se debe realizar</w:t>
      </w:r>
      <w:r w:rsidR="00CC2B38" w:rsidRPr="00CA5B75">
        <w:rPr>
          <w:rFonts w:ascii="Arial" w:hAnsi="Arial" w:cs="Arial"/>
          <w:sz w:val="24"/>
          <w:szCs w:val="24"/>
        </w:rPr>
        <w:t xml:space="preserve"> dentro de los 8 días hábiles </w:t>
      </w:r>
      <w:r w:rsidR="00C66E54" w:rsidRPr="00CA5B75">
        <w:rPr>
          <w:rFonts w:ascii="Arial" w:hAnsi="Arial" w:cs="Arial"/>
          <w:sz w:val="24"/>
          <w:szCs w:val="24"/>
        </w:rPr>
        <w:t>siguientes a la fecha de corte</w:t>
      </w:r>
      <w:r w:rsidR="008E4ECE">
        <w:rPr>
          <w:rFonts w:ascii="Arial" w:hAnsi="Arial" w:cs="Arial"/>
          <w:sz w:val="24"/>
          <w:szCs w:val="24"/>
        </w:rPr>
        <w:t>, de acuerdo</w:t>
      </w:r>
      <w:r w:rsidR="0097289C">
        <w:rPr>
          <w:rFonts w:ascii="Arial" w:hAnsi="Arial" w:cs="Arial"/>
          <w:sz w:val="24"/>
          <w:szCs w:val="24"/>
        </w:rPr>
        <w:t xml:space="preserve"> con</w:t>
      </w:r>
      <w:r w:rsidR="008E4ECE">
        <w:rPr>
          <w:rFonts w:ascii="Arial" w:hAnsi="Arial" w:cs="Arial"/>
          <w:sz w:val="24"/>
          <w:szCs w:val="24"/>
        </w:rPr>
        <w:t xml:space="preserve"> </w:t>
      </w:r>
      <w:r w:rsidR="00C76B0F">
        <w:rPr>
          <w:rFonts w:ascii="Arial" w:hAnsi="Arial" w:cs="Arial"/>
          <w:sz w:val="24"/>
          <w:szCs w:val="24"/>
        </w:rPr>
        <w:t xml:space="preserve">lo dispuesto en los respectivos </w:t>
      </w:r>
      <w:r w:rsidR="008E4ECE">
        <w:rPr>
          <w:rFonts w:ascii="Arial" w:hAnsi="Arial" w:cs="Arial"/>
          <w:sz w:val="24"/>
          <w:szCs w:val="24"/>
        </w:rPr>
        <w:t>instructivos</w:t>
      </w:r>
      <w:r w:rsidR="00C726A4" w:rsidRPr="00CA5B75">
        <w:rPr>
          <w:rFonts w:ascii="Arial" w:hAnsi="Arial" w:cs="Arial"/>
          <w:sz w:val="24"/>
          <w:szCs w:val="24"/>
        </w:rPr>
        <w:t xml:space="preserve">. </w:t>
      </w:r>
    </w:p>
    <w:p w14:paraId="7A052D64" w14:textId="77777777" w:rsidR="007071B2" w:rsidRPr="00CA5B75" w:rsidRDefault="007071B2" w:rsidP="00DE7DC5">
      <w:pPr>
        <w:jc w:val="both"/>
        <w:rPr>
          <w:rFonts w:ascii="Arial" w:hAnsi="Arial" w:cs="Arial"/>
          <w:sz w:val="24"/>
          <w:szCs w:val="24"/>
        </w:rPr>
      </w:pPr>
    </w:p>
    <w:p w14:paraId="33AB5A2D" w14:textId="77777777" w:rsidR="00DE7DC5" w:rsidRPr="00CA5B75" w:rsidRDefault="00DE7DC5" w:rsidP="00DE7DC5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sz w:val="24"/>
          <w:szCs w:val="24"/>
        </w:rPr>
        <w:t xml:space="preserve">La presente circular rige a partir de su publicación. </w:t>
      </w:r>
    </w:p>
    <w:p w14:paraId="4FAF4C22" w14:textId="77777777" w:rsidR="00DE7DC5" w:rsidRPr="00CA5B75" w:rsidRDefault="00DE7DC5" w:rsidP="00DE7DC5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1308A1C0" w14:textId="77777777" w:rsidR="00DE7DC5" w:rsidRPr="00CA5B75" w:rsidRDefault="00DE7DC5" w:rsidP="00DE7DC5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sz w:val="24"/>
          <w:szCs w:val="24"/>
        </w:rPr>
        <w:t>Se anexan las páginas objeto de modificación.</w:t>
      </w:r>
    </w:p>
    <w:p w14:paraId="4D31FDB8" w14:textId="77777777" w:rsidR="00DE7DC5" w:rsidRPr="00CA5B75" w:rsidRDefault="00DE7DC5" w:rsidP="00DE7DC5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11DF53D0" w14:textId="77777777" w:rsidR="00DE7DC5" w:rsidRPr="00CA5B75" w:rsidRDefault="00DE7DC5" w:rsidP="00DE7DC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5B75">
        <w:rPr>
          <w:rFonts w:ascii="Arial" w:hAnsi="Arial" w:cs="Arial"/>
          <w:sz w:val="24"/>
          <w:szCs w:val="24"/>
        </w:rPr>
        <w:t>Cordialmente,</w:t>
      </w:r>
    </w:p>
    <w:p w14:paraId="3F9F0F7B" w14:textId="77777777" w:rsidR="00DE7DC5" w:rsidRPr="00CA5B75" w:rsidRDefault="00DE7DC5" w:rsidP="00DE7DC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421AF02" w14:textId="373D21D9" w:rsidR="00812DC5" w:rsidRPr="00CA5B75" w:rsidRDefault="00812DC5" w:rsidP="00DE7DC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F48432B" w14:textId="77777777" w:rsidR="00FC040D" w:rsidRPr="00CA5B75" w:rsidRDefault="00FC040D" w:rsidP="00DE7DC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B43CAF3" w14:textId="77777777" w:rsidR="00DE7DC5" w:rsidRPr="00CA5B75" w:rsidRDefault="00DE7DC5" w:rsidP="00DE7DC5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CA5B75">
        <w:rPr>
          <w:rFonts w:ascii="Arial" w:hAnsi="Arial" w:cs="Arial"/>
          <w:b/>
          <w:sz w:val="24"/>
          <w:szCs w:val="24"/>
          <w:lang w:val="es-CO"/>
        </w:rPr>
        <w:t>JORGE CASTAÑO GUTIÉRREZ</w:t>
      </w:r>
    </w:p>
    <w:p w14:paraId="62CDA358" w14:textId="77777777" w:rsidR="00DE7DC5" w:rsidRPr="00CA5B75" w:rsidRDefault="00DE7DC5" w:rsidP="00DE7DC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CA5B75">
        <w:rPr>
          <w:rFonts w:ascii="Arial" w:hAnsi="Arial" w:cs="Arial"/>
          <w:sz w:val="24"/>
          <w:szCs w:val="24"/>
          <w:lang w:val="es-CO"/>
        </w:rPr>
        <w:t xml:space="preserve">Superintendente Financiero de Colombia </w:t>
      </w:r>
    </w:p>
    <w:p w14:paraId="0600435C" w14:textId="77777777" w:rsidR="00DE7DC5" w:rsidRPr="00CA5B75" w:rsidRDefault="00DE7DC5" w:rsidP="00FC1D7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5B75">
        <w:rPr>
          <w:rFonts w:ascii="Arial" w:hAnsi="Arial" w:cs="Arial"/>
          <w:sz w:val="24"/>
          <w:szCs w:val="24"/>
          <w:lang w:val="es-CO"/>
        </w:rPr>
        <w:t>50000</w:t>
      </w:r>
    </w:p>
    <w:sectPr w:rsidR="00DE7DC5" w:rsidRPr="00CA5B75" w:rsidSect="00E11838">
      <w:headerReference w:type="default" r:id="rId19"/>
      <w:headerReference w:type="first" r:id="rId20"/>
      <w:pgSz w:w="12242" w:h="18722" w:code="14"/>
      <w:pgMar w:top="1276" w:right="1701" w:bottom="1701" w:left="2268" w:header="624" w:footer="680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636B" w14:textId="77777777" w:rsidR="00AC2814" w:rsidRDefault="00AC2814">
      <w:r>
        <w:separator/>
      </w:r>
    </w:p>
  </w:endnote>
  <w:endnote w:type="continuationSeparator" w:id="0">
    <w:p w14:paraId="703A929B" w14:textId="77777777" w:rsidR="00AC2814" w:rsidRDefault="00AC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176B" w14:textId="77777777" w:rsidR="00AC2814" w:rsidRDefault="00AC2814">
      <w:r>
        <w:separator/>
      </w:r>
    </w:p>
  </w:footnote>
  <w:footnote w:type="continuationSeparator" w:id="0">
    <w:p w14:paraId="327A5481" w14:textId="77777777" w:rsidR="00AC2814" w:rsidRDefault="00AC2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7C26" w14:textId="77777777" w:rsidR="009338E1" w:rsidRDefault="009338E1" w:rsidP="009338E1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>
      <w:rPr>
        <w:rFonts w:ascii="Arial" w:hAnsi="Arial" w:cs="Arial"/>
        <w:b/>
        <w:sz w:val="24"/>
        <w:szCs w:val="24"/>
        <w:lang w:val="es-ES"/>
      </w:rPr>
      <w:t>SUPERINTENDENCIA FINANCIERA DE COLOMBIA</w:t>
    </w:r>
  </w:p>
  <w:p w14:paraId="26149B9E" w14:textId="77777777" w:rsidR="009338E1" w:rsidRDefault="009338E1" w:rsidP="009338E1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7FA2BFC1" w14:textId="77777777" w:rsidR="009338E1" w:rsidRPr="00D61F49" w:rsidRDefault="009338E1" w:rsidP="009338E1">
    <w:pPr>
      <w:pStyle w:val="Textoindependiente"/>
      <w:jc w:val="left"/>
      <w:rPr>
        <w:b/>
        <w:bCs/>
        <w:spacing w:val="0"/>
        <w:sz w:val="20"/>
        <w:szCs w:val="20"/>
        <w:lang w:val="es-ES_tradnl"/>
      </w:rPr>
    </w:pPr>
    <w:r w:rsidRPr="00D61F49">
      <w:rPr>
        <w:b/>
        <w:bCs/>
        <w:spacing w:val="0"/>
        <w:sz w:val="20"/>
        <w:szCs w:val="20"/>
        <w:lang w:val="es-ES_tradnl"/>
      </w:rPr>
      <w:t>Circular</w:t>
    </w:r>
    <w:r>
      <w:rPr>
        <w:b/>
        <w:bCs/>
        <w:spacing w:val="0"/>
        <w:sz w:val="20"/>
        <w:szCs w:val="20"/>
        <w:lang w:val="es-ES_tradnl"/>
      </w:rPr>
      <w:t xml:space="preserve"> </w:t>
    </w:r>
    <w:r w:rsidRPr="00D61F49">
      <w:rPr>
        <w:b/>
        <w:bCs/>
        <w:spacing w:val="0"/>
        <w:sz w:val="20"/>
        <w:szCs w:val="20"/>
        <w:lang w:val="es-ES_tradnl"/>
      </w:rPr>
      <w:t>Externa</w:t>
    </w:r>
    <w:r>
      <w:rPr>
        <w:b/>
        <w:bCs/>
        <w:spacing w:val="0"/>
        <w:sz w:val="20"/>
        <w:szCs w:val="20"/>
        <w:lang w:val="es-ES_tradnl"/>
      </w:rPr>
      <w:t xml:space="preserve"> </w:t>
    </w:r>
    <w:r w:rsidRPr="00D61F49">
      <w:rPr>
        <w:b/>
        <w:bCs/>
        <w:spacing w:val="0"/>
        <w:sz w:val="20"/>
        <w:szCs w:val="20"/>
        <w:lang w:val="es-ES_tradnl"/>
      </w:rPr>
      <w:t>XXX</w:t>
    </w:r>
    <w:r>
      <w:rPr>
        <w:b/>
        <w:bCs/>
        <w:spacing w:val="0"/>
        <w:sz w:val="20"/>
        <w:szCs w:val="20"/>
        <w:lang w:val="es-ES_tradnl"/>
      </w:rPr>
      <w:t xml:space="preserve"> </w:t>
    </w:r>
    <w:r w:rsidRPr="00D61F49">
      <w:rPr>
        <w:b/>
        <w:bCs/>
        <w:spacing w:val="0"/>
        <w:sz w:val="20"/>
        <w:szCs w:val="20"/>
        <w:lang w:val="es-ES_tradnl"/>
      </w:rPr>
      <w:t xml:space="preserve">de 2021                 </w:t>
    </w:r>
    <w:r>
      <w:rPr>
        <w:b/>
        <w:bCs/>
        <w:spacing w:val="0"/>
        <w:sz w:val="20"/>
        <w:szCs w:val="20"/>
        <w:lang w:val="es-ES_tradnl"/>
      </w:rPr>
      <w:t xml:space="preserve">         </w:t>
    </w:r>
    <w:r w:rsidRPr="00D61F49">
      <w:rPr>
        <w:b/>
        <w:bCs/>
        <w:spacing w:val="0"/>
        <w:sz w:val="20"/>
        <w:szCs w:val="20"/>
        <w:lang w:val="es-ES_tradnl"/>
      </w:rPr>
      <w:t xml:space="preserve">                                                         Página </w:t>
    </w:r>
    <w:r>
      <w:rPr>
        <w:b/>
        <w:bCs/>
        <w:spacing w:val="0"/>
        <w:sz w:val="20"/>
        <w:szCs w:val="20"/>
        <w:lang w:val="es-ES_tradnl"/>
      </w:rPr>
      <w:t>3</w:t>
    </w:r>
  </w:p>
  <w:p w14:paraId="21A35AA2" w14:textId="77777777" w:rsidR="009338E1" w:rsidRDefault="009338E1" w:rsidP="009338E1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77F80FDB" w14:textId="77777777" w:rsidR="009338E1" w:rsidRDefault="009338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5720" w14:textId="092F2C2A" w:rsidR="00FC040D" w:rsidRDefault="00FC040D" w:rsidP="00E11838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>
      <w:rPr>
        <w:rFonts w:ascii="Arial" w:hAnsi="Arial" w:cs="Arial"/>
        <w:b/>
        <w:sz w:val="24"/>
        <w:szCs w:val="24"/>
        <w:lang w:val="es-ES"/>
      </w:rPr>
      <w:t>SUPERINTENDENCIA FINANCIERA DE COLOMBIA</w:t>
    </w:r>
  </w:p>
  <w:p w14:paraId="71BDE9F2" w14:textId="1DC4ECF1" w:rsidR="00FC040D" w:rsidRDefault="00FC040D" w:rsidP="00E11838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26C28F20" w14:textId="77777777" w:rsidR="00FC040D" w:rsidRPr="00715520" w:rsidRDefault="00FC040D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993D" w14:textId="77777777" w:rsidR="00FC040D" w:rsidRDefault="00FC040D" w:rsidP="00E11838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>
      <w:rPr>
        <w:rFonts w:ascii="Arial" w:hAnsi="Arial" w:cs="Arial"/>
        <w:b/>
        <w:sz w:val="24"/>
        <w:szCs w:val="24"/>
        <w:lang w:val="es-ES"/>
      </w:rPr>
      <w:t>SUPERINTENDENCIA FINANCIERA DE COLOMBIA</w:t>
    </w:r>
  </w:p>
  <w:p w14:paraId="0A437C60" w14:textId="77777777" w:rsidR="00FC040D" w:rsidRDefault="00FC040D" w:rsidP="00E11838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5A071FBA" w14:textId="37693F16" w:rsidR="00FC040D" w:rsidRPr="00D61F49" w:rsidRDefault="00FC040D" w:rsidP="00FC040D">
    <w:pPr>
      <w:pStyle w:val="Textoindependiente"/>
      <w:jc w:val="left"/>
      <w:rPr>
        <w:b/>
        <w:bCs/>
        <w:spacing w:val="0"/>
        <w:sz w:val="20"/>
        <w:szCs w:val="20"/>
        <w:lang w:val="es-ES_tradnl"/>
      </w:rPr>
    </w:pPr>
    <w:r w:rsidRPr="00D61F49">
      <w:rPr>
        <w:b/>
        <w:bCs/>
        <w:spacing w:val="0"/>
        <w:sz w:val="20"/>
        <w:szCs w:val="20"/>
        <w:lang w:val="es-ES_tradnl"/>
      </w:rPr>
      <w:t>Circular</w:t>
    </w:r>
    <w:r>
      <w:rPr>
        <w:b/>
        <w:bCs/>
        <w:spacing w:val="0"/>
        <w:sz w:val="20"/>
        <w:szCs w:val="20"/>
        <w:lang w:val="es-ES_tradnl"/>
      </w:rPr>
      <w:t xml:space="preserve"> </w:t>
    </w:r>
    <w:r w:rsidRPr="00D61F49">
      <w:rPr>
        <w:b/>
        <w:bCs/>
        <w:spacing w:val="0"/>
        <w:sz w:val="20"/>
        <w:szCs w:val="20"/>
        <w:lang w:val="es-ES_tradnl"/>
      </w:rPr>
      <w:t>Externa</w:t>
    </w:r>
    <w:r w:rsidR="000C7042">
      <w:rPr>
        <w:b/>
        <w:bCs/>
        <w:spacing w:val="0"/>
        <w:sz w:val="20"/>
        <w:szCs w:val="20"/>
        <w:lang w:val="es-ES_tradnl"/>
      </w:rPr>
      <w:t xml:space="preserve"> 023</w:t>
    </w:r>
    <w:r>
      <w:rPr>
        <w:b/>
        <w:bCs/>
        <w:spacing w:val="0"/>
        <w:sz w:val="20"/>
        <w:szCs w:val="20"/>
        <w:lang w:val="es-ES_tradnl"/>
      </w:rPr>
      <w:t xml:space="preserve"> </w:t>
    </w:r>
    <w:r w:rsidRPr="00D61F49">
      <w:rPr>
        <w:b/>
        <w:bCs/>
        <w:spacing w:val="0"/>
        <w:sz w:val="20"/>
        <w:szCs w:val="20"/>
        <w:lang w:val="es-ES_tradnl"/>
      </w:rPr>
      <w:t xml:space="preserve">de 2021                 </w:t>
    </w:r>
    <w:r>
      <w:rPr>
        <w:b/>
        <w:bCs/>
        <w:spacing w:val="0"/>
        <w:sz w:val="20"/>
        <w:szCs w:val="20"/>
        <w:lang w:val="es-ES_tradnl"/>
      </w:rPr>
      <w:t xml:space="preserve">         </w:t>
    </w:r>
    <w:r w:rsidRPr="00D61F49">
      <w:rPr>
        <w:b/>
        <w:bCs/>
        <w:spacing w:val="0"/>
        <w:sz w:val="20"/>
        <w:szCs w:val="20"/>
        <w:lang w:val="es-ES_tradnl"/>
      </w:rPr>
      <w:t xml:space="preserve">                                                         Página </w:t>
    </w:r>
    <w:r w:rsidR="009338E1">
      <w:rPr>
        <w:b/>
        <w:bCs/>
        <w:spacing w:val="0"/>
        <w:sz w:val="20"/>
        <w:szCs w:val="20"/>
        <w:lang w:val="es-ES_tradnl"/>
      </w:rPr>
      <w:t>2</w:t>
    </w:r>
  </w:p>
  <w:p w14:paraId="5E590CE4" w14:textId="77777777" w:rsidR="00FC040D" w:rsidRDefault="00FC040D" w:rsidP="00E11838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19507D5E" w14:textId="77777777" w:rsidR="00FC040D" w:rsidRPr="00715520" w:rsidRDefault="00FC040D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2DBF" w14:textId="77777777" w:rsidR="009338E1" w:rsidRDefault="009338E1" w:rsidP="009338E1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>
      <w:rPr>
        <w:rFonts w:ascii="Arial" w:hAnsi="Arial" w:cs="Arial"/>
        <w:b/>
        <w:sz w:val="24"/>
        <w:szCs w:val="24"/>
        <w:lang w:val="es-ES"/>
      </w:rPr>
      <w:t>SUPERINTENDENCIA FINANCIERA DE COLOMBIA</w:t>
    </w:r>
  </w:p>
  <w:p w14:paraId="37BFE3AF" w14:textId="77777777" w:rsidR="009338E1" w:rsidRDefault="009338E1" w:rsidP="009338E1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578E8E9C" w14:textId="064D6FEB" w:rsidR="009338E1" w:rsidRPr="00D61F49" w:rsidRDefault="009338E1" w:rsidP="009338E1">
    <w:pPr>
      <w:pStyle w:val="Textoindependiente"/>
      <w:jc w:val="left"/>
      <w:rPr>
        <w:b/>
        <w:bCs/>
        <w:spacing w:val="0"/>
        <w:sz w:val="20"/>
        <w:szCs w:val="20"/>
        <w:lang w:val="es-ES_tradnl"/>
      </w:rPr>
    </w:pPr>
    <w:r w:rsidRPr="00D61F49">
      <w:rPr>
        <w:b/>
        <w:bCs/>
        <w:spacing w:val="0"/>
        <w:sz w:val="20"/>
        <w:szCs w:val="20"/>
        <w:lang w:val="es-ES_tradnl"/>
      </w:rPr>
      <w:t>Circular</w:t>
    </w:r>
    <w:r>
      <w:rPr>
        <w:b/>
        <w:bCs/>
        <w:spacing w:val="0"/>
        <w:sz w:val="20"/>
        <w:szCs w:val="20"/>
        <w:lang w:val="es-ES_tradnl"/>
      </w:rPr>
      <w:t xml:space="preserve"> </w:t>
    </w:r>
    <w:r w:rsidRPr="00D61F49">
      <w:rPr>
        <w:b/>
        <w:bCs/>
        <w:spacing w:val="0"/>
        <w:sz w:val="20"/>
        <w:szCs w:val="20"/>
        <w:lang w:val="es-ES_tradnl"/>
      </w:rPr>
      <w:t>Externa</w:t>
    </w:r>
    <w:r>
      <w:rPr>
        <w:b/>
        <w:bCs/>
        <w:spacing w:val="0"/>
        <w:sz w:val="20"/>
        <w:szCs w:val="20"/>
        <w:lang w:val="es-ES_tradnl"/>
      </w:rPr>
      <w:t xml:space="preserve"> </w:t>
    </w:r>
    <w:r w:rsidR="000C7042">
      <w:rPr>
        <w:b/>
        <w:bCs/>
        <w:spacing w:val="0"/>
        <w:sz w:val="20"/>
        <w:szCs w:val="20"/>
        <w:lang w:val="es-ES_tradnl"/>
      </w:rPr>
      <w:t>023</w:t>
    </w:r>
    <w:r>
      <w:rPr>
        <w:b/>
        <w:bCs/>
        <w:spacing w:val="0"/>
        <w:sz w:val="20"/>
        <w:szCs w:val="20"/>
        <w:lang w:val="es-ES_tradnl"/>
      </w:rPr>
      <w:t xml:space="preserve"> </w:t>
    </w:r>
    <w:r w:rsidRPr="00D61F49">
      <w:rPr>
        <w:b/>
        <w:bCs/>
        <w:spacing w:val="0"/>
        <w:sz w:val="20"/>
        <w:szCs w:val="20"/>
        <w:lang w:val="es-ES_tradnl"/>
      </w:rPr>
      <w:t xml:space="preserve">de 2021                 </w:t>
    </w:r>
    <w:r>
      <w:rPr>
        <w:b/>
        <w:bCs/>
        <w:spacing w:val="0"/>
        <w:sz w:val="20"/>
        <w:szCs w:val="20"/>
        <w:lang w:val="es-ES_tradnl"/>
      </w:rPr>
      <w:t xml:space="preserve">         </w:t>
    </w:r>
    <w:r w:rsidRPr="00D61F49">
      <w:rPr>
        <w:b/>
        <w:bCs/>
        <w:spacing w:val="0"/>
        <w:sz w:val="20"/>
        <w:szCs w:val="20"/>
        <w:lang w:val="es-ES_tradnl"/>
      </w:rPr>
      <w:t xml:space="preserve">                                                         Página </w:t>
    </w:r>
    <w:r>
      <w:rPr>
        <w:b/>
        <w:bCs/>
        <w:spacing w:val="0"/>
        <w:sz w:val="20"/>
        <w:szCs w:val="20"/>
        <w:lang w:val="es-ES_tradnl"/>
      </w:rPr>
      <w:t>4</w:t>
    </w:r>
  </w:p>
  <w:p w14:paraId="1301CEF1" w14:textId="77777777" w:rsidR="009338E1" w:rsidRDefault="009338E1" w:rsidP="009338E1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476CA5FA" w14:textId="77777777" w:rsidR="009338E1" w:rsidRDefault="009338E1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FA04" w14:textId="77777777" w:rsidR="009338E1" w:rsidRDefault="009338E1" w:rsidP="00E11838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>
      <w:rPr>
        <w:rFonts w:ascii="Arial" w:hAnsi="Arial" w:cs="Arial"/>
        <w:b/>
        <w:sz w:val="24"/>
        <w:szCs w:val="24"/>
        <w:lang w:val="es-ES"/>
      </w:rPr>
      <w:t>SUPERINTENDENCIA FINANCIERA DE COLOMBIA</w:t>
    </w:r>
  </w:p>
  <w:p w14:paraId="1700430C" w14:textId="77777777" w:rsidR="009338E1" w:rsidRDefault="009338E1" w:rsidP="00E11838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0018E3CD" w14:textId="7E5019B6" w:rsidR="009338E1" w:rsidRPr="00D61F49" w:rsidRDefault="009338E1" w:rsidP="00FC040D">
    <w:pPr>
      <w:pStyle w:val="Textoindependiente"/>
      <w:jc w:val="left"/>
      <w:rPr>
        <w:b/>
        <w:bCs/>
        <w:spacing w:val="0"/>
        <w:sz w:val="20"/>
        <w:szCs w:val="20"/>
        <w:lang w:val="es-ES_tradnl"/>
      </w:rPr>
    </w:pPr>
    <w:r w:rsidRPr="00D61F49">
      <w:rPr>
        <w:b/>
        <w:bCs/>
        <w:spacing w:val="0"/>
        <w:sz w:val="20"/>
        <w:szCs w:val="20"/>
        <w:lang w:val="es-ES_tradnl"/>
      </w:rPr>
      <w:t>Circular</w:t>
    </w:r>
    <w:r>
      <w:rPr>
        <w:b/>
        <w:bCs/>
        <w:spacing w:val="0"/>
        <w:sz w:val="20"/>
        <w:szCs w:val="20"/>
        <w:lang w:val="es-ES_tradnl"/>
      </w:rPr>
      <w:t xml:space="preserve"> </w:t>
    </w:r>
    <w:r w:rsidRPr="00D61F49">
      <w:rPr>
        <w:b/>
        <w:bCs/>
        <w:spacing w:val="0"/>
        <w:sz w:val="20"/>
        <w:szCs w:val="20"/>
        <w:lang w:val="es-ES_tradnl"/>
      </w:rPr>
      <w:t>Externa</w:t>
    </w:r>
    <w:r w:rsidR="000C7042">
      <w:rPr>
        <w:b/>
        <w:bCs/>
        <w:spacing w:val="0"/>
        <w:sz w:val="20"/>
        <w:szCs w:val="20"/>
        <w:lang w:val="es-ES_tradnl"/>
      </w:rPr>
      <w:t xml:space="preserve"> 023</w:t>
    </w:r>
    <w:r>
      <w:rPr>
        <w:b/>
        <w:bCs/>
        <w:spacing w:val="0"/>
        <w:sz w:val="20"/>
        <w:szCs w:val="20"/>
        <w:lang w:val="es-ES_tradnl"/>
      </w:rPr>
      <w:t xml:space="preserve"> </w:t>
    </w:r>
    <w:r w:rsidRPr="00D61F49">
      <w:rPr>
        <w:b/>
        <w:bCs/>
        <w:spacing w:val="0"/>
        <w:sz w:val="20"/>
        <w:szCs w:val="20"/>
        <w:lang w:val="es-ES_tradnl"/>
      </w:rPr>
      <w:t xml:space="preserve">de 2021                 </w:t>
    </w:r>
    <w:r>
      <w:rPr>
        <w:b/>
        <w:bCs/>
        <w:spacing w:val="0"/>
        <w:sz w:val="20"/>
        <w:szCs w:val="20"/>
        <w:lang w:val="es-ES_tradnl"/>
      </w:rPr>
      <w:t xml:space="preserve">         </w:t>
    </w:r>
    <w:r w:rsidRPr="00D61F49">
      <w:rPr>
        <w:b/>
        <w:bCs/>
        <w:spacing w:val="0"/>
        <w:sz w:val="20"/>
        <w:szCs w:val="20"/>
        <w:lang w:val="es-ES_tradnl"/>
      </w:rPr>
      <w:t xml:space="preserve">                                                         Página </w:t>
    </w:r>
    <w:r>
      <w:rPr>
        <w:b/>
        <w:bCs/>
        <w:spacing w:val="0"/>
        <w:sz w:val="20"/>
        <w:szCs w:val="20"/>
        <w:lang w:val="es-ES_tradnl"/>
      </w:rPr>
      <w:t>3</w:t>
    </w:r>
  </w:p>
  <w:p w14:paraId="55E7EB0A" w14:textId="77777777" w:rsidR="009338E1" w:rsidRDefault="009338E1" w:rsidP="00E11838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3D30C7FC" w14:textId="77777777" w:rsidR="009338E1" w:rsidRPr="00715520" w:rsidRDefault="009338E1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D0B6F"/>
    <w:multiLevelType w:val="multilevel"/>
    <w:tmpl w:val="80B0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6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43"/>
  </w:num>
  <w:num w:numId="3">
    <w:abstractNumId w:val="27"/>
  </w:num>
  <w:num w:numId="4">
    <w:abstractNumId w:val="2"/>
  </w:num>
  <w:num w:numId="5">
    <w:abstractNumId w:val="1"/>
  </w:num>
  <w:num w:numId="6">
    <w:abstractNumId w:val="0"/>
  </w:num>
  <w:num w:numId="7">
    <w:abstractNumId w:val="44"/>
  </w:num>
  <w:num w:numId="8">
    <w:abstractNumId w:val="12"/>
  </w:num>
  <w:num w:numId="9">
    <w:abstractNumId w:val="37"/>
  </w:num>
  <w:num w:numId="10">
    <w:abstractNumId w:val="14"/>
  </w:num>
  <w:num w:numId="11">
    <w:abstractNumId w:val="26"/>
  </w:num>
  <w:num w:numId="12">
    <w:abstractNumId w:val="5"/>
  </w:num>
  <w:num w:numId="13">
    <w:abstractNumId w:val="18"/>
  </w:num>
  <w:num w:numId="14">
    <w:abstractNumId w:val="25"/>
  </w:num>
  <w:num w:numId="15">
    <w:abstractNumId w:val="11"/>
  </w:num>
  <w:num w:numId="16">
    <w:abstractNumId w:val="13"/>
  </w:num>
  <w:num w:numId="17">
    <w:abstractNumId w:val="8"/>
  </w:num>
  <w:num w:numId="18">
    <w:abstractNumId w:val="46"/>
  </w:num>
  <w:num w:numId="19">
    <w:abstractNumId w:val="39"/>
  </w:num>
  <w:num w:numId="20">
    <w:abstractNumId w:val="20"/>
  </w:num>
  <w:num w:numId="21">
    <w:abstractNumId w:val="15"/>
  </w:num>
  <w:num w:numId="22">
    <w:abstractNumId w:val="16"/>
  </w:num>
  <w:num w:numId="23">
    <w:abstractNumId w:val="7"/>
  </w:num>
  <w:num w:numId="24">
    <w:abstractNumId w:val="24"/>
  </w:num>
  <w:num w:numId="25">
    <w:abstractNumId w:val="38"/>
  </w:num>
  <w:num w:numId="26">
    <w:abstractNumId w:val="23"/>
  </w:num>
  <w:num w:numId="27">
    <w:abstractNumId w:val="45"/>
  </w:num>
  <w:num w:numId="28">
    <w:abstractNumId w:val="6"/>
  </w:num>
  <w:num w:numId="29">
    <w:abstractNumId w:val="21"/>
  </w:num>
  <w:num w:numId="30">
    <w:abstractNumId w:val="19"/>
  </w:num>
  <w:num w:numId="31">
    <w:abstractNumId w:val="40"/>
  </w:num>
  <w:num w:numId="32">
    <w:abstractNumId w:val="33"/>
  </w:num>
  <w:num w:numId="33">
    <w:abstractNumId w:val="4"/>
  </w:num>
  <w:num w:numId="34">
    <w:abstractNumId w:val="29"/>
  </w:num>
  <w:num w:numId="35">
    <w:abstractNumId w:val="9"/>
  </w:num>
  <w:num w:numId="36">
    <w:abstractNumId w:val="28"/>
  </w:num>
  <w:num w:numId="37">
    <w:abstractNumId w:val="35"/>
  </w:num>
  <w:num w:numId="38">
    <w:abstractNumId w:val="22"/>
  </w:num>
  <w:num w:numId="39">
    <w:abstractNumId w:val="31"/>
  </w:num>
  <w:num w:numId="40">
    <w:abstractNumId w:val="42"/>
  </w:num>
  <w:num w:numId="41">
    <w:abstractNumId w:val="17"/>
  </w:num>
  <w:num w:numId="42">
    <w:abstractNumId w:val="30"/>
  </w:num>
  <w:num w:numId="43">
    <w:abstractNumId w:val="3"/>
  </w:num>
  <w:num w:numId="44">
    <w:abstractNumId w:val="36"/>
  </w:num>
  <w:num w:numId="45">
    <w:abstractNumId w:val="41"/>
  </w:num>
  <w:num w:numId="46">
    <w:abstractNumId w:val="3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71E5"/>
    <w:rsid w:val="00010263"/>
    <w:rsid w:val="00021D37"/>
    <w:rsid w:val="00025A72"/>
    <w:rsid w:val="000266BC"/>
    <w:rsid w:val="00043B3D"/>
    <w:rsid w:val="0004510D"/>
    <w:rsid w:val="00047316"/>
    <w:rsid w:val="00054597"/>
    <w:rsid w:val="00063CAE"/>
    <w:rsid w:val="00067FED"/>
    <w:rsid w:val="00071D4D"/>
    <w:rsid w:val="0007702D"/>
    <w:rsid w:val="00077148"/>
    <w:rsid w:val="000779CA"/>
    <w:rsid w:val="00093571"/>
    <w:rsid w:val="000A1028"/>
    <w:rsid w:val="000A68E4"/>
    <w:rsid w:val="000B0797"/>
    <w:rsid w:val="000B270B"/>
    <w:rsid w:val="000C0050"/>
    <w:rsid w:val="000C1C9B"/>
    <w:rsid w:val="000C7042"/>
    <w:rsid w:val="000D147B"/>
    <w:rsid w:val="000D1737"/>
    <w:rsid w:val="000E0753"/>
    <w:rsid w:val="000E1FF6"/>
    <w:rsid w:val="000F29AC"/>
    <w:rsid w:val="000F3223"/>
    <w:rsid w:val="000F6CB5"/>
    <w:rsid w:val="00120DA4"/>
    <w:rsid w:val="00122AFF"/>
    <w:rsid w:val="001258E1"/>
    <w:rsid w:val="00131328"/>
    <w:rsid w:val="00135CAC"/>
    <w:rsid w:val="001427D7"/>
    <w:rsid w:val="001463FE"/>
    <w:rsid w:val="001543F0"/>
    <w:rsid w:val="00155F2C"/>
    <w:rsid w:val="00164084"/>
    <w:rsid w:val="00166761"/>
    <w:rsid w:val="00167D16"/>
    <w:rsid w:val="00180C38"/>
    <w:rsid w:val="00190EE7"/>
    <w:rsid w:val="001922C8"/>
    <w:rsid w:val="00192456"/>
    <w:rsid w:val="001A5366"/>
    <w:rsid w:val="001A6B7D"/>
    <w:rsid w:val="001C01F4"/>
    <w:rsid w:val="001C05E4"/>
    <w:rsid w:val="001F525F"/>
    <w:rsid w:val="00201011"/>
    <w:rsid w:val="002025BD"/>
    <w:rsid w:val="00205BD3"/>
    <w:rsid w:val="0020652F"/>
    <w:rsid w:val="002160CE"/>
    <w:rsid w:val="0023320D"/>
    <w:rsid w:val="002461F0"/>
    <w:rsid w:val="002517AA"/>
    <w:rsid w:val="0025218B"/>
    <w:rsid w:val="00257F12"/>
    <w:rsid w:val="00277CC1"/>
    <w:rsid w:val="002B6E99"/>
    <w:rsid w:val="002C249C"/>
    <w:rsid w:val="002D495E"/>
    <w:rsid w:val="002D5F88"/>
    <w:rsid w:val="002E6A72"/>
    <w:rsid w:val="002F1F5C"/>
    <w:rsid w:val="002F3544"/>
    <w:rsid w:val="002F4A2A"/>
    <w:rsid w:val="002F762F"/>
    <w:rsid w:val="00306824"/>
    <w:rsid w:val="0031681C"/>
    <w:rsid w:val="00316E05"/>
    <w:rsid w:val="0032084E"/>
    <w:rsid w:val="003309BD"/>
    <w:rsid w:val="00364D96"/>
    <w:rsid w:val="00365470"/>
    <w:rsid w:val="00365BC2"/>
    <w:rsid w:val="0037411F"/>
    <w:rsid w:val="00374F5A"/>
    <w:rsid w:val="003760B7"/>
    <w:rsid w:val="00385DE0"/>
    <w:rsid w:val="003918C3"/>
    <w:rsid w:val="00393666"/>
    <w:rsid w:val="003A0948"/>
    <w:rsid w:val="003A1877"/>
    <w:rsid w:val="003B59EE"/>
    <w:rsid w:val="003B7355"/>
    <w:rsid w:val="003B7977"/>
    <w:rsid w:val="003E3CC3"/>
    <w:rsid w:val="003F7BBD"/>
    <w:rsid w:val="00404235"/>
    <w:rsid w:val="004043B0"/>
    <w:rsid w:val="0040661C"/>
    <w:rsid w:val="00410CAB"/>
    <w:rsid w:val="00430251"/>
    <w:rsid w:val="0043358C"/>
    <w:rsid w:val="0044428D"/>
    <w:rsid w:val="00450627"/>
    <w:rsid w:val="00451E47"/>
    <w:rsid w:val="0045548B"/>
    <w:rsid w:val="004566A4"/>
    <w:rsid w:val="00457B22"/>
    <w:rsid w:val="004718D6"/>
    <w:rsid w:val="00471FE6"/>
    <w:rsid w:val="00476CBC"/>
    <w:rsid w:val="004772A8"/>
    <w:rsid w:val="004A2B71"/>
    <w:rsid w:val="004A4288"/>
    <w:rsid w:val="004B09C8"/>
    <w:rsid w:val="004C2087"/>
    <w:rsid w:val="004D297F"/>
    <w:rsid w:val="004D5BBF"/>
    <w:rsid w:val="004F111A"/>
    <w:rsid w:val="00513233"/>
    <w:rsid w:val="00522592"/>
    <w:rsid w:val="0053022E"/>
    <w:rsid w:val="005342A8"/>
    <w:rsid w:val="00535805"/>
    <w:rsid w:val="00536C45"/>
    <w:rsid w:val="00536E83"/>
    <w:rsid w:val="00545118"/>
    <w:rsid w:val="00550890"/>
    <w:rsid w:val="00552C13"/>
    <w:rsid w:val="005570AE"/>
    <w:rsid w:val="005620D4"/>
    <w:rsid w:val="00564B20"/>
    <w:rsid w:val="00581497"/>
    <w:rsid w:val="00582702"/>
    <w:rsid w:val="005848BD"/>
    <w:rsid w:val="00593224"/>
    <w:rsid w:val="005A7E93"/>
    <w:rsid w:val="005B45A9"/>
    <w:rsid w:val="005C1DE9"/>
    <w:rsid w:val="005C4D29"/>
    <w:rsid w:val="005D51F0"/>
    <w:rsid w:val="0061434F"/>
    <w:rsid w:val="00620ED0"/>
    <w:rsid w:val="00621A24"/>
    <w:rsid w:val="0062426E"/>
    <w:rsid w:val="00626443"/>
    <w:rsid w:val="0064423D"/>
    <w:rsid w:val="00655C9D"/>
    <w:rsid w:val="00664B83"/>
    <w:rsid w:val="00672432"/>
    <w:rsid w:val="0067436B"/>
    <w:rsid w:val="006811DF"/>
    <w:rsid w:val="006B29A5"/>
    <w:rsid w:val="006B415B"/>
    <w:rsid w:val="006B56BB"/>
    <w:rsid w:val="006C080F"/>
    <w:rsid w:val="006C2208"/>
    <w:rsid w:val="006C2B92"/>
    <w:rsid w:val="006C5C62"/>
    <w:rsid w:val="006D2615"/>
    <w:rsid w:val="006D2F28"/>
    <w:rsid w:val="006F70A6"/>
    <w:rsid w:val="006F7746"/>
    <w:rsid w:val="00701FAF"/>
    <w:rsid w:val="0070208D"/>
    <w:rsid w:val="007043A9"/>
    <w:rsid w:val="007071B2"/>
    <w:rsid w:val="00715520"/>
    <w:rsid w:val="00740819"/>
    <w:rsid w:val="0075215C"/>
    <w:rsid w:val="00755FED"/>
    <w:rsid w:val="00757D80"/>
    <w:rsid w:val="00766A47"/>
    <w:rsid w:val="007828B9"/>
    <w:rsid w:val="0078534C"/>
    <w:rsid w:val="0079433C"/>
    <w:rsid w:val="007A55C7"/>
    <w:rsid w:val="007A6B39"/>
    <w:rsid w:val="007B0E0B"/>
    <w:rsid w:val="007B68A5"/>
    <w:rsid w:val="007C0F8A"/>
    <w:rsid w:val="007D4E89"/>
    <w:rsid w:val="007E28B6"/>
    <w:rsid w:val="007E4209"/>
    <w:rsid w:val="0080090F"/>
    <w:rsid w:val="00803E90"/>
    <w:rsid w:val="00806D64"/>
    <w:rsid w:val="008078CF"/>
    <w:rsid w:val="00811124"/>
    <w:rsid w:val="00812DC5"/>
    <w:rsid w:val="00813EE6"/>
    <w:rsid w:val="00816287"/>
    <w:rsid w:val="00824B7C"/>
    <w:rsid w:val="00827651"/>
    <w:rsid w:val="00834D51"/>
    <w:rsid w:val="00836A72"/>
    <w:rsid w:val="0084010C"/>
    <w:rsid w:val="00844499"/>
    <w:rsid w:val="008461FB"/>
    <w:rsid w:val="0084699D"/>
    <w:rsid w:val="0085027C"/>
    <w:rsid w:val="0085072F"/>
    <w:rsid w:val="00851B81"/>
    <w:rsid w:val="008520CC"/>
    <w:rsid w:val="00860157"/>
    <w:rsid w:val="008616AD"/>
    <w:rsid w:val="00861C13"/>
    <w:rsid w:val="00861FD6"/>
    <w:rsid w:val="008647F9"/>
    <w:rsid w:val="0087328D"/>
    <w:rsid w:val="008742B0"/>
    <w:rsid w:val="00891AC7"/>
    <w:rsid w:val="008B1969"/>
    <w:rsid w:val="008B49B9"/>
    <w:rsid w:val="008B697F"/>
    <w:rsid w:val="008C362A"/>
    <w:rsid w:val="008C78C6"/>
    <w:rsid w:val="008D1DF6"/>
    <w:rsid w:val="008D351E"/>
    <w:rsid w:val="008E4990"/>
    <w:rsid w:val="008E4ECE"/>
    <w:rsid w:val="008F0A4D"/>
    <w:rsid w:val="008F4ED0"/>
    <w:rsid w:val="00903F36"/>
    <w:rsid w:val="00904A52"/>
    <w:rsid w:val="009338E1"/>
    <w:rsid w:val="00954445"/>
    <w:rsid w:val="0095540B"/>
    <w:rsid w:val="009626F4"/>
    <w:rsid w:val="00962C7E"/>
    <w:rsid w:val="00964E46"/>
    <w:rsid w:val="0097289C"/>
    <w:rsid w:val="00977097"/>
    <w:rsid w:val="00982232"/>
    <w:rsid w:val="00987C9E"/>
    <w:rsid w:val="00997CB7"/>
    <w:rsid w:val="009A55F6"/>
    <w:rsid w:val="009B36B7"/>
    <w:rsid w:val="009B46B5"/>
    <w:rsid w:val="009B46DC"/>
    <w:rsid w:val="009B72A9"/>
    <w:rsid w:val="009E0CBA"/>
    <w:rsid w:val="009F39B2"/>
    <w:rsid w:val="009F6A5F"/>
    <w:rsid w:val="009F6B25"/>
    <w:rsid w:val="00A024AE"/>
    <w:rsid w:val="00A0303F"/>
    <w:rsid w:val="00A038B4"/>
    <w:rsid w:val="00A07325"/>
    <w:rsid w:val="00A164B8"/>
    <w:rsid w:val="00A1754C"/>
    <w:rsid w:val="00A251C3"/>
    <w:rsid w:val="00A44B8F"/>
    <w:rsid w:val="00A57330"/>
    <w:rsid w:val="00A61CAF"/>
    <w:rsid w:val="00A8062F"/>
    <w:rsid w:val="00A86D3F"/>
    <w:rsid w:val="00A87B13"/>
    <w:rsid w:val="00A93EA7"/>
    <w:rsid w:val="00AB1448"/>
    <w:rsid w:val="00AB3412"/>
    <w:rsid w:val="00AC0FDE"/>
    <w:rsid w:val="00AC2814"/>
    <w:rsid w:val="00AC4D88"/>
    <w:rsid w:val="00AD0864"/>
    <w:rsid w:val="00AF4C56"/>
    <w:rsid w:val="00AF4C61"/>
    <w:rsid w:val="00AF7809"/>
    <w:rsid w:val="00B01AA7"/>
    <w:rsid w:val="00B05C8F"/>
    <w:rsid w:val="00B11699"/>
    <w:rsid w:val="00B15E16"/>
    <w:rsid w:val="00B23B44"/>
    <w:rsid w:val="00B47BF5"/>
    <w:rsid w:val="00B51F39"/>
    <w:rsid w:val="00B70102"/>
    <w:rsid w:val="00B71BB7"/>
    <w:rsid w:val="00B8019E"/>
    <w:rsid w:val="00BB3603"/>
    <w:rsid w:val="00BB37DA"/>
    <w:rsid w:val="00BC0C4A"/>
    <w:rsid w:val="00BC13D7"/>
    <w:rsid w:val="00BC5009"/>
    <w:rsid w:val="00BC603A"/>
    <w:rsid w:val="00BC6D0B"/>
    <w:rsid w:val="00BD2819"/>
    <w:rsid w:val="00BD4649"/>
    <w:rsid w:val="00BD6786"/>
    <w:rsid w:val="00BE133E"/>
    <w:rsid w:val="00BF274F"/>
    <w:rsid w:val="00C07CF8"/>
    <w:rsid w:val="00C13E4D"/>
    <w:rsid w:val="00C14944"/>
    <w:rsid w:val="00C14BE8"/>
    <w:rsid w:val="00C23BA4"/>
    <w:rsid w:val="00C2491B"/>
    <w:rsid w:val="00C33244"/>
    <w:rsid w:val="00C340E1"/>
    <w:rsid w:val="00C658A8"/>
    <w:rsid w:val="00C658C9"/>
    <w:rsid w:val="00C66E54"/>
    <w:rsid w:val="00C726A4"/>
    <w:rsid w:val="00C72F45"/>
    <w:rsid w:val="00C76B0F"/>
    <w:rsid w:val="00C81C02"/>
    <w:rsid w:val="00C8742D"/>
    <w:rsid w:val="00C87F87"/>
    <w:rsid w:val="00C92558"/>
    <w:rsid w:val="00CA5B75"/>
    <w:rsid w:val="00CB5035"/>
    <w:rsid w:val="00CC2B38"/>
    <w:rsid w:val="00CC60AC"/>
    <w:rsid w:val="00CD33D4"/>
    <w:rsid w:val="00CE2C8D"/>
    <w:rsid w:val="00CF0283"/>
    <w:rsid w:val="00CF46A2"/>
    <w:rsid w:val="00D071C4"/>
    <w:rsid w:val="00D11DDC"/>
    <w:rsid w:val="00D12148"/>
    <w:rsid w:val="00D15D1B"/>
    <w:rsid w:val="00D17B4B"/>
    <w:rsid w:val="00D42D4C"/>
    <w:rsid w:val="00D46E93"/>
    <w:rsid w:val="00D61F49"/>
    <w:rsid w:val="00D663BC"/>
    <w:rsid w:val="00D70DE4"/>
    <w:rsid w:val="00D97418"/>
    <w:rsid w:val="00D97E76"/>
    <w:rsid w:val="00DA00B3"/>
    <w:rsid w:val="00DA2F63"/>
    <w:rsid w:val="00DA6FB1"/>
    <w:rsid w:val="00DB3F65"/>
    <w:rsid w:val="00DB4616"/>
    <w:rsid w:val="00DC17CB"/>
    <w:rsid w:val="00DE6CC8"/>
    <w:rsid w:val="00DE7DC5"/>
    <w:rsid w:val="00DF046F"/>
    <w:rsid w:val="00DF283D"/>
    <w:rsid w:val="00DF3624"/>
    <w:rsid w:val="00E00F88"/>
    <w:rsid w:val="00E11838"/>
    <w:rsid w:val="00E14CAC"/>
    <w:rsid w:val="00E21558"/>
    <w:rsid w:val="00E247EE"/>
    <w:rsid w:val="00E24CF7"/>
    <w:rsid w:val="00E416CF"/>
    <w:rsid w:val="00E42463"/>
    <w:rsid w:val="00E435E8"/>
    <w:rsid w:val="00E47C9B"/>
    <w:rsid w:val="00E47CEF"/>
    <w:rsid w:val="00E51AB2"/>
    <w:rsid w:val="00E530A0"/>
    <w:rsid w:val="00E66DC8"/>
    <w:rsid w:val="00E71B69"/>
    <w:rsid w:val="00E77E01"/>
    <w:rsid w:val="00E8128F"/>
    <w:rsid w:val="00E93C1D"/>
    <w:rsid w:val="00E979D9"/>
    <w:rsid w:val="00EA03D4"/>
    <w:rsid w:val="00EA1049"/>
    <w:rsid w:val="00EB26B9"/>
    <w:rsid w:val="00EB4ABC"/>
    <w:rsid w:val="00EC4326"/>
    <w:rsid w:val="00EC6395"/>
    <w:rsid w:val="00ED37AC"/>
    <w:rsid w:val="00EE3537"/>
    <w:rsid w:val="00EE6DB8"/>
    <w:rsid w:val="00EF3B40"/>
    <w:rsid w:val="00F14774"/>
    <w:rsid w:val="00F17312"/>
    <w:rsid w:val="00F177E0"/>
    <w:rsid w:val="00F251FF"/>
    <w:rsid w:val="00F32DEC"/>
    <w:rsid w:val="00F429F0"/>
    <w:rsid w:val="00F6044F"/>
    <w:rsid w:val="00F615C8"/>
    <w:rsid w:val="00F64BF0"/>
    <w:rsid w:val="00F70A31"/>
    <w:rsid w:val="00F8215D"/>
    <w:rsid w:val="00F822C8"/>
    <w:rsid w:val="00F8737A"/>
    <w:rsid w:val="00F9082E"/>
    <w:rsid w:val="00F94EE3"/>
    <w:rsid w:val="00F95C7F"/>
    <w:rsid w:val="00FA13B3"/>
    <w:rsid w:val="00FB1A72"/>
    <w:rsid w:val="00FB2C0F"/>
    <w:rsid w:val="00FB4E85"/>
    <w:rsid w:val="00FC040D"/>
    <w:rsid w:val="00FC0FC8"/>
    <w:rsid w:val="00FC1D7A"/>
    <w:rsid w:val="00FC3F04"/>
    <w:rsid w:val="00FC71F8"/>
    <w:rsid w:val="00FE026F"/>
    <w:rsid w:val="00FE0FE1"/>
    <w:rsid w:val="00FE2B60"/>
    <w:rsid w:val="00FE500E"/>
    <w:rsid w:val="00FE659B"/>
    <w:rsid w:val="00FF1B65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DD175A"/>
  <w15:chartTrackingRefBased/>
  <w15:docId w15:val="{2654BA2D-5F29-475C-9C29-1F4F492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normaltextrun">
    <w:name w:val="normaltextrun"/>
    <w:rsid w:val="00DE7DC5"/>
  </w:style>
  <w:style w:type="character" w:customStyle="1" w:styleId="EncabezadoCar">
    <w:name w:val="Encabezado Car"/>
    <w:link w:val="Encabezado"/>
    <w:uiPriority w:val="99"/>
    <w:rsid w:val="00DE7DC5"/>
    <w:rPr>
      <w:lang w:val="es-ES_tradnl" w:eastAsia="es-ES"/>
    </w:rPr>
  </w:style>
  <w:style w:type="character" w:customStyle="1" w:styleId="PiedepginaCar">
    <w:name w:val="Pie de página Car"/>
    <w:link w:val="Piedepgina"/>
    <w:rsid w:val="00DE7DC5"/>
    <w:rPr>
      <w:lang w:val="es-ES_tradnl" w:eastAsia="es-ES"/>
    </w:rPr>
  </w:style>
  <w:style w:type="character" w:styleId="Mencinsinresolver">
    <w:name w:val="Unresolved Mention"/>
    <w:uiPriority w:val="99"/>
    <w:semiHidden/>
    <w:unhideWhenUsed/>
    <w:rsid w:val="00BC603A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5C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0D173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D1737"/>
    <w:rPr>
      <w:b/>
      <w:bCs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D1737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0D1737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perfinanciera.gov.co/publicacion/60666" TargetMode="External"/><Relationship Id="rId18" Type="http://schemas.openxmlformats.org/officeDocument/2006/relationships/hyperlink" Target="https://docs.google.com/forms/d/e/1FAIpQLSe5ZxPK0pBm80CixhXWvmshJAxiIznhG03mQk-KtDM49je0XQ/viewfor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superfinanciera.gov.c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perfinanciera.gov.co/publicacion/15002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superfinanciera.gov.co/publicacion/15007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uperfinanciera.gov.co/publicacion/1916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19E4E525FCD409286F4D3EF11ADF5" ma:contentTypeVersion="14" ma:contentTypeDescription="Create a new document." ma:contentTypeScope="" ma:versionID="93d49d6f988693e9c1625701e8e52b0b">
  <xsd:schema xmlns:xsd="http://www.w3.org/2001/XMLSchema" xmlns:xs="http://www.w3.org/2001/XMLSchema" xmlns:p="http://schemas.microsoft.com/office/2006/metadata/properties" xmlns:ns3="050bd89b-bc40-4f00-b30d-8f7c553b6dbb" xmlns:ns4="35884e44-c578-4b47-ad46-391c7bdabab5" targetNamespace="http://schemas.microsoft.com/office/2006/metadata/properties" ma:root="true" ma:fieldsID="438445ea52adb2d7feaac1c2f5142f8b" ns3:_="" ns4:_="">
    <xsd:import namespace="050bd89b-bc40-4f00-b30d-8f7c553b6dbb"/>
    <xsd:import namespace="35884e44-c578-4b47-ad46-391c7bdaba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bd89b-bc40-4f00-b30d-8f7c553b6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84e44-c578-4b47-ad46-391c7bd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DF74E-09A2-4694-BCC8-75F41CF7BF1E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35884e44-c578-4b47-ad46-391c7bdabab5"/>
    <ds:schemaRef ds:uri="050bd89b-bc40-4f00-b30d-8f7c553b6d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181EB0-8097-49D6-9D86-E3567ECEC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bd89b-bc40-4f00-b30d-8f7c553b6dbb"/>
    <ds:schemaRef ds:uri="35884e44-c578-4b47-ad46-391c7bdab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FE546-BCE6-4E02-BBB1-042BD9504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1301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9182</CharactersWithSpaces>
  <SharedDoc>false</SharedDoc>
  <HLinks>
    <vt:vector size="12" baseType="variant">
      <vt:variant>
        <vt:i4>2293768</vt:i4>
      </vt:variant>
      <vt:variant>
        <vt:i4>3</vt:i4>
      </vt:variant>
      <vt:variant>
        <vt:i4>0</vt:i4>
      </vt:variant>
      <vt:variant>
        <vt:i4>5</vt:i4>
      </vt:variant>
      <vt:variant>
        <vt:lpwstr>mailto:smartsupervision1@superfinanciera.gov.co</vt:lpwstr>
      </vt:variant>
      <vt:variant>
        <vt:lpwstr/>
      </vt:variant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Gabriel Armando Ospina Garcia</cp:lastModifiedBy>
  <cp:revision>3</cp:revision>
  <cp:lastPrinted>2021-10-13T21:14:00Z</cp:lastPrinted>
  <dcterms:created xsi:type="dcterms:W3CDTF">2021-10-20T13:57:00Z</dcterms:created>
  <dcterms:modified xsi:type="dcterms:W3CDTF">2021-10-21T23:44:00Z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0x0101004D319E4E525FCD409286F4D3EF11ADF5</vt:lpwstr>
  </property>
</Properties>
</file>