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380C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004314E8" w14:textId="77777777" w:rsidR="00B51F39" w:rsidRDefault="00B51F39" w:rsidP="004042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publica para comentarios del público el siguiente:</w:t>
      </w:r>
    </w:p>
    <w:p w14:paraId="2885B504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C7E1ECA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4DB32B4F" w14:textId="328620EE" w:rsidR="00B51F39" w:rsidRPr="0097133A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PROYECTO </w:t>
      </w:r>
      <w:r w:rsidRPr="00C304C8">
        <w:rPr>
          <w:rFonts w:ascii="Arial" w:hAnsi="Arial" w:cs="Arial"/>
          <w:b/>
          <w:bCs/>
          <w:sz w:val="24"/>
          <w:szCs w:val="24"/>
        </w:rPr>
        <w:t xml:space="preserve">DE </w:t>
      </w:r>
      <w:r w:rsidR="00CE5727" w:rsidRPr="00C304C8">
        <w:rPr>
          <w:rFonts w:ascii="Arial" w:hAnsi="Arial" w:cs="Arial"/>
          <w:b/>
          <w:bCs/>
          <w:sz w:val="24"/>
          <w:szCs w:val="24"/>
        </w:rPr>
        <w:t>CIRCULAR EXTERNA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6B29A5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84492112"/>
      <w:r w:rsidR="00CE5727">
        <w:rPr>
          <w:rFonts w:ascii="Arial" w:hAnsi="Arial" w:cs="Arial"/>
          <w:bCs/>
          <w:sz w:val="24"/>
          <w:szCs w:val="24"/>
        </w:rPr>
        <w:t xml:space="preserve">Por medio de la cual se imparten </w:t>
      </w:r>
      <w:r w:rsidR="0097133A">
        <w:rPr>
          <w:rFonts w:ascii="Arial" w:hAnsi="Arial" w:cs="Arial"/>
          <w:bCs/>
          <w:sz w:val="24"/>
          <w:szCs w:val="24"/>
        </w:rPr>
        <w:t>i</w:t>
      </w:r>
      <w:r w:rsidR="0097133A" w:rsidRPr="0097133A">
        <w:rPr>
          <w:rFonts w:ascii="Arial" w:hAnsi="Arial" w:cs="Arial"/>
          <w:bCs/>
          <w:sz w:val="24"/>
          <w:szCs w:val="24"/>
        </w:rPr>
        <w:t>nstrucciones relativas a la revelación de información sobre asuntos sociales y ambientales, incluidos los climáticos, por parte de los emisores de valores</w:t>
      </w:r>
      <w:r w:rsidR="0097133A">
        <w:rPr>
          <w:rFonts w:ascii="Arial" w:hAnsi="Arial" w:cs="Arial"/>
          <w:bCs/>
          <w:sz w:val="24"/>
          <w:szCs w:val="24"/>
        </w:rPr>
        <w:t>.</w:t>
      </w:r>
    </w:p>
    <w:bookmarkEnd w:id="0"/>
    <w:p w14:paraId="6D915A07" w14:textId="77777777" w:rsidR="006F70A6" w:rsidRDefault="006F70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7C37A0B2" w14:textId="405EB5F0" w:rsidR="00B51F39" w:rsidRPr="0097133A" w:rsidRDefault="00B51F39" w:rsidP="009713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PROPÓSITO: </w:t>
      </w:r>
      <w:r w:rsidR="0097133A" w:rsidRPr="0097133A">
        <w:rPr>
          <w:rFonts w:ascii="Arial" w:hAnsi="Arial" w:cs="Arial"/>
          <w:sz w:val="24"/>
          <w:szCs w:val="24"/>
        </w:rPr>
        <w:t>Impartir instrucciones en relación con la revelación de información de</w:t>
      </w:r>
      <w:r w:rsidR="0097133A" w:rsidRPr="0097133A">
        <w:rPr>
          <w:rFonts w:ascii="Arial" w:hAnsi="Arial" w:cs="Arial"/>
          <w:sz w:val="24"/>
          <w:szCs w:val="24"/>
        </w:rPr>
        <w:t xml:space="preserve"> </w:t>
      </w:r>
      <w:r w:rsidR="0097133A" w:rsidRPr="0097133A">
        <w:rPr>
          <w:rFonts w:ascii="Arial" w:hAnsi="Arial" w:cs="Arial"/>
          <w:sz w:val="24"/>
          <w:szCs w:val="24"/>
        </w:rPr>
        <w:t>asuntos sociales y ambientales, incluidos los climáticos, para los emisores</w:t>
      </w:r>
      <w:r w:rsidR="0097133A" w:rsidRPr="0097133A">
        <w:rPr>
          <w:rFonts w:ascii="Arial" w:hAnsi="Arial" w:cs="Arial"/>
          <w:sz w:val="24"/>
          <w:szCs w:val="24"/>
        </w:rPr>
        <w:t xml:space="preserve"> </w:t>
      </w:r>
      <w:r w:rsidR="0097133A" w:rsidRPr="0097133A">
        <w:rPr>
          <w:rFonts w:ascii="Arial" w:hAnsi="Arial" w:cs="Arial"/>
          <w:sz w:val="24"/>
          <w:szCs w:val="24"/>
        </w:rPr>
        <w:t xml:space="preserve">de valores </w:t>
      </w:r>
      <w:r w:rsidR="000B3E2D">
        <w:rPr>
          <w:rFonts w:ascii="Arial" w:hAnsi="Arial" w:cs="Arial"/>
          <w:sz w:val="24"/>
          <w:szCs w:val="24"/>
        </w:rPr>
        <w:t>en el</w:t>
      </w:r>
      <w:r w:rsidR="0097133A" w:rsidRPr="0097133A">
        <w:rPr>
          <w:rFonts w:ascii="Arial" w:hAnsi="Arial" w:cs="Arial"/>
          <w:sz w:val="24"/>
          <w:szCs w:val="24"/>
        </w:rPr>
        <w:t xml:space="preserve"> informe periódico de fin de ejercicio </w:t>
      </w:r>
      <w:r w:rsidR="0097133A" w:rsidRPr="0097133A">
        <w:rPr>
          <w:rFonts w:ascii="Arial" w:hAnsi="Arial" w:cs="Arial"/>
          <w:sz w:val="24"/>
          <w:szCs w:val="24"/>
        </w:rPr>
        <w:t>y el informe periódico trimestral.</w:t>
      </w:r>
    </w:p>
    <w:p w14:paraId="54A73580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29E670D5" w14:textId="445D476B" w:rsidR="00B51F39" w:rsidRDefault="00B51F39" w:rsidP="009713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PLAZO PARA COMENTARIOS: </w:t>
      </w:r>
      <w:r w:rsidR="0097133A" w:rsidRPr="0097133A">
        <w:rPr>
          <w:rFonts w:ascii="Arial" w:hAnsi="Arial" w:cs="Arial"/>
          <w:sz w:val="24"/>
          <w:szCs w:val="24"/>
        </w:rPr>
        <w:t>Hasta las</w:t>
      </w:r>
      <w:r w:rsidR="0097133A">
        <w:rPr>
          <w:rFonts w:ascii="Arial" w:hAnsi="Arial" w:cs="Arial"/>
          <w:b/>
          <w:bCs/>
          <w:sz w:val="24"/>
          <w:szCs w:val="24"/>
        </w:rPr>
        <w:t xml:space="preserve"> </w:t>
      </w:r>
      <w:r w:rsidR="00CE5727" w:rsidRPr="00CE5727">
        <w:rPr>
          <w:rFonts w:ascii="Arial" w:hAnsi="Arial" w:cs="Arial"/>
          <w:bCs/>
          <w:sz w:val="24"/>
          <w:szCs w:val="24"/>
        </w:rPr>
        <w:t xml:space="preserve">5:00 p.m. del </w:t>
      </w:r>
      <w:r w:rsidR="0097133A">
        <w:rPr>
          <w:rFonts w:ascii="Arial" w:hAnsi="Arial" w:cs="Arial"/>
          <w:bCs/>
          <w:sz w:val="24"/>
          <w:szCs w:val="24"/>
        </w:rPr>
        <w:t xml:space="preserve">jueves 21 de octubre de 2021. </w:t>
      </w:r>
    </w:p>
    <w:p w14:paraId="08836B2E" w14:textId="77777777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34B38859" w14:textId="77777777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REMISIÓN DE COMENTARIOS: </w:t>
      </w:r>
      <w:r>
        <w:rPr>
          <w:rFonts w:ascii="Arial" w:hAnsi="Arial" w:cs="Arial"/>
          <w:bCs/>
          <w:sz w:val="24"/>
          <w:szCs w:val="24"/>
        </w:rPr>
        <w:t>Por favor diligenciar la proforma adjunta “</w:t>
      </w:r>
      <w:r w:rsidRPr="00903B73">
        <w:rPr>
          <w:rFonts w:ascii="Arial" w:hAnsi="Arial" w:cs="Arial"/>
          <w:bCs/>
          <w:sz w:val="24"/>
          <w:szCs w:val="24"/>
        </w:rPr>
        <w:t>MATRIZ PARA COMENTARIOS EXTERNOS - PUBLICACION WEB</w:t>
      </w:r>
      <w:r>
        <w:rPr>
          <w:rFonts w:ascii="Arial" w:hAnsi="Arial" w:cs="Arial"/>
          <w:bCs/>
          <w:sz w:val="24"/>
          <w:szCs w:val="24"/>
        </w:rPr>
        <w:t xml:space="preserve">”. </w:t>
      </w:r>
    </w:p>
    <w:p w14:paraId="6682807E" w14:textId="77777777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7884A86" w14:textId="77777777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</w:rPr>
        <w:t xml:space="preserve">La proforma en formato Word puede ser radicada vía e-mail por medio del correo electrónico </w:t>
      </w:r>
      <w:hyperlink r:id="rId8" w:history="1">
        <w:r w:rsidRPr="00663E3A">
          <w:rPr>
            <w:rStyle w:val="Hipervnculo"/>
            <w:rFonts w:ascii="Arial" w:hAnsi="Arial" w:cs="Arial"/>
            <w:bCs/>
            <w:sz w:val="24"/>
            <w:szCs w:val="24"/>
            <w:lang w:val="es-ES"/>
          </w:rPr>
          <w:t>normativa@superfinanciera.gov.co</w:t>
        </w:r>
      </w:hyperlink>
      <w:r>
        <w:rPr>
          <w:rFonts w:ascii="Arial" w:hAnsi="Arial" w:cs="Arial"/>
          <w:bCs/>
          <w:sz w:val="24"/>
          <w:szCs w:val="24"/>
          <w:lang w:val="es-ES"/>
        </w:rPr>
        <w:t xml:space="preserve">. En el asunto </w:t>
      </w:r>
      <w:r w:rsidRPr="00BC13D7">
        <w:rPr>
          <w:rFonts w:ascii="Arial" w:hAnsi="Arial" w:cs="Arial"/>
          <w:b/>
          <w:bCs/>
          <w:sz w:val="24"/>
          <w:szCs w:val="24"/>
          <w:lang w:val="es-ES"/>
        </w:rPr>
        <w:t>únicamente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incluir el siguiente número de radicación: </w:t>
      </w:r>
      <w:r w:rsidRPr="00E77E01">
        <w:rPr>
          <w:rFonts w:ascii="Arial" w:hAnsi="Arial" w:cs="Arial"/>
          <w:b/>
          <w:bCs/>
          <w:sz w:val="24"/>
          <w:szCs w:val="24"/>
          <w:lang w:val="es-ES"/>
        </w:rPr>
        <w:tab/>
        <w:t xml:space="preserve"> </w:t>
      </w:r>
    </w:p>
    <w:p w14:paraId="029FCDFA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77E01">
        <w:rPr>
          <w:rFonts w:ascii="Arial" w:hAnsi="Arial" w:cs="Arial"/>
          <w:b/>
          <w:bCs/>
          <w:sz w:val="24"/>
          <w:szCs w:val="24"/>
          <w:lang w:val="es-ES"/>
        </w:rPr>
        <w:tab/>
      </w:r>
      <w:r w:rsidR="0064423D" w:rsidRPr="00E77E0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14:paraId="47AD9463" w14:textId="77777777" w:rsidR="006F70A6" w:rsidRPr="00A164B8" w:rsidRDefault="006F70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36"/>
          <w:szCs w:val="24"/>
          <w:lang w:val="es-ES"/>
        </w:rPr>
      </w:pPr>
    </w:p>
    <w:p w14:paraId="69226604" w14:textId="07EF8C2B" w:rsidR="00B51F39" w:rsidRPr="00E77E01" w:rsidRDefault="006F70A6" w:rsidP="006F70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RADICADO No. </w:t>
      </w:r>
      <w:r w:rsidR="0097133A">
        <w:rPr>
          <w:rFonts w:ascii="Arial" w:hAnsi="Arial" w:cs="Arial"/>
          <w:b/>
          <w:bCs/>
          <w:sz w:val="24"/>
          <w:szCs w:val="24"/>
          <w:lang w:val="es-ES"/>
        </w:rPr>
        <w:t>2021205005</w:t>
      </w:r>
    </w:p>
    <w:p w14:paraId="67B0A64E" w14:textId="77777777" w:rsidR="00B51F39" w:rsidRPr="00E77E01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EE8EC07" w14:textId="77777777" w:rsidR="00B51F39" w:rsidRDefault="00E77E01" w:rsidP="003741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 ESCRITO A: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E5727">
        <w:rPr>
          <w:rFonts w:ascii="Arial" w:hAnsi="Arial" w:cs="Arial"/>
          <w:b/>
          <w:bCs/>
          <w:sz w:val="24"/>
          <w:szCs w:val="24"/>
        </w:rPr>
        <w:t>Subdirección</w:t>
      </w:r>
      <w:r w:rsidR="00824B7C">
        <w:rPr>
          <w:rFonts w:ascii="Arial" w:hAnsi="Arial" w:cs="Arial"/>
          <w:b/>
          <w:bCs/>
          <w:sz w:val="24"/>
          <w:szCs w:val="24"/>
        </w:rPr>
        <w:t xml:space="preserve"> de </w:t>
      </w:r>
      <w:r w:rsidR="00AC0FDE">
        <w:rPr>
          <w:rFonts w:ascii="Arial" w:hAnsi="Arial" w:cs="Arial"/>
          <w:b/>
          <w:bCs/>
          <w:sz w:val="24"/>
          <w:szCs w:val="24"/>
        </w:rPr>
        <w:t>Regulación</w:t>
      </w:r>
      <w:r w:rsidR="00A164B8">
        <w:rPr>
          <w:rFonts w:ascii="Arial" w:hAnsi="Arial" w:cs="Arial"/>
          <w:bCs/>
          <w:sz w:val="24"/>
          <w:szCs w:val="24"/>
        </w:rPr>
        <w:t>, con el número de radicación.</w:t>
      </w:r>
    </w:p>
    <w:p w14:paraId="48B3C5BF" w14:textId="77777777" w:rsidR="00043B3D" w:rsidRPr="00E77E01" w:rsidRDefault="00043B3D" w:rsidP="003741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rPr>
          <w:rFonts w:ascii="Arial" w:hAnsi="Arial" w:cs="Arial"/>
          <w:bCs/>
          <w:sz w:val="24"/>
          <w:szCs w:val="24"/>
        </w:rPr>
      </w:pPr>
    </w:p>
    <w:p w14:paraId="33B61E4F" w14:textId="77777777" w:rsidR="00B51F39" w:rsidRPr="00E77E01" w:rsidRDefault="00B51F39" w:rsidP="003741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77E01">
        <w:rPr>
          <w:rFonts w:ascii="Arial" w:hAnsi="Arial" w:cs="Arial"/>
          <w:bCs/>
          <w:sz w:val="24"/>
          <w:szCs w:val="24"/>
        </w:rPr>
        <w:tab/>
      </w:r>
      <w:r w:rsidRPr="00E77E01">
        <w:rPr>
          <w:rFonts w:ascii="Arial" w:hAnsi="Arial" w:cs="Arial"/>
          <w:bCs/>
          <w:sz w:val="24"/>
          <w:szCs w:val="24"/>
        </w:rPr>
        <w:tab/>
        <w:t xml:space="preserve"> </w:t>
      </w:r>
    </w:p>
    <w:p w14:paraId="6CB58215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0A4C411D" w14:textId="77777777" w:rsidR="00564B20" w:rsidRPr="00043B3D" w:rsidRDefault="00043B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043B3D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043B3D">
        <w:rPr>
          <w:rFonts w:ascii="Arial" w:hAnsi="Arial" w:cs="Arial"/>
          <w:bCs/>
          <w:sz w:val="24"/>
          <w:szCs w:val="24"/>
        </w:rPr>
        <w:t>Para la remisión de los comentarios por favor citar en el asunto del correo electrónico</w:t>
      </w:r>
      <w:r>
        <w:rPr>
          <w:rFonts w:ascii="Arial" w:hAnsi="Arial" w:cs="Arial"/>
          <w:bCs/>
          <w:sz w:val="24"/>
          <w:szCs w:val="24"/>
        </w:rPr>
        <w:t>,</w:t>
      </w:r>
      <w:r w:rsidRPr="00043B3D">
        <w:rPr>
          <w:rFonts w:ascii="Arial" w:hAnsi="Arial" w:cs="Arial"/>
          <w:bCs/>
          <w:sz w:val="24"/>
          <w:szCs w:val="24"/>
        </w:rPr>
        <w:t xml:space="preserve"> la referencia señalada, así como por escrito.</w:t>
      </w:r>
    </w:p>
    <w:p w14:paraId="2A6AB527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5AB454CF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53267984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0610A183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4710C8ED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69F8F7A0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0F409290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3B436532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38E0290" w14:textId="77777777" w:rsidR="00B51F39" w:rsidRDefault="00B51F39" w:rsidP="00CE57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* Consulte en este archivo el texto del proyecto de </w:t>
      </w:r>
      <w:r w:rsidR="00CE5727">
        <w:rPr>
          <w:rFonts w:ascii="Arial" w:hAnsi="Arial" w:cs="Arial"/>
          <w:b/>
          <w:bCs/>
          <w:sz w:val="28"/>
          <w:szCs w:val="28"/>
        </w:rPr>
        <w:t>circular externa</w:t>
      </w:r>
    </w:p>
    <w:p w14:paraId="1A050829" w14:textId="77777777" w:rsidR="00E77E01" w:rsidRDefault="00E77E01" w:rsidP="00E77E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4"/>
        </w:rPr>
      </w:pPr>
    </w:p>
    <w:p w14:paraId="4E16C910" w14:textId="77777777" w:rsidR="00E77E01" w:rsidRDefault="00E77E01" w:rsidP="00E77E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4"/>
        </w:rPr>
      </w:pPr>
    </w:p>
    <w:p w14:paraId="16887545" w14:textId="77777777" w:rsidR="0097133A" w:rsidRPr="0097133A" w:rsidRDefault="00CE5727" w:rsidP="0097133A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</w:pPr>
      <w:r>
        <w:rPr>
          <w:rFonts w:cs="Arial"/>
          <w:b/>
          <w:bCs/>
          <w:sz w:val="22"/>
          <w:szCs w:val="22"/>
        </w:rPr>
        <w:br w:type="page"/>
      </w:r>
      <w:r w:rsidR="0097133A" w:rsidRPr="0097133A"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  <w:lastRenderedPageBreak/>
        <w:t>CIRCULAR EXTERNA        DE   2021</w:t>
      </w:r>
    </w:p>
    <w:p w14:paraId="0C07991C" w14:textId="77777777" w:rsidR="0097133A" w:rsidRPr="0097133A" w:rsidRDefault="0097133A" w:rsidP="0097133A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</w:pPr>
      <w:r w:rsidRPr="0097133A"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  <w:t>(                                     )</w:t>
      </w:r>
    </w:p>
    <w:p w14:paraId="1A896DC3" w14:textId="77777777" w:rsidR="0097133A" w:rsidRPr="0097133A" w:rsidRDefault="0097133A" w:rsidP="0097133A">
      <w:pPr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</w:pPr>
    </w:p>
    <w:p w14:paraId="25449A39" w14:textId="77777777" w:rsidR="0097133A" w:rsidRPr="0097133A" w:rsidRDefault="0097133A" w:rsidP="0097133A">
      <w:pPr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</w:pPr>
      <w:r w:rsidRPr="0097133A"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  <w:t>Señores:</w:t>
      </w:r>
    </w:p>
    <w:p w14:paraId="53DD4204" w14:textId="77777777" w:rsidR="0097133A" w:rsidRPr="0097133A" w:rsidRDefault="0097133A" w:rsidP="0097133A">
      <w:pPr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</w:pPr>
      <w:r w:rsidRPr="0097133A">
        <w:rPr>
          <w:rFonts w:ascii="Arial" w:hAnsi="Arial" w:cs="Arial"/>
          <w:color w:val="000000"/>
          <w:sz w:val="24"/>
          <w:szCs w:val="24"/>
        </w:rPr>
        <w:t>REPRESENTANTES LEGALES Y REVISORES FISCALES DE LOS EMISORES DE VALORES</w:t>
      </w:r>
    </w:p>
    <w:p w14:paraId="6A3A6DF7" w14:textId="77777777" w:rsidR="0097133A" w:rsidRPr="0097133A" w:rsidRDefault="0097133A" w:rsidP="0097133A">
      <w:pPr>
        <w:jc w:val="both"/>
        <w:rPr>
          <w:rFonts w:ascii="Arial" w:eastAsia="Arial" w:hAnsi="Arial" w:cs="Arial"/>
          <w:color w:val="000000"/>
          <w:sz w:val="24"/>
          <w:szCs w:val="24"/>
          <w:lang w:val="es-CO"/>
        </w:rPr>
      </w:pPr>
    </w:p>
    <w:p w14:paraId="5E9986C1" w14:textId="77777777" w:rsidR="0097133A" w:rsidRPr="0097133A" w:rsidRDefault="0097133A" w:rsidP="0097133A">
      <w:pPr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</w:pPr>
      <w:r w:rsidRPr="0097133A"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  <w:t>Referencia: Instrucciones relativas a la revelación de información sobre asuntos sociales y ambientales, incluidos los climáticos, por parte de los emisores de valores</w:t>
      </w:r>
    </w:p>
    <w:p w14:paraId="42D374C7" w14:textId="77777777" w:rsidR="0097133A" w:rsidRPr="0097133A" w:rsidRDefault="0097133A" w:rsidP="0097133A">
      <w:pPr>
        <w:jc w:val="both"/>
        <w:rPr>
          <w:rFonts w:ascii="Arial" w:eastAsia="Arial" w:hAnsi="Arial" w:cs="Arial"/>
          <w:color w:val="000000"/>
          <w:sz w:val="24"/>
          <w:szCs w:val="24"/>
          <w:lang w:val="es-CO"/>
        </w:rPr>
      </w:pPr>
    </w:p>
    <w:p w14:paraId="4533C7E4" w14:textId="77777777" w:rsidR="0097133A" w:rsidRPr="0097133A" w:rsidRDefault="0097133A" w:rsidP="0097133A">
      <w:pPr>
        <w:jc w:val="both"/>
        <w:rPr>
          <w:rFonts w:ascii="Arial" w:eastAsia="Arial" w:hAnsi="Arial" w:cs="Arial"/>
          <w:color w:val="000000"/>
          <w:sz w:val="24"/>
          <w:szCs w:val="24"/>
          <w:lang w:val="es-CO"/>
        </w:rPr>
      </w:pPr>
      <w:r w:rsidRPr="0097133A">
        <w:rPr>
          <w:rFonts w:ascii="Arial" w:eastAsia="Arial" w:hAnsi="Arial" w:cs="Arial"/>
          <w:color w:val="000000"/>
          <w:sz w:val="24"/>
          <w:szCs w:val="24"/>
          <w:lang w:val="es-CO"/>
        </w:rPr>
        <w:t>Apreciados señores:</w:t>
      </w:r>
    </w:p>
    <w:p w14:paraId="6E88483F" w14:textId="77777777" w:rsidR="0097133A" w:rsidRPr="0097133A" w:rsidRDefault="0097133A" w:rsidP="0097133A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</w:p>
    <w:p w14:paraId="7D489198" w14:textId="77777777" w:rsidR="0097133A" w:rsidRPr="0097133A" w:rsidRDefault="0097133A" w:rsidP="0097133A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97133A">
        <w:rPr>
          <w:rFonts w:ascii="Arial" w:hAnsi="Arial" w:cs="Arial"/>
          <w:color w:val="000000"/>
          <w:sz w:val="24"/>
          <w:szCs w:val="24"/>
          <w:lang w:val="es-CO"/>
        </w:rPr>
        <w:t xml:space="preserve">Con el propósito de estandarizar la información sobre las prácticas sostenibles de los emisores de valores y fortalecer las medidas para abordar los retos del cambio climático, esta Superintendencia considera necesario impartir instrucciones relacionadas con la revelación de información de los asuntos sociales y ambientales, incluyendo los climáticos, bajo una perspectiva de materialidad financiera y a través de la adopción de los estándares internacionales del </w:t>
      </w:r>
      <w:proofErr w:type="spellStart"/>
      <w:r w:rsidRPr="0097133A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>Task</w:t>
      </w:r>
      <w:proofErr w:type="spellEnd"/>
      <w:r w:rsidRPr="0097133A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 xml:space="preserve"> </w:t>
      </w:r>
      <w:proofErr w:type="spellStart"/>
      <w:r w:rsidRPr="0097133A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>Force</w:t>
      </w:r>
      <w:proofErr w:type="spellEnd"/>
      <w:r w:rsidRPr="0097133A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 xml:space="preserve"> </w:t>
      </w:r>
      <w:proofErr w:type="spellStart"/>
      <w:r w:rsidRPr="0097133A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>for</w:t>
      </w:r>
      <w:proofErr w:type="spellEnd"/>
      <w:r w:rsidRPr="0097133A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 xml:space="preserve"> </w:t>
      </w:r>
      <w:proofErr w:type="spellStart"/>
      <w:r w:rsidRPr="0097133A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>Climate</w:t>
      </w:r>
      <w:proofErr w:type="spellEnd"/>
      <w:r w:rsidRPr="0097133A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 xml:space="preserve"> </w:t>
      </w:r>
      <w:proofErr w:type="spellStart"/>
      <w:r w:rsidRPr="0097133A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>Related</w:t>
      </w:r>
      <w:proofErr w:type="spellEnd"/>
      <w:r w:rsidRPr="0097133A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 xml:space="preserve"> </w:t>
      </w:r>
      <w:proofErr w:type="spellStart"/>
      <w:r w:rsidRPr="0097133A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>Financial</w:t>
      </w:r>
      <w:proofErr w:type="spellEnd"/>
      <w:r w:rsidRPr="0097133A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 xml:space="preserve"> </w:t>
      </w:r>
      <w:proofErr w:type="spellStart"/>
      <w:r w:rsidRPr="0097133A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>Disclosure</w:t>
      </w:r>
      <w:proofErr w:type="spellEnd"/>
      <w:r w:rsidRPr="0097133A">
        <w:rPr>
          <w:rFonts w:ascii="Arial" w:hAnsi="Arial" w:cs="Arial"/>
          <w:color w:val="000000"/>
          <w:sz w:val="24"/>
          <w:szCs w:val="24"/>
          <w:lang w:val="es-CO"/>
        </w:rPr>
        <w:t xml:space="preserve"> (TCFD, por sus siglas en inglés) y del </w:t>
      </w:r>
      <w:proofErr w:type="spellStart"/>
      <w:r w:rsidRPr="0097133A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>Sustainability</w:t>
      </w:r>
      <w:proofErr w:type="spellEnd"/>
      <w:r w:rsidRPr="0097133A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 xml:space="preserve"> </w:t>
      </w:r>
      <w:proofErr w:type="spellStart"/>
      <w:r w:rsidRPr="0097133A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>Accounting</w:t>
      </w:r>
      <w:proofErr w:type="spellEnd"/>
      <w:r w:rsidRPr="0097133A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 xml:space="preserve"> </w:t>
      </w:r>
      <w:proofErr w:type="spellStart"/>
      <w:r w:rsidRPr="0097133A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>Standards</w:t>
      </w:r>
      <w:proofErr w:type="spellEnd"/>
      <w:r w:rsidRPr="0097133A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 xml:space="preserve"> </w:t>
      </w:r>
      <w:proofErr w:type="spellStart"/>
      <w:r w:rsidRPr="0097133A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>Board</w:t>
      </w:r>
      <w:proofErr w:type="spellEnd"/>
      <w:r w:rsidRPr="0097133A">
        <w:rPr>
          <w:rFonts w:ascii="Arial" w:hAnsi="Arial" w:cs="Arial"/>
          <w:color w:val="000000"/>
          <w:sz w:val="24"/>
          <w:szCs w:val="24"/>
          <w:lang w:val="es-CO"/>
        </w:rPr>
        <w:t xml:space="preserve"> (SASB, por sus siglas en inglés). </w:t>
      </w:r>
    </w:p>
    <w:p w14:paraId="64066608" w14:textId="77777777" w:rsidR="0097133A" w:rsidRPr="0097133A" w:rsidRDefault="0097133A" w:rsidP="0097133A">
      <w:pPr>
        <w:pStyle w:val="Sinespaciado"/>
        <w:tabs>
          <w:tab w:val="left" w:pos="142"/>
        </w:tabs>
        <w:jc w:val="both"/>
        <w:rPr>
          <w:rFonts w:eastAsia="Arial" w:cs="Arial"/>
          <w:color w:val="000000"/>
          <w:szCs w:val="24"/>
          <w:lang w:val="es-CO"/>
        </w:rPr>
      </w:pPr>
    </w:p>
    <w:p w14:paraId="64853DCF" w14:textId="4EC604DA" w:rsidR="0097133A" w:rsidRPr="0097133A" w:rsidRDefault="0097133A" w:rsidP="0097133A">
      <w:pPr>
        <w:pStyle w:val="Sinespaciado"/>
        <w:tabs>
          <w:tab w:val="left" w:pos="142"/>
        </w:tabs>
        <w:jc w:val="both"/>
        <w:rPr>
          <w:rFonts w:eastAsia="Arial" w:cs="Arial"/>
          <w:color w:val="000000"/>
          <w:szCs w:val="24"/>
          <w:lang w:val="es-CO"/>
        </w:rPr>
      </w:pPr>
      <w:r w:rsidRPr="0097133A">
        <w:rPr>
          <w:rFonts w:eastAsia="Arial" w:cs="Arial"/>
          <w:color w:val="000000"/>
          <w:szCs w:val="24"/>
          <w:lang w:val="es-CO"/>
        </w:rPr>
        <w:t>En consecuencia, este Despacho, en ejercicio de las facultades conferidas en el literal a) del artículo 6 de la Ley 964 de 2005, y los artículos 5.2.4.1.1, 5.2.4.2.2., 5.2.4.2.3. y el numeral 4. del artículo 11.2.1.4.2 del Decreto 2555 de 2010, imparte las siguientes instrucciones:</w:t>
      </w:r>
    </w:p>
    <w:p w14:paraId="66A12688" w14:textId="77777777" w:rsidR="0097133A" w:rsidRPr="0097133A" w:rsidRDefault="0097133A" w:rsidP="0097133A">
      <w:pPr>
        <w:pStyle w:val="Sinespaciado"/>
        <w:tabs>
          <w:tab w:val="left" w:pos="142"/>
        </w:tabs>
        <w:jc w:val="both"/>
        <w:rPr>
          <w:rFonts w:eastAsia="Arial" w:cs="Arial"/>
          <w:color w:val="000000"/>
          <w:szCs w:val="24"/>
          <w:lang w:val="es-CO"/>
        </w:rPr>
      </w:pPr>
    </w:p>
    <w:p w14:paraId="4F5024AB" w14:textId="77777777" w:rsidR="0097133A" w:rsidRPr="0097133A" w:rsidRDefault="0097133A" w:rsidP="0097133A">
      <w:pPr>
        <w:jc w:val="both"/>
        <w:rPr>
          <w:rFonts w:ascii="Arial" w:eastAsia="Arial" w:hAnsi="Arial" w:cs="Arial"/>
          <w:color w:val="000000"/>
          <w:sz w:val="24"/>
          <w:szCs w:val="24"/>
          <w:lang w:val="es-CO"/>
        </w:rPr>
      </w:pPr>
      <w:r w:rsidRPr="0097133A"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  <w:t>PRIMERA:</w:t>
      </w:r>
      <w:r w:rsidRPr="0097133A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 Adicionar el Anexo 2 </w:t>
      </w:r>
      <w:r w:rsidRPr="0097133A">
        <w:rPr>
          <w:rFonts w:ascii="Arial" w:eastAsia="Arial" w:hAnsi="Arial" w:cs="Arial"/>
          <w:i/>
          <w:iCs/>
          <w:color w:val="000000"/>
          <w:sz w:val="24"/>
          <w:szCs w:val="24"/>
          <w:lang w:val="es-CO"/>
        </w:rPr>
        <w:t>“Revelación de información sobre asuntos sociales y ambientales, incluidos los climáticos</w:t>
      </w:r>
      <w:r w:rsidRPr="0097133A">
        <w:rPr>
          <w:rFonts w:ascii="Arial" w:eastAsia="Arial" w:hAnsi="Arial" w:cs="Arial"/>
          <w:color w:val="000000"/>
          <w:sz w:val="24"/>
          <w:szCs w:val="24"/>
          <w:lang w:val="es-CO"/>
        </w:rPr>
        <w:t>” al Capítulo I del Título V de la Parte III de la Circular Básica Jurídica para definir las reglas aplicables a los emisores de valores en la revelación de información sobre los asuntos ambientales, sociales y climáticos dentro del informe periódico de fin de ejercicio y el informe periódico trimestral.</w:t>
      </w:r>
    </w:p>
    <w:p w14:paraId="509B9839" w14:textId="77777777" w:rsidR="0097133A" w:rsidRPr="0097133A" w:rsidRDefault="0097133A" w:rsidP="0097133A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</w:p>
    <w:p w14:paraId="7C2BB651" w14:textId="77777777" w:rsidR="0097133A" w:rsidRPr="0097133A" w:rsidRDefault="0097133A" w:rsidP="0097133A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  <w:r w:rsidRPr="0097133A">
        <w:rPr>
          <w:rFonts w:eastAsia="Arial" w:cs="Arial"/>
          <w:b/>
          <w:bCs/>
          <w:color w:val="000000"/>
          <w:szCs w:val="24"/>
          <w:lang w:val="es-CO"/>
        </w:rPr>
        <w:t>SEGUNDA:</w:t>
      </w:r>
      <w:r w:rsidRPr="0097133A">
        <w:rPr>
          <w:rFonts w:eastAsia="Arial" w:cs="Arial"/>
          <w:color w:val="000000"/>
          <w:szCs w:val="24"/>
          <w:lang w:val="es-CO"/>
        </w:rPr>
        <w:t xml:space="preserve"> Adicionar el numeral 3 al Capítulo I del Título V de la Parte III de la Circular Básica Jurídica “</w:t>
      </w:r>
      <w:r w:rsidRPr="0097133A">
        <w:rPr>
          <w:rFonts w:eastAsia="Arial" w:cs="Arial"/>
          <w:i/>
          <w:iCs/>
          <w:color w:val="000000"/>
          <w:szCs w:val="24"/>
          <w:lang w:val="es-CO"/>
        </w:rPr>
        <w:t>Registro Nacional de Valores y Emisores – RNVE</w:t>
      </w:r>
      <w:r w:rsidRPr="0097133A">
        <w:rPr>
          <w:rFonts w:eastAsia="Arial" w:cs="Arial"/>
          <w:color w:val="000000"/>
          <w:szCs w:val="24"/>
          <w:lang w:val="es-CO"/>
        </w:rPr>
        <w:t>” para hacer referencia a las instrucciones contenidas en el Anexo 2 que se crea mediante la presente Circular.</w:t>
      </w:r>
    </w:p>
    <w:p w14:paraId="33FE4C0B" w14:textId="77777777" w:rsidR="0097133A" w:rsidRPr="0097133A" w:rsidRDefault="0097133A" w:rsidP="0097133A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</w:p>
    <w:p w14:paraId="3DB81D56" w14:textId="77777777" w:rsidR="0097133A" w:rsidRPr="0097133A" w:rsidRDefault="0097133A" w:rsidP="0097133A">
      <w:pPr>
        <w:pStyle w:val="Textocomentario"/>
        <w:jc w:val="both"/>
        <w:rPr>
          <w:rFonts w:ascii="Arial" w:eastAsia="Arial" w:hAnsi="Arial" w:cs="Arial"/>
          <w:color w:val="000000"/>
          <w:sz w:val="24"/>
          <w:szCs w:val="24"/>
          <w:lang w:val="es-CO"/>
        </w:rPr>
      </w:pPr>
      <w:r w:rsidRPr="0097133A"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  <w:t>TERCERA. Régimen de transición:</w:t>
      </w:r>
      <w:r w:rsidRPr="0097133A">
        <w:rPr>
          <w:rFonts w:ascii="Arial" w:eastAsia="Arial" w:hAnsi="Arial" w:cs="Arial"/>
          <w:color w:val="000000"/>
          <w:sz w:val="24"/>
          <w:szCs w:val="24"/>
          <w:lang w:val="es-CO"/>
        </w:rPr>
        <w:t xml:space="preserve"> Los emisores de valores deben divulgar a más tardar en el año 2024 la siguiente información: (i) el capítulo dedicado a las prácticas, políticas, procesos e indicadores de los asuntos sociales y ambientales, incluidos los climáticos, dentro del informe periódico de fin de ejercicio, y (</w:t>
      </w:r>
      <w:proofErr w:type="spellStart"/>
      <w:r w:rsidRPr="0097133A">
        <w:rPr>
          <w:rFonts w:ascii="Arial" w:eastAsia="Arial" w:hAnsi="Arial" w:cs="Arial"/>
          <w:color w:val="000000"/>
          <w:sz w:val="24"/>
          <w:szCs w:val="24"/>
          <w:lang w:val="es-CO"/>
        </w:rPr>
        <w:t>ii</w:t>
      </w:r>
      <w:proofErr w:type="spellEnd"/>
      <w:r w:rsidRPr="0097133A">
        <w:rPr>
          <w:rFonts w:ascii="Arial" w:eastAsia="Arial" w:hAnsi="Arial" w:cs="Arial"/>
          <w:color w:val="000000"/>
          <w:sz w:val="24"/>
          <w:szCs w:val="24"/>
          <w:lang w:val="es-CO"/>
        </w:rPr>
        <w:t>) el capítulo dedicado a cualquier cambio material que se haya presentado en las prácticas, procesos, políticas e indicadores implementados en relación con los asuntos sociales y ambientales, incluidos los climáticos, dentro del informe periódico trimestral, conforme a los plazos e instrucciones previstas en la presente Circular.</w:t>
      </w:r>
    </w:p>
    <w:p w14:paraId="5B4A2FD3" w14:textId="77777777" w:rsidR="0097133A" w:rsidRPr="0097133A" w:rsidRDefault="0097133A" w:rsidP="0097133A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</w:p>
    <w:p w14:paraId="4819ABB6" w14:textId="77777777" w:rsidR="0097133A" w:rsidRPr="0097133A" w:rsidRDefault="0097133A" w:rsidP="0097133A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  <w:r w:rsidRPr="0097133A">
        <w:rPr>
          <w:rFonts w:eastAsia="Arial" w:cs="Arial"/>
          <w:color w:val="000000"/>
          <w:szCs w:val="24"/>
          <w:lang w:val="es-CO"/>
        </w:rPr>
        <w:t>La presente Circular rige a partir de su publicación.</w:t>
      </w:r>
    </w:p>
    <w:p w14:paraId="1BDD3AD6" w14:textId="77777777" w:rsidR="0097133A" w:rsidRPr="0097133A" w:rsidRDefault="0097133A" w:rsidP="0097133A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</w:p>
    <w:p w14:paraId="1126F5CB" w14:textId="77777777" w:rsidR="0097133A" w:rsidRPr="0097133A" w:rsidRDefault="0097133A" w:rsidP="0097133A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  <w:r w:rsidRPr="0097133A">
        <w:rPr>
          <w:rFonts w:eastAsia="Arial" w:cs="Arial"/>
          <w:color w:val="000000"/>
          <w:szCs w:val="24"/>
          <w:lang w:val="es-CO"/>
        </w:rPr>
        <w:t>Se anexan las páginas objeto de modificación.</w:t>
      </w:r>
    </w:p>
    <w:p w14:paraId="1EB01C41" w14:textId="77777777" w:rsidR="0097133A" w:rsidRPr="0097133A" w:rsidRDefault="0097133A" w:rsidP="0097133A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</w:p>
    <w:p w14:paraId="6538A33B" w14:textId="77777777" w:rsidR="0097133A" w:rsidRPr="0097133A" w:rsidRDefault="0097133A" w:rsidP="0097133A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  <w:r w:rsidRPr="0097133A">
        <w:rPr>
          <w:rFonts w:eastAsia="Arial" w:cs="Arial"/>
          <w:color w:val="000000"/>
          <w:szCs w:val="24"/>
          <w:lang w:val="es-CO"/>
        </w:rPr>
        <w:t>Cordialmente,</w:t>
      </w:r>
    </w:p>
    <w:p w14:paraId="48DB026C" w14:textId="77777777" w:rsidR="0097133A" w:rsidRPr="0097133A" w:rsidRDefault="0097133A" w:rsidP="0097133A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</w:p>
    <w:p w14:paraId="14F8C9F8" w14:textId="77777777" w:rsidR="0097133A" w:rsidRPr="0097133A" w:rsidRDefault="0097133A" w:rsidP="0097133A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</w:p>
    <w:p w14:paraId="2768F5AE" w14:textId="77777777" w:rsidR="0097133A" w:rsidRPr="0097133A" w:rsidRDefault="0097133A" w:rsidP="0097133A">
      <w:pPr>
        <w:pStyle w:val="Sinespaciado"/>
        <w:jc w:val="both"/>
        <w:rPr>
          <w:rFonts w:eastAsia="Arial" w:cs="Arial"/>
          <w:b/>
          <w:bCs/>
          <w:color w:val="000000"/>
          <w:szCs w:val="24"/>
          <w:lang w:val="es-CO"/>
        </w:rPr>
      </w:pPr>
      <w:r w:rsidRPr="0097133A">
        <w:rPr>
          <w:rFonts w:eastAsia="Arial" w:cs="Arial"/>
          <w:b/>
          <w:bCs/>
          <w:color w:val="000000"/>
          <w:szCs w:val="24"/>
          <w:lang w:val="es-CO"/>
        </w:rPr>
        <w:t>JORGE CASTAÑO GUTIÉRREZ</w:t>
      </w:r>
    </w:p>
    <w:p w14:paraId="00A5CBBD" w14:textId="77777777" w:rsidR="0097133A" w:rsidRPr="0097133A" w:rsidRDefault="0097133A" w:rsidP="0097133A">
      <w:pPr>
        <w:pStyle w:val="Sinespaciado"/>
        <w:jc w:val="both"/>
        <w:rPr>
          <w:rFonts w:eastAsia="Arial" w:cs="Arial"/>
          <w:color w:val="000000"/>
          <w:szCs w:val="24"/>
          <w:lang w:val="es-CO"/>
        </w:rPr>
      </w:pPr>
      <w:r w:rsidRPr="0097133A">
        <w:rPr>
          <w:rFonts w:eastAsia="Arial" w:cs="Arial"/>
          <w:color w:val="000000"/>
          <w:szCs w:val="24"/>
          <w:lang w:val="es-CO"/>
        </w:rPr>
        <w:t>Superintendente Financiero de Colombia</w:t>
      </w:r>
    </w:p>
    <w:p w14:paraId="7385B59F" w14:textId="77777777" w:rsidR="0097133A" w:rsidRPr="0097133A" w:rsidRDefault="0097133A" w:rsidP="0097133A">
      <w:pPr>
        <w:pStyle w:val="Sinespaciado"/>
        <w:jc w:val="both"/>
        <w:rPr>
          <w:rFonts w:eastAsia="Arial" w:cs="Arial"/>
          <w:color w:val="000000"/>
          <w:sz w:val="20"/>
          <w:lang w:val="es-CO"/>
        </w:rPr>
      </w:pPr>
      <w:r w:rsidRPr="0097133A">
        <w:rPr>
          <w:rFonts w:eastAsia="Arial" w:cs="Arial"/>
          <w:color w:val="000000"/>
          <w:sz w:val="20"/>
          <w:lang w:val="es-CO"/>
        </w:rPr>
        <w:t>50000</w:t>
      </w:r>
    </w:p>
    <w:sectPr w:rsidR="0097133A" w:rsidRPr="0097133A" w:rsidSect="0097133A">
      <w:headerReference w:type="default" r:id="rId9"/>
      <w:headerReference w:type="first" r:id="rId10"/>
      <w:footerReference w:type="first" r:id="rId11"/>
      <w:pgSz w:w="12242" w:h="18722" w:code="14"/>
      <w:pgMar w:top="1418" w:right="1701" w:bottom="907" w:left="1701" w:header="709" w:footer="851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5276" w14:textId="77777777" w:rsidR="00366F58" w:rsidRDefault="00366F58">
      <w:r>
        <w:separator/>
      </w:r>
    </w:p>
  </w:endnote>
  <w:endnote w:type="continuationSeparator" w:id="0">
    <w:p w14:paraId="008C826A" w14:textId="77777777" w:rsidR="00366F58" w:rsidRDefault="0036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A576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30B48552" w14:textId="77777777" w:rsidR="00564B20" w:rsidRDefault="00564B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C499" w14:textId="77777777" w:rsidR="00366F58" w:rsidRDefault="00366F58">
      <w:r>
        <w:separator/>
      </w:r>
    </w:p>
  </w:footnote>
  <w:footnote w:type="continuationSeparator" w:id="0">
    <w:p w14:paraId="26E77B8C" w14:textId="77777777" w:rsidR="00366F58" w:rsidRDefault="0036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5630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1"/>
      <w:gridCol w:w="4399"/>
      <w:gridCol w:w="2052"/>
    </w:tblGrid>
    <w:tr w:rsidR="00564B20" w14:paraId="4154DB8F" w14:textId="77777777" w:rsidTr="00043B3D">
      <w:trPr>
        <w:cantSplit/>
        <w:trHeight w:val="850"/>
      </w:trPr>
      <w:tc>
        <w:tcPr>
          <w:tcW w:w="2055" w:type="dxa"/>
          <w:vMerge w:val="restart"/>
          <w:noWrap/>
          <w:vAlign w:val="bottom"/>
        </w:tcPr>
        <w:p w14:paraId="7D643249" w14:textId="77777777" w:rsidR="00564B20" w:rsidRDefault="008078CF" w:rsidP="000F6CB5">
          <w:pPr>
            <w:rPr>
              <w:rFonts w:cs="Arial"/>
              <w:sz w:val="2"/>
              <w:szCs w:val="2"/>
              <w:lang w:val="es-CO"/>
            </w:rPr>
          </w:pPr>
          <w:r w:rsidRPr="00FE574D">
            <w:rPr>
              <w:noProof/>
            </w:rPr>
            <w:pict w14:anchorId="142C9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i1025" type="#_x0000_t75" style="width:97.8pt;height:52.65pt;visibility:visible">
                <v:imagedata r:id="rId1" o:title="Logo Definitivo_C"/>
              </v:shape>
            </w:pict>
          </w:r>
        </w:p>
        <w:p w14:paraId="07EA0C9A" w14:textId="7777777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38F2255F" w14:textId="7777777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3C90748B" w14:textId="7777777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0CD3D9D5" w14:textId="7777777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</w:tc>
      <w:tc>
        <w:tcPr>
          <w:tcW w:w="4399" w:type="dxa"/>
          <w:shd w:val="clear" w:color="auto" w:fill="FFFFFF"/>
          <w:noWrap/>
          <w:vAlign w:val="center"/>
        </w:tcPr>
        <w:p w14:paraId="365871FB" w14:textId="77777777" w:rsidR="00564B20" w:rsidRDefault="00564B20" w:rsidP="000F6CB5">
          <w:pPr>
            <w:jc w:val="center"/>
            <w:rPr>
              <w:rFonts w:ascii="Arial" w:hAnsi="Arial" w:cs="Arial"/>
              <w:b/>
              <w:sz w:val="32"/>
              <w:szCs w:val="32"/>
              <w:lang w:val="es-CO"/>
            </w:rPr>
          </w:pPr>
          <w:r>
            <w:rPr>
              <w:rFonts w:ascii="Arial" w:hAnsi="Arial" w:cs="Arial"/>
              <w:b/>
              <w:sz w:val="32"/>
              <w:szCs w:val="32"/>
              <w:lang w:val="es-CO"/>
            </w:rPr>
            <w:t>PROFORMA INTERNA</w:t>
          </w:r>
        </w:p>
      </w:tc>
      <w:tc>
        <w:tcPr>
          <w:tcW w:w="2052" w:type="dxa"/>
          <w:shd w:val="clear" w:color="auto" w:fill="FFFFFF"/>
          <w:noWrap/>
          <w:vAlign w:val="center"/>
        </w:tcPr>
        <w:p w14:paraId="7A198D76" w14:textId="77777777" w:rsidR="00564B20" w:rsidRDefault="00564B20" w:rsidP="000F6CB5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bCs/>
            </w:rPr>
            <w:t>E-PI-DDS-002</w:t>
          </w:r>
        </w:p>
      </w:tc>
    </w:tr>
    <w:tr w:rsidR="00564B20" w14:paraId="085E4484" w14:textId="77777777" w:rsidTr="00043B3D">
      <w:trPr>
        <w:cantSplit/>
        <w:trHeight w:val="378"/>
      </w:trPr>
      <w:tc>
        <w:tcPr>
          <w:tcW w:w="2055" w:type="dxa"/>
          <w:vMerge/>
          <w:noWrap/>
          <w:vAlign w:val="bottom"/>
        </w:tcPr>
        <w:p w14:paraId="6F77C1CE" w14:textId="77777777" w:rsidR="00564B20" w:rsidRDefault="00564B20" w:rsidP="000F6CB5">
          <w:pPr>
            <w:rPr>
              <w:rFonts w:cs="Arial"/>
              <w:color w:val="FFFFFF"/>
              <w:lang w:val="es-CO"/>
            </w:rPr>
          </w:pPr>
        </w:p>
      </w:tc>
      <w:tc>
        <w:tcPr>
          <w:tcW w:w="4399" w:type="dxa"/>
          <w:vAlign w:val="center"/>
        </w:tcPr>
        <w:p w14:paraId="6052F944" w14:textId="77777777" w:rsidR="00564B20" w:rsidRDefault="00564B20" w:rsidP="00564B20">
          <w:pPr>
            <w:pStyle w:val="Ttulo2"/>
            <w:jc w:val="center"/>
            <w:rPr>
              <w:rFonts w:cs="Arial"/>
            </w:rPr>
          </w:pPr>
          <w:r>
            <w:rPr>
              <w:rFonts w:cs="Arial"/>
            </w:rPr>
            <w:t>PUBLICACIÓN PARA COMENTARIOS</w:t>
          </w:r>
          <w:r w:rsidR="002B6E99">
            <w:rPr>
              <w:rFonts w:cs="Arial"/>
            </w:rPr>
            <w:t xml:space="preserve"> NORMA</w:t>
          </w:r>
        </w:p>
      </w:tc>
      <w:tc>
        <w:tcPr>
          <w:tcW w:w="2052" w:type="dxa"/>
          <w:shd w:val="clear" w:color="auto" w:fill="FFFFFF"/>
          <w:noWrap/>
          <w:vAlign w:val="center"/>
        </w:tcPr>
        <w:p w14:paraId="6A31823D" w14:textId="77777777" w:rsidR="00564B20" w:rsidRDefault="00564B20" w:rsidP="000F6CB5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bCs/>
            </w:rPr>
            <w:t xml:space="preserve">Versión </w:t>
          </w:r>
          <w:r w:rsidR="006F7746">
            <w:rPr>
              <w:rFonts w:ascii="Arial" w:hAnsi="Arial" w:cs="Arial"/>
              <w:bCs/>
            </w:rPr>
            <w:t>4</w:t>
          </w:r>
        </w:p>
      </w:tc>
    </w:tr>
  </w:tbl>
  <w:p w14:paraId="23773414" w14:textId="77777777" w:rsidR="00564B20" w:rsidRDefault="00564B20" w:rsidP="00564B20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Sangra2detindependient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Textoindependienteprimerasangr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Continuarlist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elem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34927"/>
    <w:multiLevelType w:val="hybridMultilevel"/>
    <w:tmpl w:val="30DCF9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3A01D9"/>
    <w:multiLevelType w:val="hybridMultilevel"/>
    <w:tmpl w:val="0B922468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D0B79"/>
    <w:multiLevelType w:val="hybridMultilevel"/>
    <w:tmpl w:val="E44CFC8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2A512A"/>
    <w:multiLevelType w:val="hybridMultilevel"/>
    <w:tmpl w:val="8A0E9E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91A1E"/>
    <w:multiLevelType w:val="hybridMultilevel"/>
    <w:tmpl w:val="53F436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A44CB"/>
    <w:multiLevelType w:val="hybridMultilevel"/>
    <w:tmpl w:val="CF5C7240"/>
    <w:lvl w:ilvl="0" w:tplc="BF164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134F7"/>
    <w:multiLevelType w:val="hybridMultilevel"/>
    <w:tmpl w:val="3E8E180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3A7546"/>
    <w:multiLevelType w:val="hybridMultilevel"/>
    <w:tmpl w:val="B2C834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104C5"/>
    <w:multiLevelType w:val="hybridMultilevel"/>
    <w:tmpl w:val="2CF8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A0E11"/>
    <w:multiLevelType w:val="hybridMultilevel"/>
    <w:tmpl w:val="B430025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4728A8"/>
    <w:multiLevelType w:val="hybridMultilevel"/>
    <w:tmpl w:val="CAD03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F4013"/>
    <w:multiLevelType w:val="multilevel"/>
    <w:tmpl w:val="8A0E9E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21AAD"/>
    <w:multiLevelType w:val="hybridMultilevel"/>
    <w:tmpl w:val="44862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85712"/>
    <w:multiLevelType w:val="hybridMultilevel"/>
    <w:tmpl w:val="A54CEF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D43CF"/>
    <w:multiLevelType w:val="hybridMultilevel"/>
    <w:tmpl w:val="445AA5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F01A2"/>
    <w:multiLevelType w:val="hybridMultilevel"/>
    <w:tmpl w:val="8B5E3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BA6D62"/>
    <w:multiLevelType w:val="multilevel"/>
    <w:tmpl w:val="5C7E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70876"/>
    <w:multiLevelType w:val="hybridMultilevel"/>
    <w:tmpl w:val="938E1D1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CC4116"/>
    <w:multiLevelType w:val="hybridMultilevel"/>
    <w:tmpl w:val="5B54F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624985"/>
    <w:multiLevelType w:val="hybridMultilevel"/>
    <w:tmpl w:val="5E8EE6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006FA"/>
    <w:multiLevelType w:val="hybridMultilevel"/>
    <w:tmpl w:val="C64849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73088C"/>
    <w:multiLevelType w:val="hybridMultilevel"/>
    <w:tmpl w:val="4498F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CC629C"/>
    <w:multiLevelType w:val="hybridMultilevel"/>
    <w:tmpl w:val="9D9A8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2B513A"/>
    <w:multiLevelType w:val="hybridMultilevel"/>
    <w:tmpl w:val="1904F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51AEE"/>
    <w:multiLevelType w:val="hybridMultilevel"/>
    <w:tmpl w:val="C7A4767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5" w15:restartNumberingAfterBreak="0">
    <w:nsid w:val="516C7077"/>
    <w:multiLevelType w:val="hybridMultilevel"/>
    <w:tmpl w:val="6106B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464E09"/>
    <w:multiLevelType w:val="hybridMultilevel"/>
    <w:tmpl w:val="C7F48FB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113109"/>
    <w:multiLevelType w:val="hybridMultilevel"/>
    <w:tmpl w:val="CC52E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216F8F"/>
    <w:multiLevelType w:val="hybridMultilevel"/>
    <w:tmpl w:val="25CC76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0E4B8E"/>
    <w:multiLevelType w:val="hybridMultilevel"/>
    <w:tmpl w:val="6AB2C9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6B3339"/>
    <w:multiLevelType w:val="multilevel"/>
    <w:tmpl w:val="03A07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7C28A3"/>
    <w:multiLevelType w:val="hybridMultilevel"/>
    <w:tmpl w:val="A3FA5AAA"/>
    <w:lvl w:ilvl="0" w:tplc="801404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14ECA26">
      <w:numFmt w:val="none"/>
      <w:lvlText w:val=""/>
      <w:lvlJc w:val="left"/>
      <w:pPr>
        <w:tabs>
          <w:tab w:val="num" w:pos="360"/>
        </w:tabs>
      </w:pPr>
    </w:lvl>
    <w:lvl w:ilvl="2" w:tplc="CB1A406C">
      <w:numFmt w:val="none"/>
      <w:lvlText w:val=""/>
      <w:lvlJc w:val="left"/>
      <w:pPr>
        <w:tabs>
          <w:tab w:val="num" w:pos="360"/>
        </w:tabs>
      </w:pPr>
    </w:lvl>
    <w:lvl w:ilvl="3" w:tplc="E1AC11EE">
      <w:numFmt w:val="none"/>
      <w:lvlText w:val=""/>
      <w:lvlJc w:val="left"/>
      <w:pPr>
        <w:tabs>
          <w:tab w:val="num" w:pos="360"/>
        </w:tabs>
      </w:pPr>
    </w:lvl>
    <w:lvl w:ilvl="4" w:tplc="48262BF2">
      <w:numFmt w:val="none"/>
      <w:lvlText w:val=""/>
      <w:lvlJc w:val="left"/>
      <w:pPr>
        <w:tabs>
          <w:tab w:val="num" w:pos="360"/>
        </w:tabs>
      </w:pPr>
    </w:lvl>
    <w:lvl w:ilvl="5" w:tplc="2BACD2E4">
      <w:numFmt w:val="none"/>
      <w:lvlText w:val=""/>
      <w:lvlJc w:val="left"/>
      <w:pPr>
        <w:tabs>
          <w:tab w:val="num" w:pos="360"/>
        </w:tabs>
      </w:pPr>
    </w:lvl>
    <w:lvl w:ilvl="6" w:tplc="F32ED814">
      <w:numFmt w:val="none"/>
      <w:lvlText w:val=""/>
      <w:lvlJc w:val="left"/>
      <w:pPr>
        <w:tabs>
          <w:tab w:val="num" w:pos="360"/>
        </w:tabs>
      </w:pPr>
    </w:lvl>
    <w:lvl w:ilvl="7" w:tplc="F6106BE8">
      <w:numFmt w:val="none"/>
      <w:lvlText w:val=""/>
      <w:lvlJc w:val="left"/>
      <w:pPr>
        <w:tabs>
          <w:tab w:val="num" w:pos="360"/>
        </w:tabs>
      </w:pPr>
    </w:lvl>
    <w:lvl w:ilvl="8" w:tplc="328ED670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56862E7"/>
    <w:multiLevelType w:val="hybridMultilevel"/>
    <w:tmpl w:val="FA3680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31AA8"/>
    <w:multiLevelType w:val="hybridMultilevel"/>
    <w:tmpl w:val="8AE025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D3412C"/>
    <w:multiLevelType w:val="hybridMultilevel"/>
    <w:tmpl w:val="9B2A11D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42"/>
  </w:num>
  <w:num w:numId="3">
    <w:abstractNumId w:val="27"/>
  </w:num>
  <w:num w:numId="4">
    <w:abstractNumId w:val="2"/>
  </w:num>
  <w:num w:numId="5">
    <w:abstractNumId w:val="1"/>
  </w:num>
  <w:num w:numId="6">
    <w:abstractNumId w:val="0"/>
  </w:num>
  <w:num w:numId="7">
    <w:abstractNumId w:val="43"/>
  </w:num>
  <w:num w:numId="8">
    <w:abstractNumId w:val="12"/>
  </w:num>
  <w:num w:numId="9">
    <w:abstractNumId w:val="36"/>
  </w:num>
  <w:num w:numId="10">
    <w:abstractNumId w:val="14"/>
  </w:num>
  <w:num w:numId="11">
    <w:abstractNumId w:val="26"/>
  </w:num>
  <w:num w:numId="12">
    <w:abstractNumId w:val="5"/>
  </w:num>
  <w:num w:numId="13">
    <w:abstractNumId w:val="18"/>
  </w:num>
  <w:num w:numId="14">
    <w:abstractNumId w:val="25"/>
  </w:num>
  <w:num w:numId="15">
    <w:abstractNumId w:val="11"/>
  </w:num>
  <w:num w:numId="16">
    <w:abstractNumId w:val="13"/>
  </w:num>
  <w:num w:numId="17">
    <w:abstractNumId w:val="8"/>
  </w:num>
  <w:num w:numId="18">
    <w:abstractNumId w:val="45"/>
  </w:num>
  <w:num w:numId="19">
    <w:abstractNumId w:val="38"/>
  </w:num>
  <w:num w:numId="20">
    <w:abstractNumId w:val="20"/>
  </w:num>
  <w:num w:numId="21">
    <w:abstractNumId w:val="15"/>
  </w:num>
  <w:num w:numId="22">
    <w:abstractNumId w:val="16"/>
  </w:num>
  <w:num w:numId="23">
    <w:abstractNumId w:val="7"/>
  </w:num>
  <w:num w:numId="24">
    <w:abstractNumId w:val="24"/>
  </w:num>
  <w:num w:numId="25">
    <w:abstractNumId w:val="37"/>
  </w:num>
  <w:num w:numId="26">
    <w:abstractNumId w:val="23"/>
  </w:num>
  <w:num w:numId="27">
    <w:abstractNumId w:val="44"/>
  </w:num>
  <w:num w:numId="28">
    <w:abstractNumId w:val="6"/>
  </w:num>
  <w:num w:numId="29">
    <w:abstractNumId w:val="21"/>
  </w:num>
  <w:num w:numId="30">
    <w:abstractNumId w:val="19"/>
  </w:num>
  <w:num w:numId="31">
    <w:abstractNumId w:val="39"/>
  </w:num>
  <w:num w:numId="32">
    <w:abstractNumId w:val="32"/>
  </w:num>
  <w:num w:numId="33">
    <w:abstractNumId w:val="4"/>
  </w:num>
  <w:num w:numId="34">
    <w:abstractNumId w:val="29"/>
  </w:num>
  <w:num w:numId="35">
    <w:abstractNumId w:val="9"/>
  </w:num>
  <w:num w:numId="36">
    <w:abstractNumId w:val="28"/>
  </w:num>
  <w:num w:numId="37">
    <w:abstractNumId w:val="34"/>
  </w:num>
  <w:num w:numId="38">
    <w:abstractNumId w:val="22"/>
  </w:num>
  <w:num w:numId="39">
    <w:abstractNumId w:val="31"/>
  </w:num>
  <w:num w:numId="40">
    <w:abstractNumId w:val="41"/>
  </w:num>
  <w:num w:numId="41">
    <w:abstractNumId w:val="17"/>
  </w:num>
  <w:num w:numId="42">
    <w:abstractNumId w:val="30"/>
  </w:num>
  <w:num w:numId="43">
    <w:abstractNumId w:val="3"/>
  </w:num>
  <w:num w:numId="44">
    <w:abstractNumId w:val="35"/>
  </w:num>
  <w:num w:numId="45">
    <w:abstractNumId w:val="4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4235"/>
    <w:rsid w:val="00043B3D"/>
    <w:rsid w:val="00047316"/>
    <w:rsid w:val="000779CA"/>
    <w:rsid w:val="000B3E2D"/>
    <w:rsid w:val="000D147B"/>
    <w:rsid w:val="000F6CB5"/>
    <w:rsid w:val="00120DA4"/>
    <w:rsid w:val="001543F0"/>
    <w:rsid w:val="00190EE7"/>
    <w:rsid w:val="001A6B7D"/>
    <w:rsid w:val="001B5ED4"/>
    <w:rsid w:val="002B6E99"/>
    <w:rsid w:val="002F4A2A"/>
    <w:rsid w:val="00316E05"/>
    <w:rsid w:val="00366F58"/>
    <w:rsid w:val="0037411F"/>
    <w:rsid w:val="00374F5A"/>
    <w:rsid w:val="003760B7"/>
    <w:rsid w:val="003918C3"/>
    <w:rsid w:val="003E3CC3"/>
    <w:rsid w:val="00404235"/>
    <w:rsid w:val="004043B0"/>
    <w:rsid w:val="0040661C"/>
    <w:rsid w:val="00410CAB"/>
    <w:rsid w:val="00451E47"/>
    <w:rsid w:val="004C2087"/>
    <w:rsid w:val="004D5BBF"/>
    <w:rsid w:val="004F111A"/>
    <w:rsid w:val="00513233"/>
    <w:rsid w:val="00562361"/>
    <w:rsid w:val="00564B20"/>
    <w:rsid w:val="00581497"/>
    <w:rsid w:val="005D51F0"/>
    <w:rsid w:val="00621A24"/>
    <w:rsid w:val="0064423D"/>
    <w:rsid w:val="00655C9D"/>
    <w:rsid w:val="00664B83"/>
    <w:rsid w:val="006B29A5"/>
    <w:rsid w:val="006B56BB"/>
    <w:rsid w:val="006C2208"/>
    <w:rsid w:val="006D2615"/>
    <w:rsid w:val="006F70A6"/>
    <w:rsid w:val="006F7746"/>
    <w:rsid w:val="0075215C"/>
    <w:rsid w:val="007A55C7"/>
    <w:rsid w:val="007C0F8A"/>
    <w:rsid w:val="007E4209"/>
    <w:rsid w:val="008078CF"/>
    <w:rsid w:val="00814463"/>
    <w:rsid w:val="00824B7C"/>
    <w:rsid w:val="00836A72"/>
    <w:rsid w:val="0084010C"/>
    <w:rsid w:val="008B697F"/>
    <w:rsid w:val="008C78C6"/>
    <w:rsid w:val="008D1DF6"/>
    <w:rsid w:val="008E4990"/>
    <w:rsid w:val="00903F36"/>
    <w:rsid w:val="0097133A"/>
    <w:rsid w:val="00997CB7"/>
    <w:rsid w:val="009A55F6"/>
    <w:rsid w:val="00A164B8"/>
    <w:rsid w:val="00A57330"/>
    <w:rsid w:val="00A61CAF"/>
    <w:rsid w:val="00AC0FDE"/>
    <w:rsid w:val="00B05C8F"/>
    <w:rsid w:val="00B51F39"/>
    <w:rsid w:val="00BB3603"/>
    <w:rsid w:val="00BB37DA"/>
    <w:rsid w:val="00BC13D7"/>
    <w:rsid w:val="00C304C8"/>
    <w:rsid w:val="00C340E1"/>
    <w:rsid w:val="00C8742D"/>
    <w:rsid w:val="00CD33D4"/>
    <w:rsid w:val="00CE5727"/>
    <w:rsid w:val="00D071C4"/>
    <w:rsid w:val="00D42D4C"/>
    <w:rsid w:val="00DF3624"/>
    <w:rsid w:val="00E416CF"/>
    <w:rsid w:val="00E435E8"/>
    <w:rsid w:val="00E47C9B"/>
    <w:rsid w:val="00E530A0"/>
    <w:rsid w:val="00E66DC8"/>
    <w:rsid w:val="00E77E01"/>
    <w:rsid w:val="00E93C1D"/>
    <w:rsid w:val="00E979D9"/>
    <w:rsid w:val="00EA1049"/>
    <w:rsid w:val="00EB26B9"/>
    <w:rsid w:val="00EC6395"/>
    <w:rsid w:val="00ED37AC"/>
    <w:rsid w:val="00EE3537"/>
    <w:rsid w:val="00F32DEC"/>
    <w:rsid w:val="00F6044F"/>
    <w:rsid w:val="00F70A31"/>
    <w:rsid w:val="00F822C8"/>
    <w:rsid w:val="00F9082E"/>
    <w:rsid w:val="00F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1C4EFF2"/>
  <w15:chartTrackingRefBased/>
  <w15:docId w15:val="{0F3D3337-F170-4D2E-BCDA-AA621A19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link w:val="TextocomentarioCar"/>
    <w:uiPriority w:val="99"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BodyText2">
    <w:name w:val="Body Text 2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paragraph" w:styleId="Sinespaciado">
    <w:name w:val="No Spacing"/>
    <w:uiPriority w:val="1"/>
    <w:qFormat/>
    <w:rsid w:val="0097133A"/>
    <w:rPr>
      <w:rFonts w:ascii="Arial" w:hAnsi="Arial"/>
      <w:sz w:val="24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rsid w:val="0097133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tiva@superfinanciera.gov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B30FC-17A9-4120-A002-B690C077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 CE</vt:lpstr>
    </vt:vector>
  </TitlesOfParts>
  <Company>superfinanciera</Company>
  <LinksUpToDate>false</LinksUpToDate>
  <CharactersWithSpaces>4100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mailto:normativa@superfinanciera.gov.co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SFC</cp:lastModifiedBy>
  <cp:revision>2</cp:revision>
  <cp:lastPrinted>2016-09-26T16:13:00Z</cp:lastPrinted>
  <dcterms:created xsi:type="dcterms:W3CDTF">2021-10-07T14:44:00Z</dcterms:created>
  <dcterms:modified xsi:type="dcterms:W3CDTF">2021-10-07T14:44:00Z</dcterms:modified>
</cp:coreProperties>
</file>