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4"/>
        <w:gridCol w:w="4221"/>
        <w:gridCol w:w="3119"/>
      </w:tblGrid>
      <w:tr w:rsidR="00A27988" w:rsidRPr="003E7666" w:rsidTr="00E5792E">
        <w:trPr>
          <w:trHeight w:val="97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8AFF"/>
            <w:vAlign w:val="center"/>
          </w:tcPr>
          <w:p w:rsidR="00A27988" w:rsidRPr="003E7666" w:rsidRDefault="00A27988" w:rsidP="00E5792E">
            <w:pPr>
              <w:pStyle w:val="Ttulo2"/>
              <w:ind w:right="72"/>
              <w:jc w:val="left"/>
              <w:rPr>
                <w:rFonts w:cs="Arial"/>
                <w:bCs/>
                <w:color w:val="FFFFFF"/>
                <w:sz w:val="22"/>
                <w:szCs w:val="22"/>
              </w:rPr>
            </w:pPr>
            <w:r w:rsidRPr="003E7666">
              <w:rPr>
                <w:rFonts w:cs="Arial"/>
                <w:color w:val="FFFFFF"/>
                <w:sz w:val="22"/>
                <w:szCs w:val="22"/>
                <w:lang w:val="es-CO"/>
              </w:rPr>
              <w:t>Entidad originadora: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pStyle w:val="Ttulo2"/>
              <w:ind w:left="72" w:right="72"/>
              <w:jc w:val="left"/>
              <w:rPr>
                <w:rFonts w:cs="Arial"/>
                <w:b w:val="0"/>
                <w:i/>
                <w:color w:val="808080"/>
                <w:sz w:val="22"/>
                <w:szCs w:val="22"/>
              </w:rPr>
            </w:pPr>
            <w:r w:rsidRPr="003E7666">
              <w:rPr>
                <w:rFonts w:cs="Arial"/>
                <w:b w:val="0"/>
                <w:i/>
                <w:color w:val="808080"/>
                <w:sz w:val="22"/>
                <w:szCs w:val="22"/>
              </w:rPr>
              <w:t>Ministerio de Salud y Protección Social</w:t>
            </w:r>
          </w:p>
        </w:tc>
      </w:tr>
      <w:tr w:rsidR="00A27988" w:rsidRPr="003E7666" w:rsidTr="00E5792E">
        <w:trPr>
          <w:trHeight w:val="97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8AFF"/>
            <w:vAlign w:val="center"/>
          </w:tcPr>
          <w:p w:rsidR="00A27988" w:rsidRPr="003E7666" w:rsidRDefault="00A27988" w:rsidP="00E5792E">
            <w:pPr>
              <w:pStyle w:val="Ttulo2"/>
              <w:ind w:right="72"/>
              <w:jc w:val="left"/>
              <w:rPr>
                <w:rFonts w:cs="Arial"/>
                <w:bCs/>
                <w:color w:val="FFFFFF"/>
                <w:sz w:val="22"/>
                <w:szCs w:val="22"/>
              </w:rPr>
            </w:pPr>
            <w:r w:rsidRPr="003E7666">
              <w:rPr>
                <w:rFonts w:cs="Arial"/>
                <w:bCs/>
                <w:color w:val="FFFFFF"/>
                <w:sz w:val="22"/>
                <w:szCs w:val="22"/>
              </w:rPr>
              <w:t>Fecha (</w:t>
            </w:r>
            <w:proofErr w:type="spellStart"/>
            <w:r w:rsidRPr="003E7666">
              <w:rPr>
                <w:rFonts w:cs="Arial"/>
                <w:bCs/>
                <w:color w:val="FFFFFF"/>
                <w:sz w:val="22"/>
                <w:szCs w:val="22"/>
              </w:rPr>
              <w:t>dd</w:t>
            </w:r>
            <w:proofErr w:type="spellEnd"/>
            <w:r w:rsidRPr="003E7666">
              <w:rPr>
                <w:rFonts w:cs="Arial"/>
                <w:bCs/>
                <w:color w:val="FFFFFF"/>
                <w:sz w:val="22"/>
                <w:szCs w:val="22"/>
              </w:rPr>
              <w:t>/mm/</w:t>
            </w:r>
            <w:proofErr w:type="spellStart"/>
            <w:r w:rsidRPr="003E7666">
              <w:rPr>
                <w:rFonts w:cs="Arial"/>
                <w:bCs/>
                <w:color w:val="FFFFFF"/>
                <w:sz w:val="22"/>
                <w:szCs w:val="22"/>
              </w:rPr>
              <w:t>aa</w:t>
            </w:r>
            <w:proofErr w:type="spellEnd"/>
            <w:r w:rsidRPr="003E7666">
              <w:rPr>
                <w:rFonts w:cs="Arial"/>
                <w:bCs/>
                <w:color w:val="FFFFFF"/>
                <w:sz w:val="22"/>
                <w:szCs w:val="22"/>
              </w:rPr>
              <w:t>):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pStyle w:val="Ttulo2"/>
              <w:ind w:left="72" w:right="72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3E7666">
              <w:rPr>
                <w:rFonts w:cs="Arial"/>
                <w:b w:val="0"/>
                <w:i/>
                <w:color w:val="808080"/>
                <w:sz w:val="22"/>
                <w:szCs w:val="22"/>
              </w:rPr>
              <w:t xml:space="preserve">19 </w:t>
            </w:r>
            <w:r w:rsidR="00A2663A" w:rsidRPr="003E7666">
              <w:rPr>
                <w:rFonts w:cs="Arial"/>
                <w:b w:val="0"/>
                <w:i/>
                <w:color w:val="808080"/>
                <w:sz w:val="22"/>
                <w:szCs w:val="22"/>
              </w:rPr>
              <w:t>de abril de 2022</w:t>
            </w:r>
          </w:p>
        </w:tc>
      </w:tr>
      <w:tr w:rsidR="00A27988" w:rsidRPr="003E7666" w:rsidTr="00E5792E">
        <w:trPr>
          <w:trHeight w:val="97"/>
        </w:trPr>
        <w:tc>
          <w:tcPr>
            <w:tcW w:w="3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8AFF"/>
            <w:vAlign w:val="center"/>
          </w:tcPr>
          <w:p w:rsidR="00A27988" w:rsidRPr="003E7666" w:rsidRDefault="00A2663A" w:rsidP="00A2663A">
            <w:pPr>
              <w:pStyle w:val="Ttulo2"/>
              <w:ind w:right="72"/>
              <w:jc w:val="left"/>
              <w:rPr>
                <w:rFonts w:cs="Arial"/>
                <w:bCs/>
                <w:color w:val="FFFFFF"/>
                <w:sz w:val="22"/>
                <w:szCs w:val="22"/>
              </w:rPr>
            </w:pPr>
            <w:r w:rsidRPr="003E7666">
              <w:rPr>
                <w:rFonts w:cs="Arial"/>
                <w:bCs/>
                <w:color w:val="FFFFFF"/>
                <w:sz w:val="22"/>
                <w:szCs w:val="22"/>
              </w:rPr>
              <w:t>Proyecto de Decreto</w:t>
            </w:r>
            <w:r w:rsidR="00A27988" w:rsidRPr="003E7666">
              <w:rPr>
                <w:rFonts w:cs="Arial"/>
                <w:bCs/>
                <w:color w:val="FFFFFF"/>
                <w:sz w:val="22"/>
                <w:szCs w:val="22"/>
              </w:rPr>
              <w:t>:</w:t>
            </w: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391327">
            <w:pPr>
              <w:jc w:val="center"/>
              <w:rPr>
                <w:rFonts w:cs="Arial"/>
                <w:i/>
                <w:sz w:val="22"/>
                <w:szCs w:val="22"/>
              </w:rPr>
            </w:pPr>
            <w:bookmarkStart w:id="0" w:name="_Hlk94693525"/>
            <w:r w:rsidRPr="003E7666">
              <w:rPr>
                <w:rFonts w:cs="Arial"/>
                <w:i/>
                <w:sz w:val="22"/>
                <w:szCs w:val="22"/>
              </w:rPr>
              <w:t>Por el cual se modifican los artículos 2.5.3.10.2, 2.5.3.10.3 y 2.5.3.10.18 del Decreto 780 de 2016 y se adiciona el Capítulo 11 al Título 3 de la Parte 5 del Libro 2 del Decreto 780 de 2016, en relación con los requisitos financieros y de operación de los gestores farmacéuticos y los operadores logísticos de tecnologías en salud</w:t>
            </w:r>
            <w:bookmarkEnd w:id="0"/>
            <w:r w:rsidRPr="003E7666">
              <w:rPr>
                <w:rFonts w:cs="Arial"/>
                <w:i/>
                <w:sz w:val="22"/>
                <w:szCs w:val="22"/>
              </w:rPr>
              <w:t>.</w:t>
            </w:r>
          </w:p>
        </w:tc>
      </w:tr>
      <w:tr w:rsidR="00A27988" w:rsidRPr="003E7666" w:rsidTr="00E5792E">
        <w:trPr>
          <w:trHeight w:val="674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A27988">
            <w:pPr>
              <w:numPr>
                <w:ilvl w:val="0"/>
                <w:numId w:val="1"/>
              </w:numPr>
              <w:ind w:left="494"/>
              <w:rPr>
                <w:rFonts w:cs="Arial"/>
                <w:b/>
                <w:sz w:val="22"/>
                <w:szCs w:val="22"/>
              </w:rPr>
            </w:pPr>
            <w:r w:rsidRPr="003E7666">
              <w:rPr>
                <w:rFonts w:cs="Arial"/>
                <w:b/>
                <w:sz w:val="22"/>
                <w:szCs w:val="22"/>
              </w:rPr>
              <w:t>ANTECEDENTES Y RAZONES DE OPORTUNIDAD Y CONVENIENCIA QUE JUSTIFICAN SU EXPEDICIÓN.</w:t>
            </w:r>
          </w:p>
          <w:p w:rsidR="00A27988" w:rsidRPr="003E7666" w:rsidRDefault="00A27988" w:rsidP="00E5792E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  <w:p w:rsidR="00A27988" w:rsidRPr="003E7666" w:rsidRDefault="00A27988" w:rsidP="00E5792E">
            <w:pPr>
              <w:ind w:right="142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E7666">
              <w:rPr>
                <w:rFonts w:cs="Arial"/>
                <w:sz w:val="22"/>
                <w:szCs w:val="22"/>
                <w:lang w:val="es-CO"/>
              </w:rPr>
              <w:t>En primer lugar, el art</w:t>
            </w:r>
            <w:r w:rsidR="00A576FD" w:rsidRPr="003E7666">
              <w:rPr>
                <w:rFonts w:cs="Arial"/>
                <w:sz w:val="22"/>
                <w:szCs w:val="22"/>
                <w:lang w:val="es-CO"/>
              </w:rPr>
              <w:t>ículo 243 de la Ley 1955 de 2019</w:t>
            </w:r>
            <w:r w:rsidRPr="003E7666">
              <w:rPr>
                <w:rFonts w:cs="Arial"/>
                <w:sz w:val="22"/>
                <w:szCs w:val="22"/>
                <w:lang w:val="es-CO"/>
              </w:rPr>
              <w:t xml:space="preserve"> adicionó el numeral 8 al artículo 155 de la Ley 100 de 1993 y se incluyeron a los Operadores Logísticos de Tecnologías en Salud y los Gestores Farmacéuticos como integrantes del Sistema General de Seguridad Social en Salud – SGSSS, determinando que el Ministerio de Salud y Protección Social reglamentará los requisitos financieros y de operación de estos integrantes. </w:t>
            </w:r>
          </w:p>
          <w:p w:rsidR="00A27988" w:rsidRPr="003E7666" w:rsidRDefault="00A27988" w:rsidP="00E5792E">
            <w:pPr>
              <w:ind w:right="142"/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A27988" w:rsidRPr="003E7666" w:rsidRDefault="00A27988" w:rsidP="00E5792E">
            <w:pPr>
              <w:ind w:right="142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E7666">
              <w:rPr>
                <w:rFonts w:cs="Arial"/>
                <w:sz w:val="22"/>
                <w:szCs w:val="22"/>
                <w:lang w:val="es-CO"/>
              </w:rPr>
              <w:t xml:space="preserve">En efecto, en el parágrafo primero del artículo 2 de la Ley 1966 de 2019, se estableció que </w:t>
            </w:r>
            <w:r w:rsidRPr="003E7666">
              <w:rPr>
                <w:rFonts w:cs="Arial"/>
                <w:i/>
                <w:sz w:val="22"/>
                <w:szCs w:val="22"/>
                <w:lang w:val="es-CO"/>
              </w:rPr>
              <w:t xml:space="preserve">“se entiende por gestores farmacéuticos los operadores logísticos, cadenas de droguerías, cajas de compensación y/o establecimientos de comercio, entre otro, cuando realicen la dispensación ambulatoria en establecimientos farmacéuticos a los afiliados del Sistema General de Seguridad Social en Salud por encargo contractual de las EPS, IPS y de otros actores del sistema”. </w:t>
            </w:r>
          </w:p>
          <w:p w:rsidR="00A27988" w:rsidRPr="003E7666" w:rsidRDefault="00A27988" w:rsidP="00E5792E">
            <w:pPr>
              <w:ind w:right="142"/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A27988" w:rsidRPr="003E7666" w:rsidRDefault="00A27988" w:rsidP="00E5792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E7666">
              <w:rPr>
                <w:rFonts w:cs="Arial"/>
                <w:sz w:val="22"/>
                <w:szCs w:val="22"/>
                <w:lang w:val="es-CO"/>
              </w:rPr>
              <w:t xml:space="preserve">En segundo lugar, </w:t>
            </w:r>
            <w:r w:rsidR="00A1254D" w:rsidRPr="003E7666">
              <w:rPr>
                <w:rFonts w:cs="Arial"/>
                <w:sz w:val="22"/>
                <w:szCs w:val="22"/>
                <w:lang w:val="es-CO"/>
              </w:rPr>
              <w:t xml:space="preserve">el artículo 3 de la Ley 1966 de 2019, se dispuso que el Ministerio de Salud y Protección Social está a cargo del Sistema Integral de Información Financiera y Asistencial, que tiene como objeto agilizar la transmisión y evaluación de la información financiera, de manera que se acelere el flujo de recursos y la transparencia que soportan las transacciones entre los agentes del SGSSS. </w:t>
            </w:r>
          </w:p>
          <w:p w:rsidR="00A2663A" w:rsidRPr="003E7666" w:rsidRDefault="00A2663A" w:rsidP="00A2663A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A2663A" w:rsidRPr="003E7666" w:rsidRDefault="00A2663A" w:rsidP="00E5792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3E7666">
              <w:rPr>
                <w:rFonts w:cs="Arial"/>
                <w:sz w:val="22"/>
                <w:szCs w:val="22"/>
                <w:lang w:val="es-CO"/>
              </w:rPr>
              <w:t>Mediante el Decreto 2200 de 2005 compilado en el c</w:t>
            </w:r>
            <w:r w:rsidRPr="003E7666">
              <w:rPr>
                <w:rFonts w:cs="Arial"/>
                <w:sz w:val="22"/>
                <w:szCs w:val="22"/>
                <w:lang w:val="es-CO"/>
              </w:rPr>
              <w:t>apítulo 10, Título 3 del Libro 2 del Decreto 780 de 2016</w:t>
            </w:r>
            <w:r w:rsidRPr="003E7666">
              <w:rPr>
                <w:rFonts w:cs="Arial"/>
                <w:sz w:val="22"/>
                <w:szCs w:val="22"/>
                <w:lang w:val="es-CO"/>
              </w:rPr>
              <w:t xml:space="preserve">, </w:t>
            </w:r>
            <w:r w:rsidR="0033092F" w:rsidRPr="003E7666">
              <w:rPr>
                <w:rFonts w:cs="Arial"/>
                <w:sz w:val="22"/>
                <w:szCs w:val="22"/>
                <w:lang w:val="es-CO"/>
              </w:rPr>
              <w:t>se reglamenta</w:t>
            </w:r>
            <w:r w:rsidRPr="003E7666">
              <w:rPr>
                <w:rFonts w:cs="Arial"/>
                <w:sz w:val="22"/>
                <w:szCs w:val="22"/>
                <w:lang w:val="es-CO"/>
              </w:rPr>
              <w:t xml:space="preserve"> lo relacionado con el Servicio Farmacéutico y los procesos  relacionados con la prestación de este servicio</w:t>
            </w:r>
            <w:r w:rsidRPr="003E7666">
              <w:rPr>
                <w:rFonts w:cs="Arial"/>
                <w:sz w:val="22"/>
                <w:szCs w:val="22"/>
                <w:lang w:val="es-CO"/>
              </w:rPr>
              <w:t>.</w:t>
            </w:r>
          </w:p>
          <w:p w:rsidR="00A27988" w:rsidRPr="003E7666" w:rsidRDefault="00A27988" w:rsidP="00E5792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A27988" w:rsidRPr="00EB0650" w:rsidRDefault="00A27988" w:rsidP="00A1254D">
            <w:pPr>
              <w:jc w:val="both"/>
              <w:rPr>
                <w:rFonts w:cs="Arial"/>
                <w:i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  <w:lang w:val="es-CO"/>
              </w:rPr>
              <w:t xml:space="preserve">De acuerdo a lo expuesto en precedencia, </w:t>
            </w:r>
            <w:r w:rsidR="00A1254D" w:rsidRPr="003E7666">
              <w:rPr>
                <w:rFonts w:cs="Arial"/>
                <w:sz w:val="22"/>
                <w:szCs w:val="22"/>
                <w:lang w:val="es-CO"/>
              </w:rPr>
              <w:t>se hace necesario modificar los artículos 2.5.3.10.2, 2.5.3.10.3 y 2.5.3.10.18 del Decreto 780 de 2016, como también, adicionar el Capítulo 11 al Título 3 de la Parte 5 del Libro 2 del Decreto 780 de 2016, en relación con los requisitos financieros y de operación de los gestores farmacéuticos y los operadores logísticos de tecnologías en salud.</w:t>
            </w:r>
          </w:p>
        </w:tc>
      </w:tr>
      <w:tr w:rsidR="00A27988" w:rsidRPr="003E7666" w:rsidTr="00E5792E">
        <w:trPr>
          <w:trHeight w:val="71"/>
        </w:trPr>
        <w:tc>
          <w:tcPr>
            <w:tcW w:w="10774" w:type="dxa"/>
            <w:gridSpan w:val="3"/>
            <w:shd w:val="clear" w:color="auto" w:fill="FFFFFF"/>
            <w:vAlign w:val="center"/>
          </w:tcPr>
          <w:p w:rsidR="00A27988" w:rsidRPr="003E7666" w:rsidRDefault="00A27988" w:rsidP="00E5792E">
            <w:pPr>
              <w:jc w:val="both"/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A27988" w:rsidRPr="003E7666" w:rsidTr="00E5792E">
        <w:trPr>
          <w:trHeight w:val="66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3D063F" w:rsidP="00A27988">
            <w:pPr>
              <w:numPr>
                <w:ilvl w:val="0"/>
                <w:numId w:val="1"/>
              </w:numPr>
              <w:ind w:left="494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Á</w:t>
            </w:r>
            <w:r w:rsidR="00A27988" w:rsidRPr="003E7666">
              <w:rPr>
                <w:rFonts w:cs="Arial"/>
                <w:b/>
                <w:color w:val="000000"/>
                <w:sz w:val="22"/>
                <w:szCs w:val="22"/>
              </w:rPr>
              <w:t>MBITO DE APLICACIÓN Y SUJETOS A QUIENES VA DIRIGIDO</w:t>
            </w:r>
          </w:p>
          <w:p w:rsidR="00A27988" w:rsidRPr="003E7666" w:rsidRDefault="00A27988" w:rsidP="00E5792E">
            <w:pPr>
              <w:ind w:left="134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:rsidR="00741C28" w:rsidRPr="003E7666" w:rsidRDefault="00A27988" w:rsidP="00741C28">
            <w:pPr>
              <w:jc w:val="both"/>
              <w:rPr>
                <w:rFonts w:eastAsia="Arial" w:cs="Arial"/>
                <w:i/>
                <w:iCs/>
                <w:sz w:val="22"/>
                <w:szCs w:val="22"/>
                <w:lang w:val="es"/>
              </w:rPr>
            </w:pPr>
            <w:r w:rsidRPr="003E7666">
              <w:rPr>
                <w:rFonts w:cs="Arial"/>
                <w:sz w:val="22"/>
                <w:szCs w:val="22"/>
                <w:lang w:val="es-CO"/>
              </w:rPr>
              <w:t xml:space="preserve">Las disposiciones previstas en el proyecto de </w:t>
            </w:r>
            <w:r w:rsidR="00741C28" w:rsidRPr="003E7666">
              <w:rPr>
                <w:rFonts w:cs="Arial"/>
                <w:sz w:val="22"/>
                <w:szCs w:val="22"/>
                <w:lang w:val="es-CO"/>
              </w:rPr>
              <w:t>decreto</w:t>
            </w:r>
            <w:r w:rsidRPr="003E7666">
              <w:rPr>
                <w:rFonts w:cs="Arial"/>
                <w:sz w:val="22"/>
                <w:szCs w:val="22"/>
                <w:lang w:val="es-CO"/>
              </w:rPr>
              <w:t xml:space="preserve"> aplican </w:t>
            </w:r>
            <w:r w:rsidR="00741C28" w:rsidRPr="003E7666">
              <w:rPr>
                <w:rFonts w:cs="Arial"/>
                <w:sz w:val="22"/>
                <w:szCs w:val="22"/>
                <w:lang w:val="es-CO"/>
              </w:rPr>
              <w:t>a: i) los prestadores de servicios de salud, incluyendo a los que operen en cualquiera de los regímenes de excepción contemplados en las normas vigentes ii) todo establecimiento farmacéutico donde se almacenen, comercialicen, distribuyan o dispensen medicamentos o dispositivos médicos, en relación con el o los procesos para los que esté autorizado, iii) los gestores farmacéuticos y los operadores logísticos de tecnologías en salud definidos en el artículo 2.5.3.11.3 del presente decreto; y, iv) a toda entidad o persona que realice una o más actividades o procesos propios del servicio farmacéutico.</w:t>
            </w:r>
            <w:r w:rsidR="00741C28" w:rsidRPr="003E7666">
              <w:rPr>
                <w:rFonts w:eastAsia="Arial" w:cs="Arial"/>
                <w:i/>
                <w:iCs/>
                <w:sz w:val="22"/>
                <w:szCs w:val="22"/>
                <w:lang w:val="es"/>
              </w:rPr>
              <w:t xml:space="preserve"> </w:t>
            </w:r>
          </w:p>
          <w:p w:rsidR="00A27988" w:rsidRPr="003E7666" w:rsidRDefault="00A27988" w:rsidP="00E5792E">
            <w:p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A27988" w:rsidRPr="003E7666" w:rsidTr="00E5792E">
        <w:trPr>
          <w:trHeight w:val="66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ind w:left="494" w:hanging="283"/>
              <w:rPr>
                <w:rFonts w:cs="Arial"/>
                <w:b/>
                <w:color w:val="000000"/>
                <w:sz w:val="22"/>
                <w:szCs w:val="22"/>
              </w:rPr>
            </w:pPr>
            <w:r w:rsidRPr="003E7666">
              <w:rPr>
                <w:rFonts w:cs="Arial"/>
                <w:b/>
                <w:color w:val="000000"/>
                <w:sz w:val="22"/>
                <w:szCs w:val="22"/>
              </w:rPr>
              <w:t>3. VIABILIDAD JURÍDICA</w:t>
            </w:r>
          </w:p>
          <w:p w:rsidR="00A27988" w:rsidRPr="003E7666" w:rsidRDefault="00A27988" w:rsidP="00E5792E">
            <w:pPr>
              <w:ind w:left="494" w:hanging="283"/>
              <w:rPr>
                <w:rFonts w:cs="Arial"/>
                <w:i/>
                <w:color w:val="808080"/>
                <w:sz w:val="22"/>
                <w:szCs w:val="22"/>
              </w:rPr>
            </w:pP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b/>
                <w:bCs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 xml:space="preserve">3.1 </w:t>
            </w:r>
            <w:r w:rsidRPr="003E7666">
              <w:rPr>
                <w:rFonts w:cs="Arial"/>
                <w:bCs/>
                <w:sz w:val="22"/>
                <w:szCs w:val="22"/>
                <w:lang w:val="es-CO" w:eastAsia="es-CO"/>
              </w:rPr>
              <w:t>Análisis de las normas que otorgan la competencia para la expedición del proyecto normativo</w:t>
            </w: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:rsidR="00D175BE" w:rsidRPr="003E7666" w:rsidRDefault="00D175BE" w:rsidP="00A27988">
            <w:pPr>
              <w:numPr>
                <w:ilvl w:val="0"/>
                <w:numId w:val="3"/>
              </w:numPr>
              <w:spacing w:after="120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lastRenderedPageBreak/>
              <w:t>Constitución Política de Colombia 1991. Numeral 11 del Artículo 189</w:t>
            </w:r>
          </w:p>
          <w:p w:rsidR="00A27988" w:rsidRPr="003E7666" w:rsidRDefault="00A27988" w:rsidP="00A27988">
            <w:pPr>
              <w:numPr>
                <w:ilvl w:val="0"/>
                <w:numId w:val="3"/>
              </w:numPr>
              <w:spacing w:after="120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 xml:space="preserve">Ley 100 de 1993. </w:t>
            </w:r>
            <w:r w:rsidR="00DF1AB5" w:rsidRPr="003E7666">
              <w:rPr>
                <w:rFonts w:cs="Arial"/>
                <w:sz w:val="22"/>
                <w:szCs w:val="22"/>
                <w:lang w:val="es-CO" w:eastAsia="es-CO"/>
              </w:rPr>
              <w:t>Literal c) del Artículo</w:t>
            </w:r>
            <w:r w:rsidRPr="003E7666">
              <w:rPr>
                <w:rFonts w:cs="Arial"/>
                <w:sz w:val="22"/>
                <w:szCs w:val="22"/>
                <w:lang w:val="es-CO" w:eastAsia="es-CO"/>
              </w:rPr>
              <w:t xml:space="preserve"> </w:t>
            </w:r>
            <w:r w:rsidR="00DF1AB5" w:rsidRPr="003E7666">
              <w:rPr>
                <w:rFonts w:cs="Arial"/>
                <w:sz w:val="22"/>
                <w:szCs w:val="22"/>
                <w:lang w:val="es-CO" w:eastAsia="es-CO"/>
              </w:rPr>
              <w:t>153 y numeral 8 del Artículo 155</w:t>
            </w:r>
            <w:r w:rsidRPr="003E7666">
              <w:rPr>
                <w:rFonts w:cs="Arial"/>
                <w:sz w:val="22"/>
                <w:szCs w:val="22"/>
                <w:lang w:val="es-CO" w:eastAsia="es-CO"/>
              </w:rPr>
              <w:t>.</w:t>
            </w:r>
          </w:p>
          <w:p w:rsidR="00A27988" w:rsidRPr="003E7666" w:rsidRDefault="00A27988" w:rsidP="00A27988">
            <w:pPr>
              <w:numPr>
                <w:ilvl w:val="0"/>
                <w:numId w:val="3"/>
              </w:numPr>
              <w:spacing w:after="120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 xml:space="preserve">Ley 715 de 2001. Artículo 42. </w:t>
            </w:r>
            <w:r w:rsidR="00DF1AB5" w:rsidRPr="003E7666">
              <w:rPr>
                <w:rFonts w:cs="Arial"/>
                <w:sz w:val="22"/>
                <w:szCs w:val="22"/>
                <w:lang w:val="es-CO" w:eastAsia="es-CO"/>
              </w:rPr>
              <w:t>Numerales 42.1 y 42.3</w:t>
            </w:r>
          </w:p>
          <w:p w:rsidR="00DF1AB5" w:rsidRPr="003E7666" w:rsidRDefault="00DF1AB5" w:rsidP="00A27988">
            <w:pPr>
              <w:numPr>
                <w:ilvl w:val="0"/>
                <w:numId w:val="3"/>
              </w:numPr>
              <w:spacing w:after="120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>Ley 1955 de 2019. Artículo 243</w:t>
            </w:r>
          </w:p>
          <w:p w:rsidR="00A27988" w:rsidRPr="003E7666" w:rsidRDefault="00A27988" w:rsidP="00E5792E">
            <w:pPr>
              <w:spacing w:line="360" w:lineRule="auto"/>
              <w:ind w:left="211"/>
              <w:contextualSpacing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>3.2 Vigencia de la ley o norma reglamentada o desarrollada</w:t>
            </w: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:rsidR="00A27988" w:rsidRPr="003E7666" w:rsidRDefault="00A576FD" w:rsidP="00A576FD">
            <w:pPr>
              <w:numPr>
                <w:ilvl w:val="0"/>
                <w:numId w:val="3"/>
              </w:numPr>
              <w:spacing w:after="120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>Ley 1955 de 2019</w:t>
            </w:r>
            <w:r w:rsidRPr="003E7666">
              <w:rPr>
                <w:rFonts w:cs="Arial"/>
                <w:sz w:val="22"/>
                <w:szCs w:val="22"/>
                <w:lang w:val="es-CO" w:eastAsia="es-CO"/>
              </w:rPr>
              <w:t>. Artículo 243</w:t>
            </w: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bookmarkStart w:id="1" w:name="_GoBack"/>
            <w:bookmarkEnd w:id="1"/>
            <w:r w:rsidRPr="003E7666">
              <w:rPr>
                <w:rFonts w:cs="Arial"/>
                <w:sz w:val="22"/>
                <w:szCs w:val="22"/>
                <w:lang w:val="es-CO" w:eastAsia="es-CO"/>
              </w:rPr>
              <w:t xml:space="preserve">3.3. Disposiciones derogas, subrogadas, modificadas, adicionadas o sustituidas </w:t>
            </w: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:rsidR="00DF1AB5" w:rsidRPr="003E7666" w:rsidRDefault="00DF1AB5" w:rsidP="00DF1AB5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 xml:space="preserve">Modifica los artículos 2.5.3.10.2, 2.5.3.10.3 y 2.5.3.10.18 del Decreto 780 de 2016 </w:t>
            </w:r>
          </w:p>
          <w:p w:rsidR="00A27988" w:rsidRPr="003E7666" w:rsidRDefault="00DF1AB5" w:rsidP="00C12621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>Adiciona el Capítulo 11 al Título 3 de la Parte 5 del Libro 2 del Decreto 780 de 2016.</w:t>
            </w: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>3.4 Revisión y análisis de la jurisprudencia que tenga impacto o sea relevante para la expedición del proyecto normativo (órganos de cierre de cada jurisdicción)</w:t>
            </w:r>
          </w:p>
          <w:p w:rsidR="00A27988" w:rsidRPr="003E7666" w:rsidRDefault="00A27988" w:rsidP="00E5792E">
            <w:pPr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:rsidR="00A27988" w:rsidRPr="003E7666" w:rsidRDefault="00A27988" w:rsidP="00A27988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>No aplica</w:t>
            </w: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 xml:space="preserve">3.5 Circunstancias jurídicas adicionales </w:t>
            </w:r>
          </w:p>
          <w:p w:rsidR="00A27988" w:rsidRPr="003E7666" w:rsidRDefault="00A27988" w:rsidP="00E5792E">
            <w:pPr>
              <w:ind w:left="494" w:hanging="283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:rsidR="00A27988" w:rsidRPr="003E7666" w:rsidRDefault="00A27988" w:rsidP="00A27988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3E7666">
              <w:rPr>
                <w:rFonts w:cs="Arial"/>
                <w:sz w:val="22"/>
                <w:szCs w:val="22"/>
                <w:lang w:val="es-CO" w:eastAsia="es-CO"/>
              </w:rPr>
              <w:t>No aplica</w:t>
            </w:r>
          </w:p>
          <w:p w:rsidR="00A27988" w:rsidRPr="003E7666" w:rsidRDefault="00A27988" w:rsidP="006F19C2">
            <w:pPr>
              <w:ind w:left="494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A27988" w:rsidRPr="003E7666" w:rsidTr="00E5792E">
        <w:trPr>
          <w:trHeight w:val="504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A27988">
            <w:pPr>
              <w:numPr>
                <w:ilvl w:val="0"/>
                <w:numId w:val="2"/>
              </w:numPr>
              <w:ind w:left="922" w:hanging="568"/>
              <w:jc w:val="both"/>
              <w:rPr>
                <w:rFonts w:cs="Arial"/>
                <w:iCs/>
                <w:color w:val="000000"/>
                <w:sz w:val="22"/>
                <w:szCs w:val="22"/>
              </w:rPr>
            </w:pPr>
            <w:r w:rsidRPr="003E7666">
              <w:rPr>
                <w:rFonts w:cs="Arial"/>
                <w:b/>
                <w:color w:val="000000"/>
                <w:sz w:val="22"/>
                <w:szCs w:val="22"/>
              </w:rPr>
              <w:lastRenderedPageBreak/>
              <w:t xml:space="preserve">IMPACTO ECONÓMICO </w:t>
            </w:r>
          </w:p>
          <w:p w:rsidR="00A27988" w:rsidRPr="003E7666" w:rsidRDefault="00A27988" w:rsidP="00E5792E">
            <w:pPr>
              <w:ind w:left="922"/>
              <w:jc w:val="both"/>
              <w:rPr>
                <w:rFonts w:cs="Arial"/>
                <w:iCs/>
                <w:color w:val="000000"/>
                <w:sz w:val="22"/>
                <w:szCs w:val="22"/>
              </w:rPr>
            </w:pPr>
          </w:p>
          <w:p w:rsidR="00A27988" w:rsidRPr="003E7666" w:rsidRDefault="00A27988" w:rsidP="00E5792E">
            <w:pPr>
              <w:ind w:left="927" w:hanging="142"/>
              <w:jc w:val="both"/>
              <w:rPr>
                <w:rFonts w:cs="Arial"/>
                <w:b/>
                <w:iCs/>
                <w:color w:val="000000"/>
                <w:sz w:val="22"/>
                <w:szCs w:val="22"/>
              </w:rPr>
            </w:pPr>
            <w:r w:rsidRPr="003E7666">
              <w:rPr>
                <w:rFonts w:cs="Arial"/>
                <w:iCs/>
                <w:color w:val="000000"/>
                <w:sz w:val="22"/>
                <w:szCs w:val="22"/>
              </w:rPr>
              <w:t>No Aplica</w:t>
            </w:r>
          </w:p>
        </w:tc>
      </w:tr>
      <w:tr w:rsidR="00A27988" w:rsidRPr="003E7666" w:rsidTr="00E5792E">
        <w:trPr>
          <w:trHeight w:val="37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A27988">
            <w:pPr>
              <w:numPr>
                <w:ilvl w:val="0"/>
                <w:numId w:val="2"/>
              </w:numPr>
              <w:ind w:left="780" w:hanging="425"/>
              <w:jc w:val="both"/>
              <w:rPr>
                <w:rFonts w:cs="Arial"/>
                <w:iCs/>
                <w:color w:val="000000"/>
                <w:sz w:val="22"/>
                <w:szCs w:val="22"/>
              </w:rPr>
            </w:pPr>
            <w:r w:rsidRPr="003E7666">
              <w:rPr>
                <w:rFonts w:cs="Arial"/>
                <w:b/>
                <w:color w:val="000000"/>
                <w:sz w:val="22"/>
                <w:szCs w:val="22"/>
              </w:rPr>
              <w:t xml:space="preserve">VIABILIDAD O DISPONIBILIDAD PRESUPUESTAL </w:t>
            </w:r>
          </w:p>
          <w:p w:rsidR="00A27988" w:rsidRPr="003E7666" w:rsidRDefault="00A27988" w:rsidP="00E5792E">
            <w:pPr>
              <w:ind w:left="780"/>
              <w:jc w:val="both"/>
              <w:rPr>
                <w:rFonts w:cs="Arial"/>
                <w:iCs/>
                <w:color w:val="000000"/>
                <w:sz w:val="22"/>
                <w:szCs w:val="22"/>
              </w:rPr>
            </w:pPr>
          </w:p>
          <w:p w:rsidR="00A27988" w:rsidRPr="003E7666" w:rsidRDefault="00A27988" w:rsidP="00E5792E">
            <w:pPr>
              <w:ind w:left="927" w:hanging="142"/>
              <w:jc w:val="both"/>
              <w:rPr>
                <w:rFonts w:cs="Arial"/>
                <w:b/>
                <w:iCs/>
                <w:color w:val="000000"/>
                <w:sz w:val="22"/>
                <w:szCs w:val="22"/>
              </w:rPr>
            </w:pPr>
            <w:r w:rsidRPr="003E7666">
              <w:rPr>
                <w:rFonts w:cs="Arial"/>
                <w:iCs/>
                <w:color w:val="000000"/>
                <w:sz w:val="22"/>
                <w:szCs w:val="22"/>
              </w:rPr>
              <w:t>No Aplica</w:t>
            </w:r>
          </w:p>
        </w:tc>
      </w:tr>
      <w:tr w:rsidR="00A27988" w:rsidRPr="003E7666" w:rsidTr="00E5792E">
        <w:trPr>
          <w:trHeight w:val="674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A27988">
            <w:pPr>
              <w:numPr>
                <w:ilvl w:val="0"/>
                <w:numId w:val="2"/>
              </w:numPr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  <w:r w:rsidRPr="003E7666">
              <w:rPr>
                <w:rFonts w:cs="Arial"/>
                <w:b/>
                <w:color w:val="000000"/>
                <w:sz w:val="22"/>
                <w:szCs w:val="22"/>
              </w:rPr>
              <w:t xml:space="preserve"> IMPACTO MEDIOAMBIENTAL O SOBRE EL PATRIMONIO CULTURAL DE LA NACIÓN </w:t>
            </w:r>
          </w:p>
          <w:p w:rsidR="00A27988" w:rsidRPr="003E7666" w:rsidRDefault="00A27988" w:rsidP="00E5792E">
            <w:pPr>
              <w:ind w:left="720"/>
              <w:jc w:val="both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:rsidR="00A27988" w:rsidRPr="003E7666" w:rsidRDefault="00A27988" w:rsidP="00E5792E">
            <w:pPr>
              <w:ind w:left="927" w:hanging="142"/>
              <w:jc w:val="both"/>
              <w:rPr>
                <w:rFonts w:cs="Arial"/>
                <w:b/>
                <w:iCs/>
                <w:color w:val="000000"/>
                <w:sz w:val="22"/>
                <w:szCs w:val="22"/>
              </w:rPr>
            </w:pPr>
            <w:r w:rsidRPr="003E7666">
              <w:rPr>
                <w:rFonts w:cs="Arial"/>
                <w:iCs/>
                <w:color w:val="000000"/>
                <w:sz w:val="22"/>
                <w:szCs w:val="22"/>
              </w:rPr>
              <w:t>No Aplica</w:t>
            </w:r>
          </w:p>
        </w:tc>
      </w:tr>
      <w:tr w:rsidR="00A27988" w:rsidRPr="003E7666" w:rsidTr="00E5792E">
        <w:trPr>
          <w:trHeight w:val="317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A27988">
            <w:pPr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3E7666">
              <w:rPr>
                <w:rFonts w:cs="Arial"/>
                <w:b/>
                <w:sz w:val="22"/>
                <w:szCs w:val="22"/>
              </w:rPr>
              <w:t>ESTUDIOS TÉCNICOS QUE SUSTENTEN EL PROYECTO NORMATIVO</w:t>
            </w:r>
          </w:p>
          <w:p w:rsidR="00A27988" w:rsidRPr="003E7666" w:rsidRDefault="00A27988" w:rsidP="00E5792E">
            <w:pPr>
              <w:ind w:left="720"/>
              <w:jc w:val="both"/>
              <w:rPr>
                <w:rFonts w:cs="Arial"/>
                <w:iCs/>
                <w:color w:val="000000"/>
                <w:sz w:val="22"/>
                <w:szCs w:val="22"/>
              </w:rPr>
            </w:pPr>
          </w:p>
          <w:p w:rsidR="00A27988" w:rsidRPr="003E7666" w:rsidRDefault="00A27988" w:rsidP="00E5792E">
            <w:pPr>
              <w:ind w:left="720"/>
              <w:jc w:val="both"/>
              <w:rPr>
                <w:rFonts w:cs="Arial"/>
                <w:sz w:val="22"/>
                <w:szCs w:val="22"/>
              </w:rPr>
            </w:pPr>
            <w:r w:rsidRPr="003E7666">
              <w:rPr>
                <w:rFonts w:cs="Arial"/>
                <w:iCs/>
                <w:color w:val="000000"/>
                <w:sz w:val="22"/>
                <w:szCs w:val="22"/>
              </w:rPr>
              <w:t>No Aplica</w:t>
            </w:r>
          </w:p>
        </w:tc>
      </w:tr>
      <w:tr w:rsidR="00A27988" w:rsidRPr="003E7666" w:rsidTr="00E5792E">
        <w:trPr>
          <w:trHeight w:val="66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jc w:val="center"/>
              <w:rPr>
                <w:rFonts w:cs="Arial"/>
                <w:sz w:val="22"/>
                <w:szCs w:val="22"/>
                <w:u w:val="single"/>
              </w:rPr>
            </w:pPr>
          </w:p>
        </w:tc>
      </w:tr>
      <w:tr w:rsidR="00A27988" w:rsidRPr="003E7666" w:rsidTr="00E5792E">
        <w:trPr>
          <w:trHeight w:val="416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B8AFF"/>
            <w:vAlign w:val="center"/>
          </w:tcPr>
          <w:p w:rsidR="00A27988" w:rsidRPr="003E7666" w:rsidRDefault="00A27988" w:rsidP="00E5792E">
            <w:pPr>
              <w:jc w:val="center"/>
              <w:rPr>
                <w:rFonts w:cs="Arial"/>
                <w:color w:val="FFFFFF"/>
                <w:sz w:val="22"/>
                <w:szCs w:val="22"/>
              </w:rPr>
            </w:pPr>
            <w:r w:rsidRPr="003E7666">
              <w:rPr>
                <w:rFonts w:cs="Arial"/>
                <w:b/>
                <w:color w:val="FFFFFF"/>
                <w:sz w:val="22"/>
                <w:szCs w:val="22"/>
              </w:rPr>
              <w:t>ANEXOS:</w:t>
            </w:r>
            <w:r w:rsidRPr="003E7666">
              <w:rPr>
                <w:rFonts w:cs="Arial"/>
                <w:color w:val="FFFFFF"/>
                <w:sz w:val="22"/>
                <w:szCs w:val="22"/>
              </w:rPr>
              <w:t xml:space="preserve"> </w:t>
            </w:r>
          </w:p>
        </w:tc>
      </w:tr>
      <w:tr w:rsidR="00A27988" w:rsidRPr="003E7666" w:rsidTr="00E5792E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6F19C2">
            <w:pPr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</w:rPr>
              <w:t>Certificación de cumplimiento de requisitos de consulta, publicidad y de incorporación en la agenda regulatoria</w:t>
            </w:r>
            <w:r w:rsidR="006F19C2" w:rsidRPr="003E7666">
              <w:rPr>
                <w:rFonts w:cs="Arial"/>
                <w:sz w:val="22"/>
                <w:szCs w:val="22"/>
              </w:rPr>
              <w:t>.</w:t>
            </w:r>
            <w:r w:rsidRPr="003E766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6F19C2">
            <w:pPr>
              <w:rPr>
                <w:rFonts w:cs="Arial"/>
                <w:color w:val="000000"/>
                <w:sz w:val="22"/>
                <w:szCs w:val="22"/>
              </w:rPr>
            </w:pPr>
            <w:r w:rsidRPr="003E7666">
              <w:rPr>
                <w:rFonts w:cs="Arial"/>
                <w:color w:val="000000"/>
                <w:sz w:val="22"/>
                <w:szCs w:val="22"/>
              </w:rPr>
              <w:t>No aplica</w:t>
            </w:r>
          </w:p>
        </w:tc>
      </w:tr>
      <w:tr w:rsidR="00A27988" w:rsidRPr="003E7666" w:rsidTr="00E5792E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</w:rPr>
              <w:t>Concepto(s) de Ministerio de Comercio, Industria y Turismo</w:t>
            </w:r>
            <w:r w:rsidR="006F19C2" w:rsidRPr="003E7666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jc w:val="both"/>
              <w:rPr>
                <w:rFonts w:cs="Arial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  <w:lang w:eastAsia="es-CO"/>
              </w:rPr>
              <w:t>No aplica</w:t>
            </w:r>
          </w:p>
        </w:tc>
      </w:tr>
      <w:tr w:rsidR="00A27988" w:rsidRPr="003E7666" w:rsidTr="00E5792E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</w:rPr>
              <w:t>Informe de observaciones y respuestas</w:t>
            </w:r>
            <w:r w:rsidR="00C1007C" w:rsidRPr="003E7666">
              <w:rPr>
                <w:rFonts w:cs="Arial"/>
                <w:sz w:val="22"/>
                <w:szCs w:val="22"/>
              </w:rPr>
              <w:t>.</w:t>
            </w:r>
            <w:r w:rsidRPr="003E766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rPr>
                <w:rFonts w:cs="Arial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  <w:lang w:eastAsia="es-CO"/>
              </w:rPr>
              <w:t>No aplica</w:t>
            </w:r>
          </w:p>
        </w:tc>
      </w:tr>
      <w:tr w:rsidR="00A27988" w:rsidRPr="003E7666" w:rsidTr="00E5792E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jc w:val="both"/>
              <w:rPr>
                <w:rFonts w:cs="Arial"/>
                <w:i/>
                <w:color w:val="808080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</w:rPr>
              <w:t>Concepto de Abogacía de la Competencia de la Superintendencia de Industria y Comercio</w:t>
            </w:r>
            <w:r w:rsidR="006F19C2" w:rsidRPr="003E7666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jc w:val="both"/>
              <w:rPr>
                <w:rFonts w:cs="Arial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  <w:lang w:eastAsia="es-CO"/>
              </w:rPr>
              <w:t>No aplica</w:t>
            </w:r>
          </w:p>
        </w:tc>
      </w:tr>
      <w:tr w:rsidR="00A27988" w:rsidRPr="003E7666" w:rsidTr="00E5792E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jc w:val="both"/>
              <w:rPr>
                <w:rFonts w:cs="Arial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</w:rPr>
              <w:t>Concepto de aprobación nuevos trámites del Departamento Administrativo de la Función Pública</w:t>
            </w:r>
            <w:r w:rsidR="00C1007C" w:rsidRPr="003E7666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jc w:val="both"/>
              <w:rPr>
                <w:rFonts w:cs="Arial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  <w:lang w:eastAsia="es-CO"/>
              </w:rPr>
              <w:t>No aplica</w:t>
            </w:r>
          </w:p>
        </w:tc>
      </w:tr>
      <w:tr w:rsidR="00A27988" w:rsidRPr="003E7666" w:rsidTr="00E5792E">
        <w:trPr>
          <w:trHeight w:val="66"/>
        </w:trPr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jc w:val="both"/>
              <w:rPr>
                <w:rFonts w:cs="Arial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</w:rPr>
              <w:t xml:space="preserve">Otro </w:t>
            </w:r>
            <w:r w:rsidRPr="003E7666">
              <w:rPr>
                <w:rFonts w:cs="Arial"/>
                <w:bCs/>
                <w:sz w:val="22"/>
                <w:szCs w:val="22"/>
                <w:lang w:val="es-CO"/>
              </w:rPr>
              <w:t>Frente al término de pub</w:t>
            </w:r>
            <w:r w:rsidR="00C1007C" w:rsidRPr="003E7666">
              <w:rPr>
                <w:rFonts w:cs="Arial"/>
                <w:bCs/>
                <w:sz w:val="22"/>
                <w:szCs w:val="22"/>
                <w:lang w:val="es-CO"/>
              </w:rPr>
              <w:t>licación del proyecto normativo.</w:t>
            </w:r>
          </w:p>
          <w:p w:rsidR="00A27988" w:rsidRPr="003E7666" w:rsidRDefault="00A27988" w:rsidP="00E5792E">
            <w:pPr>
              <w:suppressAutoHyphens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7988" w:rsidRPr="003E7666" w:rsidRDefault="00A27988" w:rsidP="00E5792E">
            <w:pPr>
              <w:suppressAutoHyphens/>
              <w:autoSpaceDN w:val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3E7666">
              <w:rPr>
                <w:rFonts w:cs="Arial"/>
                <w:sz w:val="22"/>
                <w:szCs w:val="22"/>
              </w:rPr>
              <w:t>No aplica</w:t>
            </w:r>
          </w:p>
        </w:tc>
      </w:tr>
    </w:tbl>
    <w:p w:rsidR="00A27988" w:rsidRPr="003E7666" w:rsidRDefault="00A27988" w:rsidP="00A27988">
      <w:pPr>
        <w:ind w:right="-377"/>
        <w:jc w:val="both"/>
        <w:rPr>
          <w:rFonts w:cs="Arial"/>
          <w:sz w:val="22"/>
          <w:szCs w:val="22"/>
        </w:rPr>
      </w:pPr>
    </w:p>
    <w:p w:rsidR="00A27988" w:rsidRPr="003E7666" w:rsidRDefault="00A27988" w:rsidP="00A27988">
      <w:pPr>
        <w:ind w:left="-1276" w:right="-377" w:firstLine="283"/>
        <w:jc w:val="both"/>
        <w:rPr>
          <w:rFonts w:cs="Arial"/>
          <w:b/>
          <w:sz w:val="22"/>
          <w:szCs w:val="22"/>
        </w:rPr>
      </w:pPr>
    </w:p>
    <w:p w:rsidR="00A27988" w:rsidRPr="003E7666" w:rsidRDefault="00A27988" w:rsidP="00A27988">
      <w:pPr>
        <w:ind w:left="-1276" w:right="-377" w:firstLine="283"/>
        <w:jc w:val="both"/>
        <w:rPr>
          <w:rFonts w:cs="Arial"/>
          <w:b/>
          <w:sz w:val="22"/>
          <w:szCs w:val="22"/>
        </w:rPr>
      </w:pPr>
    </w:p>
    <w:p w:rsidR="00A27988" w:rsidRPr="003E7666" w:rsidRDefault="00A27988" w:rsidP="00A27988">
      <w:pPr>
        <w:ind w:left="-1276" w:right="-377" w:firstLine="283"/>
        <w:jc w:val="both"/>
        <w:rPr>
          <w:rFonts w:cs="Arial"/>
          <w:b/>
          <w:sz w:val="22"/>
          <w:szCs w:val="22"/>
        </w:rPr>
      </w:pPr>
    </w:p>
    <w:p w:rsidR="0049450D" w:rsidRPr="003E7666" w:rsidRDefault="0049450D" w:rsidP="00A27988">
      <w:pPr>
        <w:ind w:left="-1276" w:right="-377" w:firstLine="283"/>
        <w:jc w:val="both"/>
        <w:rPr>
          <w:rFonts w:cs="Arial"/>
          <w:b/>
          <w:sz w:val="22"/>
          <w:szCs w:val="22"/>
        </w:rPr>
        <w:sectPr w:rsidR="0049450D" w:rsidRPr="003E7666" w:rsidSect="00A27988">
          <w:headerReference w:type="default" r:id="rId7"/>
          <w:footerReference w:type="default" r:id="rId8"/>
          <w:headerReference w:type="first" r:id="rId9"/>
          <w:pgSz w:w="12240" w:h="15840" w:code="1"/>
          <w:pgMar w:top="1616" w:right="1701" w:bottom="1115" w:left="1701" w:header="720" w:footer="720" w:gutter="0"/>
          <w:cols w:space="720"/>
          <w:titlePg/>
          <w:docGrid w:linePitch="272"/>
        </w:sectPr>
      </w:pPr>
    </w:p>
    <w:p w:rsidR="00A27988" w:rsidRPr="003E7666" w:rsidRDefault="00A27988" w:rsidP="00A27988">
      <w:pPr>
        <w:ind w:left="-1276" w:right="-377" w:firstLine="283"/>
        <w:jc w:val="both"/>
        <w:rPr>
          <w:rFonts w:cs="Arial"/>
          <w:b/>
          <w:sz w:val="22"/>
          <w:szCs w:val="22"/>
        </w:rPr>
      </w:pPr>
      <w:r w:rsidRPr="003E7666">
        <w:rPr>
          <w:rFonts w:cs="Arial"/>
          <w:b/>
          <w:sz w:val="22"/>
          <w:szCs w:val="22"/>
        </w:rPr>
        <w:lastRenderedPageBreak/>
        <w:t>Aprobó:</w:t>
      </w:r>
    </w:p>
    <w:p w:rsidR="00DB24C6" w:rsidRPr="003E7666" w:rsidRDefault="00DB24C6" w:rsidP="00A27988">
      <w:pPr>
        <w:ind w:left="-1276" w:right="-377" w:firstLine="283"/>
        <w:jc w:val="both"/>
        <w:rPr>
          <w:rFonts w:cs="Arial"/>
          <w:b/>
          <w:sz w:val="22"/>
          <w:szCs w:val="22"/>
        </w:rPr>
      </w:pPr>
    </w:p>
    <w:p w:rsidR="00A27988" w:rsidRPr="003E7666" w:rsidRDefault="00A27988" w:rsidP="00A27988">
      <w:pPr>
        <w:autoSpaceDE w:val="0"/>
        <w:autoSpaceDN w:val="0"/>
        <w:adjustRightInd w:val="0"/>
        <w:spacing w:line="259" w:lineRule="auto"/>
        <w:ind w:left="142"/>
        <w:jc w:val="both"/>
        <w:rPr>
          <w:rFonts w:cs="Arial"/>
          <w:b/>
          <w:sz w:val="22"/>
          <w:szCs w:val="22"/>
        </w:rPr>
      </w:pPr>
    </w:p>
    <w:p w:rsidR="00A27988" w:rsidRPr="003E7666" w:rsidRDefault="00A27988" w:rsidP="00A27988">
      <w:pPr>
        <w:autoSpaceDE w:val="0"/>
        <w:autoSpaceDN w:val="0"/>
        <w:adjustRightInd w:val="0"/>
        <w:spacing w:line="259" w:lineRule="auto"/>
        <w:ind w:left="862" w:hanging="720"/>
        <w:jc w:val="both"/>
        <w:rPr>
          <w:rFonts w:cs="Arial"/>
          <w:b/>
          <w:sz w:val="22"/>
          <w:szCs w:val="22"/>
        </w:rPr>
      </w:pPr>
    </w:p>
    <w:p w:rsidR="00A27988" w:rsidRPr="003E7666" w:rsidRDefault="00A27988" w:rsidP="00A27988">
      <w:pPr>
        <w:pStyle w:val="Listavistosa-nfasis11"/>
        <w:suppressAutoHyphens/>
        <w:spacing w:after="0" w:line="240" w:lineRule="auto"/>
        <w:ind w:left="-993"/>
        <w:jc w:val="both"/>
        <w:rPr>
          <w:rFonts w:ascii="Arial" w:hAnsi="Arial" w:cs="Arial"/>
          <w:b/>
        </w:rPr>
        <w:sectPr w:rsidR="00A27988" w:rsidRPr="003E7666" w:rsidSect="0049450D">
          <w:type w:val="continuous"/>
          <w:pgSz w:w="12240" w:h="15840" w:code="1"/>
          <w:pgMar w:top="1616" w:right="1701" w:bottom="1115" w:left="1701" w:header="720" w:footer="720" w:gutter="0"/>
          <w:cols w:space="720"/>
          <w:titlePg/>
          <w:docGrid w:linePitch="272"/>
        </w:sectPr>
      </w:pPr>
    </w:p>
    <w:p w:rsidR="00A2663A" w:rsidRPr="003E7666" w:rsidRDefault="00A27988" w:rsidP="00DB24C6">
      <w:pPr>
        <w:pStyle w:val="Listavistosa-nfasis11"/>
        <w:suppressAutoHyphens/>
        <w:spacing w:after="0" w:line="240" w:lineRule="auto"/>
        <w:ind w:left="-993"/>
        <w:rPr>
          <w:rFonts w:ascii="Arial" w:hAnsi="Arial" w:cs="Arial"/>
          <w:b/>
        </w:rPr>
      </w:pPr>
      <w:r w:rsidRPr="003E7666">
        <w:rPr>
          <w:rFonts w:ascii="Arial" w:hAnsi="Arial" w:cs="Arial"/>
          <w:b/>
        </w:rPr>
        <w:lastRenderedPageBreak/>
        <w:t>IVAN DAVID MESA CEPEDA.</w:t>
      </w:r>
    </w:p>
    <w:p w:rsidR="00A27988" w:rsidRPr="003E7666" w:rsidRDefault="00A2663A" w:rsidP="0049450D">
      <w:pPr>
        <w:pStyle w:val="Listavistosa-nfasis11"/>
        <w:suppressAutoHyphens/>
        <w:spacing w:after="0" w:line="240" w:lineRule="auto"/>
        <w:ind w:left="-993"/>
        <w:rPr>
          <w:rFonts w:ascii="Arial" w:hAnsi="Arial" w:cs="Arial"/>
        </w:rPr>
      </w:pPr>
      <w:r w:rsidRPr="003E7666">
        <w:rPr>
          <w:rFonts w:ascii="Arial" w:hAnsi="Arial" w:cs="Arial"/>
        </w:rPr>
        <w:t>Director de la Regulación de la Operación de Aseguramiento en Salud, Riesgos Laborales y Pensiones</w:t>
      </w:r>
      <w:r w:rsidR="00A27988" w:rsidRPr="003E7666">
        <w:rPr>
          <w:rFonts w:ascii="Arial" w:hAnsi="Arial" w:cs="Arial"/>
        </w:rPr>
        <w:t xml:space="preserve"> </w:t>
      </w:r>
    </w:p>
    <w:p w:rsidR="00A27988" w:rsidRPr="003E7666" w:rsidRDefault="00A27988" w:rsidP="0049450D">
      <w:pPr>
        <w:pStyle w:val="Listavistosa-nfasis11"/>
        <w:suppressAutoHyphens/>
        <w:spacing w:after="0" w:line="240" w:lineRule="auto"/>
        <w:ind w:left="-993"/>
        <w:rPr>
          <w:rFonts w:ascii="Arial" w:hAnsi="Arial" w:cs="Arial"/>
        </w:rPr>
        <w:sectPr w:rsidR="00A27988" w:rsidRPr="003E7666" w:rsidSect="0049450D">
          <w:type w:val="continuous"/>
          <w:pgSz w:w="12240" w:h="15840" w:code="1"/>
          <w:pgMar w:top="1616" w:right="1701" w:bottom="1115" w:left="1701" w:header="720" w:footer="720" w:gutter="0"/>
          <w:cols w:space="2492"/>
          <w:titlePg/>
          <w:docGrid w:linePitch="272"/>
        </w:sectPr>
      </w:pPr>
    </w:p>
    <w:p w:rsidR="00A27988" w:rsidRPr="003E7666" w:rsidRDefault="00A27988" w:rsidP="0049450D">
      <w:pPr>
        <w:pStyle w:val="Listavistosa-nfasis11"/>
        <w:suppressAutoHyphens/>
        <w:spacing w:after="0" w:line="240" w:lineRule="auto"/>
        <w:ind w:left="-993"/>
        <w:rPr>
          <w:rFonts w:ascii="Arial" w:hAnsi="Arial" w:cs="Arial"/>
        </w:rPr>
      </w:pPr>
      <w:r w:rsidRPr="003E7666">
        <w:rPr>
          <w:rFonts w:ascii="Arial" w:hAnsi="Arial" w:cs="Arial"/>
        </w:rPr>
        <w:lastRenderedPageBreak/>
        <w:t>Ministerio de Salud y Protección Social</w:t>
      </w:r>
    </w:p>
    <w:p w:rsidR="0049450D" w:rsidRPr="003E7666" w:rsidRDefault="0049450D" w:rsidP="00A27988">
      <w:pPr>
        <w:pStyle w:val="Listavistosa-nfasis11"/>
        <w:suppressAutoHyphens/>
        <w:spacing w:after="0" w:line="240" w:lineRule="auto"/>
        <w:ind w:left="3540" w:right="-801" w:hanging="4533"/>
        <w:jc w:val="both"/>
        <w:rPr>
          <w:rFonts w:ascii="Arial" w:hAnsi="Arial" w:cs="Arial"/>
          <w:lang w:val="es-ES"/>
        </w:rPr>
        <w:sectPr w:rsidR="0049450D" w:rsidRPr="003E7666" w:rsidSect="0049450D">
          <w:type w:val="continuous"/>
          <w:pgSz w:w="12240" w:h="15840" w:code="1"/>
          <w:pgMar w:top="1616" w:right="1701" w:bottom="1115" w:left="1701" w:header="720" w:footer="720" w:gutter="0"/>
          <w:cols w:space="720"/>
          <w:titlePg/>
          <w:docGrid w:linePitch="272"/>
        </w:sectPr>
      </w:pPr>
    </w:p>
    <w:p w:rsidR="00A27988" w:rsidRPr="003E7666" w:rsidRDefault="00A27988" w:rsidP="00A27988">
      <w:pPr>
        <w:pStyle w:val="Listavistosa-nfasis11"/>
        <w:suppressAutoHyphens/>
        <w:spacing w:after="0" w:line="240" w:lineRule="auto"/>
        <w:ind w:left="3540" w:right="-801" w:hanging="4533"/>
        <w:jc w:val="both"/>
        <w:rPr>
          <w:rFonts w:ascii="Arial" w:hAnsi="Arial" w:cs="Arial"/>
          <w:lang w:val="es-ES"/>
        </w:rPr>
      </w:pPr>
    </w:p>
    <w:p w:rsidR="00A27988" w:rsidRDefault="00A27988" w:rsidP="00A27988">
      <w:pPr>
        <w:ind w:left="-993"/>
        <w:rPr>
          <w:rFonts w:cs="Arial"/>
          <w:sz w:val="22"/>
          <w:szCs w:val="22"/>
          <w:lang w:val="es-CO" w:eastAsia="es-CO"/>
        </w:rPr>
      </w:pPr>
    </w:p>
    <w:p w:rsidR="00A816DF" w:rsidRPr="003E7666" w:rsidRDefault="00A816DF" w:rsidP="00A27988">
      <w:pPr>
        <w:ind w:left="-993"/>
        <w:rPr>
          <w:rFonts w:cs="Arial"/>
          <w:sz w:val="22"/>
          <w:szCs w:val="22"/>
          <w:lang w:val="es-CO" w:eastAsia="es-CO"/>
        </w:rPr>
      </w:pPr>
    </w:p>
    <w:p w:rsidR="00A27988" w:rsidRPr="003E7666" w:rsidRDefault="00A27988" w:rsidP="00A27988">
      <w:pPr>
        <w:suppressAutoHyphens/>
        <w:ind w:left="-993"/>
        <w:contextualSpacing/>
        <w:jc w:val="both"/>
        <w:rPr>
          <w:rFonts w:cs="Arial"/>
          <w:sz w:val="22"/>
          <w:szCs w:val="22"/>
          <w:lang w:val="es-CO" w:eastAsia="es-CO"/>
        </w:rPr>
      </w:pPr>
    </w:p>
    <w:p w:rsidR="00A27988" w:rsidRPr="003E7666" w:rsidRDefault="00A27988" w:rsidP="00A27988">
      <w:pPr>
        <w:pStyle w:val="Listavistosa-nfasis11"/>
        <w:suppressAutoHyphens/>
        <w:spacing w:after="0" w:line="240" w:lineRule="auto"/>
        <w:ind w:left="-993"/>
        <w:rPr>
          <w:rFonts w:ascii="Arial" w:hAnsi="Arial" w:cs="Arial"/>
          <w:b/>
        </w:rPr>
      </w:pPr>
      <w:r w:rsidRPr="003E7666">
        <w:rPr>
          <w:rFonts w:ascii="Arial" w:hAnsi="Arial" w:cs="Arial"/>
          <w:b/>
        </w:rPr>
        <w:t>MELISSA TRIANA LUNA.</w:t>
      </w:r>
      <w:r w:rsidRPr="003E7666">
        <w:rPr>
          <w:rFonts w:ascii="Arial" w:hAnsi="Arial" w:cs="Arial"/>
          <w:b/>
        </w:rPr>
        <w:tab/>
      </w:r>
      <w:r w:rsidRPr="003E7666">
        <w:rPr>
          <w:rFonts w:ascii="Arial" w:hAnsi="Arial" w:cs="Arial"/>
          <w:b/>
        </w:rPr>
        <w:tab/>
      </w:r>
    </w:p>
    <w:p w:rsidR="00A27988" w:rsidRPr="003E7666" w:rsidRDefault="00A27988" w:rsidP="00A27988">
      <w:pPr>
        <w:pStyle w:val="Listavistosa-nfasis11"/>
        <w:suppressAutoHyphens/>
        <w:spacing w:after="0" w:line="240" w:lineRule="auto"/>
        <w:ind w:left="-993" w:right="-801"/>
        <w:rPr>
          <w:rFonts w:ascii="Arial" w:hAnsi="Arial" w:cs="Arial"/>
        </w:rPr>
      </w:pPr>
      <w:r w:rsidRPr="003E7666">
        <w:rPr>
          <w:rFonts w:ascii="Arial" w:hAnsi="Arial" w:cs="Arial"/>
        </w:rPr>
        <w:t xml:space="preserve">Directora Jurídica </w:t>
      </w:r>
      <w:r w:rsidRPr="003E7666">
        <w:rPr>
          <w:rFonts w:ascii="Arial" w:hAnsi="Arial" w:cs="Arial"/>
        </w:rPr>
        <w:tab/>
      </w:r>
      <w:r w:rsidRPr="003E7666">
        <w:rPr>
          <w:rFonts w:ascii="Arial" w:hAnsi="Arial" w:cs="Arial"/>
        </w:rPr>
        <w:tab/>
      </w:r>
      <w:r w:rsidRPr="003E7666">
        <w:rPr>
          <w:rFonts w:ascii="Arial" w:hAnsi="Arial" w:cs="Arial"/>
        </w:rPr>
        <w:tab/>
      </w:r>
    </w:p>
    <w:p w:rsidR="00A27988" w:rsidRPr="003E7666" w:rsidRDefault="00A27988" w:rsidP="00A27988">
      <w:pPr>
        <w:pStyle w:val="Listavistosa-nfasis11"/>
        <w:suppressAutoHyphens/>
        <w:spacing w:after="0" w:line="240" w:lineRule="auto"/>
        <w:ind w:left="3540" w:right="-801" w:hanging="4533"/>
        <w:rPr>
          <w:rFonts w:ascii="Arial" w:hAnsi="Arial" w:cs="Arial"/>
          <w:b/>
        </w:rPr>
      </w:pPr>
      <w:r w:rsidRPr="003E7666">
        <w:rPr>
          <w:rFonts w:ascii="Arial" w:hAnsi="Arial" w:cs="Arial"/>
        </w:rPr>
        <w:t>Ministerio de Salud y Protección Social</w:t>
      </w:r>
    </w:p>
    <w:p w:rsidR="00612DC9" w:rsidRPr="003E7666" w:rsidRDefault="00612DC9">
      <w:pPr>
        <w:rPr>
          <w:rFonts w:cs="Arial"/>
          <w:sz w:val="22"/>
          <w:szCs w:val="22"/>
        </w:rPr>
      </w:pPr>
    </w:p>
    <w:sectPr w:rsidR="00612DC9" w:rsidRPr="003E7666" w:rsidSect="00696582">
      <w:type w:val="continuous"/>
      <w:pgSz w:w="12240" w:h="15840" w:code="1"/>
      <w:pgMar w:top="1616" w:right="1701" w:bottom="111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E6" w:rsidRDefault="00A040E6">
      <w:r>
        <w:separator/>
      </w:r>
    </w:p>
  </w:endnote>
  <w:endnote w:type="continuationSeparator" w:id="0">
    <w:p w:rsidR="00A040E6" w:rsidRDefault="00A0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C6A" w:rsidRDefault="00C1262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D0714">
      <w:rPr>
        <w:noProof/>
      </w:rPr>
      <w:t>3</w:t>
    </w:r>
    <w:r>
      <w:fldChar w:fldCharType="end"/>
    </w:r>
  </w:p>
  <w:p w:rsidR="00F07A7D" w:rsidRPr="0084294E" w:rsidRDefault="00A040E6" w:rsidP="00FA4A9E">
    <w:pPr>
      <w:pStyle w:val="Piedepgina"/>
      <w:jc w:val="center"/>
      <w:rPr>
        <w:sz w:val="18"/>
        <w:szCs w:val="18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E6" w:rsidRDefault="00A040E6">
      <w:r>
        <w:separator/>
      </w:r>
    </w:p>
  </w:footnote>
  <w:footnote w:type="continuationSeparator" w:id="0">
    <w:p w:rsidR="00A040E6" w:rsidRDefault="00A04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7D" w:rsidRDefault="00A040E6">
    <w:pPr>
      <w:pStyle w:val="Encabezado"/>
    </w:pPr>
  </w:p>
  <w:tbl>
    <w:tblPr>
      <w:tblW w:w="10798" w:type="dxa"/>
      <w:tblInd w:w="-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96"/>
      <w:gridCol w:w="6502"/>
    </w:tblGrid>
    <w:tr w:rsidR="00696582" w:rsidTr="001447C1">
      <w:tc>
        <w:tcPr>
          <w:tcW w:w="4253" w:type="dxa"/>
          <w:shd w:val="clear" w:color="auto" w:fill="auto"/>
        </w:tcPr>
        <w:p w:rsidR="00696582" w:rsidRDefault="00C12621" w:rsidP="001447C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7D94A762" wp14:editId="4AE644ED">
                <wp:extent cx="2565400" cy="541655"/>
                <wp:effectExtent l="19050" t="0" r="635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5400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5" w:type="dxa"/>
          <w:shd w:val="clear" w:color="auto" w:fill="auto"/>
          <w:vAlign w:val="center"/>
        </w:tcPr>
        <w:p w:rsidR="00696582" w:rsidRDefault="00C12621" w:rsidP="001447C1">
          <w:pPr>
            <w:pStyle w:val="Ttulo2"/>
            <w:ind w:left="72" w:right="72"/>
          </w:pPr>
          <w:r w:rsidRPr="00FD3D04">
            <w:rPr>
              <w:rFonts w:cs="Arial"/>
              <w:bCs/>
              <w:color w:val="000000"/>
              <w:sz w:val="24"/>
              <w:szCs w:val="24"/>
            </w:rPr>
            <w:t>FORMATO MEMORIA JUSTIFICATIVA</w:t>
          </w:r>
        </w:p>
      </w:tc>
    </w:tr>
  </w:tbl>
  <w:p w:rsidR="00F07A7D" w:rsidRDefault="00A040E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8" w:type="dxa"/>
      <w:tblInd w:w="-9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96"/>
      <w:gridCol w:w="6502"/>
    </w:tblGrid>
    <w:tr w:rsidR="00350767" w:rsidTr="00FD3D04">
      <w:tc>
        <w:tcPr>
          <w:tcW w:w="4253" w:type="dxa"/>
          <w:shd w:val="clear" w:color="auto" w:fill="auto"/>
        </w:tcPr>
        <w:p w:rsidR="00350767" w:rsidRDefault="00C1262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7EEF0858" wp14:editId="3320066A">
                <wp:extent cx="2565400" cy="541655"/>
                <wp:effectExtent l="19050" t="0" r="635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5400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45" w:type="dxa"/>
          <w:shd w:val="clear" w:color="auto" w:fill="auto"/>
          <w:vAlign w:val="center"/>
        </w:tcPr>
        <w:p w:rsidR="00350767" w:rsidRDefault="00C12621" w:rsidP="00FD3D04">
          <w:pPr>
            <w:pStyle w:val="Ttulo2"/>
            <w:ind w:left="72" w:right="72"/>
          </w:pPr>
          <w:r w:rsidRPr="00FD3D04">
            <w:rPr>
              <w:rFonts w:cs="Arial"/>
              <w:bCs/>
              <w:color w:val="000000"/>
              <w:sz w:val="24"/>
              <w:szCs w:val="24"/>
            </w:rPr>
            <w:t>FORMATO MEMORIA JUSTIFICATIVA</w:t>
          </w:r>
        </w:p>
      </w:tc>
    </w:tr>
  </w:tbl>
  <w:p w:rsidR="00350767" w:rsidRDefault="00A040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D575C"/>
    <w:multiLevelType w:val="hybridMultilevel"/>
    <w:tmpl w:val="903E42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C0D49"/>
    <w:multiLevelType w:val="hybridMultilevel"/>
    <w:tmpl w:val="2BB08E48"/>
    <w:lvl w:ilvl="0" w:tplc="58A07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C1A61"/>
    <w:multiLevelType w:val="hybridMultilevel"/>
    <w:tmpl w:val="9C96BFC6"/>
    <w:lvl w:ilvl="0" w:tplc="AE5A3D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88"/>
    <w:rsid w:val="0033092F"/>
    <w:rsid w:val="00353BE1"/>
    <w:rsid w:val="00391327"/>
    <w:rsid w:val="003D063F"/>
    <w:rsid w:val="003E7666"/>
    <w:rsid w:val="0049450D"/>
    <w:rsid w:val="005F4516"/>
    <w:rsid w:val="00612DC9"/>
    <w:rsid w:val="006F19C2"/>
    <w:rsid w:val="00741C28"/>
    <w:rsid w:val="0077645A"/>
    <w:rsid w:val="00A040E6"/>
    <w:rsid w:val="00A1254D"/>
    <w:rsid w:val="00A2663A"/>
    <w:rsid w:val="00A27988"/>
    <w:rsid w:val="00A576FD"/>
    <w:rsid w:val="00A816DF"/>
    <w:rsid w:val="00A96D3E"/>
    <w:rsid w:val="00C1007C"/>
    <w:rsid w:val="00C1012A"/>
    <w:rsid w:val="00C12621"/>
    <w:rsid w:val="00C5543E"/>
    <w:rsid w:val="00D138F8"/>
    <w:rsid w:val="00D175BE"/>
    <w:rsid w:val="00DB24C6"/>
    <w:rsid w:val="00DF1AB5"/>
    <w:rsid w:val="00EB0650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EBD11-7D81-4387-ABA2-124885B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8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27988"/>
    <w:pPr>
      <w:keepNext/>
      <w:jc w:val="center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27988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A279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27988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279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98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Listavistosa-nfasis11">
    <w:name w:val="Lista vistosa - Énfasis 11"/>
    <w:aliases w:val="Normal. Viñetas"/>
    <w:basedOn w:val="Normal"/>
    <w:link w:val="Listavistosa-nfasis1Car"/>
    <w:uiPriority w:val="34"/>
    <w:qFormat/>
    <w:rsid w:val="00A2798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character" w:styleId="Textoennegrita">
    <w:name w:val="Strong"/>
    <w:uiPriority w:val="22"/>
    <w:qFormat/>
    <w:rsid w:val="00A27988"/>
    <w:rPr>
      <w:b/>
      <w:bCs/>
    </w:rPr>
  </w:style>
  <w:style w:type="character" w:customStyle="1" w:styleId="Listavistosa-nfasis1Car">
    <w:name w:val="Lista vistosa - Énfasis 1 Car"/>
    <w:aliases w:val="Normal. Viñetas Car"/>
    <w:link w:val="Listavistosa-nfasis11"/>
    <w:uiPriority w:val="34"/>
    <w:locked/>
    <w:rsid w:val="00A27988"/>
    <w:rPr>
      <w:rFonts w:ascii="Calibri" w:eastAsia="Times New Roman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2663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DFAB718FF44848B67536ACD193E98D" ma:contentTypeVersion="0" ma:contentTypeDescription="Crear nuevo documento." ma:contentTypeScope="" ma:versionID="18375fb5598c4f23a8c6776e58016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170F4-EEC0-4CD5-B57B-A4BE25AD1022}"/>
</file>

<file path=customXml/itemProps2.xml><?xml version="1.0" encoding="utf-8"?>
<ds:datastoreItem xmlns:ds="http://schemas.openxmlformats.org/officeDocument/2006/customXml" ds:itemID="{4F0BD667-F0E4-4964-803E-6DD3570D9A2E}"/>
</file>

<file path=customXml/itemProps3.xml><?xml version="1.0" encoding="utf-8"?>
<ds:datastoreItem xmlns:ds="http://schemas.openxmlformats.org/officeDocument/2006/customXml" ds:itemID="{53566C9D-FCAE-4C2E-86DC-9A3091F4D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Yacuma Guzman</dc:creator>
  <cp:keywords/>
  <dc:description/>
  <cp:lastModifiedBy>Maria Paz Yacuma Guzman</cp:lastModifiedBy>
  <cp:revision>19</cp:revision>
  <dcterms:created xsi:type="dcterms:W3CDTF">2022-04-19T14:39:00Z</dcterms:created>
  <dcterms:modified xsi:type="dcterms:W3CDTF">2022-04-19T21:51:00Z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0x010100E7DFAB718FF44848B67536ACD193E98D</vt:lpwstr>
  </property>
</Properties>
</file>