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09896" w14:textId="77777777" w:rsidR="00DF6C89" w:rsidRDefault="00DF6C89" w:rsidP="008B4D33">
      <w:pPr>
        <w:jc w:val="center"/>
        <w:rPr>
          <w:rFonts w:cs="Arial"/>
          <w:b/>
          <w:sz w:val="22"/>
          <w:szCs w:val="23"/>
        </w:rPr>
      </w:pPr>
      <w:bookmarkStart w:id="0" w:name="_Hlk4764394"/>
    </w:p>
    <w:bookmarkEnd w:id="0"/>
    <w:p w14:paraId="0EB3FF72" w14:textId="77777777" w:rsidR="007F1725" w:rsidRPr="00573845" w:rsidRDefault="007F1725" w:rsidP="007F1725">
      <w:pPr>
        <w:pStyle w:val="Default"/>
        <w:jc w:val="center"/>
        <w:rPr>
          <w:i/>
          <w:iCs/>
          <w:color w:val="auto"/>
        </w:rPr>
      </w:pPr>
      <w:r w:rsidRPr="439B31BF">
        <w:rPr>
          <w:i/>
          <w:iCs/>
          <w:color w:val="auto"/>
        </w:rPr>
        <w:t xml:space="preserve">“Por el cual se adiciona el Título 23 a la Parte 2 del Libro 2 del Decreto 1078 de 2015, Único Reglamentario del Sector de Tecnologías de la Información y las Comunicaciones, </w:t>
      </w:r>
      <w:r>
        <w:rPr>
          <w:i/>
          <w:iCs/>
          <w:color w:val="auto"/>
        </w:rPr>
        <w:t>para</w:t>
      </w:r>
      <w:r w:rsidRPr="439B31BF">
        <w:rPr>
          <w:i/>
          <w:iCs/>
          <w:color w:val="auto"/>
        </w:rPr>
        <w:t xml:space="preserve"> determinar las condiciones generales para la aplicación del Sandbox Regulatorio por parte del Ministerio de Tecnologías de la Información y las Comunicaciones, y del Sandbox Regulatorio Sectorial”</w:t>
      </w:r>
    </w:p>
    <w:p w14:paraId="2A5B76C2" w14:textId="44D29646" w:rsidR="007F1725" w:rsidRDefault="007F1725" w:rsidP="007F1725">
      <w:pPr>
        <w:widowControl w:val="0"/>
        <w:ind w:right="-2"/>
        <w:rPr>
          <w:rFonts w:cs="Arial"/>
          <w:lang w:val="es-CO"/>
        </w:rPr>
      </w:pPr>
    </w:p>
    <w:p w14:paraId="5DDBC9F4" w14:textId="77777777" w:rsidR="00EB46A6" w:rsidRPr="00281830" w:rsidRDefault="00EB46A6" w:rsidP="007F1725">
      <w:pPr>
        <w:widowControl w:val="0"/>
        <w:ind w:right="-2"/>
        <w:rPr>
          <w:rFonts w:cs="Arial"/>
          <w:lang w:val="es-CO"/>
        </w:rPr>
      </w:pPr>
    </w:p>
    <w:p w14:paraId="11E7A8C0" w14:textId="77777777" w:rsidR="007F1725" w:rsidRPr="00281830" w:rsidRDefault="007F1725" w:rsidP="007F1725">
      <w:pPr>
        <w:widowControl w:val="0"/>
        <w:ind w:right="-2"/>
        <w:jc w:val="center"/>
        <w:rPr>
          <w:rFonts w:cs="Arial"/>
          <w:b/>
          <w:bCs/>
          <w:spacing w:val="10"/>
          <w:kern w:val="1"/>
          <w:lang w:val="es-CO"/>
        </w:rPr>
      </w:pPr>
      <w:r w:rsidRPr="00281830">
        <w:rPr>
          <w:rFonts w:cs="Arial"/>
          <w:b/>
          <w:bCs/>
          <w:spacing w:val="10"/>
          <w:kern w:val="1"/>
          <w:lang w:val="es-CO"/>
        </w:rPr>
        <w:t>EL PRESIDENTE DE LA REPÚBLICA DE COLOMBIA</w:t>
      </w:r>
    </w:p>
    <w:p w14:paraId="7F419108" w14:textId="77777777" w:rsidR="007F1725" w:rsidRPr="00281830" w:rsidRDefault="007F1725" w:rsidP="007F1725">
      <w:pPr>
        <w:widowControl w:val="0"/>
        <w:ind w:right="-2"/>
        <w:jc w:val="center"/>
        <w:rPr>
          <w:rFonts w:cs="Arial"/>
          <w:kern w:val="1"/>
          <w:lang w:val="es-CO"/>
        </w:rPr>
      </w:pPr>
    </w:p>
    <w:p w14:paraId="1165E475" w14:textId="77777777" w:rsidR="007F1725" w:rsidRDefault="007F1725" w:rsidP="007F1725">
      <w:pPr>
        <w:widowControl w:val="0"/>
        <w:ind w:right="-2"/>
        <w:jc w:val="center"/>
        <w:rPr>
          <w:rFonts w:cs="Arial"/>
          <w:kern w:val="2"/>
          <w:lang w:val="es-CO"/>
        </w:rPr>
      </w:pPr>
      <w:r w:rsidRPr="21004F96">
        <w:rPr>
          <w:rFonts w:cs="Arial"/>
          <w:kern w:val="1"/>
          <w:lang w:val="es-CO" w:eastAsia="es-CO"/>
        </w:rPr>
        <w:t xml:space="preserve">En ejercicio de sus facultades constitucionales y legales, en especial, las conferidas por el numeral </w:t>
      </w:r>
      <w:hyperlink r:id="rId11" w:anchor="189.11" w:history="1">
        <w:r w:rsidRPr="21004F96">
          <w:rPr>
            <w:rFonts w:cs="Arial"/>
            <w:kern w:val="1"/>
            <w:lang w:val="es-CO" w:eastAsia="es-CO"/>
          </w:rPr>
          <w:t>11</w:t>
        </w:r>
      </w:hyperlink>
      <w:r w:rsidRPr="21004F96">
        <w:rPr>
          <w:rFonts w:cs="Arial"/>
          <w:kern w:val="1"/>
          <w:lang w:val="es-CO" w:eastAsia="es-CO"/>
        </w:rPr>
        <w:t xml:space="preserve"> del artículo 189 de la Constitución Política de Colombia </w:t>
      </w:r>
      <w:r w:rsidRPr="22538234">
        <w:rPr>
          <w:rFonts w:cs="Arial"/>
          <w:kern w:val="2"/>
          <w:bdr w:val="none" w:sz="0" w:space="0" w:color="auto" w:frame="1"/>
          <w:lang w:val="es-CO" w:eastAsia="es-CO"/>
        </w:rPr>
        <w:t>y</w:t>
      </w:r>
      <w:r w:rsidRPr="00281830">
        <w:rPr>
          <w:rFonts w:cs="Arial"/>
          <w:kern w:val="2"/>
          <w:lang w:val="es-CO"/>
        </w:rPr>
        <w:t xml:space="preserve"> </w:t>
      </w:r>
      <w:r>
        <w:rPr>
          <w:rFonts w:cs="Arial"/>
          <w:kern w:val="2"/>
          <w:lang w:val="es-CO"/>
        </w:rPr>
        <w:t>el parágrafo del artículo 4 de la Ley 1341 de 2009</w:t>
      </w:r>
      <w:r w:rsidRPr="00281830">
        <w:rPr>
          <w:rFonts w:cs="Arial"/>
          <w:kern w:val="2"/>
          <w:lang w:val="es-CO"/>
        </w:rPr>
        <w:t>, y</w:t>
      </w:r>
    </w:p>
    <w:p w14:paraId="0CFA1C6C" w14:textId="77777777" w:rsidR="007F1725" w:rsidRPr="00281830" w:rsidRDefault="007F1725" w:rsidP="007F1725">
      <w:pPr>
        <w:widowControl w:val="0"/>
        <w:ind w:right="-2"/>
        <w:rPr>
          <w:rFonts w:cs="Arial"/>
          <w:kern w:val="1"/>
          <w:lang w:val="es-CO"/>
        </w:rPr>
      </w:pPr>
    </w:p>
    <w:p w14:paraId="72210C62" w14:textId="77777777" w:rsidR="007F1725" w:rsidRPr="00281830" w:rsidRDefault="007F1725" w:rsidP="007F1725">
      <w:pPr>
        <w:widowControl w:val="0"/>
        <w:ind w:right="-2"/>
        <w:rPr>
          <w:rFonts w:cs="Arial"/>
          <w:kern w:val="1"/>
          <w:lang w:val="es-CO"/>
        </w:rPr>
      </w:pPr>
    </w:p>
    <w:p w14:paraId="78E511CC" w14:textId="77777777" w:rsidR="007F1725" w:rsidRPr="00281830" w:rsidRDefault="007F1725" w:rsidP="007F1725">
      <w:pPr>
        <w:widowControl w:val="0"/>
        <w:ind w:right="-2"/>
        <w:jc w:val="center"/>
        <w:rPr>
          <w:rFonts w:cs="Arial"/>
          <w:b/>
          <w:bCs/>
          <w:kern w:val="1"/>
          <w:lang w:val="es-CO"/>
        </w:rPr>
      </w:pPr>
      <w:r w:rsidRPr="00281830">
        <w:rPr>
          <w:rFonts w:cs="Arial"/>
          <w:b/>
          <w:bCs/>
          <w:kern w:val="1"/>
          <w:lang w:val="es-CO"/>
        </w:rPr>
        <w:t>CONSIDERANDO</w:t>
      </w:r>
    </w:p>
    <w:p w14:paraId="06E8A53E" w14:textId="77777777" w:rsidR="007F1725" w:rsidRPr="00281830" w:rsidRDefault="007F1725" w:rsidP="007F1725">
      <w:pPr>
        <w:shd w:val="clear" w:color="auto" w:fill="FFFFFF" w:themeFill="background1"/>
        <w:jc w:val="center"/>
        <w:rPr>
          <w:rFonts w:cs="Arial"/>
          <w:kern w:val="1"/>
          <w:lang w:val="es-CO"/>
        </w:rPr>
      </w:pPr>
    </w:p>
    <w:p w14:paraId="2617DED1" w14:textId="038740D3" w:rsidR="007F1725" w:rsidRDefault="007F1725" w:rsidP="007F1725">
      <w:pPr>
        <w:shd w:val="clear" w:color="auto" w:fill="FFFFFF" w:themeFill="background1"/>
        <w:jc w:val="both"/>
        <w:rPr>
          <w:rFonts w:cs="Arial"/>
          <w:kern w:val="1"/>
          <w:lang w:val="es-CO"/>
        </w:rPr>
      </w:pPr>
      <w:r>
        <w:rPr>
          <w:rFonts w:cs="Arial"/>
          <w:kern w:val="1"/>
          <w:lang w:val="es-CO"/>
        </w:rPr>
        <w:t xml:space="preserve">Que el artículo 365 de la Constitución Política de Colombia prescribe que los servicios públicos son inherentes a la finalidad social del Estado, por lo que es su deber asegurar su prestación eficiente a todos los habitantes del territorio nacional. Igualmente, dispone que estos servicios estarán sometidos al régimen jurídico que fije la ley y que podrán ser prestados por el Estado, directa o indirectamente, por comunidades </w:t>
      </w:r>
      <w:r w:rsidR="00430593">
        <w:rPr>
          <w:rFonts w:cs="Arial"/>
          <w:kern w:val="1"/>
          <w:lang w:val="es-CO"/>
        </w:rPr>
        <w:t>organizadas</w:t>
      </w:r>
      <w:r>
        <w:rPr>
          <w:rFonts w:cs="Arial"/>
          <w:kern w:val="1"/>
          <w:lang w:val="es-CO"/>
        </w:rPr>
        <w:t xml:space="preserve">, o por particulares, pero que, en todo caso, este mantendrá la </w:t>
      </w:r>
      <w:r w:rsidRPr="007F5687">
        <w:rPr>
          <w:rFonts w:cs="Arial"/>
          <w:kern w:val="1"/>
          <w:lang w:val="es-CO"/>
        </w:rPr>
        <w:t>regulación, el control y la vigilancia de dichos servicios</w:t>
      </w:r>
      <w:r>
        <w:rPr>
          <w:rFonts w:cs="Arial"/>
          <w:kern w:val="1"/>
          <w:lang w:val="es-CO"/>
        </w:rPr>
        <w:t>.</w:t>
      </w:r>
    </w:p>
    <w:p w14:paraId="7CCBC09A" w14:textId="77777777" w:rsidR="007F1725" w:rsidRDefault="007F1725" w:rsidP="007F1725">
      <w:pPr>
        <w:shd w:val="clear" w:color="auto" w:fill="FFFFFF"/>
        <w:jc w:val="both"/>
        <w:rPr>
          <w:rFonts w:cs="Arial"/>
          <w:kern w:val="1"/>
          <w:lang w:val="es-CO"/>
        </w:rPr>
      </w:pPr>
    </w:p>
    <w:p w14:paraId="2FA8DB7E" w14:textId="77777777" w:rsidR="007F1725" w:rsidRDefault="007F1725" w:rsidP="007F1725">
      <w:pPr>
        <w:shd w:val="clear" w:color="auto" w:fill="FFFFFF" w:themeFill="background1"/>
        <w:jc w:val="both"/>
        <w:rPr>
          <w:rFonts w:cs="Arial"/>
          <w:kern w:val="1"/>
          <w:lang w:val="es-CO"/>
        </w:rPr>
      </w:pPr>
      <w:r>
        <w:rPr>
          <w:rFonts w:cs="Arial"/>
          <w:kern w:val="1"/>
          <w:lang w:val="es-CO"/>
        </w:rPr>
        <w:t xml:space="preserve">Que el artículo 6 de la Ley 489 de 1998, </w:t>
      </w:r>
      <w:r w:rsidRPr="439B31BF">
        <w:rPr>
          <w:rFonts w:cs="Arial"/>
          <w:i/>
          <w:iCs/>
          <w:kern w:val="1"/>
          <w:lang w:val="es-CO"/>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r>
        <w:rPr>
          <w:rFonts w:cs="Arial"/>
          <w:kern w:val="1"/>
          <w:lang w:val="es-CO"/>
        </w:rPr>
        <w:t xml:space="preserve"> prevé que en v</w:t>
      </w:r>
      <w:r w:rsidRPr="008951AF">
        <w:rPr>
          <w:rFonts w:cs="Arial"/>
          <w:kern w:val="1"/>
          <w:lang w:val="es-CO"/>
        </w:rPr>
        <w:t>irtud del principio de coordinación y colaboración, las autoridades administrativas deben garantizar la armonía en el ejercicio de sus respectivas funciones con el propósito de lograr los fines y cometidos estatales</w:t>
      </w:r>
      <w:r>
        <w:rPr>
          <w:rFonts w:cs="Arial"/>
          <w:kern w:val="1"/>
          <w:lang w:val="es-CO"/>
        </w:rPr>
        <w:t xml:space="preserve"> y, e</w:t>
      </w:r>
      <w:r w:rsidRPr="008951AF">
        <w:rPr>
          <w:rFonts w:cs="Arial"/>
          <w:kern w:val="1"/>
          <w:lang w:val="es-CO"/>
        </w:rPr>
        <w:t>n consecuencia, prestarán su colaboración a las demás entidades para facilitar el ejercicio de sus funciones y se abstendrán de impedir o estorbar su cumplimiento por parte de los órganos, dependencias, organismos y entidades titulares</w:t>
      </w:r>
      <w:r>
        <w:rPr>
          <w:rFonts w:cs="Arial"/>
          <w:kern w:val="1"/>
          <w:lang w:val="es-CO"/>
        </w:rPr>
        <w:t>.</w:t>
      </w:r>
    </w:p>
    <w:p w14:paraId="7BF93AE0" w14:textId="77777777" w:rsidR="007F1725" w:rsidRDefault="007F1725" w:rsidP="007F1725">
      <w:pPr>
        <w:shd w:val="clear" w:color="auto" w:fill="FFFFFF"/>
        <w:jc w:val="both"/>
        <w:rPr>
          <w:rFonts w:cs="Arial"/>
          <w:kern w:val="1"/>
          <w:lang w:val="es-CO"/>
        </w:rPr>
      </w:pPr>
    </w:p>
    <w:p w14:paraId="235495DE" w14:textId="77777777" w:rsidR="007F1725" w:rsidRPr="007275B9" w:rsidRDefault="007F1725" w:rsidP="007F1725">
      <w:pPr>
        <w:shd w:val="clear" w:color="auto" w:fill="FFFFFF" w:themeFill="background1"/>
        <w:jc w:val="both"/>
        <w:rPr>
          <w:rFonts w:cs="Arial"/>
          <w:kern w:val="1"/>
          <w:lang w:val="es-CO"/>
        </w:rPr>
      </w:pPr>
      <w:r>
        <w:rPr>
          <w:rFonts w:cs="Arial"/>
          <w:kern w:val="1"/>
          <w:lang w:val="es-CO"/>
        </w:rPr>
        <w:t xml:space="preserve">Que, de acuerdo con el parágrafo del artículo 1 de la Ley 1341 de 2009, </w:t>
      </w:r>
      <w:r w:rsidRPr="439B31BF">
        <w:rPr>
          <w:rFonts w:cs="Arial"/>
          <w:lang w:val="es-CO"/>
        </w:rPr>
        <w:t>modificado por el artículo 2 de la Ley 1978 de 2019,</w:t>
      </w:r>
      <w:r>
        <w:rPr>
          <w:rFonts w:cs="Arial"/>
          <w:kern w:val="1"/>
          <w:lang w:val="es-CO"/>
        </w:rPr>
        <w:t xml:space="preserve"> </w:t>
      </w:r>
      <w:r w:rsidRPr="439B31BF">
        <w:rPr>
          <w:rFonts w:cs="Arial"/>
          <w:i/>
          <w:iCs/>
          <w:kern w:val="1"/>
          <w:lang w:val="es-CO"/>
        </w:rPr>
        <w:t>“</w:t>
      </w:r>
      <w:r w:rsidRPr="439B31BF">
        <w:rPr>
          <w:rFonts w:cs="Arial"/>
          <w:i/>
          <w:iCs/>
          <w:lang w:val="es-CO"/>
        </w:rPr>
        <w:t>Por la cual se moderniza el Sector de las Tecnologías de la Información y las Comunicaciones -TIC, se distribuyen competencias, se crea un Regulador Único y se dictan otras disposiciones</w:t>
      </w:r>
      <w:r w:rsidRPr="439B31BF">
        <w:rPr>
          <w:rFonts w:cs="Arial"/>
          <w:i/>
          <w:iCs/>
          <w:kern w:val="1"/>
          <w:lang w:val="es-CO"/>
        </w:rPr>
        <w:t>”</w:t>
      </w:r>
      <w:r>
        <w:rPr>
          <w:rFonts w:cs="Arial"/>
          <w:kern w:val="1"/>
          <w:lang w:val="es-CO"/>
        </w:rPr>
        <w:t>,</w:t>
      </w:r>
      <w:r w:rsidRPr="439B31BF">
        <w:rPr>
          <w:rFonts w:cs="Arial"/>
          <w:i/>
          <w:iCs/>
          <w:kern w:val="1"/>
          <w:lang w:val="es-CO"/>
        </w:rPr>
        <w:t xml:space="preserve"> </w:t>
      </w:r>
      <w:r>
        <w:rPr>
          <w:rFonts w:cs="Arial"/>
          <w:kern w:val="1"/>
          <w:lang w:val="es-CO"/>
        </w:rPr>
        <w:t xml:space="preserve">la </w:t>
      </w:r>
      <w:r w:rsidRPr="00751DC1">
        <w:rPr>
          <w:rFonts w:cs="Arial"/>
          <w:kern w:val="1"/>
          <w:lang w:val="es-CO"/>
        </w:rPr>
        <w:t>provisión de redes y servicios de telecomunicaciones</w:t>
      </w:r>
      <w:r>
        <w:rPr>
          <w:rFonts w:cs="Arial"/>
          <w:kern w:val="1"/>
          <w:lang w:val="es-CO"/>
        </w:rPr>
        <w:t>,</w:t>
      </w:r>
      <w:r w:rsidRPr="00751DC1">
        <w:rPr>
          <w:rFonts w:cs="Arial"/>
          <w:kern w:val="1"/>
          <w:lang w:val="es-CO"/>
        </w:rPr>
        <w:t xml:space="preserve"> </w:t>
      </w:r>
      <w:r>
        <w:rPr>
          <w:rFonts w:cs="Arial"/>
          <w:kern w:val="1"/>
          <w:lang w:val="es-CO"/>
        </w:rPr>
        <w:t xml:space="preserve">la cual </w:t>
      </w:r>
      <w:r w:rsidRPr="00751DC1">
        <w:rPr>
          <w:rFonts w:cs="Arial"/>
          <w:kern w:val="1"/>
          <w:lang w:val="es-CO"/>
        </w:rPr>
        <w:t>es un servicio público bajo la titularidad del Estado</w:t>
      </w:r>
      <w:r>
        <w:rPr>
          <w:rFonts w:cs="Arial"/>
          <w:kern w:val="1"/>
          <w:lang w:val="es-CO"/>
        </w:rPr>
        <w:t xml:space="preserve"> de conformidad con el artículo 10 </w:t>
      </w:r>
      <w:r w:rsidRPr="439B31BF">
        <w:rPr>
          <w:rFonts w:cs="Arial"/>
          <w:i/>
          <w:iCs/>
          <w:kern w:val="1"/>
          <w:lang w:val="es-CO"/>
        </w:rPr>
        <w:t>ibidem</w:t>
      </w:r>
      <w:r>
        <w:rPr>
          <w:rFonts w:cs="Arial"/>
          <w:kern w:val="1"/>
          <w:lang w:val="es-CO"/>
        </w:rPr>
        <w:t xml:space="preserve">, </w:t>
      </w:r>
      <w:r w:rsidRPr="007E44A2">
        <w:rPr>
          <w:rFonts w:cs="Arial"/>
          <w:kern w:val="1"/>
          <w:lang w:val="es-CO"/>
        </w:rPr>
        <w:t>incluye la provisión de redes y servicios de televisión</w:t>
      </w:r>
      <w:r>
        <w:rPr>
          <w:rFonts w:cs="Arial"/>
          <w:kern w:val="1"/>
          <w:lang w:val="es-CO"/>
        </w:rPr>
        <w:t>.</w:t>
      </w:r>
    </w:p>
    <w:p w14:paraId="7F062E1A" w14:textId="77777777" w:rsidR="007F1725" w:rsidRDefault="007F1725" w:rsidP="007F1725">
      <w:pPr>
        <w:shd w:val="clear" w:color="auto" w:fill="FFFFFF"/>
        <w:jc w:val="both"/>
        <w:rPr>
          <w:rFonts w:cs="Arial"/>
          <w:kern w:val="1"/>
          <w:lang w:val="es-CO"/>
        </w:rPr>
      </w:pPr>
    </w:p>
    <w:p w14:paraId="2B238E16" w14:textId="77777777" w:rsidR="007F1725" w:rsidRDefault="007F1725" w:rsidP="007F1725">
      <w:pPr>
        <w:shd w:val="clear" w:color="auto" w:fill="FFFFFF" w:themeFill="background1"/>
        <w:jc w:val="both"/>
        <w:rPr>
          <w:rFonts w:cs="Arial"/>
          <w:kern w:val="1"/>
          <w:lang w:val="es-CO"/>
        </w:rPr>
      </w:pPr>
      <w:r>
        <w:rPr>
          <w:rFonts w:cs="Arial"/>
          <w:kern w:val="1"/>
          <w:lang w:val="es-CO"/>
        </w:rPr>
        <w:t>Que el artículo 2 de la mencionada Ley 1341 de 2009, establece que l</w:t>
      </w:r>
      <w:r w:rsidRPr="008702BF">
        <w:rPr>
          <w:rFonts w:cs="Arial"/>
          <w:kern w:val="1"/>
          <w:lang w:val="es-CO"/>
        </w:rPr>
        <w:t xml:space="preserve">a investigación, el fomento, la promoción y el desarrollo de las Tecnologías de la Información y las Comunicaciones son una política de Estado que involucra a todos los sectores y niveles de la administración pública y de la sociedad, para contribuir </w:t>
      </w:r>
      <w:r w:rsidRPr="008702BF">
        <w:rPr>
          <w:rFonts w:cs="Arial"/>
          <w:kern w:val="1"/>
          <w:lang w:val="es-CO"/>
        </w:rPr>
        <w:lastRenderedPageBreak/>
        <w:t>al desarrollo educativo, cultural, económico, social y político e incrementar la productividad, la competitividad, el respeto a los Derechos Humanos inherentes y la inclusión social.</w:t>
      </w:r>
    </w:p>
    <w:p w14:paraId="0E0EB88A" w14:textId="77777777" w:rsidR="007F1725" w:rsidRDefault="007F1725" w:rsidP="007F1725">
      <w:pPr>
        <w:shd w:val="clear" w:color="auto" w:fill="FFFFFF"/>
        <w:jc w:val="both"/>
        <w:rPr>
          <w:rFonts w:cs="Arial"/>
          <w:kern w:val="1"/>
          <w:lang w:val="es-CO"/>
        </w:rPr>
      </w:pPr>
    </w:p>
    <w:p w14:paraId="65CA31BD" w14:textId="77777777" w:rsidR="007F1725" w:rsidRDefault="007F1725" w:rsidP="007F1725">
      <w:pPr>
        <w:shd w:val="clear" w:color="auto" w:fill="FFFFFF" w:themeFill="background1"/>
        <w:jc w:val="both"/>
        <w:rPr>
          <w:rFonts w:cs="Arial"/>
          <w:kern w:val="1"/>
          <w:lang w:val="es-CO"/>
        </w:rPr>
      </w:pPr>
      <w:r>
        <w:rPr>
          <w:rFonts w:cs="Arial"/>
          <w:kern w:val="1"/>
          <w:lang w:val="es-CO"/>
        </w:rPr>
        <w:t>Que, de acuerdo con el numeral 12 del artículo 4 de la citada Ley 1341 de 2009, e</w:t>
      </w:r>
      <w:r w:rsidRPr="009E6ECC">
        <w:rPr>
          <w:rFonts w:cs="Arial"/>
          <w:kern w:val="1"/>
          <w:lang w:val="es-CO"/>
        </w:rPr>
        <w:t>n desarrollo de los principios de intervención contenidos en la Constitución Política, el Estado intervendrá en el sector</w:t>
      </w:r>
      <w:r>
        <w:rPr>
          <w:rFonts w:cs="Arial"/>
          <w:kern w:val="1"/>
          <w:lang w:val="es-CO"/>
        </w:rPr>
        <w:t xml:space="preserve"> de</w:t>
      </w:r>
      <w:r w:rsidRPr="009E6ECC">
        <w:rPr>
          <w:rFonts w:cs="Arial"/>
          <w:kern w:val="1"/>
          <w:lang w:val="es-CO"/>
        </w:rPr>
        <w:t xml:space="preserve"> las Tecnologías de la Información y las Comunicaciones </w:t>
      </w:r>
      <w:r>
        <w:rPr>
          <w:rFonts w:cs="Arial"/>
          <w:kern w:val="1"/>
          <w:lang w:val="es-CO"/>
        </w:rPr>
        <w:t>con el fin de</w:t>
      </w:r>
      <w:r w:rsidRPr="009E6ECC">
        <w:rPr>
          <w:rFonts w:cs="Arial"/>
          <w:kern w:val="1"/>
          <w:lang w:val="es-CO"/>
        </w:rPr>
        <w:t xml:space="preserve"> </w:t>
      </w:r>
      <w:r>
        <w:rPr>
          <w:rFonts w:cs="Arial"/>
          <w:kern w:val="1"/>
          <w:lang w:val="es-CO"/>
        </w:rPr>
        <w:t>i</w:t>
      </w:r>
      <w:r w:rsidRPr="00321683">
        <w:rPr>
          <w:rFonts w:cs="Arial"/>
          <w:kern w:val="1"/>
          <w:lang w:val="es-CO"/>
        </w:rPr>
        <w:t xml:space="preserve">ncentivar y promover el desarrollo de </w:t>
      </w:r>
      <w:r>
        <w:rPr>
          <w:rFonts w:cs="Arial"/>
          <w:kern w:val="1"/>
          <w:lang w:val="es-CO"/>
        </w:rPr>
        <w:t>esta</w:t>
      </w:r>
      <w:r w:rsidRPr="00321683">
        <w:rPr>
          <w:rFonts w:cs="Arial"/>
          <w:kern w:val="1"/>
          <w:lang w:val="es-CO"/>
        </w:rPr>
        <w:t xml:space="preserve"> industria para contribuir al crecimiento económico, la competitividad, la generación de empleo y las exportaciones</w:t>
      </w:r>
      <w:r>
        <w:rPr>
          <w:rFonts w:cs="Arial"/>
          <w:kern w:val="1"/>
          <w:lang w:val="es-CO"/>
        </w:rPr>
        <w:t>.</w:t>
      </w:r>
    </w:p>
    <w:p w14:paraId="18E314ED" w14:textId="77777777" w:rsidR="007F1725" w:rsidRDefault="007F1725" w:rsidP="007F1725">
      <w:pPr>
        <w:shd w:val="clear" w:color="auto" w:fill="FFFFFF"/>
        <w:jc w:val="both"/>
        <w:rPr>
          <w:rFonts w:cs="Arial"/>
          <w:kern w:val="1"/>
          <w:lang w:val="es-CO"/>
        </w:rPr>
      </w:pPr>
    </w:p>
    <w:p w14:paraId="5AA685D6" w14:textId="77777777" w:rsidR="007F1725" w:rsidRDefault="007F1725" w:rsidP="007F1725">
      <w:pPr>
        <w:shd w:val="clear" w:color="auto" w:fill="FFFFFF" w:themeFill="background1"/>
        <w:jc w:val="both"/>
        <w:rPr>
          <w:rFonts w:cs="Arial"/>
          <w:kern w:val="1"/>
          <w:lang w:val="es-CO"/>
        </w:rPr>
      </w:pPr>
      <w:r>
        <w:rPr>
          <w:rFonts w:cs="Arial"/>
          <w:kern w:val="1"/>
          <w:lang w:val="es-CO"/>
        </w:rPr>
        <w:t xml:space="preserve">Que, de igual manera, el numeral 13 del mencionado </w:t>
      </w:r>
      <w:r w:rsidRPr="00543F00">
        <w:rPr>
          <w:rFonts w:cs="Arial"/>
          <w:kern w:val="1"/>
          <w:lang w:val="es-CO"/>
        </w:rPr>
        <w:t>artículo 4 de la Ley 1341 de 2009</w:t>
      </w:r>
      <w:r>
        <w:rPr>
          <w:rFonts w:cs="Arial"/>
          <w:kern w:val="1"/>
          <w:lang w:val="es-CO"/>
        </w:rPr>
        <w:t xml:space="preserve">, </w:t>
      </w:r>
      <w:r w:rsidRPr="00543F00">
        <w:rPr>
          <w:rFonts w:cs="Arial"/>
          <w:kern w:val="1"/>
          <w:lang w:val="es-CO"/>
        </w:rPr>
        <w:t>modificado por el artículo 4 de la Ley 1978 de 2019</w:t>
      </w:r>
      <w:r>
        <w:rPr>
          <w:rFonts w:cs="Arial"/>
          <w:kern w:val="1"/>
          <w:lang w:val="es-CO"/>
        </w:rPr>
        <w:t>, prescribe que</w:t>
      </w:r>
      <w:r w:rsidRPr="00543F00">
        <w:t xml:space="preserve"> </w:t>
      </w:r>
      <w:r w:rsidRPr="00543F00">
        <w:rPr>
          <w:rFonts w:cs="Arial"/>
          <w:kern w:val="1"/>
          <w:lang w:val="es-CO"/>
        </w:rPr>
        <w:t xml:space="preserve">el Estado intervendrá en el sector </w:t>
      </w:r>
      <w:r>
        <w:rPr>
          <w:rFonts w:cs="Arial"/>
          <w:kern w:val="1"/>
          <w:lang w:val="es-CO"/>
        </w:rPr>
        <w:t xml:space="preserve">para incentivar </w:t>
      </w:r>
      <w:r w:rsidRPr="00543F00">
        <w:rPr>
          <w:rFonts w:cs="Arial"/>
          <w:kern w:val="1"/>
          <w:lang w:val="es-CO"/>
        </w:rPr>
        <w:t>la inversión para la construcción, operación y mantenimiento de infraestructuras de las Tecnologías de la Información y las Comunicaciones, y propender por la protección del medio ambiente y la salud pública.</w:t>
      </w:r>
    </w:p>
    <w:p w14:paraId="4169565B" w14:textId="77777777" w:rsidR="007F1725" w:rsidRDefault="007F1725" w:rsidP="007F1725">
      <w:pPr>
        <w:shd w:val="clear" w:color="auto" w:fill="FFFFFF"/>
        <w:jc w:val="both"/>
        <w:rPr>
          <w:rFonts w:cs="Arial"/>
          <w:kern w:val="1"/>
          <w:lang w:val="es-CO"/>
        </w:rPr>
      </w:pPr>
    </w:p>
    <w:p w14:paraId="0122C551" w14:textId="77777777" w:rsidR="007F1725" w:rsidRPr="00C70AEA" w:rsidRDefault="007F1725" w:rsidP="007F1725">
      <w:pPr>
        <w:shd w:val="clear" w:color="auto" w:fill="FFFFFF" w:themeFill="background1"/>
        <w:jc w:val="both"/>
        <w:rPr>
          <w:rFonts w:cs="Arial"/>
          <w:kern w:val="1"/>
          <w:lang w:val="es-CO"/>
        </w:rPr>
      </w:pPr>
      <w:r>
        <w:rPr>
          <w:rFonts w:cs="Arial"/>
          <w:kern w:val="1"/>
          <w:lang w:val="es-CO"/>
        </w:rPr>
        <w:t xml:space="preserve">Que, el parágrafo del artículo 4 </w:t>
      </w:r>
      <w:r w:rsidRPr="22538234">
        <w:rPr>
          <w:rFonts w:cs="Arial"/>
          <w:i/>
          <w:iCs/>
          <w:kern w:val="1"/>
          <w:lang w:val="es-CO"/>
        </w:rPr>
        <w:t xml:space="preserve">ibidem </w:t>
      </w:r>
      <w:r>
        <w:rPr>
          <w:rFonts w:cs="Arial"/>
          <w:kern w:val="1"/>
          <w:lang w:val="es-CO"/>
        </w:rPr>
        <w:t xml:space="preserve">prescribe que la reglamentación que expida el Gobierno Nacional para el cumplimiento de los fines citados tendrá en cuenta </w:t>
      </w:r>
      <w:r w:rsidRPr="00246B84">
        <w:rPr>
          <w:rFonts w:cs="Arial"/>
          <w:kern w:val="1"/>
          <w:lang w:val="es-CO"/>
        </w:rPr>
        <w:t xml:space="preserve">las necesidades de la población y el avance de las </w:t>
      </w:r>
      <w:r>
        <w:rPr>
          <w:rFonts w:cs="Arial"/>
          <w:kern w:val="1"/>
          <w:lang w:val="es-CO"/>
        </w:rPr>
        <w:t>T</w:t>
      </w:r>
      <w:r w:rsidRPr="00246B84">
        <w:rPr>
          <w:rFonts w:cs="Arial"/>
          <w:kern w:val="1"/>
          <w:lang w:val="es-CO"/>
        </w:rPr>
        <w:t xml:space="preserve">ecnologías de la </w:t>
      </w:r>
      <w:r>
        <w:rPr>
          <w:rFonts w:cs="Arial"/>
          <w:kern w:val="1"/>
          <w:lang w:val="es-CO"/>
        </w:rPr>
        <w:t>I</w:t>
      </w:r>
      <w:r w:rsidRPr="00246B84">
        <w:rPr>
          <w:rFonts w:cs="Arial"/>
          <w:kern w:val="1"/>
          <w:lang w:val="es-CO"/>
        </w:rPr>
        <w:t xml:space="preserve">nformación y las </w:t>
      </w:r>
      <w:r>
        <w:rPr>
          <w:rFonts w:cs="Arial"/>
          <w:kern w:val="1"/>
          <w:lang w:val="es-CO"/>
        </w:rPr>
        <w:t>C</w:t>
      </w:r>
      <w:r w:rsidRPr="00246B84">
        <w:rPr>
          <w:rFonts w:cs="Arial"/>
          <w:kern w:val="1"/>
          <w:lang w:val="es-CO"/>
        </w:rPr>
        <w:t xml:space="preserve">omunicaciones, así como el estado de desarrollo de la Sociedad de la </w:t>
      </w:r>
      <w:r>
        <w:rPr>
          <w:rFonts w:cs="Arial"/>
          <w:kern w:val="1"/>
          <w:lang w:val="es-CO"/>
        </w:rPr>
        <w:t>I</w:t>
      </w:r>
      <w:r w:rsidRPr="00246B84">
        <w:rPr>
          <w:rFonts w:cs="Arial"/>
          <w:kern w:val="1"/>
          <w:lang w:val="es-CO"/>
        </w:rPr>
        <w:t>nformación en el país</w:t>
      </w:r>
      <w:r>
        <w:rPr>
          <w:rFonts w:cs="Arial"/>
          <w:kern w:val="1"/>
          <w:lang w:val="es-CO"/>
        </w:rPr>
        <w:t>.</w:t>
      </w:r>
    </w:p>
    <w:p w14:paraId="2DF86940" w14:textId="77777777" w:rsidR="007F1725" w:rsidRDefault="007F1725" w:rsidP="007F1725">
      <w:pPr>
        <w:shd w:val="clear" w:color="auto" w:fill="FFFFFF" w:themeFill="background1"/>
        <w:jc w:val="both"/>
        <w:rPr>
          <w:rFonts w:cs="Arial"/>
          <w:kern w:val="1"/>
          <w:highlight w:val="yellow"/>
          <w:lang w:val="es-CO"/>
        </w:rPr>
      </w:pPr>
    </w:p>
    <w:p w14:paraId="2DEA9844" w14:textId="76CE96EC" w:rsidR="007F1725" w:rsidRDefault="007F1725" w:rsidP="007F1725">
      <w:pPr>
        <w:shd w:val="clear" w:color="auto" w:fill="FFFFFF" w:themeFill="background1"/>
        <w:jc w:val="both"/>
        <w:rPr>
          <w:rFonts w:cs="Arial"/>
          <w:kern w:val="1"/>
          <w:lang w:val="es-CO"/>
        </w:rPr>
      </w:pPr>
      <w:r w:rsidDel="6FB90DEE">
        <w:rPr>
          <w:rFonts w:cs="Arial"/>
          <w:kern w:val="1"/>
          <w:lang w:val="es-CO"/>
        </w:rPr>
        <w:t>Que</w:t>
      </w:r>
      <w:r>
        <w:rPr>
          <w:rFonts w:cs="Arial"/>
          <w:kern w:val="1"/>
          <w:lang w:val="es-CO"/>
        </w:rPr>
        <w:t xml:space="preserve"> el Título III de la mencionada Ley 1341 de 2009, establece la organización institucional de </w:t>
      </w:r>
      <w:r w:rsidRPr="00EB2AFA">
        <w:rPr>
          <w:rFonts w:cs="Arial"/>
          <w:kern w:val="1"/>
          <w:lang w:val="es-CO"/>
        </w:rPr>
        <w:t>las Tecnologías de la Información y las Comunicaciones</w:t>
      </w:r>
      <w:r>
        <w:rPr>
          <w:rFonts w:cs="Arial"/>
          <w:kern w:val="1"/>
          <w:lang w:val="es-CO"/>
        </w:rPr>
        <w:t>, la cual está conformada, según su Capítulo I, en relación con su definición</w:t>
      </w:r>
      <w:r w:rsidR="00F74E86">
        <w:rPr>
          <w:rFonts w:cs="Arial"/>
          <w:kern w:val="1"/>
          <w:lang w:val="es-CO"/>
        </w:rPr>
        <w:t xml:space="preserve"> de</w:t>
      </w:r>
      <w:r>
        <w:rPr>
          <w:rFonts w:cs="Arial"/>
          <w:kern w:val="1"/>
          <w:lang w:val="es-CO"/>
        </w:rPr>
        <w:t xml:space="preserve"> </w:t>
      </w:r>
      <w:r w:rsidRPr="00E45D49">
        <w:rPr>
          <w:rFonts w:cs="Arial"/>
          <w:kern w:val="1"/>
          <w:lang w:val="es-CO"/>
        </w:rPr>
        <w:t>política, regulación, vigilancia y control</w:t>
      </w:r>
      <w:r>
        <w:rPr>
          <w:rFonts w:cs="Arial"/>
          <w:kern w:val="1"/>
          <w:lang w:val="es-CO"/>
        </w:rPr>
        <w:t>, por el Ministerio de Tecnologías de la Información y las Comunicaciones y la Comisión de Regulación de Comunicaciones (CRC) y, adicionalmente, de acuerdo con el Capítulo II, por la Agencia Nacional del Espectro (ANE).</w:t>
      </w:r>
    </w:p>
    <w:p w14:paraId="1BE029C8" w14:textId="77777777" w:rsidR="007F1725" w:rsidRDefault="007F1725" w:rsidP="007F1725">
      <w:pPr>
        <w:shd w:val="clear" w:color="auto" w:fill="FFFFFF"/>
        <w:jc w:val="both"/>
        <w:rPr>
          <w:rFonts w:cs="Arial"/>
          <w:kern w:val="1"/>
          <w:lang w:val="es-CO"/>
        </w:rPr>
      </w:pPr>
    </w:p>
    <w:p w14:paraId="01AF9AEA" w14:textId="77777777" w:rsidR="007F1725" w:rsidRDefault="007F1725" w:rsidP="007F1725">
      <w:pPr>
        <w:shd w:val="clear" w:color="auto" w:fill="FFFFFF" w:themeFill="background1"/>
        <w:jc w:val="both"/>
        <w:rPr>
          <w:rFonts w:cs="Arial"/>
          <w:kern w:val="1"/>
          <w:lang w:val="es-CO"/>
        </w:rPr>
      </w:pPr>
      <w:r>
        <w:rPr>
          <w:rFonts w:cs="Arial"/>
          <w:kern w:val="1"/>
          <w:lang w:val="es-CO"/>
        </w:rPr>
        <w:t xml:space="preserve">Que, de acuerdo con lo previsto en el numeral 1 del artículo 17 de la citada Ley 1341 de 2009, modificado por el artículo 13 de la Ley 1978 de 2019, uno de los objetivos del Ministerio de Tecnologías de la Información y las Comunicaciones es diseñar, </w:t>
      </w:r>
      <w:r w:rsidRPr="0080540E">
        <w:rPr>
          <w:rFonts w:cs="Arial"/>
          <w:kern w:val="1"/>
          <w:lang w:val="es-CO"/>
        </w:rPr>
        <w:t xml:space="preserve">formular, adoptar y promover las políticas, planes, programas y proyectos del sector, en correspondencia con la Constitución Política y la </w:t>
      </w:r>
      <w:r>
        <w:rPr>
          <w:rFonts w:cs="Arial"/>
          <w:kern w:val="1"/>
          <w:lang w:val="es-CO"/>
        </w:rPr>
        <w:t>l</w:t>
      </w:r>
      <w:r w:rsidRPr="0080540E">
        <w:rPr>
          <w:rFonts w:cs="Arial"/>
          <w:kern w:val="1"/>
          <w:lang w:val="es-CO"/>
        </w:rPr>
        <w:t>ey, con el fin de promover la inversión y el cierre de la brecha digital, contribuir al desarrollo económico, social y político de la Nación, y elevar el bienestar de los colombianos.</w:t>
      </w:r>
      <w:r>
        <w:rPr>
          <w:rFonts w:cs="Arial"/>
          <w:kern w:val="1"/>
          <w:lang w:val="es-CO"/>
        </w:rPr>
        <w:t xml:space="preserve"> Así mismo, el numeral 3 </w:t>
      </w:r>
      <w:r w:rsidRPr="439B31BF">
        <w:rPr>
          <w:rFonts w:cs="Arial"/>
          <w:i/>
          <w:iCs/>
          <w:kern w:val="1"/>
          <w:lang w:val="es-CO"/>
        </w:rPr>
        <w:t xml:space="preserve">ibidem </w:t>
      </w:r>
      <w:r>
        <w:rPr>
          <w:rFonts w:cs="Arial"/>
          <w:kern w:val="1"/>
          <w:lang w:val="es-CO"/>
        </w:rPr>
        <w:t>dispone como objetivo del citado Ministerio i</w:t>
      </w:r>
      <w:r w:rsidRPr="00500D17">
        <w:rPr>
          <w:rFonts w:cs="Arial"/>
          <w:kern w:val="1"/>
          <w:lang w:val="es-CO"/>
        </w:rPr>
        <w:t>mpulsar el desarrollo y fortalecimiento del sector</w:t>
      </w:r>
      <w:r>
        <w:rPr>
          <w:rFonts w:cs="Arial"/>
          <w:kern w:val="1"/>
          <w:lang w:val="es-CO"/>
        </w:rPr>
        <w:t>, y</w:t>
      </w:r>
      <w:r w:rsidRPr="00500D17">
        <w:rPr>
          <w:rFonts w:cs="Arial"/>
          <w:kern w:val="1"/>
          <w:lang w:val="es-CO"/>
        </w:rPr>
        <w:t xml:space="preserve"> promover la investigación e innovación buscando su competitividad y avance tecnológico</w:t>
      </w:r>
      <w:r>
        <w:rPr>
          <w:rFonts w:cs="Arial"/>
          <w:kern w:val="1"/>
          <w:lang w:val="es-CO"/>
        </w:rPr>
        <w:t>,</w:t>
      </w:r>
      <w:r w:rsidRPr="00500D17">
        <w:rPr>
          <w:rFonts w:cs="Arial"/>
          <w:kern w:val="1"/>
          <w:lang w:val="es-CO"/>
        </w:rPr>
        <w:t xml:space="preserve"> conforme </w:t>
      </w:r>
      <w:r>
        <w:rPr>
          <w:rFonts w:cs="Arial"/>
          <w:kern w:val="1"/>
          <w:lang w:val="es-CO"/>
        </w:rPr>
        <w:t>con el</w:t>
      </w:r>
      <w:r w:rsidRPr="00500D17">
        <w:rPr>
          <w:rFonts w:cs="Arial"/>
          <w:kern w:val="1"/>
          <w:lang w:val="es-CO"/>
        </w:rPr>
        <w:t xml:space="preserve"> entorno nacional e internacional.</w:t>
      </w:r>
      <w:r>
        <w:rPr>
          <w:rFonts w:cs="Arial"/>
          <w:kern w:val="1"/>
          <w:lang w:val="es-CO"/>
        </w:rPr>
        <w:t xml:space="preserve"> Por su parte, el numeral 4 de la citada norma establece como otro de los objetivos del Ministerio el de d</w:t>
      </w:r>
      <w:r w:rsidRPr="002A24FE">
        <w:rPr>
          <w:rFonts w:cs="Arial"/>
          <w:kern w:val="1"/>
          <w:lang w:val="es-CO"/>
        </w:rPr>
        <w:t>efinir la política pública del sector de Tecnologías de la Información y las Comunicaciones, incluyendo el servicio de televisión abierta radiodifundida y el servicio de radiodifusión sonora</w:t>
      </w:r>
      <w:r>
        <w:rPr>
          <w:rFonts w:cs="Arial"/>
          <w:kern w:val="1"/>
          <w:lang w:val="es-CO"/>
        </w:rPr>
        <w:t>.</w:t>
      </w:r>
    </w:p>
    <w:p w14:paraId="48D6B625" w14:textId="77777777" w:rsidR="007F1725" w:rsidRPr="00F65FA8" w:rsidRDefault="007F1725" w:rsidP="007F1725">
      <w:pPr>
        <w:rPr>
          <w:rFonts w:cs="Arial"/>
          <w:kern w:val="1"/>
          <w:lang w:val="es-CO"/>
        </w:rPr>
      </w:pPr>
    </w:p>
    <w:p w14:paraId="7016954D" w14:textId="77777777" w:rsidR="007F1725" w:rsidRDefault="007F1725" w:rsidP="007F1725">
      <w:pPr>
        <w:jc w:val="both"/>
        <w:rPr>
          <w:rFonts w:cs="Arial"/>
          <w:kern w:val="1"/>
          <w:lang w:val="es-CO"/>
        </w:rPr>
      </w:pPr>
      <w:r w:rsidRPr="00F65FA8">
        <w:rPr>
          <w:rFonts w:cs="Arial"/>
          <w:kern w:val="1"/>
          <w:lang w:val="es-CO"/>
        </w:rPr>
        <w:t xml:space="preserve">Que, así mismo, </w:t>
      </w:r>
      <w:r>
        <w:rPr>
          <w:rFonts w:cs="Arial"/>
          <w:kern w:val="1"/>
          <w:lang w:val="es-CO"/>
        </w:rPr>
        <w:t>el artículo 22 de la referida Ley 1341 de 2009, prescribe las funciones de la Comisión de Regulación de Comunicaciones (CRC), r</w:t>
      </w:r>
      <w:r w:rsidRPr="00950C12">
        <w:rPr>
          <w:rFonts w:cs="Arial"/>
          <w:kern w:val="1"/>
          <w:lang w:val="es-CO"/>
        </w:rPr>
        <w:t>especto de la provisión de redes y servicios de telecomunicaciones, incluyendo el servicio de televisión abierta radiodifundida y todas las demás modalidades del servicio de televisión y el servicio de radiodifusión sonora</w:t>
      </w:r>
      <w:r>
        <w:rPr>
          <w:rFonts w:cs="Arial"/>
          <w:kern w:val="1"/>
          <w:lang w:val="es-CO"/>
        </w:rPr>
        <w:t xml:space="preserve">, y dispone que, en todo caso, </w:t>
      </w:r>
      <w:r w:rsidRPr="00261CBC">
        <w:rPr>
          <w:rFonts w:cs="Arial"/>
          <w:kern w:val="1"/>
          <w:lang w:val="es-CO"/>
        </w:rPr>
        <w:t xml:space="preserve">el </w:t>
      </w:r>
      <w:r w:rsidRPr="00261CBC">
        <w:rPr>
          <w:rFonts w:cs="Arial"/>
          <w:kern w:val="1"/>
          <w:lang w:val="es-CO"/>
        </w:rPr>
        <w:lastRenderedPageBreak/>
        <w:t xml:space="preserve">ejercicio de la función regulatoria por parte de </w:t>
      </w:r>
      <w:r>
        <w:rPr>
          <w:rFonts w:cs="Arial"/>
          <w:kern w:val="1"/>
          <w:lang w:val="es-CO"/>
        </w:rPr>
        <w:t>esta</w:t>
      </w:r>
      <w:r w:rsidRPr="00261CBC">
        <w:rPr>
          <w:rFonts w:cs="Arial"/>
          <w:kern w:val="1"/>
          <w:lang w:val="es-CO"/>
        </w:rPr>
        <w:t xml:space="preserve"> Comisión se hará con observancia de criterios de mejora normativa en el diseño de la regulación</w:t>
      </w:r>
      <w:r>
        <w:rPr>
          <w:rFonts w:cs="Arial"/>
          <w:kern w:val="1"/>
          <w:lang w:val="es-CO"/>
        </w:rPr>
        <w:t xml:space="preserve">. </w:t>
      </w:r>
    </w:p>
    <w:p w14:paraId="2D6A9AB1" w14:textId="77777777" w:rsidR="007F1725" w:rsidRDefault="007F1725" w:rsidP="007F1725">
      <w:pPr>
        <w:jc w:val="both"/>
        <w:rPr>
          <w:rFonts w:cs="Arial"/>
          <w:kern w:val="1"/>
          <w:lang w:val="es-CO"/>
        </w:rPr>
      </w:pPr>
    </w:p>
    <w:p w14:paraId="6DBD4B8B" w14:textId="77777777" w:rsidR="007F1725" w:rsidRDefault="007F1725" w:rsidP="007F1725">
      <w:pPr>
        <w:jc w:val="both"/>
        <w:rPr>
          <w:rFonts w:cs="Arial"/>
          <w:kern w:val="1"/>
          <w:lang w:val="es-CO"/>
        </w:rPr>
      </w:pPr>
      <w:r>
        <w:rPr>
          <w:rFonts w:cs="Arial"/>
          <w:kern w:val="1"/>
          <w:lang w:val="es-CO"/>
        </w:rPr>
        <w:t xml:space="preserve">Que, de igual forma, el artículo 25 </w:t>
      </w:r>
      <w:r w:rsidRPr="439B31BF">
        <w:rPr>
          <w:rFonts w:cs="Arial"/>
          <w:i/>
          <w:iCs/>
          <w:kern w:val="1"/>
          <w:lang w:val="es-CO"/>
        </w:rPr>
        <w:t xml:space="preserve">ibidem, </w:t>
      </w:r>
      <w:r>
        <w:rPr>
          <w:rFonts w:cs="Arial"/>
          <w:kern w:val="1"/>
          <w:lang w:val="es-CO"/>
        </w:rPr>
        <w:t xml:space="preserve">establece que el objeto de la Agencia Nacional del Espectro (ANE), </w:t>
      </w:r>
      <w:r w:rsidRPr="0085614E">
        <w:rPr>
          <w:rFonts w:cs="Arial"/>
          <w:kern w:val="1"/>
          <w:lang w:val="es-CO"/>
        </w:rPr>
        <w:t xml:space="preserve">es brindar el soporte técnico para la gestión y la planeación, la vigilancia y control del espectro radioeléctrico, en coordinación con las diferentes autoridades que tengan funciones o actividades relacionadas con </w:t>
      </w:r>
      <w:r>
        <w:rPr>
          <w:rFonts w:cs="Arial"/>
          <w:kern w:val="1"/>
          <w:lang w:val="es-CO"/>
        </w:rPr>
        <w:t>este</w:t>
      </w:r>
      <w:r w:rsidRPr="0085614E">
        <w:rPr>
          <w:rFonts w:cs="Arial"/>
          <w:kern w:val="1"/>
          <w:lang w:val="es-CO"/>
        </w:rPr>
        <w:t>.</w:t>
      </w:r>
    </w:p>
    <w:p w14:paraId="12080C22" w14:textId="77777777" w:rsidR="007F1725" w:rsidRDefault="007F1725" w:rsidP="007F1725">
      <w:pPr>
        <w:shd w:val="clear" w:color="auto" w:fill="FFFFFF"/>
        <w:jc w:val="both"/>
        <w:rPr>
          <w:rFonts w:cs="Arial"/>
          <w:kern w:val="1"/>
          <w:lang w:val="es-CO"/>
        </w:rPr>
      </w:pPr>
    </w:p>
    <w:p w14:paraId="59C638E9" w14:textId="6E80C561" w:rsidR="007F1725" w:rsidRDefault="007F1725" w:rsidP="007F1725">
      <w:pPr>
        <w:shd w:val="clear" w:color="auto" w:fill="FFFFFF" w:themeFill="background1"/>
        <w:jc w:val="both"/>
        <w:rPr>
          <w:rFonts w:cs="Arial"/>
          <w:kern w:val="1"/>
          <w:lang w:val="es-CO"/>
        </w:rPr>
      </w:pPr>
      <w:r>
        <w:rPr>
          <w:rFonts w:cs="Arial"/>
          <w:kern w:val="1"/>
          <w:lang w:val="es-CO"/>
        </w:rPr>
        <w:t xml:space="preserve">Que, de otra parte, la Ley 1369 de 2009, </w:t>
      </w:r>
      <w:r w:rsidRPr="008D0C24">
        <w:rPr>
          <w:rFonts w:cs="Arial"/>
          <w:i/>
          <w:iCs/>
          <w:kern w:val="1"/>
          <w:lang w:val="es-CO"/>
        </w:rPr>
        <w:t>“P</w:t>
      </w:r>
      <w:r w:rsidRPr="008D0C24">
        <w:rPr>
          <w:rFonts w:cs="Arial"/>
          <w:i/>
          <w:iCs/>
          <w:lang w:val="es-CO"/>
        </w:rPr>
        <w:t>or medio de la cual se establece el régimen de los servicios postales y se dictan otras disposiciones</w:t>
      </w:r>
      <w:r w:rsidRPr="008D0C24">
        <w:rPr>
          <w:rFonts w:cs="Arial"/>
          <w:i/>
          <w:iCs/>
          <w:kern w:val="1"/>
          <w:lang w:val="es-CO"/>
        </w:rPr>
        <w:t>”</w:t>
      </w:r>
      <w:r w:rsidRPr="439B31BF">
        <w:rPr>
          <w:rFonts w:cs="Arial"/>
          <w:i/>
          <w:iCs/>
          <w:kern w:val="1"/>
          <w:lang w:val="es-CO"/>
        </w:rPr>
        <w:t>,</w:t>
      </w:r>
      <w:r>
        <w:rPr>
          <w:rFonts w:cs="Arial"/>
          <w:kern w:val="1"/>
          <w:lang w:val="es-CO"/>
        </w:rPr>
        <w:t xml:space="preserve"> </w:t>
      </w:r>
      <w:r w:rsidRPr="00BD7391">
        <w:rPr>
          <w:rFonts w:cs="Arial"/>
          <w:kern w:val="1"/>
          <w:lang w:val="es-CO"/>
        </w:rPr>
        <w:t>señala el régimen general de prestación de los servicios postales y lo pertinente</w:t>
      </w:r>
      <w:r>
        <w:rPr>
          <w:rFonts w:cs="Arial"/>
          <w:kern w:val="1"/>
          <w:lang w:val="es-CO"/>
        </w:rPr>
        <w:t xml:space="preserve"> </w:t>
      </w:r>
      <w:r w:rsidRPr="00BD7391">
        <w:rPr>
          <w:rFonts w:cs="Arial"/>
          <w:kern w:val="1"/>
          <w:lang w:val="es-CO"/>
        </w:rPr>
        <w:t>a las entidades encargadas de la regulación de estos servicios</w:t>
      </w:r>
      <w:r>
        <w:rPr>
          <w:rFonts w:cs="Arial"/>
          <w:kern w:val="1"/>
          <w:lang w:val="es-CO"/>
        </w:rPr>
        <w:t xml:space="preserve"> y dispone que</w:t>
      </w:r>
      <w:r w:rsidRPr="00BD7391">
        <w:rPr>
          <w:rFonts w:cs="Arial"/>
          <w:kern w:val="1"/>
          <w:lang w:val="es-CO"/>
        </w:rPr>
        <w:t xml:space="preserve"> son un servicio público en los términos del artículo 365 de la Constitución Política</w:t>
      </w:r>
      <w:r>
        <w:rPr>
          <w:rFonts w:cs="Arial"/>
          <w:kern w:val="1"/>
          <w:lang w:val="es-CO"/>
        </w:rPr>
        <w:t>, de tal manera que s</w:t>
      </w:r>
      <w:r w:rsidRPr="00BD7391">
        <w:rPr>
          <w:rFonts w:cs="Arial"/>
          <w:kern w:val="1"/>
          <w:lang w:val="es-CO"/>
        </w:rPr>
        <w:t>u prestación estará sometida a la regulación, vigilancia y control del Estado, con sujeción a los principios de calidad, eficiencia y universalidad, entendida esta última como el acceso progresivo a la población en todo el territorio nacional.</w:t>
      </w:r>
    </w:p>
    <w:p w14:paraId="24822434" w14:textId="77777777" w:rsidR="007F1725" w:rsidRDefault="007F1725" w:rsidP="007F1725">
      <w:pPr>
        <w:shd w:val="clear" w:color="auto" w:fill="FFFFFF" w:themeFill="background1"/>
        <w:jc w:val="both"/>
        <w:rPr>
          <w:rFonts w:cs="Arial"/>
          <w:lang w:val="es-CO"/>
        </w:rPr>
      </w:pPr>
    </w:p>
    <w:p w14:paraId="2FB3A566" w14:textId="77777777" w:rsidR="007F1725" w:rsidRDefault="007F1725" w:rsidP="007F1725">
      <w:pPr>
        <w:shd w:val="clear" w:color="auto" w:fill="FFFFFF" w:themeFill="background1"/>
        <w:jc w:val="both"/>
        <w:rPr>
          <w:rFonts w:cs="Arial"/>
          <w:kern w:val="1"/>
          <w:lang w:val="es-CO"/>
        </w:rPr>
      </w:pPr>
      <w:r>
        <w:rPr>
          <w:rFonts w:cs="Arial"/>
          <w:kern w:val="1"/>
          <w:lang w:val="es-CO"/>
        </w:rPr>
        <w:t xml:space="preserve">Que, el artículo 2 de la citada Ley 1369 de 2009 dispone en sus numerales 6 y 8, respectivamente, que la intervención del Estado en servicios postales tendrá como objetivos estimular </w:t>
      </w:r>
      <w:r w:rsidRPr="00915EE2">
        <w:rPr>
          <w:rFonts w:cs="Arial"/>
          <w:kern w:val="1"/>
          <w:lang w:val="es-CO"/>
        </w:rPr>
        <w:t xml:space="preserve">a los </w:t>
      </w:r>
      <w:r>
        <w:rPr>
          <w:rFonts w:cs="Arial"/>
          <w:kern w:val="1"/>
          <w:lang w:val="es-CO"/>
        </w:rPr>
        <w:t>o</w:t>
      </w:r>
      <w:r w:rsidRPr="00915EE2">
        <w:rPr>
          <w:rFonts w:cs="Arial"/>
          <w:kern w:val="1"/>
          <w:lang w:val="es-CO"/>
        </w:rPr>
        <w:t xml:space="preserve">peradores a incorporar los avances tecnológicos en la prestación de </w:t>
      </w:r>
      <w:r>
        <w:rPr>
          <w:rFonts w:cs="Arial"/>
          <w:kern w:val="1"/>
          <w:lang w:val="es-CO"/>
        </w:rPr>
        <w:t>estos</w:t>
      </w:r>
      <w:r w:rsidRPr="00915EE2">
        <w:rPr>
          <w:rFonts w:cs="Arial"/>
          <w:kern w:val="1"/>
          <w:lang w:val="es-CO"/>
        </w:rPr>
        <w:t xml:space="preserve"> servicios postales</w:t>
      </w:r>
      <w:r>
        <w:rPr>
          <w:rFonts w:cs="Arial"/>
          <w:kern w:val="1"/>
          <w:lang w:val="es-CO"/>
        </w:rPr>
        <w:t>, y f</w:t>
      </w:r>
      <w:r w:rsidRPr="00915EE2">
        <w:rPr>
          <w:rFonts w:cs="Arial"/>
          <w:kern w:val="1"/>
          <w:lang w:val="es-CO"/>
        </w:rPr>
        <w:t>acilitar el desarrollo económico del país.</w:t>
      </w:r>
    </w:p>
    <w:p w14:paraId="19DD10F9" w14:textId="77777777" w:rsidR="007F1725" w:rsidRDefault="007F1725" w:rsidP="007F1725">
      <w:pPr>
        <w:shd w:val="clear" w:color="auto" w:fill="FFFFFF"/>
        <w:jc w:val="both"/>
        <w:rPr>
          <w:rFonts w:cs="Arial"/>
          <w:kern w:val="1"/>
          <w:lang w:val="es-CO"/>
        </w:rPr>
      </w:pPr>
    </w:p>
    <w:p w14:paraId="50E0EEE8" w14:textId="5AACAB09" w:rsidR="007F1725" w:rsidRDefault="007F1725" w:rsidP="007F1725">
      <w:pPr>
        <w:shd w:val="clear" w:color="auto" w:fill="FFFFFF" w:themeFill="background1"/>
        <w:jc w:val="both"/>
        <w:rPr>
          <w:rFonts w:cs="Arial"/>
          <w:kern w:val="1"/>
          <w:lang w:val="es-CO"/>
        </w:rPr>
      </w:pPr>
      <w:r>
        <w:rPr>
          <w:rFonts w:cs="Arial"/>
          <w:kern w:val="1"/>
          <w:lang w:val="es-CO"/>
        </w:rPr>
        <w:t>Que, de igual forma, el Título V de la mencionada Ley 1369 de 2009, prevé como autoridades de</w:t>
      </w:r>
      <w:r w:rsidR="003825CE">
        <w:rPr>
          <w:rFonts w:cs="Arial"/>
          <w:kern w:val="1"/>
          <w:lang w:val="es-CO"/>
        </w:rPr>
        <w:t xml:space="preserve"> inspección, vigilancia,</w:t>
      </w:r>
      <w:r>
        <w:rPr>
          <w:rFonts w:cs="Arial"/>
          <w:kern w:val="1"/>
          <w:lang w:val="es-CO"/>
        </w:rPr>
        <w:t xml:space="preserve"> control y </w:t>
      </w:r>
      <w:r w:rsidR="003825CE">
        <w:rPr>
          <w:rFonts w:cs="Arial"/>
          <w:kern w:val="1"/>
          <w:lang w:val="es-CO"/>
        </w:rPr>
        <w:t xml:space="preserve">regulación </w:t>
      </w:r>
      <w:r>
        <w:rPr>
          <w:rFonts w:cs="Arial"/>
          <w:kern w:val="1"/>
          <w:lang w:val="es-CO"/>
        </w:rPr>
        <w:t xml:space="preserve">de los servicios postales, en virtud de los artículos 18 y 19, respectivamente, al Ministerio de </w:t>
      </w:r>
      <w:r w:rsidRPr="00FD4A36">
        <w:rPr>
          <w:rFonts w:cs="Arial"/>
          <w:kern w:val="1"/>
          <w:lang w:val="es-CO"/>
        </w:rPr>
        <w:t>Tecnologías de la Información y las Comunicaciones</w:t>
      </w:r>
      <w:r>
        <w:rPr>
          <w:rFonts w:cs="Arial"/>
          <w:kern w:val="1"/>
          <w:lang w:val="es-CO"/>
        </w:rPr>
        <w:t>,</w:t>
      </w:r>
      <w:r w:rsidRPr="00FD4A36">
        <w:rPr>
          <w:rFonts w:cs="Arial"/>
          <w:kern w:val="1"/>
          <w:lang w:val="es-CO"/>
        </w:rPr>
        <w:t xml:space="preserve"> </w:t>
      </w:r>
      <w:r>
        <w:rPr>
          <w:rFonts w:cs="Arial"/>
          <w:kern w:val="1"/>
          <w:lang w:val="es-CO"/>
        </w:rPr>
        <w:t xml:space="preserve">quien </w:t>
      </w:r>
      <w:r w:rsidRPr="00FD4A36">
        <w:rPr>
          <w:rFonts w:cs="Arial"/>
          <w:kern w:val="1"/>
          <w:lang w:val="es-CO"/>
        </w:rPr>
        <w:t xml:space="preserve">fijará la política general de </w:t>
      </w:r>
      <w:r>
        <w:rPr>
          <w:rFonts w:cs="Arial"/>
          <w:kern w:val="1"/>
          <w:lang w:val="es-CO"/>
        </w:rPr>
        <w:t>estos</w:t>
      </w:r>
      <w:r w:rsidRPr="00FD4A36">
        <w:rPr>
          <w:rFonts w:cs="Arial"/>
          <w:kern w:val="1"/>
          <w:lang w:val="es-CO"/>
        </w:rPr>
        <w:t xml:space="preserve"> </w:t>
      </w:r>
      <w:r>
        <w:rPr>
          <w:rFonts w:cs="Arial"/>
          <w:kern w:val="1"/>
          <w:lang w:val="es-CO"/>
        </w:rPr>
        <w:t>s</w:t>
      </w:r>
      <w:r w:rsidRPr="00FD4A36">
        <w:rPr>
          <w:rFonts w:cs="Arial"/>
          <w:kern w:val="1"/>
          <w:lang w:val="es-CO"/>
        </w:rPr>
        <w:t>ervicios</w:t>
      </w:r>
      <w:r>
        <w:rPr>
          <w:rFonts w:cs="Arial"/>
          <w:kern w:val="1"/>
          <w:lang w:val="es-CO"/>
        </w:rPr>
        <w:t xml:space="preserve"> y a su vez a</w:t>
      </w:r>
      <w:r w:rsidRPr="008252F7">
        <w:rPr>
          <w:rFonts w:cs="Arial"/>
          <w:kern w:val="1"/>
          <w:lang w:val="es-CO"/>
        </w:rPr>
        <w:t>ctua</w:t>
      </w:r>
      <w:r>
        <w:rPr>
          <w:rFonts w:cs="Arial"/>
          <w:kern w:val="1"/>
          <w:lang w:val="es-CO"/>
        </w:rPr>
        <w:t>rá</w:t>
      </w:r>
      <w:r w:rsidRPr="008252F7">
        <w:rPr>
          <w:rFonts w:cs="Arial"/>
          <w:kern w:val="1"/>
          <w:lang w:val="es-CO"/>
        </w:rPr>
        <w:t xml:space="preserve"> como </w:t>
      </w:r>
      <w:r>
        <w:rPr>
          <w:rFonts w:cs="Arial"/>
          <w:kern w:val="1"/>
          <w:lang w:val="es-CO"/>
        </w:rPr>
        <w:t>a</w:t>
      </w:r>
      <w:r w:rsidRPr="008252F7">
        <w:rPr>
          <w:rFonts w:cs="Arial"/>
          <w:kern w:val="1"/>
          <w:lang w:val="es-CO"/>
        </w:rPr>
        <w:t>utoridad de inspección, control y vigilancia frente</w:t>
      </w:r>
      <w:r>
        <w:rPr>
          <w:rFonts w:cs="Arial"/>
          <w:kern w:val="1"/>
          <w:lang w:val="es-CO"/>
        </w:rPr>
        <w:t xml:space="preserve"> </w:t>
      </w:r>
      <w:r w:rsidRPr="008252F7">
        <w:rPr>
          <w:rFonts w:cs="Arial"/>
          <w:kern w:val="1"/>
          <w:lang w:val="es-CO"/>
        </w:rPr>
        <w:t>a todos los operadores postales</w:t>
      </w:r>
      <w:r w:rsidRPr="00FD4A36">
        <w:rPr>
          <w:rFonts w:cs="Arial"/>
          <w:kern w:val="1"/>
          <w:lang w:val="es-CO"/>
        </w:rPr>
        <w:t>;</w:t>
      </w:r>
      <w:r>
        <w:rPr>
          <w:rFonts w:cs="Arial"/>
          <w:kern w:val="1"/>
          <w:lang w:val="es-CO"/>
        </w:rPr>
        <w:t xml:space="preserve"> y a la Comisión de Regulación de Comunicaciones, la cual t</w:t>
      </w:r>
      <w:r w:rsidRPr="009F7AC0">
        <w:rPr>
          <w:rFonts w:cs="Arial"/>
          <w:kern w:val="1"/>
          <w:lang w:val="es-CO"/>
        </w:rPr>
        <w:t>endrá la función de regular el mercado postal, con el propósito de promover la libre competencia, de manera que los usuarios se beneficien de servicios eficientes.</w:t>
      </w:r>
    </w:p>
    <w:p w14:paraId="603A1AF0" w14:textId="77777777" w:rsidR="007F1725" w:rsidRDefault="007F1725" w:rsidP="007F1725">
      <w:pPr>
        <w:shd w:val="clear" w:color="auto" w:fill="FFFFFF"/>
        <w:jc w:val="both"/>
        <w:rPr>
          <w:rFonts w:cs="Arial"/>
          <w:kern w:val="1"/>
          <w:lang w:val="es-CO"/>
        </w:rPr>
      </w:pPr>
    </w:p>
    <w:p w14:paraId="30284F2B" w14:textId="77777777" w:rsidR="007F1725" w:rsidRDefault="007F1725" w:rsidP="007F1725">
      <w:pPr>
        <w:shd w:val="clear" w:color="auto" w:fill="FFFFFF" w:themeFill="background1"/>
        <w:jc w:val="both"/>
        <w:rPr>
          <w:rFonts w:cs="Arial"/>
          <w:kern w:val="1"/>
          <w:lang w:val="es-CO"/>
        </w:rPr>
      </w:pPr>
      <w:r>
        <w:rPr>
          <w:rFonts w:cs="Arial"/>
          <w:kern w:val="1"/>
          <w:lang w:val="es-CO"/>
        </w:rPr>
        <w:t>Que el Congreso de la República expidió la Ley 2069 de 2020,</w:t>
      </w:r>
      <w:r w:rsidRPr="22538234">
        <w:rPr>
          <w:rFonts w:cs="Arial"/>
          <w:lang w:val="es-CO"/>
        </w:rPr>
        <w:t xml:space="preserve"> </w:t>
      </w:r>
      <w:r w:rsidRPr="439B31BF">
        <w:rPr>
          <w:rFonts w:cs="Arial"/>
          <w:i/>
          <w:iCs/>
          <w:kern w:val="1"/>
          <w:lang w:val="es-CO"/>
        </w:rPr>
        <w:t>“Por medio de la cual se impulsa el emprendimiento en Colombia”</w:t>
      </w:r>
      <w:r>
        <w:rPr>
          <w:rFonts w:cs="Arial"/>
          <w:kern w:val="1"/>
          <w:lang w:val="es-CO"/>
        </w:rPr>
        <w:t xml:space="preserve">, la cual </w:t>
      </w:r>
      <w:r w:rsidRPr="00F752AE">
        <w:rPr>
          <w:rFonts w:cs="Arial"/>
          <w:kern w:val="1"/>
          <w:lang w:val="es-CO"/>
        </w:rPr>
        <w:t>tiene por objeto establecer un marco regulatorio que propicie el emprendimiento y el crecimiento, consolidación y sostenibilidad de las empresas, con el fin de aumentar el bienestar social y generar equidad</w:t>
      </w:r>
      <w:r>
        <w:rPr>
          <w:rFonts w:cs="Arial"/>
          <w:kern w:val="1"/>
          <w:lang w:val="es-CO"/>
        </w:rPr>
        <w:t>.</w:t>
      </w:r>
    </w:p>
    <w:p w14:paraId="1571E044" w14:textId="77777777" w:rsidR="007F1725" w:rsidRDefault="007F1725" w:rsidP="007F1725">
      <w:pPr>
        <w:shd w:val="clear" w:color="auto" w:fill="FFFFFF"/>
        <w:jc w:val="both"/>
        <w:rPr>
          <w:rFonts w:cs="Arial"/>
          <w:kern w:val="1"/>
          <w:lang w:val="es-CO"/>
        </w:rPr>
      </w:pPr>
    </w:p>
    <w:p w14:paraId="4CB55AA8" w14:textId="77777777" w:rsidR="007F1725" w:rsidRDefault="007F1725" w:rsidP="007F1725">
      <w:pPr>
        <w:shd w:val="clear" w:color="auto" w:fill="FFFFFF" w:themeFill="background1"/>
        <w:jc w:val="both"/>
        <w:rPr>
          <w:rFonts w:cs="Arial"/>
          <w:kern w:val="1"/>
          <w:lang w:val="es-CO"/>
        </w:rPr>
      </w:pPr>
      <w:r>
        <w:rPr>
          <w:rFonts w:cs="Arial"/>
          <w:kern w:val="1"/>
          <w:lang w:val="es-CO"/>
        </w:rPr>
        <w:t>Que</w:t>
      </w:r>
      <w:r w:rsidDel="009A5148">
        <w:rPr>
          <w:rFonts w:cs="Arial"/>
          <w:kern w:val="1"/>
          <w:lang w:val="es-CO"/>
        </w:rPr>
        <w:t xml:space="preserve"> </w:t>
      </w:r>
      <w:r>
        <w:rPr>
          <w:rFonts w:cs="Arial"/>
          <w:kern w:val="1"/>
          <w:lang w:val="es-CO"/>
        </w:rPr>
        <w:t>la citada Ley 2069 de 2020 estableció en su artículo 5, dentro de las medidas para la racionalización y simplificación de procesos, trámites y tarifas como medidas de apoyo para las Mipymes, que el G</w:t>
      </w:r>
      <w:r w:rsidRPr="005523B8">
        <w:rPr>
          <w:rFonts w:cs="Arial"/>
          <w:kern w:val="1"/>
          <w:lang w:val="es-CO"/>
        </w:rPr>
        <w:t xml:space="preserve">obierno </w:t>
      </w:r>
      <w:r>
        <w:rPr>
          <w:rFonts w:cs="Arial"/>
          <w:kern w:val="1"/>
          <w:lang w:val="es-CO"/>
        </w:rPr>
        <w:t>N</w:t>
      </w:r>
      <w:r w:rsidRPr="005523B8">
        <w:rPr>
          <w:rFonts w:cs="Arial"/>
          <w:kern w:val="1"/>
          <w:lang w:val="es-CO"/>
        </w:rPr>
        <w:t>acional</w:t>
      </w:r>
      <w:r>
        <w:rPr>
          <w:rFonts w:cs="Arial"/>
          <w:kern w:val="1"/>
          <w:lang w:val="es-CO"/>
        </w:rPr>
        <w:t>,</w:t>
      </w:r>
      <w:r w:rsidRPr="005523B8">
        <w:rPr>
          <w:rFonts w:cs="Arial"/>
          <w:kern w:val="1"/>
          <w:lang w:val="es-CO"/>
        </w:rPr>
        <w:t xml:space="preserve"> en un plazo no mayor de un (1) año posterior a la promulgación de </w:t>
      </w:r>
      <w:r>
        <w:rPr>
          <w:rFonts w:cs="Arial"/>
          <w:kern w:val="1"/>
          <w:lang w:val="es-CO"/>
        </w:rPr>
        <w:t>esa</w:t>
      </w:r>
      <w:r w:rsidRPr="005523B8">
        <w:rPr>
          <w:rFonts w:cs="Arial"/>
          <w:kern w:val="1"/>
          <w:lang w:val="es-CO"/>
        </w:rPr>
        <w:t xml:space="preserve"> ley, </w:t>
      </w:r>
      <w:r>
        <w:rPr>
          <w:rFonts w:cs="Arial"/>
          <w:kern w:val="1"/>
          <w:lang w:val="es-CO"/>
        </w:rPr>
        <w:t>debía</w:t>
      </w:r>
      <w:r w:rsidRPr="005523B8">
        <w:rPr>
          <w:rFonts w:cs="Arial"/>
          <w:kern w:val="1"/>
          <w:lang w:val="es-CO"/>
        </w:rPr>
        <w:t xml:space="preserve"> establecer una regulación complementaria que permitiese, en cada uno de los Ministerios y Sectores Administrativos, crear un ambiente especial de vigilancia y control, que facilite el desarrollo de modelos de negocio que apalanquen e impulsen la economía de alto valor agregado y sostenible en distintos ámbitos, a partir de la promoción de actividades intensivas en tecnología, innovación, uso sostenible del capital natural o tendientes a la mitigación de la acción climática</w:t>
      </w:r>
      <w:r>
        <w:rPr>
          <w:rFonts w:cs="Arial"/>
          <w:kern w:val="1"/>
          <w:lang w:val="es-CO"/>
        </w:rPr>
        <w:t>, y que e</w:t>
      </w:r>
      <w:r w:rsidRPr="005523B8">
        <w:rPr>
          <w:rFonts w:cs="Arial"/>
          <w:kern w:val="1"/>
          <w:lang w:val="es-CO"/>
        </w:rPr>
        <w:t xml:space="preserve">stos ambientes de prueba evaluarán el funcionamiento y los efectos de nuevas tecnologías o innovaciones en la regulación vigente, para determinar la viabilidad de su implementación o la </w:t>
      </w:r>
      <w:r w:rsidRPr="005523B8">
        <w:rPr>
          <w:rFonts w:cs="Arial"/>
          <w:kern w:val="1"/>
          <w:lang w:val="es-CO"/>
        </w:rPr>
        <w:lastRenderedPageBreak/>
        <w:t>necesidad de establecer una flexibilización del marco regulatorio existente o la simplificación de los trámites.</w:t>
      </w:r>
    </w:p>
    <w:p w14:paraId="6463C395" w14:textId="77777777" w:rsidR="007F1725" w:rsidRDefault="007F1725" w:rsidP="007F1725">
      <w:pPr>
        <w:shd w:val="clear" w:color="auto" w:fill="FFFFFF"/>
        <w:jc w:val="both"/>
        <w:rPr>
          <w:rFonts w:cs="Arial"/>
          <w:kern w:val="1"/>
          <w:lang w:val="es-CO"/>
        </w:rPr>
      </w:pPr>
    </w:p>
    <w:p w14:paraId="62532230" w14:textId="4B535F8D" w:rsidR="007F1725" w:rsidRDefault="007F1725" w:rsidP="007F1725">
      <w:pPr>
        <w:shd w:val="clear" w:color="auto" w:fill="FFFFFF" w:themeFill="background1"/>
        <w:jc w:val="both"/>
        <w:rPr>
          <w:rFonts w:cs="Arial"/>
          <w:kern w:val="1"/>
          <w:lang w:val="es-CO"/>
        </w:rPr>
      </w:pPr>
      <w:r>
        <w:rPr>
          <w:rFonts w:cs="Arial"/>
          <w:kern w:val="1"/>
          <w:lang w:val="es-CO"/>
        </w:rPr>
        <w:t xml:space="preserve">Que en desarrollo de lo anterior, se expidió el Decreto 1732 de 2021, </w:t>
      </w:r>
      <w:r w:rsidRPr="439B31BF">
        <w:rPr>
          <w:rFonts w:cs="Arial"/>
          <w:i/>
          <w:iCs/>
          <w:kern w:val="1"/>
          <w:lang w:val="es-CO"/>
        </w:rPr>
        <w:t>“Por el cual se reglamenta el artículo 5 de la Ley 2069 de 2020, en relación con los mecanismos exploratorios de regulación para modelos de negocio innovadores en industrias reguladas y los ambientes especiales de vigilancia y control o sandbox regulatorio, y se adiciona el Capítulo 19 del Título 1 de la Parte 2 del Libro 2 del Decreto 1074 de 2015”</w:t>
      </w:r>
      <w:r w:rsidR="00485814">
        <w:rPr>
          <w:rFonts w:cs="Arial"/>
          <w:i/>
          <w:iCs/>
          <w:kern w:val="1"/>
          <w:lang w:val="es-CO"/>
        </w:rPr>
        <w:t>,</w:t>
      </w:r>
      <w:r>
        <w:rPr>
          <w:rFonts w:cs="Arial"/>
          <w:kern w:val="1"/>
          <w:lang w:val="es-CO"/>
        </w:rPr>
        <w:t xml:space="preserve"> con el objeto de establecer una regulación complementaria para que las entidades del Gobierno Nacional puedan crear los mecanismos exploratorios de regulación para los citados efectos. </w:t>
      </w:r>
    </w:p>
    <w:p w14:paraId="2A537D55" w14:textId="77777777" w:rsidR="007F1725" w:rsidRDefault="007F1725" w:rsidP="007F1725">
      <w:pPr>
        <w:shd w:val="clear" w:color="auto" w:fill="FFFFFF"/>
        <w:jc w:val="both"/>
        <w:rPr>
          <w:rFonts w:cs="Arial"/>
          <w:kern w:val="1"/>
          <w:lang w:val="es-CO"/>
        </w:rPr>
      </w:pPr>
    </w:p>
    <w:p w14:paraId="5FFBDCF3" w14:textId="77777777" w:rsidR="007F1725" w:rsidRDefault="007F1725" w:rsidP="00800EE0">
      <w:pPr>
        <w:shd w:val="clear" w:color="auto" w:fill="FFFFFF" w:themeFill="background1"/>
        <w:jc w:val="both"/>
        <w:rPr>
          <w:rFonts w:cs="Arial"/>
          <w:lang w:val="es-CO"/>
        </w:rPr>
      </w:pPr>
      <w:r>
        <w:rPr>
          <w:rFonts w:cs="Arial"/>
          <w:kern w:val="1"/>
          <w:lang w:val="es-CO"/>
        </w:rPr>
        <w:t xml:space="preserve">Que, de conformidad con lo precedente, en el parágrafo 6 del artículo 2.2.1.19.2.3. del Decreto 1074 de 2015, adicionado por el citado Decreto 1732 de 2021, el cual hace referencia a la creación de los ambientes especiales de vigilancia y control o </w:t>
      </w:r>
      <w:r w:rsidRPr="439B31BF">
        <w:rPr>
          <w:rFonts w:cs="Arial"/>
          <w:i/>
          <w:iCs/>
          <w:kern w:val="1"/>
          <w:lang w:val="es-CO"/>
        </w:rPr>
        <w:t>sandbox</w:t>
      </w:r>
      <w:r>
        <w:rPr>
          <w:rFonts w:cs="Arial"/>
          <w:kern w:val="1"/>
          <w:lang w:val="es-CO"/>
        </w:rPr>
        <w:t xml:space="preserve"> regulatorio, se estableció que la creación de estos ambientes o mecanismos equivalentes, respecto de los cuales exista un régimen especial, se regirán por lo que dispongan las normas específicas</w:t>
      </w:r>
      <w:r w:rsidRPr="21004F96">
        <w:rPr>
          <w:rFonts w:cs="Arial"/>
          <w:lang w:val="es-CO"/>
        </w:rPr>
        <w:t xml:space="preserve"> y que, en particular, estarán excluidas las iniciativas en las que existan desarrollos tecnológicos innovadores, entre otras, las relacionadas con telecomunicaciones, así como los regímenes específicos que se creen con posterioridad.</w:t>
      </w:r>
    </w:p>
    <w:p w14:paraId="5C584385" w14:textId="77777777" w:rsidR="007F1725" w:rsidRDefault="007F1725" w:rsidP="00D44E79">
      <w:pPr>
        <w:shd w:val="clear" w:color="auto" w:fill="FFFFFF" w:themeFill="background1"/>
        <w:jc w:val="both"/>
        <w:rPr>
          <w:rFonts w:cs="Arial"/>
          <w:lang w:val="es-CO"/>
        </w:rPr>
      </w:pPr>
    </w:p>
    <w:p w14:paraId="41233F13" w14:textId="299D264C" w:rsidR="007F1725" w:rsidRPr="00F74E86" w:rsidRDefault="007F1725" w:rsidP="005455F3">
      <w:pPr>
        <w:shd w:val="clear" w:color="auto" w:fill="FFFFFF"/>
        <w:jc w:val="both"/>
        <w:rPr>
          <w:rFonts w:cs="Arial"/>
          <w:lang w:val="es-CO"/>
        </w:rPr>
      </w:pPr>
      <w:r w:rsidRPr="00F74E86">
        <w:rPr>
          <w:rFonts w:cs="Arial"/>
          <w:lang w:val="es-CO"/>
        </w:rPr>
        <w:t xml:space="preserve">Que, por otra parte, para el sector de las Tecnologías de la Información y las Comunicaciones, la Sesión de Comisión de Comunicaciones de la Comisión de Regulación de Comunicaciones expidió la Resolución 5980 de 2020, </w:t>
      </w:r>
      <w:r w:rsidRPr="005455F3">
        <w:rPr>
          <w:rFonts w:cs="Arial"/>
          <w:i/>
          <w:iCs/>
          <w:lang w:val="es-CO"/>
        </w:rPr>
        <w:t>“Po</w:t>
      </w:r>
      <w:r w:rsidRPr="005455F3">
        <w:rPr>
          <w:rFonts w:eastAsia="Arial" w:cs="Arial"/>
          <w:i/>
          <w:iCs/>
          <w:lang w:val="es-CO"/>
        </w:rPr>
        <w:t>r la cual se adiciona el Título XII Aplicación de Mecanismos Alternativos de Regulación a la Resolución CRC 5050 de 2016</w:t>
      </w:r>
      <w:r w:rsidR="00F74E86">
        <w:rPr>
          <w:rFonts w:cs="Arial"/>
          <w:lang w:val="es-CO"/>
        </w:rPr>
        <w:t>”</w:t>
      </w:r>
      <w:r w:rsidRPr="00F74E86">
        <w:rPr>
          <w:rFonts w:cs="Arial"/>
          <w:lang w:val="es-CO"/>
        </w:rPr>
        <w:t xml:space="preserve">, a través de </w:t>
      </w:r>
      <w:r w:rsidR="00F74E86">
        <w:rPr>
          <w:rFonts w:cs="Arial"/>
          <w:lang w:val="es-CO"/>
        </w:rPr>
        <w:t>la cual</w:t>
      </w:r>
      <w:r w:rsidR="00F74E86" w:rsidRPr="00F74E86">
        <w:rPr>
          <w:rFonts w:cs="Arial"/>
          <w:lang w:val="es-CO"/>
        </w:rPr>
        <w:t xml:space="preserve"> </w:t>
      </w:r>
      <w:r w:rsidRPr="00F74E86">
        <w:rPr>
          <w:rFonts w:cs="Arial"/>
          <w:lang w:val="es-CO"/>
        </w:rPr>
        <w:t xml:space="preserve">determinó las condiciones generales para la aplicación del Sandbox Regulatorio como mecanismo alternativo de regulación basado en la experimentación monitoreada, con el fin de generar innovación en cualquier aspecto de la provisión de redes y servicios de comunicaciones. Así mismo, la citada norma estableció que resultaba aplicable, entre otros, para los Proveedores de Redes y Servicios de Telecomunicaciones y Operadores de Servicios Postales sujetos a la regulación de la citada Comisión. </w:t>
      </w:r>
    </w:p>
    <w:p w14:paraId="00379C1D" w14:textId="77777777" w:rsidR="007F1725" w:rsidRDefault="007F1725" w:rsidP="007F1725">
      <w:pPr>
        <w:shd w:val="clear" w:color="auto" w:fill="FFFFFF" w:themeFill="background1"/>
        <w:jc w:val="both"/>
        <w:rPr>
          <w:rFonts w:cs="Arial"/>
          <w:lang w:val="es-CO"/>
        </w:rPr>
      </w:pPr>
    </w:p>
    <w:p w14:paraId="706CC0B3" w14:textId="77777777" w:rsidR="007F1725" w:rsidRDefault="007F1725" w:rsidP="007F1725">
      <w:pPr>
        <w:jc w:val="both"/>
        <w:rPr>
          <w:rFonts w:cs="Arial"/>
          <w:lang w:val="es-CO"/>
        </w:rPr>
      </w:pPr>
      <w:r w:rsidRPr="22538234">
        <w:rPr>
          <w:rFonts w:cs="Arial"/>
          <w:lang w:val="es-CO"/>
        </w:rPr>
        <w:t>Que la Organización para la Cooperación y el Desarrollo Económico (OCDE), en el documento “</w:t>
      </w:r>
      <w:r w:rsidRPr="22538234">
        <w:rPr>
          <w:rFonts w:cs="Arial"/>
          <w:i/>
          <w:iCs/>
          <w:lang w:val="es-CO"/>
        </w:rPr>
        <w:t>El rol de los sandbox en la promoción de la flexibilidad y la innovación en la era digital</w:t>
      </w:r>
      <w:r w:rsidRPr="22538234">
        <w:rPr>
          <w:rFonts w:cs="Arial"/>
          <w:lang w:val="es-CO"/>
        </w:rPr>
        <w:t xml:space="preserve">” (por su traducción en español), manifestó en el año 2020 que las tecnologías digitales y los datos han desatado por completo nuevas industrias disruptivas; que los modelos de negocios y los productos innovadores habilitados por las tecnologías digitales difieren significativamente de aquellos en mercados tradicionales, y en algunos casos, no se adecúan a los marcos regulatorios existentes y que, en respuesta a ello, la Política Pública está en creciente experimentación mediante el desarrollo de mecanismos que promueven la aplicación o vigilancia flexible, como el uso de los sandbox regulatorios, los cuales pueden ser particularmente útiles para ciertas clases de innovación apalancadas en tecnologías digitales. </w:t>
      </w:r>
    </w:p>
    <w:p w14:paraId="17298DC4" w14:textId="77777777" w:rsidR="007F1725" w:rsidRDefault="007F1725" w:rsidP="007F1725">
      <w:pPr>
        <w:jc w:val="both"/>
        <w:rPr>
          <w:rFonts w:cs="Arial"/>
          <w:lang w:val="es-CO"/>
        </w:rPr>
      </w:pPr>
    </w:p>
    <w:p w14:paraId="47446A59" w14:textId="50EC94C2" w:rsidR="007F1725" w:rsidRDefault="007F1725" w:rsidP="007F1725">
      <w:pPr>
        <w:jc w:val="both"/>
        <w:rPr>
          <w:rFonts w:cs="Arial"/>
          <w:lang w:val="es-CO"/>
        </w:rPr>
      </w:pPr>
      <w:r w:rsidRPr="439B31BF">
        <w:rPr>
          <w:rFonts w:cs="Arial"/>
          <w:lang w:val="es-CO"/>
        </w:rPr>
        <w:t xml:space="preserve">Que la OCDE resaltó en el citado documento como mejor práctica cinco (5) características de los sandbox regulatorios, en específico: i) la innovación genuina, entendida como tecnología nueva y emergente o el uso innovador de tecnologías existentes; ii) beneficio social identificable, para lo cual se deben esbozar los beneficios directos asociados con la innovación o el modelo de negocios; iii) </w:t>
      </w:r>
      <w:r w:rsidRPr="439B31BF">
        <w:rPr>
          <w:rFonts w:cs="Arial"/>
          <w:lang w:val="es-CO"/>
        </w:rPr>
        <w:lastRenderedPageBreak/>
        <w:t>demostrar la necesidad de exenciones regulatorias, para lo cual se debe identificar el requerimiento regulatorio particular que constriñe la actividad emprendedora; iv) límites definidos en tiempo, sector y lugar geográfico en el que se ejecuta el sandbox regulatorio; y v) mecanismos de salvaguarda para limitar cualquier potencial consecuencia negativa sobre los consumidores.</w:t>
      </w:r>
    </w:p>
    <w:p w14:paraId="26B0BFF6" w14:textId="77777777" w:rsidR="007F1725" w:rsidRDefault="007F1725" w:rsidP="007F1725">
      <w:pPr>
        <w:jc w:val="both"/>
        <w:rPr>
          <w:rFonts w:cs="Arial"/>
          <w:lang w:val="es-CO"/>
        </w:rPr>
      </w:pPr>
    </w:p>
    <w:p w14:paraId="65C0FBDC" w14:textId="77777777" w:rsidR="007F1725" w:rsidRDefault="007F1725" w:rsidP="007F1725">
      <w:pPr>
        <w:jc w:val="both"/>
        <w:rPr>
          <w:rFonts w:cs="Arial"/>
          <w:lang w:val="es-CO"/>
        </w:rPr>
      </w:pPr>
      <w:r w:rsidRPr="22538234">
        <w:rPr>
          <w:rFonts w:cs="Arial"/>
          <w:lang w:val="es-CO"/>
        </w:rPr>
        <w:t xml:space="preserve">Que, adicional al establecimiento del marco regulatorio tipo </w:t>
      </w:r>
      <w:r>
        <w:rPr>
          <w:rFonts w:cs="Arial"/>
          <w:lang w:val="es-CO"/>
        </w:rPr>
        <w:t>s</w:t>
      </w:r>
      <w:r w:rsidRPr="22538234">
        <w:rPr>
          <w:rFonts w:cs="Arial"/>
          <w:lang w:val="es-CO"/>
        </w:rPr>
        <w:t>andbox que podrá implementar el Ministerio de Tecnologías de la Información y las Comunicaciones para el fomento de la innovación y transformación del sector</w:t>
      </w:r>
      <w:r>
        <w:rPr>
          <w:rFonts w:cs="Arial"/>
          <w:lang w:val="es-CO"/>
        </w:rPr>
        <w:t xml:space="preserve"> en virtud del presente Decreto</w:t>
      </w:r>
      <w:r w:rsidRPr="22538234">
        <w:rPr>
          <w:rFonts w:cs="Arial"/>
          <w:lang w:val="es-CO"/>
        </w:rPr>
        <w:t xml:space="preserve">, en aplicación de los principios de coordinación y colaboración previamente señalados y, con el propósito de materializar los principios de eficiencia y economía que rigen la función administrativa prescritos en el artículo 209 de la Constitución Política y 3 de la Ley 1437 de 2011, se propone la definición de un marco normativo que a su vez faculte la generación de un Sandbox Sectorial para permitir a los interesados estructurar sus propuestas innovadoras.  </w:t>
      </w:r>
    </w:p>
    <w:p w14:paraId="378B094E" w14:textId="77777777" w:rsidR="007F1725" w:rsidRDefault="007F1725" w:rsidP="007F1725">
      <w:pPr>
        <w:shd w:val="clear" w:color="auto" w:fill="FFFFFF"/>
        <w:jc w:val="both"/>
        <w:rPr>
          <w:rFonts w:cs="Arial"/>
          <w:kern w:val="1"/>
          <w:lang w:val="es-CO"/>
        </w:rPr>
      </w:pPr>
    </w:p>
    <w:p w14:paraId="6BF0BBC4" w14:textId="77777777" w:rsidR="007F1725" w:rsidRDefault="007F1725" w:rsidP="007F1725">
      <w:pPr>
        <w:shd w:val="clear" w:color="auto" w:fill="FFFFFF" w:themeFill="background1"/>
        <w:jc w:val="both"/>
        <w:rPr>
          <w:rFonts w:cs="Arial"/>
          <w:kern w:val="1"/>
          <w:lang w:val="es-CO"/>
        </w:rPr>
      </w:pPr>
      <w:r>
        <w:rPr>
          <w:rFonts w:cs="Arial"/>
          <w:kern w:val="1"/>
          <w:lang w:val="es-CO"/>
        </w:rPr>
        <w:t xml:space="preserve">Que, en efecto, el marco normativo propuesto para la implementación del mecanismo de Sandbox Regulatorio Sectorial en materia de </w:t>
      </w:r>
      <w:r w:rsidRPr="00C6679D">
        <w:rPr>
          <w:rFonts w:cs="Arial"/>
          <w:kern w:val="1"/>
          <w:lang w:val="es-CO"/>
        </w:rPr>
        <w:t>Tecnologías de la Información y las Comunicaciones</w:t>
      </w:r>
      <w:r>
        <w:rPr>
          <w:rFonts w:cs="Arial"/>
          <w:kern w:val="1"/>
          <w:lang w:val="es-CO"/>
        </w:rPr>
        <w:t xml:space="preserve"> permite la materialización del objeto y funciones de las entidades que conforman la organización institucional del sector, entre ellos, como fue señalado, estimular el desarrollo de la industria y el crecimiento económico del país. </w:t>
      </w:r>
    </w:p>
    <w:p w14:paraId="0D604485" w14:textId="77777777" w:rsidR="007F1725" w:rsidRDefault="007F1725" w:rsidP="007F1725">
      <w:pPr>
        <w:jc w:val="both"/>
        <w:rPr>
          <w:rFonts w:cs="Arial"/>
          <w:lang w:val="es-CO"/>
        </w:rPr>
      </w:pPr>
    </w:p>
    <w:p w14:paraId="41314E99" w14:textId="77777777" w:rsidR="007F1725" w:rsidRDefault="007F1725" w:rsidP="007F1725">
      <w:pPr>
        <w:jc w:val="both"/>
        <w:rPr>
          <w:rFonts w:cs="Arial"/>
          <w:kern w:val="1"/>
          <w:lang w:val="es-CO"/>
        </w:rPr>
      </w:pPr>
      <w:r>
        <w:rPr>
          <w:rFonts w:cs="Arial"/>
          <w:lang w:val="es-CO"/>
        </w:rPr>
        <w:t xml:space="preserve">Que, en todo caso, para la implementación del Sandbox </w:t>
      </w:r>
      <w:r>
        <w:rPr>
          <w:rFonts w:cs="Arial"/>
          <w:kern w:val="1"/>
          <w:lang w:val="es-CO"/>
        </w:rPr>
        <w:t xml:space="preserve">Regulatorio Sectorial en materia de </w:t>
      </w:r>
      <w:r w:rsidRPr="00C6679D">
        <w:rPr>
          <w:rFonts w:cs="Arial"/>
          <w:kern w:val="1"/>
          <w:lang w:val="es-CO"/>
        </w:rPr>
        <w:t>Tecnologías de la Información y las Comunicaciones</w:t>
      </w:r>
      <w:r>
        <w:rPr>
          <w:rFonts w:cs="Arial"/>
          <w:kern w:val="1"/>
          <w:lang w:val="es-CO"/>
        </w:rPr>
        <w:t xml:space="preserve">, se respetará la autonomía, e independencia de las autoridades involucradas, quienes, en el ejercicio de sus respectivas competencias, adoptarán las medidas pertinentes con el propósito de permitir la aplicación del citado mecanismo alternativo de regulación. </w:t>
      </w:r>
    </w:p>
    <w:p w14:paraId="1BA12AD6" w14:textId="77777777" w:rsidR="007F1725" w:rsidRDefault="007F1725" w:rsidP="007F1725">
      <w:pPr>
        <w:jc w:val="both"/>
        <w:rPr>
          <w:rFonts w:cs="Arial"/>
          <w:kern w:val="1"/>
          <w:lang w:val="es-CO"/>
        </w:rPr>
      </w:pPr>
    </w:p>
    <w:p w14:paraId="10F512C3" w14:textId="77777777" w:rsidR="007F1725" w:rsidRDefault="007F1725" w:rsidP="007F1725">
      <w:pPr>
        <w:shd w:val="clear" w:color="auto" w:fill="FFFFFF" w:themeFill="background1"/>
        <w:jc w:val="both"/>
        <w:rPr>
          <w:rFonts w:cs="Arial"/>
          <w:lang w:val="es-CO"/>
        </w:rPr>
      </w:pPr>
      <w:r w:rsidRPr="439B31BF">
        <w:rPr>
          <w:rFonts w:cs="Arial"/>
          <w:lang w:val="es-CO"/>
        </w:rPr>
        <w:t>Que, de acuerdo con todo lo anterior, se hace necesario adicionar el Título 23 a la Parte 2 del Libro 2 del Decreto 1078 de 2015, Único Reglamentario del Sector de Tecnologías de la Información y las Comunicaciones, de tal manera que se establezcan las condiciones generales y el procedimiento para la aplicación del Sandbox Regulatorio del Ministerio de Tecnologías de la Información y las Comunicaciones y del Sandbox Regulatorio Sectorial como mecanismo alternativo de regulación basado en la experimentación monitoreada, con el fin de generar innovación en el sector.</w:t>
      </w:r>
    </w:p>
    <w:p w14:paraId="24DD6D1A" w14:textId="77777777" w:rsidR="007F1725" w:rsidRDefault="007F1725" w:rsidP="007F1725">
      <w:pPr>
        <w:shd w:val="clear" w:color="auto" w:fill="FFFFFF" w:themeFill="background1"/>
        <w:jc w:val="both"/>
        <w:rPr>
          <w:rFonts w:cs="Arial"/>
          <w:lang w:val="es-CO"/>
        </w:rPr>
      </w:pPr>
    </w:p>
    <w:p w14:paraId="5DAF4301" w14:textId="44D268CA" w:rsidR="007F1725" w:rsidRDefault="007F1725" w:rsidP="007F1725">
      <w:pPr>
        <w:shd w:val="clear" w:color="auto" w:fill="FFFFFF" w:themeFill="background1"/>
        <w:jc w:val="both"/>
        <w:rPr>
          <w:rFonts w:cs="Arial"/>
          <w:kern w:val="1"/>
          <w:lang w:val="es-CO"/>
        </w:rPr>
      </w:pPr>
      <w:r>
        <w:rPr>
          <w:rFonts w:cs="Arial"/>
          <w:kern w:val="1"/>
          <w:lang w:val="es-CO"/>
        </w:rPr>
        <w:t xml:space="preserve">Que, en suma, resulta necesaria la adición del citado título para promover el </w:t>
      </w:r>
      <w:r w:rsidRPr="00DC712F">
        <w:rPr>
          <w:rFonts w:cs="Arial"/>
          <w:kern w:val="1"/>
          <w:lang w:val="es-CO"/>
        </w:rPr>
        <w:t>Sandbox Regulatorio del Ministerio de Tecnologías de la Información y las Comunicaciones y el Sandbox Regulatorio Sectorial como mecanismo</w:t>
      </w:r>
      <w:r>
        <w:rPr>
          <w:rFonts w:cs="Arial"/>
          <w:kern w:val="1"/>
          <w:lang w:val="es-CO"/>
        </w:rPr>
        <w:t>s</w:t>
      </w:r>
      <w:r w:rsidRPr="00DC712F">
        <w:rPr>
          <w:rFonts w:cs="Arial"/>
          <w:kern w:val="1"/>
          <w:lang w:val="es-CO"/>
        </w:rPr>
        <w:t xml:space="preserve"> alternativo</w:t>
      </w:r>
      <w:r>
        <w:rPr>
          <w:rFonts w:cs="Arial"/>
          <w:kern w:val="1"/>
          <w:lang w:val="es-CO"/>
        </w:rPr>
        <w:t xml:space="preserve">s de regulación que permitan la innovación en el sector de Tecnologías de la Información y las Comunicaciones con la participación dinámica y abierta de los grupos de valor y, de esta manera, fomentar la adopción de nuevos modelos de negocio por parte de la industria que impacten en la materialización del interés general; lo anterior, considerando la transformación acelerada de nuevas tecnologías y modelos de negocio que suponen la necesaria adaptación de la regulación vigente. </w:t>
      </w:r>
    </w:p>
    <w:p w14:paraId="570ADFF4" w14:textId="77777777" w:rsidR="004000CE" w:rsidRDefault="004000CE" w:rsidP="007F1725">
      <w:pPr>
        <w:shd w:val="clear" w:color="auto" w:fill="FFFFFF" w:themeFill="background1"/>
        <w:jc w:val="both"/>
        <w:rPr>
          <w:rFonts w:cs="Arial"/>
          <w:kern w:val="1"/>
          <w:lang w:val="es-CO"/>
        </w:rPr>
      </w:pPr>
    </w:p>
    <w:p w14:paraId="4E084A3E" w14:textId="2133BAEB" w:rsidR="007F1725" w:rsidRDefault="007F1725" w:rsidP="007F1725">
      <w:pPr>
        <w:shd w:val="clear" w:color="auto" w:fill="FFFFFF" w:themeFill="background1"/>
        <w:jc w:val="both"/>
        <w:rPr>
          <w:rFonts w:cs="Arial"/>
          <w:kern w:val="1"/>
          <w:lang w:val="es-CO"/>
        </w:rPr>
      </w:pPr>
      <w:r w:rsidRPr="00E7042D">
        <w:rPr>
          <w:rFonts w:cs="Arial"/>
          <w:kern w:val="1"/>
          <w:lang w:val="es-CO"/>
        </w:rPr>
        <w:t>Que</w:t>
      </w:r>
      <w:r>
        <w:rPr>
          <w:rFonts w:cs="Arial"/>
          <w:kern w:val="1"/>
          <w:lang w:val="es-CO"/>
        </w:rPr>
        <w:t>,</w:t>
      </w:r>
      <w:r w:rsidRPr="00E7042D">
        <w:rPr>
          <w:rFonts w:cs="Arial"/>
          <w:kern w:val="1"/>
          <w:lang w:val="es-CO"/>
        </w:rPr>
        <w:t xml:space="preserve"> en cumplimiento de lo dispuesto en los artículos 3 y 8 de la Ley 1437</w:t>
      </w:r>
      <w:r>
        <w:rPr>
          <w:rFonts w:cs="Arial"/>
          <w:kern w:val="1"/>
          <w:lang w:val="es-CO"/>
        </w:rPr>
        <w:t xml:space="preserve"> de</w:t>
      </w:r>
      <w:r w:rsidRPr="00E7042D">
        <w:rPr>
          <w:rFonts w:cs="Arial"/>
          <w:kern w:val="1"/>
          <w:lang w:val="es-CO"/>
        </w:rPr>
        <w:t xml:space="preserve"> 201</w:t>
      </w:r>
      <w:r>
        <w:rPr>
          <w:rFonts w:cs="Arial"/>
          <w:kern w:val="1"/>
          <w:lang w:val="es-CO"/>
        </w:rPr>
        <w:t xml:space="preserve">1 y </w:t>
      </w:r>
      <w:r w:rsidRPr="00E7042D">
        <w:rPr>
          <w:rFonts w:cs="Arial"/>
          <w:kern w:val="1"/>
          <w:lang w:val="es-CO"/>
        </w:rPr>
        <w:t xml:space="preserve">en el artículo 2.1.2.1.14. del Decreto 1081 de 2015, Único Reglamentario Sector Presidencia de la República, el Decreto fue publicado en la página </w:t>
      </w:r>
      <w:r w:rsidR="00D405D8">
        <w:rPr>
          <w:rFonts w:cs="Arial"/>
          <w:lang w:val="es-CO"/>
        </w:rPr>
        <w:t>w</w:t>
      </w:r>
      <w:r w:rsidRPr="00E7042D">
        <w:rPr>
          <w:rFonts w:cs="Arial"/>
          <w:kern w:val="1"/>
          <w:lang w:val="es-CO"/>
        </w:rPr>
        <w:t>eb</w:t>
      </w:r>
      <w:r w:rsidRPr="22538234">
        <w:rPr>
          <w:rFonts w:cs="Arial"/>
          <w:lang w:val="es-CO"/>
        </w:rPr>
        <w:t xml:space="preserve"> oficial</w:t>
      </w:r>
      <w:r w:rsidRPr="00E7042D">
        <w:rPr>
          <w:rFonts w:cs="Arial"/>
          <w:kern w:val="1"/>
          <w:lang w:val="es-CO"/>
        </w:rPr>
        <w:t xml:space="preserve"> del </w:t>
      </w:r>
      <w:r w:rsidRPr="00E7042D">
        <w:rPr>
          <w:rFonts w:cs="Arial"/>
          <w:kern w:val="1"/>
          <w:lang w:val="es-CO"/>
        </w:rPr>
        <w:lastRenderedPageBreak/>
        <w:t xml:space="preserve">Ministerio de </w:t>
      </w:r>
      <w:r>
        <w:rPr>
          <w:rFonts w:cs="Arial"/>
          <w:kern w:val="1"/>
          <w:lang w:val="es-CO"/>
        </w:rPr>
        <w:t>Tecnologías de la Información y las Comunicaciones</w:t>
      </w:r>
      <w:r w:rsidRPr="00E7042D">
        <w:rPr>
          <w:rFonts w:cs="Arial"/>
          <w:kern w:val="1"/>
          <w:lang w:val="es-CO"/>
        </w:rPr>
        <w:t xml:space="preserve"> del </w:t>
      </w:r>
      <w:r w:rsidRPr="21004F96">
        <w:rPr>
          <w:rFonts w:cs="Arial"/>
          <w:kern w:val="1"/>
          <w:highlight w:val="yellow"/>
          <w:lang w:val="es-CO"/>
        </w:rPr>
        <w:t>XXX de XXXX al XXX de XXX de 2022</w:t>
      </w:r>
      <w:r>
        <w:rPr>
          <w:rFonts w:cs="Arial"/>
          <w:kern w:val="1"/>
          <w:lang w:val="es-CO"/>
        </w:rPr>
        <w:t>, con el propósito de recibir comentarios, observaciones y/o propuestas por parte de ciudadanos y grupos de interés</w:t>
      </w:r>
      <w:r w:rsidRPr="00E7042D">
        <w:rPr>
          <w:rFonts w:cs="Arial"/>
          <w:kern w:val="1"/>
          <w:lang w:val="es-CO"/>
        </w:rPr>
        <w:t>.</w:t>
      </w:r>
    </w:p>
    <w:p w14:paraId="53C5AB98" w14:textId="6154B68A" w:rsidR="00A77DB1" w:rsidRDefault="00A77DB1" w:rsidP="007F1725">
      <w:pPr>
        <w:shd w:val="clear" w:color="auto" w:fill="FFFFFF" w:themeFill="background1"/>
        <w:jc w:val="both"/>
        <w:rPr>
          <w:rFonts w:cs="Arial"/>
          <w:kern w:val="1"/>
          <w:lang w:val="es-CO"/>
        </w:rPr>
      </w:pPr>
    </w:p>
    <w:p w14:paraId="592C0FFD" w14:textId="535529D1" w:rsidR="00A77DB1" w:rsidRPr="00A77DB1" w:rsidRDefault="00A77DB1" w:rsidP="00A77DB1">
      <w:pPr>
        <w:shd w:val="clear" w:color="auto" w:fill="FFFFFF" w:themeFill="background1"/>
        <w:jc w:val="both"/>
        <w:rPr>
          <w:rFonts w:cs="Arial"/>
          <w:kern w:val="1"/>
          <w:lang w:val="es-CO"/>
        </w:rPr>
      </w:pPr>
      <w:r w:rsidRPr="00A77DB1">
        <w:rPr>
          <w:rFonts w:cs="Arial"/>
          <w:kern w:val="1"/>
          <w:lang w:val="es-CO"/>
        </w:rPr>
        <w:t xml:space="preserve">Que en cumplimiento del artículo 7 de la Ley 1340 de 2009, reglamentado por el Capítulo 30 del Título 2 de la Parte 2 del Libro 2 del Decreto Único Reglamentario del Sector Comercio, Industria y Turismo, Decreto 1074 de 2015, mediante oficio radicado número </w:t>
      </w:r>
      <w:r>
        <w:rPr>
          <w:rFonts w:cs="Arial"/>
          <w:kern w:val="1"/>
          <w:lang w:val="es-CO"/>
        </w:rPr>
        <w:t>XXXXXX</w:t>
      </w:r>
      <w:r w:rsidRPr="00A77DB1">
        <w:rPr>
          <w:rFonts w:cs="Arial"/>
          <w:kern w:val="1"/>
          <w:lang w:val="es-CO"/>
        </w:rPr>
        <w:t xml:space="preserve"> del </w:t>
      </w:r>
      <w:r>
        <w:rPr>
          <w:rFonts w:cs="Arial"/>
          <w:kern w:val="1"/>
          <w:lang w:val="es-CO"/>
        </w:rPr>
        <w:t>XXX</w:t>
      </w:r>
      <w:r w:rsidRPr="00A77DB1">
        <w:rPr>
          <w:rFonts w:cs="Arial"/>
          <w:kern w:val="1"/>
          <w:lang w:val="es-CO"/>
        </w:rPr>
        <w:t xml:space="preserve"> de </w:t>
      </w:r>
      <w:r>
        <w:rPr>
          <w:rFonts w:cs="Arial"/>
          <w:kern w:val="1"/>
          <w:lang w:val="es-CO"/>
        </w:rPr>
        <w:t>XXX</w:t>
      </w:r>
      <w:r w:rsidRPr="00A77DB1">
        <w:rPr>
          <w:rFonts w:cs="Arial"/>
          <w:kern w:val="1"/>
          <w:lang w:val="es-CO"/>
        </w:rPr>
        <w:t xml:space="preserve"> de 2022, el Ministerio de Tecnologías de la Información y las Comunicaciones envió a la Delegatura para la Protección de la Competencia de la Superintendencia de Industria y Comercio el presente proyecto de decreto, con el fin de que dicha entidad rindiera concepto previo en ejercicio de sus funciones de Abogacía de la Competencia.</w:t>
      </w:r>
    </w:p>
    <w:p w14:paraId="0A6E533A" w14:textId="77777777" w:rsidR="00A77DB1" w:rsidRPr="00A77DB1" w:rsidRDefault="00A77DB1" w:rsidP="00A77DB1">
      <w:pPr>
        <w:shd w:val="clear" w:color="auto" w:fill="FFFFFF" w:themeFill="background1"/>
        <w:jc w:val="both"/>
        <w:rPr>
          <w:rFonts w:cs="Arial"/>
          <w:kern w:val="1"/>
          <w:lang w:val="es-CO"/>
        </w:rPr>
      </w:pPr>
    </w:p>
    <w:p w14:paraId="09EBC18D" w14:textId="1357B849" w:rsidR="00A77DB1" w:rsidRDefault="00A77DB1" w:rsidP="00A77DB1">
      <w:pPr>
        <w:shd w:val="clear" w:color="auto" w:fill="FFFFFF" w:themeFill="background1"/>
        <w:jc w:val="both"/>
        <w:rPr>
          <w:rFonts w:cs="Arial"/>
          <w:kern w:val="1"/>
          <w:lang w:val="es-CO"/>
        </w:rPr>
      </w:pPr>
      <w:r w:rsidRPr="00A77DB1">
        <w:rPr>
          <w:rFonts w:cs="Arial"/>
          <w:kern w:val="1"/>
          <w:lang w:val="es-CO"/>
        </w:rPr>
        <w:t xml:space="preserve">Que, de conformidad con lo anterior, la Superintendencia de Industria y Comercio mediante Oficio número </w:t>
      </w:r>
      <w:r>
        <w:rPr>
          <w:rFonts w:cs="Arial"/>
          <w:kern w:val="1"/>
          <w:lang w:val="es-CO"/>
        </w:rPr>
        <w:t>XXXX</w:t>
      </w:r>
      <w:r w:rsidRPr="00A77DB1">
        <w:rPr>
          <w:rFonts w:cs="Arial"/>
          <w:kern w:val="1"/>
          <w:lang w:val="es-CO"/>
        </w:rPr>
        <w:t xml:space="preserve"> con fecha del </w:t>
      </w:r>
      <w:r>
        <w:rPr>
          <w:rFonts w:cs="Arial"/>
          <w:kern w:val="1"/>
          <w:lang w:val="es-CO"/>
        </w:rPr>
        <w:t>XX</w:t>
      </w:r>
      <w:r w:rsidRPr="00A77DB1">
        <w:rPr>
          <w:rFonts w:cs="Arial"/>
          <w:kern w:val="1"/>
          <w:lang w:val="es-CO"/>
        </w:rPr>
        <w:t xml:space="preserve"> de </w:t>
      </w:r>
      <w:r>
        <w:rPr>
          <w:rFonts w:cs="Arial"/>
          <w:kern w:val="1"/>
          <w:lang w:val="es-CO"/>
        </w:rPr>
        <w:t>XXX</w:t>
      </w:r>
      <w:r w:rsidRPr="00A77DB1">
        <w:rPr>
          <w:rFonts w:cs="Arial"/>
          <w:kern w:val="1"/>
          <w:lang w:val="es-CO"/>
        </w:rPr>
        <w:t xml:space="preserve"> de 2022 emitió concepto de abogacía de la competencia en el que concluyó que </w:t>
      </w:r>
      <w:r>
        <w:rPr>
          <w:rFonts w:cs="Arial"/>
          <w:kern w:val="1"/>
          <w:lang w:val="es-CO"/>
        </w:rPr>
        <w:t>“(…)”</w:t>
      </w:r>
      <w:r w:rsidR="00CA645D">
        <w:rPr>
          <w:rFonts w:cs="Arial"/>
          <w:kern w:val="1"/>
          <w:lang w:val="es-CO"/>
        </w:rPr>
        <w:t>.</w:t>
      </w:r>
    </w:p>
    <w:p w14:paraId="2F150371" w14:textId="77777777" w:rsidR="007F1725" w:rsidRDefault="007F1725" w:rsidP="007F1725">
      <w:pPr>
        <w:shd w:val="clear" w:color="auto" w:fill="FFFFFF"/>
        <w:jc w:val="both"/>
        <w:rPr>
          <w:rFonts w:cs="Arial"/>
          <w:kern w:val="1"/>
          <w:lang w:val="es-CO"/>
        </w:rPr>
      </w:pPr>
    </w:p>
    <w:p w14:paraId="5431D480" w14:textId="77777777" w:rsidR="007F1725" w:rsidRDefault="007F1725" w:rsidP="007F1725">
      <w:pPr>
        <w:widowControl w:val="0"/>
        <w:ind w:right="-2"/>
        <w:jc w:val="both"/>
        <w:rPr>
          <w:rFonts w:cs="Arial"/>
          <w:kern w:val="1"/>
          <w:lang w:val="es-CO"/>
        </w:rPr>
      </w:pPr>
      <w:r>
        <w:rPr>
          <w:rFonts w:cs="Arial"/>
          <w:kern w:val="1"/>
          <w:lang w:val="es-CO"/>
        </w:rPr>
        <w:t>En</w:t>
      </w:r>
      <w:r w:rsidRPr="00281830">
        <w:rPr>
          <w:rFonts w:cs="Arial"/>
          <w:kern w:val="1"/>
          <w:lang w:val="es-CO"/>
        </w:rPr>
        <w:t xml:space="preserve"> mérito de lo expuesto, </w:t>
      </w:r>
    </w:p>
    <w:p w14:paraId="16B21329" w14:textId="77777777" w:rsidR="007F1725" w:rsidRDefault="007F1725" w:rsidP="007F1725">
      <w:pPr>
        <w:widowControl w:val="0"/>
        <w:ind w:right="-2"/>
        <w:jc w:val="both"/>
        <w:rPr>
          <w:rFonts w:cs="Arial"/>
          <w:kern w:val="1"/>
          <w:lang w:val="es-CO"/>
        </w:rPr>
      </w:pPr>
    </w:p>
    <w:p w14:paraId="4895CB82" w14:textId="77777777" w:rsidR="007F1725" w:rsidRPr="00281830" w:rsidRDefault="007F1725" w:rsidP="007F1725">
      <w:pPr>
        <w:widowControl w:val="0"/>
        <w:ind w:right="-2"/>
        <w:jc w:val="center"/>
        <w:rPr>
          <w:rFonts w:cs="Arial"/>
          <w:b/>
          <w:bCs/>
          <w:kern w:val="1"/>
          <w:lang w:val="es-CO"/>
        </w:rPr>
      </w:pPr>
      <w:r w:rsidRPr="00281830">
        <w:rPr>
          <w:rFonts w:cs="Arial"/>
          <w:b/>
          <w:bCs/>
          <w:kern w:val="1"/>
          <w:lang w:val="es-CO"/>
        </w:rPr>
        <w:t>DECRETA</w:t>
      </w:r>
    </w:p>
    <w:p w14:paraId="35AD1C3C" w14:textId="77777777" w:rsidR="007F1725" w:rsidRPr="00E40747" w:rsidRDefault="007F1725" w:rsidP="007F1725">
      <w:pPr>
        <w:widowControl w:val="0"/>
        <w:ind w:right="-2"/>
        <w:jc w:val="center"/>
        <w:rPr>
          <w:rFonts w:cs="Arial"/>
          <w:b/>
          <w:bCs/>
          <w:kern w:val="1"/>
          <w:sz w:val="20"/>
          <w:szCs w:val="20"/>
          <w:lang w:val="es-CO"/>
        </w:rPr>
      </w:pPr>
    </w:p>
    <w:p w14:paraId="4D20F3C0" w14:textId="77777777" w:rsidR="007F1725" w:rsidRDefault="007F1725" w:rsidP="007F1725">
      <w:pPr>
        <w:jc w:val="both"/>
        <w:rPr>
          <w:rFonts w:cs="Arial"/>
        </w:rPr>
      </w:pPr>
      <w:r w:rsidRPr="22538234">
        <w:rPr>
          <w:rFonts w:cs="Arial"/>
          <w:b/>
          <w:bCs/>
        </w:rPr>
        <w:t>Artículo 1°.</w:t>
      </w:r>
      <w:r w:rsidRPr="22538234">
        <w:rPr>
          <w:rFonts w:cs="Arial"/>
        </w:rPr>
        <w:t xml:space="preserve"> </w:t>
      </w:r>
      <w:r w:rsidRPr="008D0C24">
        <w:rPr>
          <w:rFonts w:cs="Arial"/>
          <w:b/>
          <w:bCs/>
          <w:i/>
          <w:iCs/>
        </w:rPr>
        <w:t>Adición del Título 23 a la Parte 2 del Libro 2 del Decreto 1078 de 2015, Único Reglamentario del Sector de Tecnologías de la Información y las Comunicaciones</w:t>
      </w:r>
      <w:r>
        <w:rPr>
          <w:rFonts w:cs="Arial"/>
        </w:rPr>
        <w:t xml:space="preserve">. Adicionar </w:t>
      </w:r>
      <w:r w:rsidRPr="22538234">
        <w:rPr>
          <w:rFonts w:cs="Arial"/>
        </w:rPr>
        <w:t>el Título 23 a la Parte 2 del Libro 2 del Decreto 1078 de 2015, Único Reglamentario del Sector de Tecnologías de la Información y las Comunicaciones, el cual quedará así:</w:t>
      </w:r>
    </w:p>
    <w:p w14:paraId="0433F14F" w14:textId="77777777" w:rsidR="007F1725" w:rsidRPr="00185086" w:rsidRDefault="007F1725" w:rsidP="007F1725">
      <w:pPr>
        <w:jc w:val="both"/>
        <w:rPr>
          <w:rFonts w:cs="Arial"/>
        </w:rPr>
      </w:pPr>
    </w:p>
    <w:p w14:paraId="57BD0E08" w14:textId="77777777" w:rsidR="007F1725" w:rsidRDefault="007F1725" w:rsidP="007F1725">
      <w:pPr>
        <w:ind w:left="708" w:hanging="708"/>
        <w:jc w:val="center"/>
        <w:rPr>
          <w:rFonts w:cs="Arial"/>
          <w:b/>
          <w:bCs/>
        </w:rPr>
      </w:pPr>
      <w:r w:rsidRPr="439B31BF">
        <w:rPr>
          <w:rFonts w:cs="Arial"/>
          <w:b/>
          <w:bCs/>
        </w:rPr>
        <w:t>“TÍTULO 23</w:t>
      </w:r>
    </w:p>
    <w:p w14:paraId="0AD03ACD" w14:textId="77777777" w:rsidR="007F1725" w:rsidRDefault="007F1725" w:rsidP="007F1725">
      <w:pPr>
        <w:ind w:left="708" w:hanging="708"/>
        <w:jc w:val="center"/>
        <w:rPr>
          <w:rFonts w:cs="Arial"/>
          <w:b/>
          <w:bCs/>
        </w:rPr>
      </w:pPr>
    </w:p>
    <w:p w14:paraId="716C818B" w14:textId="77777777" w:rsidR="007F1725" w:rsidRDefault="007F1725" w:rsidP="007F1725">
      <w:pPr>
        <w:spacing w:after="160"/>
        <w:jc w:val="center"/>
        <w:rPr>
          <w:rFonts w:eastAsia="Arial" w:cs="Arial"/>
          <w:color w:val="000000" w:themeColor="text1"/>
        </w:rPr>
      </w:pPr>
      <w:r w:rsidRPr="22538234">
        <w:rPr>
          <w:rFonts w:eastAsia="Arial" w:cs="Arial"/>
          <w:b/>
          <w:bCs/>
          <w:color w:val="000000" w:themeColor="text1"/>
          <w:lang w:val="es-CO"/>
        </w:rPr>
        <w:t>APLICACIÓN DE MECANISMOS ALTERNATIVOS DE REGULACIÓN</w:t>
      </w:r>
    </w:p>
    <w:p w14:paraId="6AB29EBD" w14:textId="77777777" w:rsidR="007F1725" w:rsidRDefault="007F1725" w:rsidP="007F1725">
      <w:pPr>
        <w:spacing w:after="160"/>
        <w:jc w:val="center"/>
        <w:rPr>
          <w:rFonts w:eastAsia="Arial" w:cs="Arial"/>
          <w:color w:val="000000" w:themeColor="text1"/>
        </w:rPr>
      </w:pPr>
      <w:r w:rsidRPr="22538234">
        <w:rPr>
          <w:rFonts w:eastAsia="Arial" w:cs="Arial"/>
          <w:b/>
          <w:bCs/>
          <w:color w:val="000000" w:themeColor="text1"/>
          <w:lang w:val="es-CO"/>
        </w:rPr>
        <w:t>CAPÍTULO 1</w:t>
      </w:r>
    </w:p>
    <w:p w14:paraId="6180B291" w14:textId="77777777" w:rsidR="007F1725" w:rsidRDefault="007F1725" w:rsidP="007F1725">
      <w:pPr>
        <w:spacing w:after="160"/>
        <w:jc w:val="center"/>
        <w:rPr>
          <w:rFonts w:eastAsia="Arial" w:cs="Arial"/>
          <w:color w:val="000000" w:themeColor="text1"/>
        </w:rPr>
      </w:pPr>
      <w:r w:rsidRPr="22538234">
        <w:rPr>
          <w:rFonts w:eastAsia="Arial" w:cs="Arial"/>
          <w:b/>
          <w:bCs/>
          <w:color w:val="000000" w:themeColor="text1"/>
          <w:lang w:val="es-CO"/>
        </w:rPr>
        <w:t>SANDBOX REGULATORIO DEL MINISTERIO DE TECNOLOGÍAS DE LA INFORMACIÓN Y LAS COMUNICACIONES Y SANDBOX REGULATORIO SECTORIAL</w:t>
      </w:r>
    </w:p>
    <w:p w14:paraId="214F52D3" w14:textId="77777777" w:rsidR="007F1725" w:rsidRDefault="007F1725" w:rsidP="007F1725">
      <w:pPr>
        <w:jc w:val="center"/>
        <w:rPr>
          <w:rFonts w:eastAsia="Arial" w:cs="Arial"/>
          <w:b/>
          <w:bCs/>
          <w:color w:val="000000" w:themeColor="text1"/>
          <w:lang w:val="es-CO"/>
        </w:rPr>
      </w:pPr>
      <w:r w:rsidRPr="22538234">
        <w:rPr>
          <w:rFonts w:eastAsia="Arial" w:cs="Arial"/>
          <w:b/>
          <w:bCs/>
          <w:color w:val="000000" w:themeColor="text1"/>
          <w:lang w:val="es-CO"/>
        </w:rPr>
        <w:t>SECCIÓN 1</w:t>
      </w:r>
    </w:p>
    <w:p w14:paraId="7B291C93" w14:textId="77777777" w:rsidR="007F1725" w:rsidRDefault="007F1725" w:rsidP="007F1725">
      <w:pPr>
        <w:jc w:val="center"/>
        <w:rPr>
          <w:rFonts w:eastAsia="Arial" w:cs="Arial"/>
          <w:color w:val="000000" w:themeColor="text1"/>
        </w:rPr>
      </w:pPr>
    </w:p>
    <w:p w14:paraId="733A2EE2" w14:textId="77777777" w:rsidR="007F1725" w:rsidRDefault="007F1725" w:rsidP="007F1725">
      <w:pPr>
        <w:jc w:val="center"/>
        <w:rPr>
          <w:rFonts w:eastAsia="Arial" w:cs="Arial"/>
          <w:b/>
          <w:bCs/>
          <w:color w:val="000000" w:themeColor="text1"/>
          <w:lang w:val="es-CO"/>
        </w:rPr>
      </w:pPr>
      <w:r w:rsidRPr="22538234">
        <w:rPr>
          <w:rFonts w:eastAsia="Arial" w:cs="Arial"/>
          <w:b/>
          <w:bCs/>
          <w:color w:val="000000" w:themeColor="text1"/>
          <w:lang w:val="es-CO"/>
        </w:rPr>
        <w:t>DISPOSICIONES GENERALES</w:t>
      </w:r>
    </w:p>
    <w:p w14:paraId="1A257B21" w14:textId="77777777" w:rsidR="007F1725" w:rsidRDefault="007F1725" w:rsidP="007F1725">
      <w:pPr>
        <w:jc w:val="center"/>
        <w:rPr>
          <w:rFonts w:eastAsia="Arial" w:cs="Arial"/>
          <w:color w:val="000000" w:themeColor="text1"/>
        </w:rPr>
      </w:pPr>
    </w:p>
    <w:p w14:paraId="2AF1718A" w14:textId="07EC6E18" w:rsidR="007F1725" w:rsidRDefault="007F1725" w:rsidP="007F1725">
      <w:pPr>
        <w:jc w:val="both"/>
        <w:rPr>
          <w:rFonts w:eastAsia="Arial" w:cs="Arial"/>
          <w:color w:val="000000" w:themeColor="text1"/>
          <w:lang w:val="es-CO"/>
        </w:rPr>
      </w:pPr>
      <w:r w:rsidRPr="22538234">
        <w:rPr>
          <w:rFonts w:eastAsia="Arial" w:cs="Arial"/>
          <w:b/>
          <w:bCs/>
          <w:color w:val="000000" w:themeColor="text1"/>
          <w:lang w:val="es-CO"/>
        </w:rPr>
        <w:t xml:space="preserve">Artículo 2.2.23.1.1.1. </w:t>
      </w:r>
      <w:r w:rsidRPr="00013DDC">
        <w:rPr>
          <w:rFonts w:eastAsia="Arial" w:cs="Arial"/>
          <w:b/>
          <w:bCs/>
          <w:i/>
          <w:iCs/>
          <w:color w:val="000000" w:themeColor="text1"/>
          <w:lang w:val="es-CO"/>
        </w:rPr>
        <w:t>Objeto</w:t>
      </w:r>
      <w:r w:rsidRPr="22538234">
        <w:rPr>
          <w:rFonts w:eastAsia="Arial" w:cs="Arial"/>
          <w:color w:val="000000" w:themeColor="text1"/>
          <w:lang w:val="es-CO"/>
        </w:rPr>
        <w:t>. El presente Título tiene por objeto determinar las condiciones generales y el procedimiento para la aplicación del Sandbox Regulatorio del Ministerio de Tecnologías de la Información y las Comunicaciones y del Sandbox Regulatorio Sectorial como mecanismos alternativos de regulación basados en la experimentación monitoreada, con el fin de generar innovación en cualquier aspecto de la provisión de redes y servicios de comunicaciones.</w:t>
      </w:r>
    </w:p>
    <w:p w14:paraId="14484C76" w14:textId="77777777" w:rsidR="000C253B" w:rsidRDefault="000C253B" w:rsidP="007F1725">
      <w:pPr>
        <w:jc w:val="both"/>
        <w:rPr>
          <w:rFonts w:eastAsia="Arial" w:cs="Arial"/>
          <w:color w:val="000000" w:themeColor="text1"/>
          <w:lang w:val="es-CO"/>
        </w:rPr>
      </w:pPr>
    </w:p>
    <w:p w14:paraId="332D36E3" w14:textId="47595AA5" w:rsidR="007F1725" w:rsidRDefault="007F1725" w:rsidP="007F1725">
      <w:pPr>
        <w:jc w:val="both"/>
        <w:rPr>
          <w:rFonts w:eastAsia="Arial" w:cs="Arial"/>
          <w:color w:val="000000" w:themeColor="text1"/>
          <w:lang w:val="es-CO"/>
        </w:rPr>
      </w:pPr>
      <w:r w:rsidRPr="22538234">
        <w:rPr>
          <w:rFonts w:eastAsia="Arial" w:cs="Arial"/>
          <w:b/>
          <w:bCs/>
          <w:color w:val="000000" w:themeColor="text1"/>
          <w:lang w:val="es-CO"/>
        </w:rPr>
        <w:t xml:space="preserve">Artículo 2.2.23.1.1.2. </w:t>
      </w:r>
      <w:r w:rsidRPr="00013DDC">
        <w:rPr>
          <w:rFonts w:eastAsia="Arial" w:cs="Arial"/>
          <w:b/>
          <w:bCs/>
          <w:i/>
          <w:iCs/>
          <w:color w:val="000000" w:themeColor="text1"/>
          <w:lang w:val="es-CO"/>
        </w:rPr>
        <w:t>Definiciones</w:t>
      </w:r>
      <w:r w:rsidRPr="22538234">
        <w:rPr>
          <w:rFonts w:eastAsia="Arial" w:cs="Arial"/>
          <w:color w:val="000000" w:themeColor="text1"/>
          <w:lang w:val="es-CO"/>
        </w:rPr>
        <w:t>. Para efectos del presente Título, se tendrán en cuenta las siguientes definiciones:</w:t>
      </w:r>
    </w:p>
    <w:p w14:paraId="49F75763" w14:textId="77777777" w:rsidR="005455F3" w:rsidRDefault="005455F3" w:rsidP="007F1725">
      <w:pPr>
        <w:jc w:val="both"/>
        <w:rPr>
          <w:rFonts w:eastAsia="Arial" w:cs="Arial"/>
          <w:color w:val="000000" w:themeColor="text1"/>
          <w:lang w:val="es-CO"/>
        </w:rPr>
      </w:pPr>
    </w:p>
    <w:p w14:paraId="467C9005" w14:textId="397A77A7" w:rsidR="007F1725" w:rsidRDefault="007F1725" w:rsidP="007F1725">
      <w:pPr>
        <w:ind w:left="284" w:hanging="284"/>
        <w:jc w:val="both"/>
        <w:rPr>
          <w:rFonts w:eastAsia="Arial" w:cs="Arial"/>
          <w:color w:val="000000" w:themeColor="text1"/>
          <w:lang w:val="es-CO"/>
        </w:rPr>
      </w:pPr>
      <w:r w:rsidRPr="00D573D1">
        <w:rPr>
          <w:rFonts w:eastAsia="Arial" w:cs="Arial"/>
          <w:b/>
          <w:bCs/>
          <w:color w:val="000000" w:themeColor="text1"/>
          <w:lang w:val="es-CO"/>
        </w:rPr>
        <w:t>1. Sandbox Regulatorio.</w:t>
      </w:r>
      <w:r w:rsidRPr="00D573D1">
        <w:rPr>
          <w:rFonts w:eastAsia="Arial" w:cs="Arial"/>
          <w:color w:val="000000" w:themeColor="text1"/>
          <w:lang w:val="es-CO"/>
        </w:rPr>
        <w:t xml:space="preserve"> Mecanismo que permite a los Proveedores de Redes y Servicios de Telecomunicaciones</w:t>
      </w:r>
      <w:r w:rsidR="00D44E79">
        <w:rPr>
          <w:rFonts w:eastAsia="Arial" w:cs="Arial"/>
          <w:color w:val="000000" w:themeColor="text1"/>
          <w:lang w:val="es-CO"/>
        </w:rPr>
        <w:t xml:space="preserve"> y </w:t>
      </w:r>
      <w:r w:rsidRPr="00D573D1">
        <w:rPr>
          <w:rFonts w:eastAsia="Arial" w:cs="Arial"/>
          <w:color w:val="000000" w:themeColor="text1"/>
          <w:lang w:val="es-CO"/>
        </w:rPr>
        <w:t xml:space="preserve">de Radiodifusión Sonora, y los Operadores </w:t>
      </w:r>
      <w:r w:rsidRPr="00D573D1">
        <w:rPr>
          <w:rFonts w:eastAsia="Arial" w:cs="Arial"/>
          <w:color w:val="000000" w:themeColor="text1"/>
          <w:lang w:val="es-CO"/>
        </w:rPr>
        <w:lastRenderedPageBreak/>
        <w:t>de Servicios Postales, proponer y probar productos, servicios y soluciones sujetos a un marco regulatorio flexible o bajo un conjunto de exenciones regulatorias, por un periodo de tiempo y geografía limitados, en un ambiente controlado.</w:t>
      </w:r>
    </w:p>
    <w:p w14:paraId="33ADF2DF" w14:textId="77777777" w:rsidR="007F1725" w:rsidRPr="00D573D1" w:rsidRDefault="007F1725" w:rsidP="007F1725">
      <w:pPr>
        <w:jc w:val="both"/>
        <w:rPr>
          <w:rFonts w:eastAsia="Arial" w:cs="Arial"/>
          <w:color w:val="000000" w:themeColor="text1"/>
          <w:lang w:val="es-CO"/>
        </w:rPr>
      </w:pPr>
    </w:p>
    <w:p w14:paraId="334B33CC" w14:textId="6BB7B54D" w:rsidR="007F1725" w:rsidRPr="001863F1" w:rsidRDefault="007F1725" w:rsidP="007F1725">
      <w:pPr>
        <w:ind w:left="284" w:hanging="284"/>
        <w:jc w:val="both"/>
        <w:rPr>
          <w:rFonts w:eastAsia="Arial" w:cs="Arial"/>
          <w:color w:val="000000" w:themeColor="text1"/>
          <w:lang w:val="es-CO"/>
        </w:rPr>
      </w:pPr>
      <w:r w:rsidRPr="00D573D1">
        <w:rPr>
          <w:rFonts w:eastAsia="Arial" w:cs="Arial"/>
          <w:b/>
          <w:bCs/>
          <w:color w:val="000000" w:themeColor="text1"/>
          <w:lang w:val="es-CO"/>
        </w:rPr>
        <w:t>2. Sandbox Regulatorio Sectorial</w:t>
      </w:r>
      <w:r w:rsidRPr="001863F1">
        <w:rPr>
          <w:rFonts w:eastAsia="Arial" w:cs="Arial"/>
          <w:b/>
          <w:bCs/>
          <w:color w:val="000000" w:themeColor="text1"/>
          <w:lang w:val="es-CO"/>
        </w:rPr>
        <w:t>.</w:t>
      </w:r>
      <w:r w:rsidRPr="001863F1">
        <w:rPr>
          <w:rFonts w:eastAsia="Arial" w:cs="Arial"/>
          <w:color w:val="000000" w:themeColor="text1"/>
          <w:lang w:val="es-CO"/>
        </w:rPr>
        <w:t xml:space="preserve"> Mecanismo exploratorio de regulación que se aplica cuando los productos, servicios o soluciones a probar y que propongan los Proveedores de Redes y Servicios de Telecomunicaciones</w:t>
      </w:r>
      <w:r w:rsidR="00D44E79">
        <w:rPr>
          <w:rFonts w:eastAsia="Arial" w:cs="Arial"/>
          <w:color w:val="000000" w:themeColor="text1"/>
          <w:lang w:val="es-CO"/>
        </w:rPr>
        <w:t xml:space="preserve"> y </w:t>
      </w:r>
      <w:r w:rsidRPr="001863F1">
        <w:rPr>
          <w:rFonts w:eastAsia="Arial" w:cs="Arial"/>
          <w:lang w:val="es-CO"/>
        </w:rPr>
        <w:t xml:space="preserve">de Radiodifusión Sonora, y los Operadores de Servicios Postales, </w:t>
      </w:r>
      <w:r w:rsidRPr="001863F1">
        <w:rPr>
          <w:rFonts w:eastAsia="Arial" w:cs="Arial"/>
          <w:color w:val="000000" w:themeColor="text1"/>
          <w:lang w:val="es-CO"/>
        </w:rPr>
        <w:t xml:space="preserve">estén sujetos a un marco regulatorio que involucre a dos o más entidades del sector, es decir, al Ministerio de Tecnologías de la Información y las Comunicaciones, la Comisión de Regulación de Comunicaciones o la Agencia Nacional del Espectro, según corresponda. </w:t>
      </w:r>
    </w:p>
    <w:p w14:paraId="670EEA54" w14:textId="77777777" w:rsidR="007F1725" w:rsidRDefault="007F1725" w:rsidP="007F1725">
      <w:pPr>
        <w:ind w:left="426" w:hanging="426"/>
        <w:jc w:val="both"/>
        <w:rPr>
          <w:rFonts w:eastAsia="Arial" w:cs="Arial"/>
          <w:color w:val="000000" w:themeColor="text1"/>
          <w:lang w:val="es-CO"/>
        </w:rPr>
      </w:pPr>
    </w:p>
    <w:p w14:paraId="424094D2" w14:textId="53864F7B" w:rsidR="007F1725" w:rsidRDefault="007F1725" w:rsidP="007F1725">
      <w:pPr>
        <w:jc w:val="both"/>
        <w:rPr>
          <w:rFonts w:eastAsia="Arial" w:cs="Arial"/>
          <w:color w:val="000000" w:themeColor="text1"/>
          <w:lang w:val="es-CO"/>
        </w:rPr>
      </w:pPr>
      <w:r w:rsidRPr="22538234">
        <w:rPr>
          <w:rFonts w:eastAsia="Arial" w:cs="Arial"/>
          <w:b/>
          <w:bCs/>
          <w:color w:val="000000" w:themeColor="text1"/>
          <w:lang w:val="es-CO"/>
        </w:rPr>
        <w:t xml:space="preserve">Artículo 2.2.23.1.1.3. </w:t>
      </w:r>
      <w:r w:rsidRPr="008D0C24">
        <w:rPr>
          <w:rFonts w:eastAsia="Arial" w:cs="Arial"/>
          <w:b/>
          <w:bCs/>
          <w:i/>
          <w:iCs/>
          <w:color w:val="000000" w:themeColor="text1"/>
          <w:lang w:val="es-CO"/>
        </w:rPr>
        <w:t>Ámbito de aplicación</w:t>
      </w:r>
      <w:r w:rsidRPr="22538234">
        <w:rPr>
          <w:rFonts w:eastAsia="Arial" w:cs="Arial"/>
          <w:color w:val="000000" w:themeColor="text1"/>
          <w:lang w:val="es-CO"/>
        </w:rPr>
        <w:t>. El presente Título aplica a los Proveedores de Redes y Servicios de Telecomunicaciones</w:t>
      </w:r>
      <w:r w:rsidR="00D44E79">
        <w:rPr>
          <w:rFonts w:eastAsia="Arial" w:cs="Arial"/>
          <w:color w:val="000000" w:themeColor="text1"/>
          <w:lang w:val="es-CO"/>
        </w:rPr>
        <w:t xml:space="preserve"> y</w:t>
      </w:r>
      <w:r w:rsidRPr="22538234">
        <w:rPr>
          <w:rFonts w:eastAsia="Arial" w:cs="Arial"/>
          <w:color w:val="000000" w:themeColor="text1"/>
          <w:lang w:val="es-CO"/>
        </w:rPr>
        <w:t xml:space="preserve"> de Radiodifusión Sonora y los Operadores de Servicios Postales</w:t>
      </w:r>
      <w:r>
        <w:rPr>
          <w:rFonts w:eastAsia="Arial" w:cs="Arial"/>
          <w:color w:val="000000" w:themeColor="text1"/>
          <w:lang w:val="es-CO"/>
        </w:rPr>
        <w:t>,</w:t>
      </w:r>
      <w:r w:rsidRPr="22538234">
        <w:rPr>
          <w:rFonts w:eastAsia="Arial" w:cs="Arial"/>
          <w:color w:val="000000" w:themeColor="text1"/>
          <w:lang w:val="es-CO"/>
        </w:rPr>
        <w:t xml:space="preserve"> </w:t>
      </w:r>
      <w:r>
        <w:rPr>
          <w:rFonts w:eastAsia="Arial" w:cs="Arial"/>
          <w:color w:val="000000" w:themeColor="text1"/>
          <w:lang w:val="es-CO"/>
        </w:rPr>
        <w:t xml:space="preserve">en adelante los </w:t>
      </w:r>
      <w:r w:rsidR="00D44E79">
        <w:rPr>
          <w:rFonts w:eastAsia="Arial" w:cs="Arial"/>
          <w:color w:val="000000" w:themeColor="text1"/>
          <w:lang w:val="es-CO"/>
        </w:rPr>
        <w:t xml:space="preserve">proveedores y/o </w:t>
      </w:r>
      <w:r>
        <w:rPr>
          <w:rFonts w:eastAsia="Arial" w:cs="Arial"/>
          <w:color w:val="000000" w:themeColor="text1"/>
          <w:lang w:val="es-CO"/>
        </w:rPr>
        <w:t xml:space="preserve">operadores, </w:t>
      </w:r>
      <w:r w:rsidRPr="22538234">
        <w:rPr>
          <w:rFonts w:eastAsia="Arial" w:cs="Arial"/>
          <w:color w:val="000000" w:themeColor="text1"/>
          <w:lang w:val="es-CO"/>
        </w:rPr>
        <w:t>que pretendan participar en el Sandbox Regulatorio del Ministerio de Tecnologías de la Información y las Comunicaciones, o en el Sandbox Regulatorio Sectorial, para proponer productos, servicios y soluciones enfocados en la innovación en cualquier aspecto de la provisión de redes y servicios de comunicaciones.</w:t>
      </w:r>
    </w:p>
    <w:p w14:paraId="429A233E" w14:textId="77777777" w:rsidR="007F1725" w:rsidRDefault="007F1725" w:rsidP="007F1725">
      <w:pPr>
        <w:jc w:val="both"/>
        <w:rPr>
          <w:rFonts w:eastAsia="Arial" w:cs="Arial"/>
          <w:color w:val="000000" w:themeColor="text1"/>
        </w:rPr>
      </w:pPr>
    </w:p>
    <w:p w14:paraId="2E46CB08" w14:textId="77777777" w:rsidR="007F1725" w:rsidRPr="004544D0" w:rsidRDefault="007F1725" w:rsidP="007F1725">
      <w:pPr>
        <w:jc w:val="both"/>
        <w:rPr>
          <w:rFonts w:eastAsia="Arial" w:cs="Arial"/>
          <w:color w:val="000000" w:themeColor="text1"/>
          <w:lang w:val="es-CO"/>
        </w:rPr>
      </w:pPr>
      <w:r w:rsidRPr="22538234">
        <w:rPr>
          <w:rFonts w:eastAsia="Arial" w:cs="Arial"/>
          <w:b/>
          <w:bCs/>
          <w:color w:val="000000" w:themeColor="text1"/>
          <w:lang w:val="es-CO"/>
        </w:rPr>
        <w:t xml:space="preserve">Parágrafo 1. </w:t>
      </w:r>
      <w:r w:rsidRPr="22538234">
        <w:rPr>
          <w:rFonts w:eastAsia="Arial" w:cs="Arial"/>
          <w:color w:val="000000" w:themeColor="text1"/>
          <w:lang w:val="es-CO"/>
        </w:rPr>
        <w:t>Las condiciones generales y el procedimiento establecidos en el presente Título</w:t>
      </w:r>
      <w:r>
        <w:rPr>
          <w:rFonts w:eastAsia="Arial" w:cs="Arial"/>
          <w:color w:val="000000" w:themeColor="text1"/>
          <w:lang w:val="es-CO"/>
        </w:rPr>
        <w:t xml:space="preserve"> para el Sandbox del Ministerio de Tecnologías de la Información y las Comunicaciones,</w:t>
      </w:r>
      <w:r w:rsidRPr="22538234">
        <w:rPr>
          <w:rFonts w:eastAsia="Arial" w:cs="Arial"/>
          <w:color w:val="000000" w:themeColor="text1"/>
          <w:lang w:val="es-CO"/>
        </w:rPr>
        <w:t xml:space="preserve"> podrán ser aplicados por la Agencia Nacional del Espectro para permitir el desarrollo de Sandbox Regulatorio en relación con los asuntos de su competencia. </w:t>
      </w:r>
    </w:p>
    <w:p w14:paraId="6CE7ACA6" w14:textId="77777777" w:rsidR="007F1725" w:rsidRPr="004544D0" w:rsidRDefault="007F1725" w:rsidP="007F1725">
      <w:pPr>
        <w:jc w:val="both"/>
        <w:rPr>
          <w:rFonts w:eastAsia="Arial" w:cs="Arial"/>
          <w:b/>
          <w:bCs/>
          <w:color w:val="000000" w:themeColor="text1"/>
          <w:lang w:val="es-CO"/>
        </w:rPr>
      </w:pPr>
    </w:p>
    <w:p w14:paraId="0ED745BB" w14:textId="77777777" w:rsidR="007F1725" w:rsidRPr="001863F1" w:rsidRDefault="007F1725" w:rsidP="007F1725">
      <w:pPr>
        <w:jc w:val="both"/>
        <w:rPr>
          <w:rFonts w:cs="Arial"/>
          <w:kern w:val="1"/>
          <w:lang w:val="es-CO"/>
        </w:rPr>
      </w:pPr>
      <w:bookmarkStart w:id="1" w:name="_Hlk102120429"/>
      <w:r w:rsidRPr="22538234">
        <w:rPr>
          <w:rFonts w:eastAsia="Arial" w:cs="Arial"/>
          <w:b/>
          <w:bCs/>
          <w:color w:val="000000" w:themeColor="text1"/>
          <w:lang w:val="es-CO"/>
        </w:rPr>
        <w:t>Parágrafo 2.</w:t>
      </w:r>
      <w:r w:rsidRPr="22538234">
        <w:rPr>
          <w:rFonts w:eastAsia="Arial" w:cs="Arial"/>
          <w:color w:val="000000" w:themeColor="text1"/>
          <w:lang w:val="es-CO"/>
        </w:rPr>
        <w:t xml:space="preserve"> </w:t>
      </w:r>
      <w:r w:rsidRPr="00902D62">
        <w:rPr>
          <w:rFonts w:cs="Arial"/>
          <w:lang w:val="es-CO"/>
        </w:rPr>
        <w:t xml:space="preserve"> </w:t>
      </w:r>
      <w:r>
        <w:rPr>
          <w:rFonts w:cs="Arial"/>
          <w:lang w:val="es-CO"/>
        </w:rPr>
        <w:t>El presente Título aplicará a la Comisión de Regulación de Comunicaciones en lo relacionado con el desarrollo del Sandbox Regulatorio Sectorial, pero, en todo caso, s</w:t>
      </w:r>
      <w:r>
        <w:rPr>
          <w:rFonts w:cs="Arial"/>
          <w:kern w:val="1"/>
          <w:lang w:val="es-CO"/>
        </w:rPr>
        <w:t xml:space="preserve">e respetará la autonomía e independencia de esta entidad, de acuerdo con lo señalado en el artículo 19 de la Ley 1341 de 2019, modificado por el artículo 15 de la Ley 1978 de 2019, quien en ejercicio de sus competencias, adoptará las medidas pertinentes con el propósito de permitir la aplicación del citado mecanismo alternativo de regulación. </w:t>
      </w:r>
    </w:p>
    <w:bookmarkEnd w:id="1"/>
    <w:p w14:paraId="739AE049" w14:textId="77777777" w:rsidR="007F1725" w:rsidRPr="004544D0" w:rsidDel="00C6136E" w:rsidRDefault="007F1725" w:rsidP="007F1725">
      <w:pPr>
        <w:jc w:val="both"/>
        <w:rPr>
          <w:rFonts w:eastAsia="Arial" w:cs="Arial"/>
          <w:color w:val="000000" w:themeColor="text1"/>
          <w:lang w:val="es-CO"/>
        </w:rPr>
      </w:pPr>
    </w:p>
    <w:p w14:paraId="179B4A0E" w14:textId="6EAEE245" w:rsidR="007F1725" w:rsidRDefault="007F1725" w:rsidP="007F1725">
      <w:pPr>
        <w:jc w:val="both"/>
        <w:rPr>
          <w:rFonts w:eastAsia="Arial" w:cs="Arial"/>
          <w:color w:val="000000" w:themeColor="text1"/>
          <w:lang w:val="es-CO"/>
        </w:rPr>
      </w:pPr>
      <w:r w:rsidRPr="22538234">
        <w:rPr>
          <w:rFonts w:eastAsia="Arial" w:cs="Arial"/>
          <w:b/>
          <w:bCs/>
          <w:color w:val="000000" w:themeColor="text1"/>
          <w:lang w:val="es-CO"/>
        </w:rPr>
        <w:t>Artículo 2.2.23.1.1.4</w:t>
      </w:r>
      <w:r w:rsidRPr="008D0C24">
        <w:rPr>
          <w:rFonts w:eastAsia="Arial" w:cs="Arial"/>
          <w:b/>
          <w:bCs/>
          <w:i/>
          <w:iCs/>
          <w:color w:val="000000" w:themeColor="text1"/>
          <w:lang w:val="es-CO"/>
        </w:rPr>
        <w:t>. Coordinación con otras entidades</w:t>
      </w:r>
      <w:r w:rsidRPr="22538234">
        <w:rPr>
          <w:rFonts w:eastAsia="Arial" w:cs="Arial"/>
          <w:color w:val="000000" w:themeColor="text1"/>
          <w:lang w:val="es-CO"/>
        </w:rPr>
        <w:t>. En virtud de los principios de coordinación y colaboración de las actuaciones y procedimientos administrativos, en el desarrollo de Sandbox Regulatorio, de conformidad con su objeto, el Ministerio de Tecnologías de la Información y las Comunicaciones gestionará las actividades que considere pertinentes y que involucren la flexibilización o exenciones de su normativa</w:t>
      </w:r>
      <w:r w:rsidR="003628B3">
        <w:rPr>
          <w:rFonts w:eastAsia="Arial" w:cs="Arial"/>
          <w:color w:val="000000" w:themeColor="text1"/>
          <w:lang w:val="es-CO"/>
        </w:rPr>
        <w:t>,</w:t>
      </w:r>
      <w:r w:rsidRPr="22538234">
        <w:rPr>
          <w:rFonts w:eastAsia="Arial" w:cs="Arial"/>
          <w:color w:val="000000" w:themeColor="text1"/>
          <w:lang w:val="es-CO"/>
        </w:rPr>
        <w:t xml:space="preserve"> con otras autoridades.</w:t>
      </w:r>
    </w:p>
    <w:p w14:paraId="3B74C68A" w14:textId="77777777" w:rsidR="007F1725" w:rsidRDefault="007F1725" w:rsidP="007F1725">
      <w:pPr>
        <w:jc w:val="both"/>
        <w:rPr>
          <w:rFonts w:eastAsia="Arial" w:cs="Arial"/>
          <w:color w:val="000000" w:themeColor="text1"/>
        </w:rPr>
      </w:pPr>
    </w:p>
    <w:p w14:paraId="09F1729B" w14:textId="573E73EC" w:rsidR="007F1725" w:rsidRDefault="007F1725" w:rsidP="007F1725">
      <w:pPr>
        <w:jc w:val="both"/>
        <w:rPr>
          <w:rFonts w:eastAsia="Arial" w:cs="Arial"/>
          <w:color w:val="000000" w:themeColor="text1"/>
          <w:lang w:val="es-CO"/>
        </w:rPr>
      </w:pPr>
      <w:r w:rsidRPr="22538234">
        <w:rPr>
          <w:rFonts w:eastAsia="Arial" w:cs="Arial"/>
          <w:color w:val="000000" w:themeColor="text1"/>
          <w:lang w:val="es-CO"/>
        </w:rPr>
        <w:t xml:space="preserve">Cuando se trate de Sandbox Regulatorio Sectorial, dentro de las actividades de coordinación sectorial a desarrollar por el </w:t>
      </w:r>
      <w:bookmarkStart w:id="2" w:name="_Hlk104903842"/>
      <w:r w:rsidRPr="22538234">
        <w:rPr>
          <w:rFonts w:eastAsia="Arial" w:cs="Arial"/>
          <w:color w:val="000000" w:themeColor="text1"/>
          <w:lang w:val="es-CO"/>
        </w:rPr>
        <w:t>Ministerio de Tecnologías de la Información y las Comunicaciones, la Comisión de Regulación de Comunicaciones, y la Agencia Nacional del Espectro</w:t>
      </w:r>
      <w:bookmarkEnd w:id="2"/>
      <w:r w:rsidRPr="22538234">
        <w:rPr>
          <w:rFonts w:eastAsia="Arial" w:cs="Arial"/>
          <w:color w:val="000000" w:themeColor="text1"/>
          <w:lang w:val="es-CO"/>
        </w:rPr>
        <w:t>,</w:t>
      </w:r>
      <w:r>
        <w:rPr>
          <w:rFonts w:eastAsia="Arial" w:cs="Arial"/>
          <w:color w:val="000000" w:themeColor="text1"/>
          <w:lang w:val="es-CO"/>
        </w:rPr>
        <w:t xml:space="preserve"> y dentro del ámbito de su competencia</w:t>
      </w:r>
      <w:r w:rsidRPr="22538234">
        <w:rPr>
          <w:rFonts w:eastAsia="Arial" w:cs="Arial"/>
          <w:color w:val="000000" w:themeColor="text1"/>
          <w:lang w:val="es-CO"/>
        </w:rPr>
        <w:t xml:space="preserve"> se podrán incluir las siguientes:</w:t>
      </w:r>
    </w:p>
    <w:p w14:paraId="11F20E3D" w14:textId="77777777" w:rsidR="004000CE" w:rsidRDefault="004000CE" w:rsidP="007F1725">
      <w:pPr>
        <w:jc w:val="both"/>
        <w:rPr>
          <w:rFonts w:eastAsia="Arial" w:cs="Arial"/>
          <w:color w:val="000000" w:themeColor="text1"/>
          <w:lang w:val="es-CO"/>
        </w:rPr>
      </w:pPr>
    </w:p>
    <w:p w14:paraId="67E9654C" w14:textId="5ED3181D" w:rsidR="007F1725" w:rsidRDefault="007F1725" w:rsidP="007F1725">
      <w:pPr>
        <w:ind w:left="426" w:hanging="426"/>
        <w:jc w:val="both"/>
        <w:rPr>
          <w:rFonts w:eastAsia="Arial" w:cs="Arial"/>
          <w:color w:val="000000" w:themeColor="text1"/>
          <w:lang w:val="es-CO"/>
        </w:rPr>
      </w:pPr>
      <w:r>
        <w:rPr>
          <w:rFonts w:eastAsia="Arial" w:cs="Arial"/>
          <w:b/>
          <w:bCs/>
          <w:color w:val="000000" w:themeColor="text1"/>
          <w:lang w:val="es-CO"/>
        </w:rPr>
        <w:lastRenderedPageBreak/>
        <w:t>1.</w:t>
      </w:r>
      <w:r w:rsidRPr="22538234">
        <w:rPr>
          <w:rFonts w:eastAsia="Arial" w:cs="Arial"/>
          <w:color w:val="000000" w:themeColor="text1"/>
          <w:lang w:val="es-CO"/>
        </w:rPr>
        <w:t xml:space="preserve"> </w:t>
      </w:r>
      <w:r>
        <w:tab/>
      </w:r>
      <w:r w:rsidRPr="22538234">
        <w:rPr>
          <w:rFonts w:eastAsia="Arial" w:cs="Arial"/>
          <w:color w:val="000000" w:themeColor="text1"/>
          <w:lang w:val="es-CO"/>
        </w:rPr>
        <w:t>Proponer la apertura de convocatoria pública de recepción de propuestas de Sandbox Regulatorio Sectorial</w:t>
      </w:r>
      <w:r w:rsidRPr="00D44579">
        <w:rPr>
          <w:rFonts w:eastAsia="Arial" w:cs="Arial"/>
          <w:color w:val="000000" w:themeColor="text1"/>
          <w:lang w:val="es-CO"/>
        </w:rPr>
        <w:t xml:space="preserve"> </w:t>
      </w:r>
      <w:r w:rsidRPr="22538234">
        <w:rPr>
          <w:rFonts w:eastAsia="Arial" w:cs="Arial"/>
          <w:color w:val="000000" w:themeColor="text1"/>
          <w:lang w:val="es-CO"/>
        </w:rPr>
        <w:t xml:space="preserve">para generar innovación en la provisión de redes y prestación de servicios de comunicaciones. </w:t>
      </w:r>
    </w:p>
    <w:p w14:paraId="7FDFF856" w14:textId="77777777" w:rsidR="007F1725" w:rsidRDefault="007F1725" w:rsidP="007F1725">
      <w:pPr>
        <w:ind w:left="426" w:hanging="426"/>
        <w:jc w:val="both"/>
        <w:rPr>
          <w:rFonts w:eastAsia="Arial" w:cs="Arial"/>
          <w:color w:val="000000" w:themeColor="text1"/>
          <w:lang w:val="es-CO"/>
        </w:rPr>
      </w:pPr>
    </w:p>
    <w:p w14:paraId="4E46F261" w14:textId="77777777" w:rsidR="007F1725" w:rsidRDefault="007F1725" w:rsidP="007F1725">
      <w:pPr>
        <w:ind w:left="426" w:hanging="426"/>
        <w:jc w:val="both"/>
        <w:rPr>
          <w:rFonts w:eastAsia="Arial" w:cs="Arial"/>
          <w:color w:val="000000" w:themeColor="text1"/>
          <w:lang w:val="es-CO"/>
        </w:rPr>
      </w:pPr>
      <w:r w:rsidRPr="22538234">
        <w:rPr>
          <w:rFonts w:eastAsia="Arial" w:cs="Arial"/>
          <w:b/>
          <w:bCs/>
          <w:color w:val="000000" w:themeColor="text1"/>
          <w:lang w:val="es-CO"/>
        </w:rPr>
        <w:t>3.</w:t>
      </w:r>
      <w:r w:rsidRPr="22538234">
        <w:rPr>
          <w:rFonts w:eastAsia="Arial" w:cs="Arial"/>
          <w:color w:val="000000" w:themeColor="text1"/>
          <w:lang w:val="es-CO"/>
        </w:rPr>
        <w:t xml:space="preserve"> </w:t>
      </w:r>
      <w:r>
        <w:tab/>
      </w:r>
      <w:r w:rsidRPr="22538234">
        <w:rPr>
          <w:rFonts w:eastAsia="Arial" w:cs="Arial"/>
          <w:color w:val="000000" w:themeColor="text1"/>
          <w:lang w:val="es-CO"/>
        </w:rPr>
        <w:t>Definir y evaluar los requisitos mínimos necesarios para la formulación de las propuestas de Sandbox Regulatorio Sectorial.</w:t>
      </w:r>
    </w:p>
    <w:p w14:paraId="12CD45E3" w14:textId="77777777" w:rsidR="007F1725" w:rsidRDefault="007F1725" w:rsidP="007F1725">
      <w:pPr>
        <w:ind w:left="426" w:hanging="426"/>
        <w:jc w:val="both"/>
        <w:rPr>
          <w:rFonts w:eastAsia="Arial" w:cs="Arial"/>
          <w:color w:val="000000" w:themeColor="text1"/>
          <w:lang w:val="es-CO"/>
        </w:rPr>
      </w:pPr>
    </w:p>
    <w:p w14:paraId="67FED65A" w14:textId="77777777" w:rsidR="007F1725" w:rsidRDefault="007F1725" w:rsidP="007F1725">
      <w:pPr>
        <w:ind w:left="426" w:hanging="426"/>
        <w:jc w:val="both"/>
        <w:rPr>
          <w:rFonts w:eastAsia="Arial" w:cs="Arial"/>
          <w:color w:val="000000" w:themeColor="text1"/>
          <w:lang w:val="es-CO"/>
        </w:rPr>
      </w:pPr>
      <w:r w:rsidRPr="22538234">
        <w:rPr>
          <w:rFonts w:eastAsia="Arial" w:cs="Arial"/>
          <w:b/>
          <w:bCs/>
          <w:color w:val="000000" w:themeColor="text1"/>
          <w:lang w:val="es-CO"/>
        </w:rPr>
        <w:t>4.</w:t>
      </w:r>
      <w:r w:rsidRPr="22538234">
        <w:rPr>
          <w:rFonts w:eastAsia="Arial" w:cs="Arial"/>
          <w:color w:val="000000" w:themeColor="text1"/>
          <w:lang w:val="es-CO"/>
        </w:rPr>
        <w:t xml:space="preserve"> </w:t>
      </w:r>
      <w:r>
        <w:tab/>
      </w:r>
      <w:r w:rsidRPr="22538234">
        <w:rPr>
          <w:rFonts w:eastAsia="Arial" w:cs="Arial"/>
          <w:color w:val="000000" w:themeColor="text1"/>
          <w:lang w:val="es-CO"/>
        </w:rPr>
        <w:t>Establecer los equipos interdisciplinarios de las entidades que apoyarán el desarrollo de las convocatorias y el seguimiento de cada una de las fases del Sandbox Regulatorio Sectorial.</w:t>
      </w:r>
    </w:p>
    <w:p w14:paraId="36722013" w14:textId="77777777" w:rsidR="007F1725" w:rsidRDefault="007F1725" w:rsidP="007F1725">
      <w:pPr>
        <w:ind w:left="426" w:hanging="426"/>
        <w:jc w:val="both"/>
        <w:rPr>
          <w:rFonts w:eastAsia="Arial" w:cs="Arial"/>
          <w:color w:val="000000" w:themeColor="text1"/>
          <w:lang w:val="es-CO"/>
        </w:rPr>
      </w:pPr>
    </w:p>
    <w:p w14:paraId="53454986" w14:textId="77777777" w:rsidR="007F1725" w:rsidRDefault="007F1725" w:rsidP="007F1725">
      <w:pPr>
        <w:ind w:left="426" w:hanging="426"/>
        <w:jc w:val="both"/>
        <w:rPr>
          <w:rFonts w:eastAsia="Arial" w:cs="Arial"/>
          <w:color w:val="000000" w:themeColor="text1"/>
          <w:lang w:val="es-CO"/>
        </w:rPr>
      </w:pPr>
      <w:r w:rsidRPr="22538234">
        <w:rPr>
          <w:rFonts w:eastAsia="Arial" w:cs="Arial"/>
          <w:b/>
          <w:bCs/>
          <w:color w:val="000000" w:themeColor="text1"/>
          <w:lang w:val="es-CO"/>
        </w:rPr>
        <w:t>5.</w:t>
      </w:r>
      <w:r w:rsidRPr="22538234">
        <w:rPr>
          <w:rFonts w:eastAsia="Arial" w:cs="Arial"/>
          <w:color w:val="000000" w:themeColor="text1"/>
          <w:lang w:val="es-CO"/>
        </w:rPr>
        <w:t xml:space="preserve"> </w:t>
      </w:r>
      <w:r>
        <w:tab/>
      </w:r>
      <w:r w:rsidRPr="22538234">
        <w:rPr>
          <w:rFonts w:eastAsia="Arial" w:cs="Arial"/>
          <w:color w:val="000000" w:themeColor="text1"/>
          <w:lang w:val="es-CO"/>
        </w:rPr>
        <w:t>Gestionar las actividades que considere pertinentes con las demás autoridades.</w:t>
      </w:r>
    </w:p>
    <w:p w14:paraId="2422849B" w14:textId="77777777" w:rsidR="007F1725" w:rsidRDefault="007F1725" w:rsidP="007F1725">
      <w:pPr>
        <w:ind w:left="426" w:hanging="426"/>
        <w:jc w:val="both"/>
        <w:rPr>
          <w:rFonts w:eastAsia="Arial" w:cs="Arial"/>
          <w:color w:val="000000" w:themeColor="text1"/>
          <w:lang w:val="es-CO"/>
        </w:rPr>
      </w:pPr>
    </w:p>
    <w:p w14:paraId="5B45E980" w14:textId="6350FC94" w:rsidR="007F1725" w:rsidRDefault="007F1725" w:rsidP="007F1725">
      <w:pPr>
        <w:jc w:val="both"/>
        <w:rPr>
          <w:rFonts w:eastAsia="Arial" w:cs="Arial"/>
          <w:color w:val="000000" w:themeColor="text1"/>
          <w:lang w:val="es-CO"/>
        </w:rPr>
      </w:pPr>
      <w:r w:rsidRPr="001863F1">
        <w:rPr>
          <w:rFonts w:eastAsia="Arial" w:cs="Arial"/>
          <w:b/>
          <w:bCs/>
          <w:color w:val="000000" w:themeColor="text1"/>
          <w:lang w:val="es-CO"/>
        </w:rPr>
        <w:t xml:space="preserve">Parágrafo. </w:t>
      </w:r>
      <w:r w:rsidRPr="22538234">
        <w:rPr>
          <w:rFonts w:eastAsia="Arial" w:cs="Arial"/>
          <w:color w:val="000000" w:themeColor="text1"/>
          <w:lang w:val="es-CO"/>
        </w:rPr>
        <w:t xml:space="preserve">Para el caso del Sandbox Regulatorio Sectorial, </w:t>
      </w:r>
      <w:r>
        <w:rPr>
          <w:rFonts w:eastAsia="Arial" w:cs="Arial"/>
          <w:color w:val="000000" w:themeColor="text1"/>
          <w:lang w:val="es-CO"/>
        </w:rPr>
        <w:t xml:space="preserve">el Ministerio de Tecnologías de la Información y las Comunicaciones, como cabeza del sector, se encargará de liderar y coordinar con </w:t>
      </w:r>
      <w:r w:rsidRPr="22538234">
        <w:rPr>
          <w:rFonts w:eastAsia="Arial" w:cs="Arial"/>
          <w:color w:val="000000" w:themeColor="text1"/>
          <w:lang w:val="es-CO"/>
        </w:rPr>
        <w:t>la Comisión de Regulación de Comunicaciones y la Agencia Nacional del Espectro</w:t>
      </w:r>
      <w:r>
        <w:rPr>
          <w:rFonts w:eastAsia="Arial" w:cs="Arial"/>
          <w:color w:val="000000" w:themeColor="text1"/>
          <w:lang w:val="es-CO"/>
        </w:rPr>
        <w:t>, el desarrollo de las etapas y fases definidas en el presente Decreto de conformidad con el ámbito de</w:t>
      </w:r>
      <w:r w:rsidR="00080547">
        <w:rPr>
          <w:rFonts w:eastAsia="Arial" w:cs="Arial"/>
          <w:color w:val="000000" w:themeColor="text1"/>
          <w:lang w:val="es-CO"/>
        </w:rPr>
        <w:t xml:space="preserve"> sus</w:t>
      </w:r>
      <w:r>
        <w:rPr>
          <w:rFonts w:eastAsia="Arial" w:cs="Arial"/>
          <w:color w:val="000000" w:themeColor="text1"/>
          <w:lang w:val="es-CO"/>
        </w:rPr>
        <w:t xml:space="preserve"> competencia</w:t>
      </w:r>
      <w:r w:rsidR="00080547">
        <w:rPr>
          <w:rFonts w:eastAsia="Arial" w:cs="Arial"/>
          <w:color w:val="000000" w:themeColor="text1"/>
          <w:lang w:val="es-CO"/>
        </w:rPr>
        <w:t>s</w:t>
      </w:r>
      <w:r>
        <w:rPr>
          <w:rFonts w:eastAsia="Arial" w:cs="Arial"/>
          <w:color w:val="000000" w:themeColor="text1"/>
          <w:lang w:val="es-CO"/>
        </w:rPr>
        <w:t>.</w:t>
      </w:r>
    </w:p>
    <w:p w14:paraId="241BC05F" w14:textId="20A99AE4" w:rsidR="007F1725" w:rsidRDefault="007F1725" w:rsidP="007F1725">
      <w:pPr>
        <w:jc w:val="both"/>
        <w:rPr>
          <w:rFonts w:eastAsia="Arial" w:cs="Arial"/>
          <w:color w:val="000000" w:themeColor="text1"/>
          <w:lang w:val="es-CO"/>
        </w:rPr>
      </w:pPr>
    </w:p>
    <w:p w14:paraId="0F4EF16A" w14:textId="77777777" w:rsidR="007F1725" w:rsidRDefault="007F1725" w:rsidP="007F1725">
      <w:pPr>
        <w:jc w:val="center"/>
        <w:rPr>
          <w:rFonts w:eastAsia="Arial" w:cs="Arial"/>
          <w:b/>
          <w:bCs/>
          <w:color w:val="000000" w:themeColor="text1"/>
          <w:lang w:val="es-CO"/>
        </w:rPr>
      </w:pPr>
      <w:r w:rsidRPr="22538234">
        <w:rPr>
          <w:rFonts w:eastAsia="Arial" w:cs="Arial"/>
          <w:b/>
          <w:bCs/>
          <w:color w:val="000000" w:themeColor="text1"/>
          <w:lang w:val="es-CO"/>
        </w:rPr>
        <w:t>SECCIÓN 2</w:t>
      </w:r>
    </w:p>
    <w:p w14:paraId="629029CD" w14:textId="77777777" w:rsidR="007F1725" w:rsidRDefault="007F1725" w:rsidP="007F1725">
      <w:pPr>
        <w:jc w:val="center"/>
        <w:rPr>
          <w:rFonts w:eastAsia="Arial" w:cs="Arial"/>
          <w:color w:val="000000" w:themeColor="text1"/>
        </w:rPr>
      </w:pPr>
    </w:p>
    <w:p w14:paraId="4FA08373" w14:textId="77777777" w:rsidR="007F1725" w:rsidRDefault="007F1725" w:rsidP="007F1725">
      <w:pPr>
        <w:jc w:val="center"/>
        <w:rPr>
          <w:rFonts w:eastAsia="Arial" w:cs="Arial"/>
          <w:b/>
          <w:bCs/>
          <w:color w:val="000000" w:themeColor="text1"/>
          <w:lang w:val="es-CO"/>
        </w:rPr>
      </w:pPr>
      <w:r w:rsidRPr="22538234">
        <w:rPr>
          <w:rFonts w:eastAsia="Arial" w:cs="Arial"/>
          <w:b/>
          <w:bCs/>
          <w:color w:val="000000" w:themeColor="text1"/>
          <w:lang w:val="es-CO"/>
        </w:rPr>
        <w:t>CONDICIONES GENERALES Y PROCEDIMIENTO PARA LA AUTORIZACIÓN DEL SANDBOX REGULATORIO POR PARTE DEL MINISTERIO DE TECNOLOGÍAS DE LA INFORMACIÓN Y LAS COMUNICACIONES Y DEL SANDBOX REGULATORIO SECTORIAL</w:t>
      </w:r>
    </w:p>
    <w:p w14:paraId="5BDFB4C8" w14:textId="77777777" w:rsidR="007F1725" w:rsidRDefault="007F1725" w:rsidP="007F1725">
      <w:pPr>
        <w:jc w:val="center"/>
        <w:rPr>
          <w:rFonts w:eastAsia="Arial" w:cs="Arial"/>
          <w:b/>
          <w:color w:val="000000" w:themeColor="text1"/>
          <w:lang w:val="es-CO"/>
        </w:rPr>
      </w:pPr>
    </w:p>
    <w:p w14:paraId="30274CFA" w14:textId="75122FFC" w:rsidR="007F1725" w:rsidRPr="00607842" w:rsidRDefault="007F1725" w:rsidP="007F1725">
      <w:pPr>
        <w:jc w:val="both"/>
        <w:rPr>
          <w:rFonts w:eastAsia="Arial" w:cs="Arial"/>
          <w:color w:val="000000" w:themeColor="text1"/>
        </w:rPr>
      </w:pPr>
      <w:r w:rsidRPr="22538234">
        <w:rPr>
          <w:rFonts w:eastAsia="Arial" w:cs="Arial"/>
          <w:b/>
          <w:bCs/>
          <w:color w:val="000000" w:themeColor="text1"/>
        </w:rPr>
        <w:t xml:space="preserve">Artículo </w:t>
      </w:r>
      <w:r w:rsidRPr="22538234">
        <w:rPr>
          <w:rFonts w:eastAsia="Arial" w:cs="Arial"/>
          <w:b/>
          <w:bCs/>
          <w:color w:val="000000" w:themeColor="text1"/>
          <w:lang w:val="es-CO"/>
        </w:rPr>
        <w:t>2.2.23.1.2.1</w:t>
      </w:r>
      <w:r w:rsidRPr="22538234">
        <w:rPr>
          <w:rFonts w:eastAsia="Arial" w:cs="Arial"/>
          <w:b/>
          <w:bCs/>
          <w:color w:val="000000" w:themeColor="text1"/>
        </w:rPr>
        <w:t xml:space="preserve">. </w:t>
      </w:r>
      <w:r w:rsidRPr="008D0C24">
        <w:rPr>
          <w:rFonts w:eastAsia="Arial" w:cs="Arial"/>
          <w:b/>
          <w:bCs/>
          <w:i/>
          <w:iCs/>
          <w:color w:val="000000" w:themeColor="text1"/>
        </w:rPr>
        <w:t>Etapa de preparación</w:t>
      </w:r>
      <w:r w:rsidRPr="22538234">
        <w:rPr>
          <w:rFonts w:eastAsia="Arial" w:cs="Arial"/>
          <w:b/>
          <w:bCs/>
          <w:color w:val="000000" w:themeColor="text1"/>
        </w:rPr>
        <w:t>.</w:t>
      </w:r>
      <w:r w:rsidRPr="22538234">
        <w:rPr>
          <w:rFonts w:eastAsia="Arial" w:cs="Arial"/>
          <w:color w:val="000000" w:themeColor="text1"/>
        </w:rPr>
        <w:t xml:space="preserve"> </w:t>
      </w:r>
      <w:r w:rsidR="003F278A">
        <w:rPr>
          <w:rFonts w:eastAsia="Arial" w:cs="Arial"/>
          <w:color w:val="000000" w:themeColor="text1"/>
        </w:rPr>
        <w:tab/>
        <w:t xml:space="preserve">El </w:t>
      </w:r>
      <w:r w:rsidRPr="22538234">
        <w:rPr>
          <w:rFonts w:eastAsia="Arial" w:cs="Arial"/>
          <w:color w:val="000000" w:themeColor="text1"/>
        </w:rPr>
        <w:t>Ministerio de Tecnologías de la Información y las Comunicaciones</w:t>
      </w:r>
      <w:r w:rsidR="003F278A">
        <w:rPr>
          <w:rFonts w:eastAsia="Arial" w:cs="Arial"/>
          <w:color w:val="000000" w:themeColor="text1"/>
        </w:rPr>
        <w:t xml:space="preserve"> </w:t>
      </w:r>
      <w:r w:rsidRPr="22538234">
        <w:rPr>
          <w:rFonts w:eastAsia="Arial" w:cs="Arial"/>
          <w:color w:val="000000" w:themeColor="text1"/>
        </w:rPr>
        <w:t xml:space="preserve">podrá brindar acompañamiento a los </w:t>
      </w:r>
      <w:r w:rsidR="00D44E79">
        <w:rPr>
          <w:rFonts w:eastAsia="Arial" w:cs="Arial"/>
          <w:color w:val="000000" w:themeColor="text1"/>
          <w:lang w:val="es-CO"/>
        </w:rPr>
        <w:t xml:space="preserve">proveedores y/o operadores </w:t>
      </w:r>
      <w:r w:rsidRPr="22538234">
        <w:rPr>
          <w:rFonts w:eastAsia="Arial" w:cs="Arial"/>
          <w:color w:val="000000" w:themeColor="text1"/>
        </w:rPr>
        <w:t>interesados en presentar propuestas al Sandbox Regulatorio de su competencia. Durante esta etapa, se realizarán actividades de divulgación y capacitación a los</w:t>
      </w:r>
      <w:r>
        <w:rPr>
          <w:rFonts w:eastAsia="Arial" w:cs="Arial"/>
          <w:color w:val="000000" w:themeColor="text1"/>
        </w:rPr>
        <w:t xml:space="preserve"> </w:t>
      </w:r>
      <w:r w:rsidR="00D44E79">
        <w:rPr>
          <w:rFonts w:eastAsia="Arial" w:cs="Arial"/>
          <w:color w:val="000000" w:themeColor="text1"/>
          <w:lang w:val="es-CO"/>
        </w:rPr>
        <w:t xml:space="preserve">proveedores y/o operadores </w:t>
      </w:r>
      <w:r w:rsidRPr="22538234">
        <w:rPr>
          <w:rFonts w:eastAsia="Arial" w:cs="Arial"/>
          <w:color w:val="000000" w:themeColor="text1"/>
        </w:rPr>
        <w:t xml:space="preserve">interesados en estructurar propuestas y aplicar al Sandbox Regulatorio, con el objeto de brindar herramientas para que estos puedan desarrollar satisfactoriamente las propuestas a presentar. </w:t>
      </w:r>
    </w:p>
    <w:p w14:paraId="6EC0D102" w14:textId="77777777" w:rsidR="007F1725" w:rsidRPr="00607842" w:rsidRDefault="007F1725" w:rsidP="007F1725">
      <w:pPr>
        <w:jc w:val="both"/>
        <w:rPr>
          <w:rFonts w:eastAsia="Arial" w:cs="Arial"/>
          <w:color w:val="000000" w:themeColor="text1"/>
        </w:rPr>
      </w:pPr>
    </w:p>
    <w:p w14:paraId="761F30C9" w14:textId="6BAC3658" w:rsidR="007F1725" w:rsidRPr="00607842" w:rsidRDefault="007F1725" w:rsidP="007F1725">
      <w:pPr>
        <w:jc w:val="both"/>
        <w:rPr>
          <w:rFonts w:eastAsia="Arial" w:cs="Arial"/>
          <w:color w:val="000000" w:themeColor="text1"/>
        </w:rPr>
      </w:pPr>
      <w:r w:rsidRPr="22538234">
        <w:rPr>
          <w:rFonts w:eastAsia="Arial" w:cs="Arial"/>
          <w:b/>
          <w:bCs/>
          <w:color w:val="000000" w:themeColor="text1"/>
        </w:rPr>
        <w:t>Parágrafo.</w:t>
      </w:r>
      <w:r w:rsidRPr="22538234">
        <w:rPr>
          <w:rFonts w:eastAsia="Arial" w:cs="Arial"/>
          <w:color w:val="000000" w:themeColor="text1"/>
        </w:rPr>
        <w:t xml:space="preserve"> En caso de Sandbox Regulatorio Sectorial, cuando los</w:t>
      </w:r>
      <w:r>
        <w:rPr>
          <w:rFonts w:eastAsia="Arial" w:cs="Arial"/>
          <w:color w:val="000000" w:themeColor="text1"/>
        </w:rPr>
        <w:t xml:space="preserve"> </w:t>
      </w:r>
      <w:r w:rsidR="00D44E79">
        <w:rPr>
          <w:rFonts w:eastAsia="Arial" w:cs="Arial"/>
          <w:color w:val="000000" w:themeColor="text1"/>
          <w:lang w:val="es-CO"/>
        </w:rPr>
        <w:t xml:space="preserve">proveedores y/o operadores </w:t>
      </w:r>
      <w:r w:rsidRPr="22538234">
        <w:rPr>
          <w:rFonts w:eastAsia="Arial" w:cs="Arial"/>
          <w:color w:val="000000" w:themeColor="text1"/>
        </w:rPr>
        <w:t>interesados soliciten acompañamiento, este podrá ser llevado a cabo de manera conjunta por el Ministerio de Tecnologías de la Información y las Com</w:t>
      </w:r>
      <w:r w:rsidRPr="00C1520C">
        <w:rPr>
          <w:rFonts w:eastAsia="Arial" w:cs="Arial"/>
          <w:color w:val="000000" w:themeColor="text1"/>
        </w:rPr>
        <w:t>unicaciones, la Comisión de Regulación de Comunicaciones y la Agencia Nacional del Espectro, según el objeto de</w:t>
      </w:r>
      <w:r w:rsidRPr="001863F1">
        <w:rPr>
          <w:rFonts w:eastAsia="Arial" w:cs="Arial"/>
          <w:color w:val="000000" w:themeColor="text1"/>
        </w:rPr>
        <w:t xml:space="preserve"> </w:t>
      </w:r>
      <w:r w:rsidRPr="00C1520C">
        <w:rPr>
          <w:rFonts w:eastAsia="Arial" w:cs="Arial"/>
          <w:color w:val="000000" w:themeColor="text1"/>
        </w:rPr>
        <w:t>l</w:t>
      </w:r>
      <w:r w:rsidRPr="001863F1">
        <w:rPr>
          <w:rFonts w:eastAsia="Arial" w:cs="Arial"/>
          <w:color w:val="000000" w:themeColor="text1"/>
        </w:rPr>
        <w:t>a propuesta de</w:t>
      </w:r>
      <w:r w:rsidRPr="00C1520C">
        <w:rPr>
          <w:rFonts w:eastAsia="Arial" w:cs="Arial"/>
          <w:color w:val="000000" w:themeColor="text1"/>
        </w:rPr>
        <w:t xml:space="preserve"> Sandbox</w:t>
      </w:r>
      <w:r>
        <w:rPr>
          <w:rFonts w:eastAsia="Arial" w:cs="Arial"/>
          <w:color w:val="000000" w:themeColor="text1"/>
        </w:rPr>
        <w:t xml:space="preserve"> y sus competencias</w:t>
      </w:r>
      <w:r w:rsidRPr="00C1520C">
        <w:rPr>
          <w:rFonts w:eastAsia="Arial" w:cs="Arial"/>
          <w:color w:val="000000" w:themeColor="text1"/>
        </w:rPr>
        <w:t>.</w:t>
      </w:r>
      <w:r w:rsidRPr="22538234">
        <w:rPr>
          <w:rFonts w:eastAsia="Arial" w:cs="Arial"/>
          <w:color w:val="000000" w:themeColor="text1"/>
        </w:rPr>
        <w:t xml:space="preserve"> La coordinación para el desarrollo de las correspondientes actividades de acompañamiento atenderá a lo señalado en el parágrafo del artículo </w:t>
      </w:r>
      <w:r w:rsidRPr="001863F1">
        <w:rPr>
          <w:rFonts w:eastAsia="Arial" w:cs="Arial"/>
          <w:color w:val="000000" w:themeColor="text1"/>
          <w:lang w:val="es-CO"/>
        </w:rPr>
        <w:t>2.2.23.1.1.4.</w:t>
      </w:r>
      <w:r w:rsidRPr="22538234">
        <w:rPr>
          <w:rFonts w:eastAsia="Arial" w:cs="Arial"/>
          <w:color w:val="000000" w:themeColor="text1"/>
        </w:rPr>
        <w:t xml:space="preserve"> del presente </w:t>
      </w:r>
      <w:r>
        <w:rPr>
          <w:rFonts w:eastAsia="Arial" w:cs="Arial"/>
          <w:color w:val="000000" w:themeColor="text1"/>
        </w:rPr>
        <w:t>Decreto</w:t>
      </w:r>
      <w:r w:rsidRPr="22538234">
        <w:rPr>
          <w:rFonts w:eastAsia="Arial" w:cs="Arial"/>
          <w:color w:val="000000" w:themeColor="text1"/>
        </w:rPr>
        <w:t xml:space="preserve">. </w:t>
      </w:r>
    </w:p>
    <w:p w14:paraId="259F80FD" w14:textId="77777777" w:rsidR="007F1725" w:rsidRPr="00607842" w:rsidRDefault="007F1725" w:rsidP="007F1725">
      <w:pPr>
        <w:ind w:left="426" w:hanging="426"/>
        <w:jc w:val="both"/>
        <w:rPr>
          <w:rFonts w:cstheme="minorBidi"/>
          <w:color w:val="000000" w:themeColor="text1"/>
        </w:rPr>
      </w:pPr>
    </w:p>
    <w:p w14:paraId="73242806" w14:textId="4BA943BD" w:rsidR="007F1725" w:rsidRDefault="007F1725" w:rsidP="007F1725">
      <w:pPr>
        <w:jc w:val="both"/>
        <w:rPr>
          <w:rFonts w:eastAsia="Arial" w:cs="Arial"/>
          <w:color w:val="000000" w:themeColor="text1"/>
          <w:lang w:val="es-CO"/>
        </w:rPr>
      </w:pPr>
      <w:r w:rsidRPr="22538234">
        <w:rPr>
          <w:rFonts w:eastAsia="Arial" w:cs="Arial"/>
          <w:b/>
          <w:bCs/>
          <w:color w:val="000000" w:themeColor="text1"/>
          <w:lang w:val="es-CO"/>
        </w:rPr>
        <w:t xml:space="preserve">Artículo 2.2.23.1.2.2. </w:t>
      </w:r>
      <w:r w:rsidRPr="008D0C24">
        <w:rPr>
          <w:rFonts w:eastAsia="Arial" w:cs="Arial"/>
          <w:b/>
          <w:bCs/>
          <w:i/>
          <w:iCs/>
          <w:color w:val="000000" w:themeColor="text1"/>
          <w:lang w:val="es-CO"/>
        </w:rPr>
        <w:t>Fases de desarrollo del Sandbox.</w:t>
      </w:r>
      <w:r w:rsidRPr="22538234">
        <w:rPr>
          <w:rFonts w:eastAsia="Arial" w:cs="Arial"/>
          <w:color w:val="000000" w:themeColor="text1"/>
          <w:lang w:val="es-CO"/>
        </w:rPr>
        <w:t xml:space="preserve"> El Sandbox Regulatorio del Ministerio de Tecnologías de la Información y las Comunicaciones y el Sandbox Regulatorio Sectorial para la innovación en cualquier aspecto de la provisión de redes y servicios de comunicaciones se desarrollar</w:t>
      </w:r>
      <w:r w:rsidR="003F278A">
        <w:rPr>
          <w:rFonts w:eastAsia="Arial" w:cs="Arial"/>
          <w:color w:val="000000" w:themeColor="text1"/>
          <w:lang w:val="es-CO"/>
        </w:rPr>
        <w:t>á</w:t>
      </w:r>
      <w:r w:rsidRPr="22538234">
        <w:rPr>
          <w:rFonts w:eastAsia="Arial" w:cs="Arial"/>
          <w:color w:val="000000" w:themeColor="text1"/>
          <w:lang w:val="es-CO"/>
        </w:rPr>
        <w:t xml:space="preserve"> en cuatro (4) fases: aplicación, evaluación, experimentación y salida. </w:t>
      </w:r>
    </w:p>
    <w:p w14:paraId="4D205E46" w14:textId="77777777" w:rsidR="007F1725" w:rsidRDefault="007F1725" w:rsidP="007F1725">
      <w:pPr>
        <w:jc w:val="both"/>
        <w:rPr>
          <w:rFonts w:eastAsia="Arial" w:cs="Arial"/>
          <w:color w:val="000000" w:themeColor="text1"/>
        </w:rPr>
      </w:pPr>
    </w:p>
    <w:p w14:paraId="6DCD7313" w14:textId="70BD39E3" w:rsidR="007F1725" w:rsidRDefault="007F1725" w:rsidP="007F1725">
      <w:pPr>
        <w:jc w:val="both"/>
        <w:rPr>
          <w:rFonts w:eastAsia="Arial" w:cs="Arial"/>
          <w:color w:val="000000" w:themeColor="text1"/>
        </w:rPr>
      </w:pPr>
      <w:r w:rsidRPr="66327F2F">
        <w:rPr>
          <w:rFonts w:eastAsia="Arial" w:cs="Arial"/>
          <w:b/>
          <w:bCs/>
          <w:color w:val="000000" w:themeColor="text1"/>
        </w:rPr>
        <w:t xml:space="preserve">Artículo </w:t>
      </w:r>
      <w:r w:rsidRPr="66327F2F">
        <w:rPr>
          <w:rFonts w:eastAsia="Arial" w:cs="Arial"/>
          <w:b/>
          <w:bCs/>
          <w:color w:val="000000" w:themeColor="text1"/>
          <w:lang w:val="es-CO"/>
        </w:rPr>
        <w:t>2.2.23.1.2.3</w:t>
      </w:r>
      <w:r w:rsidRPr="66327F2F">
        <w:rPr>
          <w:rFonts w:eastAsia="Arial" w:cs="Arial"/>
          <w:b/>
          <w:bCs/>
          <w:color w:val="000000" w:themeColor="text1"/>
        </w:rPr>
        <w:t xml:space="preserve">. </w:t>
      </w:r>
      <w:r w:rsidRPr="008D0C24">
        <w:rPr>
          <w:rFonts w:eastAsia="Arial" w:cs="Arial"/>
          <w:b/>
          <w:bCs/>
          <w:i/>
          <w:iCs/>
          <w:color w:val="000000" w:themeColor="text1"/>
        </w:rPr>
        <w:t>Fase de aplicación</w:t>
      </w:r>
      <w:r w:rsidRPr="66327F2F">
        <w:rPr>
          <w:rFonts w:eastAsia="Arial" w:cs="Arial"/>
          <w:b/>
          <w:bCs/>
          <w:color w:val="000000" w:themeColor="text1"/>
        </w:rPr>
        <w:t>.</w:t>
      </w:r>
      <w:r w:rsidRPr="66327F2F">
        <w:rPr>
          <w:rFonts w:eastAsia="Arial" w:cs="Arial"/>
          <w:color w:val="000000" w:themeColor="text1"/>
        </w:rPr>
        <w:t xml:space="preserve"> En esta fase, el Ministerio de Tecnologías de la Información y las Comunicaciones publicará en su página </w:t>
      </w:r>
      <w:r w:rsidRPr="66327F2F" w:rsidDel="003A5FE2">
        <w:rPr>
          <w:rFonts w:eastAsia="Arial" w:cs="Arial"/>
          <w:color w:val="000000" w:themeColor="text1"/>
        </w:rPr>
        <w:t>w</w:t>
      </w:r>
      <w:r w:rsidRPr="66327F2F">
        <w:rPr>
          <w:rFonts w:eastAsia="Arial" w:cs="Arial"/>
          <w:color w:val="000000" w:themeColor="text1"/>
        </w:rPr>
        <w:t xml:space="preserve">eb la </w:t>
      </w:r>
      <w:r w:rsidRPr="66327F2F">
        <w:rPr>
          <w:rFonts w:eastAsia="Arial" w:cs="Arial"/>
          <w:color w:val="000000" w:themeColor="text1"/>
        </w:rPr>
        <w:lastRenderedPageBreak/>
        <w:t xml:space="preserve">apertura de la convocatoria pública de recepción de propuestas de Sandbox Regulatorio, indicando las fechas en las cuales estas se recibirán y demás requisitos exigidos para solicitar su inclusión en el Sandbox Regulatorio de su competencia. Para ser habilitados, los </w:t>
      </w:r>
      <w:r w:rsidR="00D44E79">
        <w:rPr>
          <w:rFonts w:eastAsia="Arial" w:cs="Arial"/>
          <w:color w:val="000000" w:themeColor="text1"/>
          <w:lang w:val="es-CO"/>
        </w:rPr>
        <w:t xml:space="preserve">proveedores y/o operadores </w:t>
      </w:r>
      <w:r w:rsidRPr="66327F2F">
        <w:rPr>
          <w:rFonts w:eastAsia="Arial" w:cs="Arial"/>
          <w:color w:val="000000" w:themeColor="text1"/>
        </w:rPr>
        <w:t xml:space="preserve">proponentes deberán cumplir con la totalidad de los requisitos exigidos en la convocatoria.  </w:t>
      </w:r>
    </w:p>
    <w:p w14:paraId="7DC4A353" w14:textId="77777777" w:rsidR="007F1725" w:rsidRDefault="007F1725" w:rsidP="007F1725">
      <w:pPr>
        <w:jc w:val="both"/>
        <w:rPr>
          <w:rFonts w:eastAsia="Arial" w:cs="Arial"/>
          <w:color w:val="000000" w:themeColor="text1"/>
        </w:rPr>
      </w:pPr>
    </w:p>
    <w:p w14:paraId="7BBA9811" w14:textId="058E7F74" w:rsidR="007F1725" w:rsidRDefault="007F1725" w:rsidP="007F1725">
      <w:pPr>
        <w:jc w:val="both"/>
        <w:rPr>
          <w:rFonts w:eastAsia="Arial" w:cs="Arial"/>
          <w:color w:val="000000" w:themeColor="text1"/>
        </w:rPr>
      </w:pPr>
      <w:r w:rsidRPr="22538234">
        <w:rPr>
          <w:rFonts w:eastAsia="Arial" w:cs="Arial"/>
          <w:color w:val="000000" w:themeColor="text1"/>
        </w:rPr>
        <w:t xml:space="preserve">El Ministerio de Tecnologías de la Información y las Comunicaciones, de conformidad con el número de propuestas recibidas y el objeto de estas, publicará a través de su página </w:t>
      </w:r>
      <w:r w:rsidR="00940E55">
        <w:rPr>
          <w:rFonts w:eastAsia="Arial" w:cs="Arial"/>
          <w:color w:val="000000" w:themeColor="text1"/>
        </w:rPr>
        <w:t>w</w:t>
      </w:r>
      <w:r w:rsidRPr="22538234">
        <w:rPr>
          <w:rFonts w:eastAsia="Arial" w:cs="Arial"/>
          <w:color w:val="000000" w:themeColor="text1"/>
        </w:rPr>
        <w:t>eb un cronograma que contenga como mínimo: la fecha máxima de publicación del informe preliminar de revisión de</w:t>
      </w:r>
      <w:r>
        <w:rPr>
          <w:rFonts w:eastAsia="Arial" w:cs="Arial"/>
          <w:color w:val="000000" w:themeColor="text1"/>
        </w:rPr>
        <w:t>l</w:t>
      </w:r>
      <w:r w:rsidRPr="22538234">
        <w:rPr>
          <w:rFonts w:eastAsia="Arial" w:cs="Arial"/>
          <w:color w:val="000000" w:themeColor="text1"/>
        </w:rPr>
        <w:t xml:space="preserve"> cumplimiento </w:t>
      </w:r>
      <w:r>
        <w:rPr>
          <w:rFonts w:eastAsia="Arial" w:cs="Arial"/>
          <w:color w:val="000000" w:themeColor="text1"/>
        </w:rPr>
        <w:t xml:space="preserve">por parte de cada una de las propuestas, </w:t>
      </w:r>
      <w:r w:rsidRPr="22538234">
        <w:rPr>
          <w:rFonts w:eastAsia="Arial" w:cs="Arial"/>
          <w:color w:val="000000" w:themeColor="text1"/>
        </w:rPr>
        <w:t xml:space="preserve">de los requisitos establecidos en la convocatoria; el término durante el cual este informe será publicado para conocimiento de la ciudadanía y grupos de interés; el plazo que tendrá la </w:t>
      </w:r>
      <w:r>
        <w:rPr>
          <w:rFonts w:eastAsia="Arial" w:cs="Arial"/>
          <w:color w:val="000000" w:themeColor="text1"/>
        </w:rPr>
        <w:t>entidad</w:t>
      </w:r>
      <w:r w:rsidRPr="22538234">
        <w:rPr>
          <w:rFonts w:eastAsia="Arial" w:cs="Arial"/>
          <w:color w:val="000000" w:themeColor="text1"/>
        </w:rPr>
        <w:t xml:space="preserve"> para revisar las correcciones realizadas a las propuestas, y la fecha de publicación de la lista definitiva con las propuestas habilitadas.  </w:t>
      </w:r>
    </w:p>
    <w:p w14:paraId="4068BA30" w14:textId="77777777" w:rsidR="007F1725" w:rsidRDefault="007F1725" w:rsidP="007F1725">
      <w:pPr>
        <w:jc w:val="both"/>
        <w:rPr>
          <w:rFonts w:eastAsia="Arial" w:cs="Arial"/>
          <w:color w:val="000000" w:themeColor="text1"/>
        </w:rPr>
      </w:pPr>
    </w:p>
    <w:p w14:paraId="0CBBA094" w14:textId="3D5C1C81" w:rsidR="007F1725" w:rsidRDefault="007F1725" w:rsidP="007F1725">
      <w:pPr>
        <w:jc w:val="both"/>
        <w:rPr>
          <w:rFonts w:eastAsia="Arial" w:cs="Arial"/>
          <w:color w:val="000000" w:themeColor="text1"/>
        </w:rPr>
      </w:pPr>
      <w:r w:rsidRPr="22538234">
        <w:rPr>
          <w:rFonts w:eastAsia="Arial" w:cs="Arial"/>
          <w:color w:val="000000" w:themeColor="text1"/>
        </w:rPr>
        <w:t>Los</w:t>
      </w:r>
      <w:r>
        <w:rPr>
          <w:rFonts w:eastAsia="Arial" w:cs="Arial"/>
          <w:color w:val="000000" w:themeColor="text1"/>
        </w:rPr>
        <w:t xml:space="preserve"> </w:t>
      </w:r>
      <w:r w:rsidR="00D44E79">
        <w:rPr>
          <w:rFonts w:eastAsia="Arial" w:cs="Arial"/>
          <w:color w:val="000000" w:themeColor="text1"/>
          <w:lang w:val="es-CO"/>
        </w:rPr>
        <w:t xml:space="preserve">proveedores y/o operadores </w:t>
      </w:r>
      <w:r w:rsidRPr="22538234">
        <w:rPr>
          <w:rFonts w:eastAsia="Arial" w:cs="Arial"/>
          <w:color w:val="000000" w:themeColor="text1"/>
        </w:rPr>
        <w:t>interesados que deban realizar subsanaciones a sus propuestas o que deseen presentar observaciones al informe preliminar, lo podrán hacer dentro del término perentorio de un</w:t>
      </w:r>
      <w:r>
        <w:rPr>
          <w:rFonts w:eastAsia="Arial" w:cs="Arial"/>
          <w:color w:val="000000" w:themeColor="text1"/>
        </w:rPr>
        <w:t xml:space="preserve"> </w:t>
      </w:r>
      <w:r w:rsidRPr="22538234">
        <w:rPr>
          <w:rFonts w:eastAsia="Arial" w:cs="Arial"/>
          <w:color w:val="000000" w:themeColor="text1"/>
        </w:rPr>
        <w:t xml:space="preserve">(1) mes siguiente a la finalización del plazo de publicación del mencionado informe. En el caso en que el </w:t>
      </w:r>
      <w:r>
        <w:rPr>
          <w:rFonts w:eastAsia="Arial" w:cs="Arial"/>
          <w:color w:val="000000" w:themeColor="text1"/>
        </w:rPr>
        <w:t xml:space="preserve">operador </w:t>
      </w:r>
      <w:r w:rsidRPr="22538234">
        <w:rPr>
          <w:rFonts w:eastAsia="Arial" w:cs="Arial"/>
          <w:color w:val="000000" w:themeColor="text1"/>
        </w:rPr>
        <w:t>interesado deba realizar subsanaciones, una vez vencido el plazo sin que el solicitante aporte la información requerida, se configurará el desistimiento tácito y se aplicará el procedimiento establecido en el artículo 17 de la Ley 1437 de 2011 o la norma que la modifique, adicione o sustituya.</w:t>
      </w:r>
    </w:p>
    <w:p w14:paraId="150BF8C7" w14:textId="77777777" w:rsidR="007F1725" w:rsidRDefault="007F1725" w:rsidP="007F1725">
      <w:pPr>
        <w:jc w:val="both"/>
        <w:rPr>
          <w:rFonts w:eastAsia="Arial" w:cs="Arial"/>
          <w:color w:val="000000" w:themeColor="text1"/>
        </w:rPr>
      </w:pPr>
    </w:p>
    <w:p w14:paraId="0753A7D0" w14:textId="2ADE3DDC" w:rsidR="007F1725" w:rsidRDefault="007F1725" w:rsidP="007F1725">
      <w:pPr>
        <w:jc w:val="both"/>
        <w:rPr>
          <w:rFonts w:eastAsia="Arial" w:cs="Arial"/>
          <w:color w:val="000000" w:themeColor="text1"/>
        </w:rPr>
      </w:pPr>
      <w:r w:rsidRPr="22538234">
        <w:rPr>
          <w:rFonts w:eastAsia="Arial" w:cs="Arial"/>
          <w:color w:val="000000" w:themeColor="text1"/>
        </w:rPr>
        <w:t xml:space="preserve">Únicamente las propuestas habilitadas pasarán a la fase de evaluación. </w:t>
      </w:r>
    </w:p>
    <w:p w14:paraId="2F598EE9" w14:textId="77777777" w:rsidR="007F1725" w:rsidRDefault="007F1725" w:rsidP="007F1725">
      <w:pPr>
        <w:jc w:val="both"/>
        <w:rPr>
          <w:rFonts w:eastAsia="Arial" w:cs="Arial"/>
          <w:color w:val="000000" w:themeColor="text1"/>
        </w:rPr>
      </w:pPr>
    </w:p>
    <w:p w14:paraId="19CC4AE7" w14:textId="77777777" w:rsidR="007F1725" w:rsidRDefault="007F1725" w:rsidP="007F1725">
      <w:pPr>
        <w:jc w:val="both"/>
        <w:rPr>
          <w:rFonts w:eastAsia="Arial" w:cs="Arial"/>
          <w:color w:val="000000" w:themeColor="text1"/>
        </w:rPr>
      </w:pPr>
      <w:r w:rsidRPr="22538234">
        <w:rPr>
          <w:rFonts w:eastAsia="Arial" w:cs="Arial"/>
          <w:b/>
          <w:bCs/>
          <w:color w:val="000000" w:themeColor="text1"/>
        </w:rPr>
        <w:t xml:space="preserve">Parágrafo. </w:t>
      </w:r>
      <w:r w:rsidRPr="22538234">
        <w:rPr>
          <w:rFonts w:eastAsia="Arial" w:cs="Arial"/>
          <w:color w:val="000000" w:themeColor="text1"/>
        </w:rPr>
        <w:t>En el caso de Sandbox Regulatorio Sectorial, la definición del cronograma de la convocatoria, la revisión del cumplimiento de los requisitos, la verificación de las correcciones u observaciones que se presenten en el periodo de subsanación, así como cualquier otra actuación necesaria en esta fase, se podrá realizar en los términos del presente artículo, de manera conjunta entre el Ministerio de Tecnologías de la Información y las Comunicaciones, la Comisión de Regulación de Comunicaciones, y la Agencia Nacional del Espectro, según el objeto</w:t>
      </w:r>
      <w:r>
        <w:rPr>
          <w:rFonts w:eastAsia="Arial" w:cs="Arial"/>
          <w:color w:val="000000" w:themeColor="text1"/>
        </w:rPr>
        <w:t xml:space="preserve"> de la(s) propuesta(s) del</w:t>
      </w:r>
      <w:r w:rsidRPr="22538234">
        <w:rPr>
          <w:rFonts w:eastAsia="Arial" w:cs="Arial"/>
          <w:color w:val="000000" w:themeColor="text1"/>
        </w:rPr>
        <w:t xml:space="preserve"> citado Sandbox</w:t>
      </w:r>
      <w:r>
        <w:rPr>
          <w:rFonts w:eastAsia="Arial" w:cs="Arial"/>
          <w:color w:val="000000" w:themeColor="text1"/>
        </w:rPr>
        <w:t xml:space="preserve"> y sus competencias</w:t>
      </w:r>
      <w:r w:rsidRPr="22538234">
        <w:rPr>
          <w:rFonts w:eastAsia="Arial" w:cs="Arial"/>
          <w:color w:val="000000" w:themeColor="text1"/>
        </w:rPr>
        <w:t xml:space="preserve">. Las publicaciones correspondientes se realizarán de manera coordinada, </w:t>
      </w:r>
      <w:r>
        <w:rPr>
          <w:rFonts w:eastAsia="Arial" w:cs="Arial"/>
          <w:color w:val="000000" w:themeColor="text1"/>
        </w:rPr>
        <w:t>y</w:t>
      </w:r>
      <w:r w:rsidRPr="22538234">
        <w:rPr>
          <w:rFonts w:eastAsia="Arial" w:cs="Arial"/>
          <w:color w:val="000000" w:themeColor="text1"/>
        </w:rPr>
        <w:t xml:space="preserve"> en cada una de las páginas </w:t>
      </w:r>
      <w:r w:rsidRPr="0F79C0F8">
        <w:rPr>
          <w:rFonts w:eastAsia="Arial" w:cs="Arial"/>
          <w:color w:val="000000" w:themeColor="text1"/>
        </w:rPr>
        <w:t>W</w:t>
      </w:r>
      <w:r w:rsidRPr="22538234">
        <w:rPr>
          <w:rFonts w:eastAsia="Arial" w:cs="Arial"/>
          <w:color w:val="000000" w:themeColor="text1"/>
        </w:rPr>
        <w:t xml:space="preserve">eb de las entidades participantes en la convocatoria de Sandbox. </w:t>
      </w:r>
    </w:p>
    <w:p w14:paraId="4D62339E" w14:textId="77777777" w:rsidR="007F1725" w:rsidRDefault="007F1725" w:rsidP="007F1725">
      <w:pPr>
        <w:jc w:val="both"/>
        <w:rPr>
          <w:rFonts w:eastAsia="Arial" w:cs="Arial"/>
          <w:color w:val="000000" w:themeColor="text1"/>
        </w:rPr>
      </w:pPr>
    </w:p>
    <w:p w14:paraId="4B631AFA" w14:textId="2AF7E363" w:rsidR="007F1725" w:rsidRDefault="007F1725" w:rsidP="007F1725">
      <w:pPr>
        <w:jc w:val="both"/>
        <w:rPr>
          <w:rFonts w:eastAsia="Arial" w:cs="Arial"/>
          <w:lang w:val="es-CO"/>
        </w:rPr>
      </w:pPr>
      <w:r w:rsidRPr="22538234">
        <w:rPr>
          <w:rFonts w:eastAsia="Arial" w:cs="Arial"/>
          <w:b/>
          <w:bCs/>
          <w:color w:val="000000" w:themeColor="text1"/>
        </w:rPr>
        <w:t xml:space="preserve">ARTÍCULO </w:t>
      </w:r>
      <w:r w:rsidRPr="22538234">
        <w:rPr>
          <w:rFonts w:eastAsia="Arial" w:cs="Arial"/>
          <w:b/>
          <w:bCs/>
          <w:color w:val="000000" w:themeColor="text1"/>
          <w:lang w:val="es-CO"/>
        </w:rPr>
        <w:t>2.2.23.1.2.4</w:t>
      </w:r>
      <w:r w:rsidRPr="22538234">
        <w:rPr>
          <w:rFonts w:eastAsia="Arial" w:cs="Arial"/>
          <w:b/>
          <w:bCs/>
          <w:color w:val="000000" w:themeColor="text1"/>
        </w:rPr>
        <w:t xml:space="preserve">. </w:t>
      </w:r>
      <w:r w:rsidRPr="008D0C24">
        <w:rPr>
          <w:rFonts w:eastAsia="Arial" w:cs="Arial"/>
          <w:b/>
          <w:bCs/>
          <w:i/>
          <w:iCs/>
          <w:color w:val="000000" w:themeColor="text1"/>
        </w:rPr>
        <w:t>Fase de Evaluación</w:t>
      </w:r>
      <w:r w:rsidRPr="22538234">
        <w:rPr>
          <w:rFonts w:eastAsia="Arial" w:cs="Arial"/>
          <w:b/>
          <w:bCs/>
          <w:color w:val="000000" w:themeColor="text1"/>
        </w:rPr>
        <w:t>.</w:t>
      </w:r>
      <w:r w:rsidRPr="22538234">
        <w:rPr>
          <w:rFonts w:eastAsia="Arial" w:cs="Arial"/>
          <w:color w:val="000000" w:themeColor="text1"/>
        </w:rPr>
        <w:t xml:space="preserve"> Para el inicio formal de la fase de evaluación, el Ministerio de Tecnologías de la Información y las Comunicaciones, de acuerdo con el número de propuestas habilitadas en la fase de aplicación y de conformidad con el objeto de estas, publicará en su página </w:t>
      </w:r>
      <w:r w:rsidR="00B33F78">
        <w:rPr>
          <w:rFonts w:eastAsia="Arial" w:cs="Arial"/>
          <w:color w:val="000000" w:themeColor="text1"/>
        </w:rPr>
        <w:t>w</w:t>
      </w:r>
      <w:r w:rsidRPr="22538234">
        <w:rPr>
          <w:rFonts w:eastAsia="Arial" w:cs="Arial"/>
          <w:color w:val="000000" w:themeColor="text1"/>
        </w:rPr>
        <w:t xml:space="preserve">eb un nuevo cronograma que establezca, como mínimo: la fecha máxima de publicación del informe preliminar de evaluación de las propuestas de conformidad con los criterios de selección establecidos en el presente artículo; </w:t>
      </w:r>
      <w:r w:rsidR="00232BB4">
        <w:rPr>
          <w:rFonts w:eastAsia="Arial" w:cs="Arial"/>
          <w:color w:val="000000" w:themeColor="text1"/>
        </w:rPr>
        <w:t>la fecha de entrega de</w:t>
      </w:r>
      <w:r w:rsidR="00232BB4" w:rsidRPr="00232BB4">
        <w:rPr>
          <w:rFonts w:eastAsia="Arial" w:cs="Arial"/>
          <w:color w:val="000000" w:themeColor="text1"/>
        </w:rPr>
        <w:t xml:space="preserve"> la</w:t>
      </w:r>
      <w:r w:rsidR="00232BB4">
        <w:rPr>
          <w:rFonts w:eastAsia="Arial" w:cs="Arial"/>
          <w:color w:val="000000" w:themeColor="text1"/>
        </w:rPr>
        <w:t>s</w:t>
      </w:r>
      <w:r w:rsidR="00232BB4" w:rsidRPr="00232BB4">
        <w:rPr>
          <w:rFonts w:eastAsia="Arial" w:cs="Arial"/>
          <w:color w:val="000000" w:themeColor="text1"/>
        </w:rPr>
        <w:t xml:space="preserve"> propuestas metodológicas respecto de la información y los protocolos de recolección a aplicar durante la fase de experimentación, así como el correspondiente plan de salida</w:t>
      </w:r>
      <w:r w:rsidR="00390F97">
        <w:rPr>
          <w:rFonts w:eastAsia="Arial" w:cs="Arial"/>
          <w:color w:val="000000" w:themeColor="text1"/>
        </w:rPr>
        <w:t>;</w:t>
      </w:r>
      <w:r w:rsidR="00232BB4" w:rsidRPr="00232BB4">
        <w:rPr>
          <w:rFonts w:eastAsia="Arial" w:cs="Arial"/>
          <w:color w:val="000000" w:themeColor="text1"/>
        </w:rPr>
        <w:t xml:space="preserve"> </w:t>
      </w:r>
      <w:r w:rsidRPr="22538234">
        <w:rPr>
          <w:rFonts w:eastAsia="Arial" w:cs="Arial"/>
          <w:color w:val="000000" w:themeColor="text1"/>
        </w:rPr>
        <w:t xml:space="preserve">el término durante el cual este informe será publicado para conocimiento de la ciudadanía y grupos de interés; el plazo que tendrá la </w:t>
      </w:r>
      <w:r>
        <w:rPr>
          <w:rFonts w:eastAsia="Arial" w:cs="Arial"/>
          <w:color w:val="000000" w:themeColor="text1"/>
        </w:rPr>
        <w:t>entidad</w:t>
      </w:r>
      <w:r w:rsidRPr="22538234">
        <w:rPr>
          <w:rFonts w:eastAsia="Arial" w:cs="Arial"/>
          <w:color w:val="000000" w:themeColor="text1"/>
        </w:rPr>
        <w:t xml:space="preserve"> para revisar las correcciones realizadas a las propuestas; la fecha de publicación de la lista definitiva con las propuestas </w:t>
      </w:r>
      <w:r w:rsidRPr="22538234">
        <w:rPr>
          <w:rFonts w:eastAsia="Arial" w:cs="Arial"/>
          <w:lang w:val="es-CO"/>
        </w:rPr>
        <w:t>admitidas en el Sandbox Regulatorio; envío para concepto de la autoridad de competencia</w:t>
      </w:r>
      <w:r>
        <w:rPr>
          <w:rFonts w:eastAsia="Arial" w:cs="Arial"/>
          <w:lang w:val="es-CO"/>
        </w:rPr>
        <w:t xml:space="preserve"> en caso de que </w:t>
      </w:r>
      <w:r>
        <w:rPr>
          <w:rFonts w:eastAsia="Arial" w:cs="Arial"/>
          <w:lang w:val="es-CO"/>
        </w:rPr>
        <w:lastRenderedPageBreak/>
        <w:t>se requiera</w:t>
      </w:r>
      <w:r w:rsidRPr="22538234">
        <w:rPr>
          <w:rFonts w:eastAsia="Arial" w:cs="Arial"/>
          <w:lang w:val="es-CO"/>
        </w:rPr>
        <w:t xml:space="preserve"> y, la fecha estimada de expedición del acto administrativo que autoriza continuar a la fase de experimentación establecida en el artículo </w:t>
      </w:r>
      <w:r w:rsidRPr="001863F1">
        <w:rPr>
          <w:rFonts w:eastAsia="Arial" w:cs="Arial"/>
          <w:color w:val="000000" w:themeColor="text1"/>
          <w:lang w:val="es-CO"/>
        </w:rPr>
        <w:t>2.2.23.1.2.10</w:t>
      </w:r>
      <w:r w:rsidRPr="001863F1">
        <w:rPr>
          <w:rFonts w:eastAsia="Arial" w:cs="Arial"/>
          <w:color w:val="000000" w:themeColor="text1"/>
        </w:rPr>
        <w:t xml:space="preserve">. </w:t>
      </w:r>
      <w:r w:rsidRPr="22538234">
        <w:rPr>
          <w:rFonts w:eastAsia="Arial" w:cs="Arial"/>
          <w:lang w:val="es-CO"/>
        </w:rPr>
        <w:t xml:space="preserve">del presente </w:t>
      </w:r>
      <w:r>
        <w:rPr>
          <w:rFonts w:eastAsia="Arial" w:cs="Arial"/>
          <w:lang w:val="es-CO"/>
        </w:rPr>
        <w:t>Decreto</w:t>
      </w:r>
      <w:r w:rsidRPr="22538234">
        <w:rPr>
          <w:rFonts w:eastAsia="Arial" w:cs="Arial"/>
          <w:lang w:val="es-CO"/>
        </w:rPr>
        <w:t>.</w:t>
      </w:r>
    </w:p>
    <w:p w14:paraId="340EB5D9" w14:textId="77777777" w:rsidR="007F1725" w:rsidRDefault="007F1725" w:rsidP="007F1725">
      <w:pPr>
        <w:jc w:val="both"/>
        <w:rPr>
          <w:rFonts w:eastAsia="Arial" w:cs="Arial"/>
          <w:lang w:val="es-CO"/>
        </w:rPr>
      </w:pPr>
    </w:p>
    <w:p w14:paraId="3363152F" w14:textId="36A4BA26" w:rsidR="007F1725" w:rsidRDefault="007F1725" w:rsidP="007F1725">
      <w:pPr>
        <w:jc w:val="both"/>
        <w:rPr>
          <w:rFonts w:eastAsia="Arial" w:cs="Arial"/>
          <w:color w:val="000000" w:themeColor="text1"/>
        </w:rPr>
      </w:pPr>
      <w:r w:rsidRPr="22538234">
        <w:rPr>
          <w:rFonts w:eastAsia="Arial" w:cs="Arial"/>
          <w:lang w:val="es-CO"/>
        </w:rPr>
        <w:t>Los</w:t>
      </w:r>
      <w:r>
        <w:rPr>
          <w:rFonts w:eastAsia="Arial" w:cs="Arial"/>
          <w:lang w:val="es-CO"/>
        </w:rPr>
        <w:t xml:space="preserve"> </w:t>
      </w:r>
      <w:r w:rsidR="00D44E79">
        <w:rPr>
          <w:rFonts w:eastAsia="Arial" w:cs="Arial"/>
          <w:color w:val="000000" w:themeColor="text1"/>
          <w:lang w:val="es-CO"/>
        </w:rPr>
        <w:t xml:space="preserve">proveedores y/o operadores </w:t>
      </w:r>
      <w:r w:rsidRPr="22538234">
        <w:rPr>
          <w:rFonts w:eastAsia="Arial" w:cs="Arial"/>
          <w:lang w:val="es-CO"/>
        </w:rPr>
        <w:t xml:space="preserve">interesados que deban realizar subsanaciones a sus </w:t>
      </w:r>
      <w:r>
        <w:rPr>
          <w:rFonts w:eastAsia="Arial" w:cs="Arial"/>
          <w:lang w:val="es-CO"/>
        </w:rPr>
        <w:t>propuestas</w:t>
      </w:r>
      <w:r w:rsidRPr="22538234">
        <w:rPr>
          <w:rFonts w:eastAsia="Arial" w:cs="Arial"/>
          <w:lang w:val="es-CO"/>
        </w:rPr>
        <w:t xml:space="preserve"> o que deseen presentar observaciones a la evaluación, lo podrán hacer dentro del término perentorio de un (1) mes siguiente a la culminación del periodo de publicación en la página </w:t>
      </w:r>
      <w:r w:rsidR="00B33F78">
        <w:rPr>
          <w:rFonts w:eastAsia="Arial" w:cs="Arial"/>
          <w:lang w:val="es-CO"/>
        </w:rPr>
        <w:t>w</w:t>
      </w:r>
      <w:r w:rsidRPr="22538234">
        <w:rPr>
          <w:rFonts w:eastAsia="Arial" w:cs="Arial"/>
          <w:lang w:val="es-CO"/>
        </w:rPr>
        <w:t>eb. Una vez vencido el plazo sin que el solicitante aporte la información requerida, se configurará el desistimiento tácito y se aplicará el procedimiento establecido en el artículo 17 de la Ley 1437 de 2011 o la norma que la modifique, adicione o sustituya.</w:t>
      </w:r>
    </w:p>
    <w:p w14:paraId="7B306D42" w14:textId="77777777" w:rsidR="007F1725" w:rsidRDefault="007F1725" w:rsidP="007F1725">
      <w:pPr>
        <w:jc w:val="both"/>
        <w:rPr>
          <w:rFonts w:eastAsia="Arial" w:cs="Arial"/>
          <w:color w:val="000000" w:themeColor="text1"/>
        </w:rPr>
      </w:pPr>
    </w:p>
    <w:p w14:paraId="0BDC7E3B" w14:textId="12E138A6" w:rsidR="007F1725" w:rsidRDefault="007F1725" w:rsidP="007F1725">
      <w:pPr>
        <w:jc w:val="both"/>
        <w:rPr>
          <w:rFonts w:eastAsia="Arial" w:cs="Arial"/>
          <w:color w:val="000000" w:themeColor="text1"/>
        </w:rPr>
      </w:pPr>
      <w:r w:rsidRPr="21004F96">
        <w:rPr>
          <w:rFonts w:eastAsia="Arial" w:cs="Arial"/>
          <w:color w:val="000000" w:themeColor="text1"/>
        </w:rPr>
        <w:t>El Ministerio de Tecnologías de la Información y las Comunicaciones</w:t>
      </w:r>
      <w:r>
        <w:rPr>
          <w:rFonts w:eastAsia="Arial" w:cs="Arial"/>
          <w:color w:val="000000" w:themeColor="text1"/>
        </w:rPr>
        <w:t>, a través del equipo interdisciplinario que establezca para el efecto,</w:t>
      </w:r>
      <w:r w:rsidRPr="21004F96">
        <w:rPr>
          <w:rFonts w:eastAsia="Arial" w:cs="Arial"/>
          <w:color w:val="000000" w:themeColor="text1"/>
        </w:rPr>
        <w:t xml:space="preserve"> realizará </w:t>
      </w:r>
      <w:r w:rsidR="000602FF">
        <w:rPr>
          <w:rFonts w:eastAsia="Arial" w:cs="Arial"/>
          <w:color w:val="000000" w:themeColor="text1"/>
        </w:rPr>
        <w:t xml:space="preserve">un informe de </w:t>
      </w:r>
      <w:r w:rsidRPr="21004F96">
        <w:rPr>
          <w:rFonts w:eastAsia="Arial" w:cs="Arial"/>
          <w:color w:val="000000" w:themeColor="text1"/>
        </w:rPr>
        <w:t xml:space="preserve">la evaluación de las propuestas habilitadas, con el fin de determinar si </w:t>
      </w:r>
      <w:r>
        <w:rPr>
          <w:rFonts w:eastAsia="Arial" w:cs="Arial"/>
          <w:color w:val="000000" w:themeColor="text1"/>
        </w:rPr>
        <w:t>estas</w:t>
      </w:r>
      <w:r w:rsidRPr="21004F96">
        <w:rPr>
          <w:rFonts w:eastAsia="Arial" w:cs="Arial"/>
          <w:color w:val="000000" w:themeColor="text1"/>
        </w:rPr>
        <w:t xml:space="preserve"> ingresa</w:t>
      </w:r>
      <w:r>
        <w:rPr>
          <w:rFonts w:eastAsia="Arial" w:cs="Arial"/>
          <w:color w:val="000000" w:themeColor="text1"/>
        </w:rPr>
        <w:t>n</w:t>
      </w:r>
      <w:r w:rsidRPr="21004F96">
        <w:rPr>
          <w:rFonts w:eastAsia="Arial" w:cs="Arial"/>
          <w:color w:val="000000" w:themeColor="text1"/>
        </w:rPr>
        <w:t xml:space="preserve"> a la fase de experimentación. Dicha evaluación se realizará de conformidad con los criterios de selección que se definen a continuación</w:t>
      </w:r>
      <w:r>
        <w:rPr>
          <w:rFonts w:eastAsia="Arial" w:cs="Arial"/>
          <w:color w:val="000000" w:themeColor="text1"/>
        </w:rPr>
        <w:t xml:space="preserve">, los cuales </w:t>
      </w:r>
      <w:r w:rsidRPr="21004F96">
        <w:rPr>
          <w:rFonts w:eastAsia="Arial" w:cs="Arial"/>
          <w:color w:val="000000" w:themeColor="text1"/>
        </w:rPr>
        <w:t xml:space="preserve">deberán ser cumplidos en su totalidad: </w:t>
      </w:r>
    </w:p>
    <w:p w14:paraId="24E35DA6" w14:textId="77777777" w:rsidR="007F1725" w:rsidRDefault="007F1725" w:rsidP="007F1725">
      <w:pPr>
        <w:jc w:val="both"/>
        <w:rPr>
          <w:rFonts w:eastAsia="Arial" w:cs="Arial"/>
          <w:color w:val="000000" w:themeColor="text1"/>
        </w:rPr>
      </w:pPr>
      <w:r w:rsidRPr="21004F96">
        <w:rPr>
          <w:rFonts w:eastAsia="Arial" w:cs="Arial"/>
          <w:color w:val="000000" w:themeColor="text1"/>
        </w:rPr>
        <w:t xml:space="preserve"> </w:t>
      </w:r>
    </w:p>
    <w:p w14:paraId="418C7655" w14:textId="77777777" w:rsidR="007F1725" w:rsidRDefault="007F1725" w:rsidP="007F1725">
      <w:pPr>
        <w:ind w:left="284" w:hanging="284"/>
        <w:jc w:val="both"/>
        <w:rPr>
          <w:rFonts w:eastAsia="Arial" w:cs="Arial"/>
          <w:color w:val="000000" w:themeColor="text1"/>
        </w:rPr>
      </w:pPr>
      <w:r w:rsidRPr="692EF610">
        <w:rPr>
          <w:rFonts w:eastAsia="Arial" w:cs="Arial"/>
          <w:b/>
          <w:bCs/>
          <w:color w:val="000000" w:themeColor="text1"/>
        </w:rPr>
        <w:t>1. Innovación</w:t>
      </w:r>
      <w:r w:rsidRPr="692EF610">
        <w:rPr>
          <w:rFonts w:eastAsia="Arial" w:cs="Arial"/>
          <w:color w:val="000000" w:themeColor="text1"/>
        </w:rPr>
        <w:t xml:space="preserve">: la propuesta deberá demostrar que integra una innovación respecto de la oferta disponible en el mercado. </w:t>
      </w:r>
    </w:p>
    <w:p w14:paraId="44A46A3A" w14:textId="77777777" w:rsidR="007F1725" w:rsidRDefault="007F1725" w:rsidP="007F1725">
      <w:pPr>
        <w:jc w:val="both"/>
        <w:rPr>
          <w:rFonts w:eastAsia="Arial" w:cs="Arial"/>
          <w:color w:val="000000" w:themeColor="text1"/>
        </w:rPr>
      </w:pPr>
      <w:r w:rsidRPr="21004F96">
        <w:rPr>
          <w:rFonts w:eastAsia="Arial" w:cs="Arial"/>
          <w:color w:val="000000" w:themeColor="text1"/>
        </w:rPr>
        <w:t xml:space="preserve"> </w:t>
      </w:r>
    </w:p>
    <w:p w14:paraId="728C1A9E" w14:textId="77777777" w:rsidR="007F1725" w:rsidRDefault="007F1725" w:rsidP="007F1725">
      <w:pPr>
        <w:ind w:left="284" w:hanging="284"/>
        <w:jc w:val="both"/>
        <w:rPr>
          <w:rFonts w:eastAsia="Arial" w:cs="Arial"/>
          <w:color w:val="000000" w:themeColor="text1"/>
        </w:rPr>
      </w:pPr>
      <w:r w:rsidRPr="692EF610">
        <w:rPr>
          <w:rFonts w:eastAsia="Arial" w:cs="Arial"/>
          <w:b/>
          <w:bCs/>
          <w:color w:val="000000" w:themeColor="text1"/>
        </w:rPr>
        <w:t>2. Beneficios para los ciudadanos</w:t>
      </w:r>
      <w:r w:rsidRPr="692EF610">
        <w:rPr>
          <w:rFonts w:eastAsia="Arial" w:cs="Arial"/>
          <w:color w:val="000000" w:themeColor="text1"/>
        </w:rPr>
        <w:t xml:space="preserve">: la propuesta deberá identificar cuáles son los beneficios que tiene para los ciudadanos. </w:t>
      </w:r>
    </w:p>
    <w:p w14:paraId="03E620A7" w14:textId="77777777" w:rsidR="007F1725" w:rsidRDefault="007F1725" w:rsidP="007F1725">
      <w:pPr>
        <w:ind w:left="426" w:hanging="426"/>
        <w:jc w:val="both"/>
        <w:rPr>
          <w:rFonts w:eastAsia="Arial" w:cs="Arial"/>
          <w:color w:val="000000" w:themeColor="text1"/>
        </w:rPr>
      </w:pPr>
    </w:p>
    <w:p w14:paraId="2E7F66E2" w14:textId="77777777" w:rsidR="007F1725" w:rsidRDefault="007F1725" w:rsidP="007F1725">
      <w:pPr>
        <w:ind w:left="284" w:hanging="284"/>
        <w:jc w:val="both"/>
        <w:rPr>
          <w:rFonts w:eastAsia="Arial" w:cs="Arial"/>
          <w:color w:val="000000" w:themeColor="text1"/>
        </w:rPr>
      </w:pPr>
      <w:r w:rsidRPr="692EF610">
        <w:rPr>
          <w:rFonts w:eastAsia="Arial" w:cs="Arial"/>
          <w:b/>
          <w:bCs/>
          <w:color w:val="000000" w:themeColor="text1"/>
        </w:rPr>
        <w:t>3. Necesidad demostrada:</w:t>
      </w:r>
      <w:r w:rsidRPr="692EF610">
        <w:rPr>
          <w:rFonts w:eastAsia="Arial" w:cs="Arial"/>
          <w:color w:val="000000" w:themeColor="text1"/>
        </w:rPr>
        <w:t xml:space="preserve"> la propuesta deberá mostrar por qué no puede ser implementada bajo el marco regulatorio vigente. </w:t>
      </w:r>
    </w:p>
    <w:p w14:paraId="689AB920" w14:textId="77777777" w:rsidR="007F1725" w:rsidRDefault="007F1725" w:rsidP="007F1725">
      <w:pPr>
        <w:jc w:val="both"/>
        <w:rPr>
          <w:rFonts w:eastAsia="Arial" w:cs="Arial"/>
          <w:color w:val="000000" w:themeColor="text1"/>
        </w:rPr>
      </w:pPr>
    </w:p>
    <w:p w14:paraId="12BCF657" w14:textId="77777777" w:rsidR="007F1725" w:rsidRDefault="007F1725" w:rsidP="007F1725">
      <w:pPr>
        <w:ind w:left="284" w:hanging="284"/>
        <w:jc w:val="both"/>
        <w:rPr>
          <w:rFonts w:eastAsia="Arial" w:cs="Arial"/>
          <w:color w:val="000000" w:themeColor="text1"/>
        </w:rPr>
      </w:pPr>
      <w:r w:rsidRPr="22538234">
        <w:rPr>
          <w:rFonts w:eastAsia="Arial" w:cs="Arial"/>
          <w:b/>
          <w:bCs/>
          <w:color w:val="000000" w:themeColor="text1"/>
        </w:rPr>
        <w:t>4. Experiencia del proponente:</w:t>
      </w:r>
      <w:r w:rsidRPr="22538234">
        <w:rPr>
          <w:rFonts w:eastAsia="Arial" w:cs="Arial"/>
          <w:color w:val="000000" w:themeColor="text1"/>
        </w:rPr>
        <w:t xml:space="preserve"> la propuesta debe demostrar que el proponente puede implementarla de manera satisfactoria.  </w:t>
      </w:r>
    </w:p>
    <w:p w14:paraId="764328CA" w14:textId="77777777" w:rsidR="007F1725" w:rsidRDefault="007F1725" w:rsidP="007F1725">
      <w:pPr>
        <w:jc w:val="both"/>
        <w:rPr>
          <w:rFonts w:eastAsia="Arial" w:cs="Arial"/>
          <w:color w:val="000000" w:themeColor="text1"/>
          <w:lang w:val="es-CO"/>
        </w:rPr>
      </w:pPr>
    </w:p>
    <w:p w14:paraId="0980CEA3" w14:textId="77777777" w:rsidR="007F1725" w:rsidRDefault="007F1725" w:rsidP="007F1725">
      <w:pPr>
        <w:jc w:val="both"/>
        <w:rPr>
          <w:rFonts w:eastAsia="Arial" w:cs="Arial"/>
          <w:color w:val="000000" w:themeColor="text1"/>
          <w:lang w:val="es-CO"/>
        </w:rPr>
      </w:pPr>
      <w:r w:rsidRPr="22538234">
        <w:rPr>
          <w:rFonts w:eastAsia="Arial" w:cs="Arial"/>
          <w:color w:val="000000" w:themeColor="text1"/>
          <w:lang w:val="es-CO"/>
        </w:rPr>
        <w:t>Estos criterios de selección estarán ligados a los indicadores positivos y negativos que se establecen en la siguiente tabla:</w:t>
      </w:r>
    </w:p>
    <w:p w14:paraId="2D84036E" w14:textId="77777777" w:rsidR="007F1725" w:rsidRDefault="007F1725" w:rsidP="007F1725">
      <w:pPr>
        <w:jc w:val="both"/>
        <w:rPr>
          <w:rFonts w:eastAsia="Arial" w:cs="Arial"/>
          <w:color w:val="000000" w:themeColor="text1"/>
        </w:rPr>
      </w:pPr>
    </w:p>
    <w:tbl>
      <w:tblPr>
        <w:tblStyle w:val="Tablaconcuadrcula"/>
        <w:tblW w:w="8642" w:type="dxa"/>
        <w:tblLayout w:type="fixed"/>
        <w:tblLook w:val="04A0" w:firstRow="1" w:lastRow="0" w:firstColumn="1" w:lastColumn="0" w:noHBand="0" w:noVBand="1"/>
      </w:tblPr>
      <w:tblGrid>
        <w:gridCol w:w="562"/>
        <w:gridCol w:w="1418"/>
        <w:gridCol w:w="1276"/>
        <w:gridCol w:w="2835"/>
        <w:gridCol w:w="2551"/>
      </w:tblGrid>
      <w:tr w:rsidR="007F1725" w:rsidRPr="003D03DF" w14:paraId="47E289CA" w14:textId="77777777" w:rsidTr="005455F3">
        <w:trPr>
          <w:tblHeader/>
        </w:trPr>
        <w:tc>
          <w:tcPr>
            <w:tcW w:w="562" w:type="dxa"/>
            <w:vAlign w:val="center"/>
          </w:tcPr>
          <w:p w14:paraId="3C845FFD" w14:textId="77777777" w:rsidR="007F1725" w:rsidRPr="005455F3" w:rsidRDefault="007F1725" w:rsidP="00430593">
            <w:pPr>
              <w:jc w:val="center"/>
              <w:rPr>
                <w:rFonts w:eastAsia="Arial" w:cs="Arial"/>
                <w:sz w:val="22"/>
                <w:szCs w:val="22"/>
              </w:rPr>
            </w:pPr>
            <w:r w:rsidRPr="005455F3">
              <w:rPr>
                <w:rFonts w:eastAsia="Arial" w:cs="Arial"/>
                <w:b/>
                <w:bCs/>
                <w:sz w:val="22"/>
                <w:szCs w:val="22"/>
                <w:lang w:val="es-CO"/>
              </w:rPr>
              <w:t>N°</w:t>
            </w:r>
          </w:p>
        </w:tc>
        <w:tc>
          <w:tcPr>
            <w:tcW w:w="1418" w:type="dxa"/>
            <w:vAlign w:val="center"/>
          </w:tcPr>
          <w:p w14:paraId="3D633C42" w14:textId="77777777" w:rsidR="007F1725" w:rsidRPr="005455F3" w:rsidRDefault="007F1725" w:rsidP="00430593">
            <w:pPr>
              <w:jc w:val="center"/>
              <w:rPr>
                <w:rFonts w:eastAsia="Arial" w:cs="Arial"/>
                <w:sz w:val="22"/>
                <w:szCs w:val="22"/>
              </w:rPr>
            </w:pPr>
            <w:r w:rsidRPr="005455F3">
              <w:rPr>
                <w:rFonts w:eastAsia="Arial" w:cs="Arial"/>
                <w:b/>
                <w:bCs/>
                <w:sz w:val="22"/>
                <w:szCs w:val="22"/>
                <w:lang w:val="es-CO"/>
              </w:rPr>
              <w:t>Criterio</w:t>
            </w:r>
          </w:p>
        </w:tc>
        <w:tc>
          <w:tcPr>
            <w:tcW w:w="1276" w:type="dxa"/>
            <w:vAlign w:val="center"/>
          </w:tcPr>
          <w:p w14:paraId="230B9788" w14:textId="77777777" w:rsidR="007F1725" w:rsidRPr="005455F3" w:rsidRDefault="007F1725" w:rsidP="00430593">
            <w:pPr>
              <w:jc w:val="center"/>
              <w:rPr>
                <w:rFonts w:eastAsia="Arial" w:cs="Arial"/>
                <w:sz w:val="22"/>
                <w:szCs w:val="22"/>
              </w:rPr>
            </w:pPr>
            <w:r w:rsidRPr="005455F3">
              <w:rPr>
                <w:rFonts w:eastAsia="Arial" w:cs="Arial"/>
                <w:b/>
                <w:bCs/>
                <w:sz w:val="22"/>
                <w:szCs w:val="22"/>
                <w:lang w:val="es-CO"/>
              </w:rPr>
              <w:t>Pregunta fundamental</w:t>
            </w:r>
          </w:p>
        </w:tc>
        <w:tc>
          <w:tcPr>
            <w:tcW w:w="2835" w:type="dxa"/>
            <w:vAlign w:val="center"/>
          </w:tcPr>
          <w:p w14:paraId="0EC0F0EF" w14:textId="77777777" w:rsidR="007F1725" w:rsidRPr="005455F3" w:rsidRDefault="007F1725" w:rsidP="00430593">
            <w:pPr>
              <w:jc w:val="center"/>
              <w:rPr>
                <w:rFonts w:eastAsia="Arial" w:cs="Arial"/>
                <w:sz w:val="22"/>
                <w:szCs w:val="22"/>
              </w:rPr>
            </w:pPr>
            <w:r w:rsidRPr="005455F3">
              <w:rPr>
                <w:rFonts w:eastAsia="Arial" w:cs="Arial"/>
                <w:b/>
                <w:bCs/>
                <w:sz w:val="22"/>
                <w:szCs w:val="22"/>
                <w:lang w:val="es-CO"/>
              </w:rPr>
              <w:t>Indicadores Positivos</w:t>
            </w:r>
          </w:p>
        </w:tc>
        <w:tc>
          <w:tcPr>
            <w:tcW w:w="2551" w:type="dxa"/>
            <w:vAlign w:val="center"/>
          </w:tcPr>
          <w:p w14:paraId="1AE7C0F7" w14:textId="77777777" w:rsidR="007F1725" w:rsidRPr="005455F3" w:rsidRDefault="007F1725" w:rsidP="00430593">
            <w:pPr>
              <w:jc w:val="center"/>
              <w:rPr>
                <w:rFonts w:eastAsia="Arial" w:cs="Arial"/>
                <w:sz w:val="22"/>
                <w:szCs w:val="22"/>
              </w:rPr>
            </w:pPr>
            <w:r w:rsidRPr="005455F3">
              <w:rPr>
                <w:rFonts w:eastAsia="Arial" w:cs="Arial"/>
                <w:b/>
                <w:bCs/>
                <w:sz w:val="22"/>
                <w:szCs w:val="22"/>
                <w:lang w:val="es-CO"/>
              </w:rPr>
              <w:t>Indicadores Negativos</w:t>
            </w:r>
          </w:p>
        </w:tc>
      </w:tr>
      <w:tr w:rsidR="007F1725" w:rsidRPr="003D03DF" w14:paraId="4F6F1788" w14:textId="77777777" w:rsidTr="005455F3">
        <w:tc>
          <w:tcPr>
            <w:tcW w:w="562" w:type="dxa"/>
            <w:vAlign w:val="center"/>
          </w:tcPr>
          <w:p w14:paraId="58CCDDDA" w14:textId="77777777" w:rsidR="007F1725" w:rsidRPr="005455F3" w:rsidRDefault="007F1725" w:rsidP="00430593">
            <w:pPr>
              <w:rPr>
                <w:rFonts w:eastAsia="Arial" w:cs="Arial"/>
                <w:sz w:val="22"/>
                <w:szCs w:val="22"/>
              </w:rPr>
            </w:pPr>
            <w:r w:rsidRPr="005455F3">
              <w:rPr>
                <w:rFonts w:eastAsia="Arial" w:cs="Arial"/>
                <w:b/>
                <w:bCs/>
                <w:sz w:val="22"/>
                <w:szCs w:val="22"/>
                <w:lang w:val="es-CO"/>
              </w:rPr>
              <w:t>1</w:t>
            </w:r>
          </w:p>
        </w:tc>
        <w:tc>
          <w:tcPr>
            <w:tcW w:w="1418" w:type="dxa"/>
            <w:vAlign w:val="center"/>
          </w:tcPr>
          <w:p w14:paraId="4667DB5F" w14:textId="77777777" w:rsidR="007F1725" w:rsidRPr="005455F3" w:rsidRDefault="007F1725" w:rsidP="00430593">
            <w:pPr>
              <w:jc w:val="center"/>
              <w:rPr>
                <w:rFonts w:eastAsia="Arial" w:cs="Arial"/>
                <w:sz w:val="22"/>
                <w:szCs w:val="22"/>
              </w:rPr>
            </w:pPr>
            <w:r w:rsidRPr="005455F3">
              <w:rPr>
                <w:rFonts w:eastAsia="Arial" w:cs="Arial"/>
                <w:sz w:val="22"/>
                <w:szCs w:val="22"/>
                <w:lang w:val="es-CO"/>
              </w:rPr>
              <w:t>Innovación</w:t>
            </w:r>
          </w:p>
        </w:tc>
        <w:tc>
          <w:tcPr>
            <w:tcW w:w="1276" w:type="dxa"/>
            <w:vAlign w:val="center"/>
          </w:tcPr>
          <w:p w14:paraId="1957A9ED" w14:textId="77777777" w:rsidR="007F1725" w:rsidRPr="005455F3" w:rsidRDefault="007F1725" w:rsidP="00430593">
            <w:pPr>
              <w:jc w:val="center"/>
              <w:rPr>
                <w:rFonts w:eastAsia="Arial" w:cs="Arial"/>
                <w:sz w:val="22"/>
                <w:szCs w:val="22"/>
              </w:rPr>
            </w:pPr>
            <w:r w:rsidRPr="005455F3">
              <w:rPr>
                <w:rFonts w:eastAsia="Arial" w:cs="Arial"/>
                <w:sz w:val="22"/>
                <w:szCs w:val="22"/>
                <w:lang w:val="es-CO"/>
              </w:rPr>
              <w:t>¿La propuesta constituye una innovación significativamente diferente?</w:t>
            </w:r>
          </w:p>
        </w:tc>
        <w:tc>
          <w:tcPr>
            <w:tcW w:w="2835" w:type="dxa"/>
            <w:vAlign w:val="center"/>
          </w:tcPr>
          <w:p w14:paraId="531E977A" w14:textId="77777777" w:rsidR="007F1725" w:rsidRPr="005455F3" w:rsidRDefault="007F1725" w:rsidP="00430593">
            <w:pPr>
              <w:jc w:val="both"/>
              <w:rPr>
                <w:rFonts w:eastAsia="Arial" w:cs="Arial"/>
                <w:sz w:val="22"/>
                <w:szCs w:val="22"/>
              </w:rPr>
            </w:pPr>
            <w:r w:rsidRPr="005455F3">
              <w:rPr>
                <w:rFonts w:eastAsia="Arial" w:cs="Arial"/>
                <w:sz w:val="22"/>
                <w:szCs w:val="22"/>
                <w:lang w:val="es-CO"/>
              </w:rPr>
              <w:t>-La propuesta implementa tecnologías de última generación.</w:t>
            </w:r>
          </w:p>
          <w:p w14:paraId="57A60DDE" w14:textId="77777777" w:rsidR="007F1725" w:rsidRPr="005455F3" w:rsidRDefault="007F1725" w:rsidP="00430593">
            <w:pPr>
              <w:jc w:val="both"/>
              <w:rPr>
                <w:rFonts w:eastAsia="Arial" w:cs="Arial"/>
                <w:sz w:val="22"/>
                <w:szCs w:val="22"/>
              </w:rPr>
            </w:pPr>
            <w:r w:rsidRPr="005455F3">
              <w:rPr>
                <w:rFonts w:eastAsia="Arial" w:cs="Arial"/>
                <w:sz w:val="22"/>
                <w:szCs w:val="22"/>
                <w:lang w:val="es-CO"/>
              </w:rPr>
              <w:t>-La propuesta incluye formas nuevas de usar tecnología disponible.</w:t>
            </w:r>
          </w:p>
          <w:p w14:paraId="186EE2BB" w14:textId="77777777" w:rsidR="007F1725" w:rsidRPr="005455F3" w:rsidRDefault="007F1725" w:rsidP="00430593">
            <w:pPr>
              <w:jc w:val="both"/>
              <w:rPr>
                <w:rFonts w:eastAsia="Arial" w:cs="Arial"/>
                <w:sz w:val="22"/>
                <w:szCs w:val="22"/>
              </w:rPr>
            </w:pPr>
            <w:r w:rsidRPr="005455F3">
              <w:rPr>
                <w:rFonts w:eastAsia="Arial" w:cs="Arial"/>
                <w:sz w:val="22"/>
                <w:szCs w:val="22"/>
                <w:lang w:val="es-CO"/>
              </w:rPr>
              <w:t>-No existen ofertas comerciales similares actualmente en el mercado en el cual se desarrollará la propuesta.</w:t>
            </w:r>
          </w:p>
        </w:tc>
        <w:tc>
          <w:tcPr>
            <w:tcW w:w="2551" w:type="dxa"/>
            <w:vAlign w:val="center"/>
          </w:tcPr>
          <w:p w14:paraId="70FCD4AE" w14:textId="77777777" w:rsidR="007F1725" w:rsidRPr="005455F3" w:rsidRDefault="007F1725" w:rsidP="00430593">
            <w:pPr>
              <w:jc w:val="both"/>
              <w:rPr>
                <w:rFonts w:eastAsia="Arial" w:cs="Arial"/>
                <w:sz w:val="22"/>
                <w:szCs w:val="22"/>
              </w:rPr>
            </w:pPr>
            <w:r w:rsidRPr="005455F3">
              <w:rPr>
                <w:rFonts w:eastAsia="Arial" w:cs="Arial"/>
                <w:sz w:val="22"/>
                <w:szCs w:val="22"/>
                <w:lang w:val="es-CO"/>
              </w:rPr>
              <w:t>-No existe una diferenciación real entre la propuesta y las ofertas comerciales disponibles en el mercado.</w:t>
            </w:r>
          </w:p>
          <w:p w14:paraId="2E78129F" w14:textId="77777777" w:rsidR="007F1725" w:rsidRPr="005455F3" w:rsidRDefault="007F1725" w:rsidP="00430593">
            <w:pPr>
              <w:jc w:val="both"/>
              <w:rPr>
                <w:rFonts w:eastAsia="Arial" w:cs="Arial"/>
                <w:sz w:val="22"/>
                <w:szCs w:val="22"/>
              </w:rPr>
            </w:pPr>
            <w:r w:rsidRPr="005455F3">
              <w:rPr>
                <w:rFonts w:eastAsia="Arial" w:cs="Arial"/>
                <w:sz w:val="22"/>
                <w:szCs w:val="22"/>
                <w:lang w:val="es-CO"/>
              </w:rPr>
              <w:t>-Las tecnologías involucradas son las disponibles en el mercado en el cual se desarrollará la propuesta y se usarán de maneras convencionales.</w:t>
            </w:r>
          </w:p>
        </w:tc>
      </w:tr>
      <w:tr w:rsidR="007F1725" w:rsidRPr="003D03DF" w14:paraId="19800807" w14:textId="77777777" w:rsidTr="005455F3">
        <w:tc>
          <w:tcPr>
            <w:tcW w:w="562" w:type="dxa"/>
            <w:vAlign w:val="center"/>
          </w:tcPr>
          <w:p w14:paraId="73E697F7" w14:textId="77777777" w:rsidR="007F1725" w:rsidRPr="005455F3" w:rsidRDefault="007F1725" w:rsidP="00430593">
            <w:pPr>
              <w:rPr>
                <w:rFonts w:eastAsia="Arial" w:cs="Arial"/>
                <w:sz w:val="22"/>
                <w:szCs w:val="22"/>
              </w:rPr>
            </w:pPr>
            <w:r w:rsidRPr="005455F3">
              <w:rPr>
                <w:rFonts w:eastAsia="Arial" w:cs="Arial"/>
                <w:b/>
                <w:bCs/>
                <w:sz w:val="22"/>
                <w:szCs w:val="22"/>
                <w:lang w:val="es-CO"/>
              </w:rPr>
              <w:lastRenderedPageBreak/>
              <w:t>2</w:t>
            </w:r>
          </w:p>
        </w:tc>
        <w:tc>
          <w:tcPr>
            <w:tcW w:w="1418" w:type="dxa"/>
            <w:vAlign w:val="center"/>
          </w:tcPr>
          <w:p w14:paraId="7060DD95" w14:textId="77777777" w:rsidR="007F1725" w:rsidRPr="005455F3" w:rsidRDefault="007F1725" w:rsidP="00430593">
            <w:pPr>
              <w:jc w:val="center"/>
              <w:rPr>
                <w:rFonts w:eastAsia="Arial" w:cs="Arial"/>
                <w:sz w:val="22"/>
                <w:szCs w:val="22"/>
              </w:rPr>
            </w:pPr>
            <w:r w:rsidRPr="005455F3">
              <w:rPr>
                <w:rFonts w:eastAsia="Arial" w:cs="Arial"/>
                <w:sz w:val="22"/>
                <w:szCs w:val="22"/>
                <w:lang w:val="es-CO"/>
              </w:rPr>
              <w:t>Beneficio para los ciudadanos</w:t>
            </w:r>
          </w:p>
        </w:tc>
        <w:tc>
          <w:tcPr>
            <w:tcW w:w="1276" w:type="dxa"/>
            <w:vAlign w:val="center"/>
          </w:tcPr>
          <w:p w14:paraId="4F218AE6" w14:textId="77777777" w:rsidR="007F1725" w:rsidRPr="005455F3" w:rsidRDefault="007F1725" w:rsidP="00430593">
            <w:pPr>
              <w:jc w:val="center"/>
              <w:rPr>
                <w:rFonts w:eastAsia="Arial" w:cs="Arial"/>
                <w:sz w:val="22"/>
                <w:szCs w:val="22"/>
              </w:rPr>
            </w:pPr>
            <w:r w:rsidRPr="005455F3">
              <w:rPr>
                <w:rFonts w:eastAsia="Arial" w:cs="Arial"/>
                <w:sz w:val="22"/>
                <w:szCs w:val="22"/>
                <w:lang w:val="es-CO"/>
              </w:rPr>
              <w:t>¿Tiene la innovación propuesta beneficios identificables para los ciudadanos?</w:t>
            </w:r>
          </w:p>
        </w:tc>
        <w:tc>
          <w:tcPr>
            <w:tcW w:w="2835" w:type="dxa"/>
            <w:vAlign w:val="center"/>
          </w:tcPr>
          <w:p w14:paraId="54DA7770" w14:textId="77777777" w:rsidR="007F1725" w:rsidRPr="005455F3" w:rsidRDefault="007F1725" w:rsidP="00430593">
            <w:pPr>
              <w:jc w:val="both"/>
              <w:rPr>
                <w:rFonts w:eastAsia="Arial" w:cs="Arial"/>
                <w:sz w:val="22"/>
                <w:szCs w:val="22"/>
              </w:rPr>
            </w:pPr>
            <w:r w:rsidRPr="005455F3">
              <w:rPr>
                <w:rFonts w:eastAsia="Arial" w:cs="Arial"/>
                <w:sz w:val="22"/>
                <w:szCs w:val="22"/>
                <w:lang w:val="es-CO"/>
              </w:rPr>
              <w:t>-La propuesta está alineada con los principios orientadores de la Ley 1341 de 2009, modificados por la Ley 1978 de 2019 y los de la Ley 1369 de 2009 o aquella que las modifique, adicione o sustituya; y contribuye al cumplimiento de las metas establecidas en el Plan Nacional de Desarrollo.</w:t>
            </w:r>
          </w:p>
          <w:p w14:paraId="5C24F461" w14:textId="77777777" w:rsidR="007F1725" w:rsidRPr="005455F3" w:rsidRDefault="007F1725" w:rsidP="00430593">
            <w:pPr>
              <w:jc w:val="both"/>
              <w:rPr>
                <w:rFonts w:eastAsia="Arial" w:cs="Arial"/>
                <w:sz w:val="22"/>
                <w:szCs w:val="22"/>
              </w:rPr>
            </w:pPr>
            <w:r w:rsidRPr="005455F3">
              <w:rPr>
                <w:rFonts w:eastAsia="Arial" w:cs="Arial"/>
                <w:sz w:val="22"/>
                <w:szCs w:val="22"/>
                <w:lang w:val="es-CO"/>
              </w:rPr>
              <w:t>-La innovación beneficiará a zonas rurales, apartadas, de difícil acceso o en aquellos municipios focalizados por las políticas públicas.</w:t>
            </w:r>
          </w:p>
          <w:p w14:paraId="10C00E46" w14:textId="688618C5" w:rsidR="007F1725" w:rsidRPr="005455F3" w:rsidRDefault="007F1725" w:rsidP="00430593">
            <w:pPr>
              <w:jc w:val="both"/>
              <w:rPr>
                <w:rFonts w:eastAsia="Arial" w:cs="Arial"/>
                <w:sz w:val="22"/>
                <w:szCs w:val="22"/>
              </w:rPr>
            </w:pPr>
            <w:r w:rsidRPr="005455F3">
              <w:rPr>
                <w:rFonts w:eastAsia="Arial" w:cs="Arial"/>
                <w:sz w:val="22"/>
                <w:szCs w:val="22"/>
                <w:lang w:val="es-CO"/>
              </w:rPr>
              <w:t xml:space="preserve">-La innovación promovería la competencia en el sector de </w:t>
            </w:r>
            <w:r w:rsidR="007D3063" w:rsidRPr="005455F3">
              <w:rPr>
                <w:rFonts w:eastAsia="Arial" w:cs="Arial"/>
                <w:sz w:val="22"/>
                <w:szCs w:val="22"/>
                <w:lang w:val="es-CO"/>
              </w:rPr>
              <w:t>Tecnologías de la Información y las Comunicaciones</w:t>
            </w:r>
            <w:r w:rsidRPr="005455F3">
              <w:rPr>
                <w:rFonts w:eastAsia="Arial" w:cs="Arial"/>
                <w:sz w:val="22"/>
                <w:szCs w:val="22"/>
                <w:lang w:val="es-CO"/>
              </w:rPr>
              <w:t>.</w:t>
            </w:r>
          </w:p>
          <w:p w14:paraId="32F04F86" w14:textId="7B713D04" w:rsidR="007F1725" w:rsidRPr="005455F3" w:rsidRDefault="007F1725" w:rsidP="00430593">
            <w:pPr>
              <w:jc w:val="both"/>
              <w:rPr>
                <w:rFonts w:eastAsia="Arial" w:cs="Arial"/>
                <w:sz w:val="22"/>
                <w:szCs w:val="22"/>
              </w:rPr>
            </w:pPr>
            <w:r w:rsidRPr="005455F3">
              <w:rPr>
                <w:rFonts w:eastAsia="Arial" w:cs="Arial"/>
                <w:sz w:val="22"/>
                <w:szCs w:val="22"/>
                <w:lang w:val="es-CO"/>
              </w:rPr>
              <w:t>-La propuesta podría tener un efecto positivo en los precios o la calidad de los servicios de comunicaciones.</w:t>
            </w:r>
          </w:p>
          <w:p w14:paraId="48279515" w14:textId="77777777" w:rsidR="007F1725" w:rsidRPr="005455F3" w:rsidRDefault="007F1725" w:rsidP="00430593">
            <w:pPr>
              <w:jc w:val="both"/>
              <w:rPr>
                <w:rFonts w:eastAsia="Arial" w:cs="Arial"/>
                <w:sz w:val="22"/>
                <w:szCs w:val="22"/>
              </w:rPr>
            </w:pPr>
            <w:r w:rsidRPr="005455F3">
              <w:rPr>
                <w:rFonts w:eastAsia="Arial" w:cs="Arial"/>
                <w:sz w:val="22"/>
                <w:szCs w:val="22"/>
                <w:lang w:val="es-CO"/>
              </w:rPr>
              <w:t>-La propuesta implementa nuevas formas de desarrollo sostenible o acciones para afrontar el cambio climático, como, por ejemplo, que contribuyan a la reducción de la emisión de carbono.</w:t>
            </w:r>
          </w:p>
        </w:tc>
        <w:tc>
          <w:tcPr>
            <w:tcW w:w="2551" w:type="dxa"/>
            <w:vAlign w:val="center"/>
          </w:tcPr>
          <w:p w14:paraId="318F1275" w14:textId="423EC188" w:rsidR="007F1725" w:rsidRPr="005455F3" w:rsidRDefault="007F1725" w:rsidP="00430593">
            <w:pPr>
              <w:jc w:val="both"/>
              <w:rPr>
                <w:rFonts w:eastAsia="Arial" w:cs="Arial"/>
                <w:sz w:val="22"/>
                <w:szCs w:val="22"/>
              </w:rPr>
            </w:pPr>
            <w:r w:rsidRPr="005455F3">
              <w:rPr>
                <w:rFonts w:eastAsia="Arial" w:cs="Arial"/>
                <w:sz w:val="22"/>
                <w:szCs w:val="22"/>
                <w:lang w:val="es-CO"/>
              </w:rPr>
              <w:t>-La propuesta tiene la potencialidad de generar efectos no deseados en la competencia en mercados de</w:t>
            </w:r>
            <w:r w:rsidR="00ED2554">
              <w:rPr>
                <w:rFonts w:eastAsia="Arial" w:cs="Arial"/>
                <w:sz w:val="22"/>
                <w:szCs w:val="22"/>
                <w:lang w:val="es-CO"/>
              </w:rPr>
              <w:t xml:space="preserve"> </w:t>
            </w:r>
            <w:r w:rsidRPr="005455F3">
              <w:rPr>
                <w:rFonts w:eastAsia="Arial" w:cs="Arial"/>
                <w:sz w:val="22"/>
                <w:szCs w:val="22"/>
                <w:lang w:val="es-CO"/>
              </w:rPr>
              <w:t>comunicaciones.</w:t>
            </w:r>
          </w:p>
          <w:p w14:paraId="58C3E573" w14:textId="77777777" w:rsidR="007F1725" w:rsidRPr="005455F3" w:rsidRDefault="007F1725" w:rsidP="00430593">
            <w:pPr>
              <w:jc w:val="both"/>
              <w:rPr>
                <w:rFonts w:eastAsia="Arial" w:cs="Arial"/>
                <w:sz w:val="22"/>
                <w:szCs w:val="22"/>
              </w:rPr>
            </w:pPr>
            <w:r w:rsidRPr="005455F3">
              <w:rPr>
                <w:rFonts w:eastAsia="Arial" w:cs="Arial"/>
                <w:sz w:val="22"/>
                <w:szCs w:val="22"/>
                <w:lang w:val="es-CO"/>
              </w:rPr>
              <w:t>-La innovación podría tener efectos negativos en el beneficio de los ciudadanos.</w:t>
            </w:r>
          </w:p>
          <w:p w14:paraId="6E464989" w14:textId="77777777" w:rsidR="007F1725" w:rsidRPr="005455F3" w:rsidRDefault="007F1725" w:rsidP="00430593">
            <w:pPr>
              <w:jc w:val="both"/>
              <w:rPr>
                <w:rFonts w:eastAsia="Arial" w:cs="Arial"/>
                <w:sz w:val="22"/>
                <w:szCs w:val="22"/>
              </w:rPr>
            </w:pPr>
            <w:r w:rsidRPr="005455F3">
              <w:rPr>
                <w:rFonts w:eastAsia="Arial" w:cs="Arial"/>
                <w:sz w:val="22"/>
                <w:szCs w:val="22"/>
                <w:lang w:val="es-CO"/>
              </w:rPr>
              <w:t>-La propuesta no permite identificar beneficios para los ciudadanos.</w:t>
            </w:r>
          </w:p>
        </w:tc>
      </w:tr>
      <w:tr w:rsidR="007F1725" w:rsidRPr="003D03DF" w14:paraId="5F0DCEB8" w14:textId="77777777" w:rsidTr="005455F3">
        <w:tc>
          <w:tcPr>
            <w:tcW w:w="562" w:type="dxa"/>
            <w:vAlign w:val="center"/>
          </w:tcPr>
          <w:p w14:paraId="5FC0C6BD" w14:textId="77777777" w:rsidR="007F1725" w:rsidRPr="005455F3" w:rsidRDefault="007F1725" w:rsidP="00430593">
            <w:pPr>
              <w:rPr>
                <w:rFonts w:eastAsia="Arial" w:cs="Arial"/>
                <w:sz w:val="22"/>
                <w:szCs w:val="22"/>
              </w:rPr>
            </w:pPr>
            <w:r w:rsidRPr="005455F3">
              <w:rPr>
                <w:rFonts w:eastAsia="Arial" w:cs="Arial"/>
                <w:b/>
                <w:bCs/>
                <w:sz w:val="22"/>
                <w:szCs w:val="22"/>
                <w:lang w:val="es-CO"/>
              </w:rPr>
              <w:t>3</w:t>
            </w:r>
          </w:p>
        </w:tc>
        <w:tc>
          <w:tcPr>
            <w:tcW w:w="1418" w:type="dxa"/>
            <w:vAlign w:val="center"/>
          </w:tcPr>
          <w:p w14:paraId="01952478" w14:textId="77777777" w:rsidR="007F1725" w:rsidRPr="005455F3" w:rsidRDefault="007F1725" w:rsidP="00430593">
            <w:pPr>
              <w:jc w:val="both"/>
              <w:rPr>
                <w:rFonts w:eastAsia="Arial" w:cs="Arial"/>
                <w:sz w:val="22"/>
                <w:szCs w:val="22"/>
              </w:rPr>
            </w:pPr>
            <w:r w:rsidRPr="005455F3">
              <w:rPr>
                <w:rFonts w:eastAsia="Arial" w:cs="Arial"/>
                <w:sz w:val="22"/>
                <w:szCs w:val="22"/>
                <w:lang w:val="es-CO"/>
              </w:rPr>
              <w:t>Necesidad demostrada</w:t>
            </w:r>
          </w:p>
        </w:tc>
        <w:tc>
          <w:tcPr>
            <w:tcW w:w="1276" w:type="dxa"/>
            <w:vAlign w:val="center"/>
          </w:tcPr>
          <w:p w14:paraId="51A4C0F9" w14:textId="77777777" w:rsidR="007F1725" w:rsidRPr="005455F3" w:rsidRDefault="007F1725" w:rsidP="00430593">
            <w:pPr>
              <w:jc w:val="center"/>
              <w:rPr>
                <w:rFonts w:eastAsia="Arial" w:cs="Arial"/>
                <w:sz w:val="22"/>
                <w:szCs w:val="22"/>
              </w:rPr>
            </w:pPr>
            <w:r w:rsidRPr="005455F3">
              <w:rPr>
                <w:rFonts w:eastAsia="Arial" w:cs="Arial"/>
                <w:sz w:val="22"/>
                <w:szCs w:val="22"/>
                <w:lang w:val="es-CO"/>
              </w:rPr>
              <w:t>¿La innovación propuesta realmente no puede ser implementada bajo el marco regulatorio vigente?</w:t>
            </w:r>
          </w:p>
        </w:tc>
        <w:tc>
          <w:tcPr>
            <w:tcW w:w="2835" w:type="dxa"/>
            <w:vAlign w:val="center"/>
          </w:tcPr>
          <w:p w14:paraId="388BDED5" w14:textId="77777777" w:rsidR="007F1725" w:rsidRPr="005455F3" w:rsidRDefault="007F1725" w:rsidP="00430593">
            <w:pPr>
              <w:jc w:val="both"/>
              <w:rPr>
                <w:rFonts w:eastAsia="Arial" w:cs="Arial"/>
                <w:sz w:val="22"/>
                <w:szCs w:val="22"/>
              </w:rPr>
            </w:pPr>
            <w:r w:rsidRPr="005455F3">
              <w:rPr>
                <w:rFonts w:eastAsia="Arial" w:cs="Arial"/>
                <w:sz w:val="22"/>
                <w:szCs w:val="22"/>
                <w:lang w:val="es-CO"/>
              </w:rPr>
              <w:t>-La propuesta no se ajusta al marco regulatorio vigente de la entidad competente en el Sandbox.</w:t>
            </w:r>
          </w:p>
          <w:p w14:paraId="68F07688" w14:textId="77777777" w:rsidR="007F1725" w:rsidRPr="005455F3" w:rsidRDefault="007F1725" w:rsidP="00430593">
            <w:pPr>
              <w:jc w:val="both"/>
              <w:rPr>
                <w:rFonts w:eastAsia="Arial" w:cs="Arial"/>
                <w:sz w:val="22"/>
                <w:szCs w:val="22"/>
              </w:rPr>
            </w:pPr>
            <w:r w:rsidRPr="005455F3">
              <w:rPr>
                <w:rFonts w:eastAsia="Arial" w:cs="Arial"/>
                <w:sz w:val="22"/>
                <w:szCs w:val="22"/>
                <w:lang w:val="es-CO"/>
              </w:rPr>
              <w:t>-Ajustar la innovación a la regulación vigente requeriría inversiones significativas.</w:t>
            </w:r>
          </w:p>
          <w:p w14:paraId="6C00217C" w14:textId="7C935AA4" w:rsidR="007F1725" w:rsidRPr="005455F3" w:rsidRDefault="007F1725" w:rsidP="00430593">
            <w:pPr>
              <w:jc w:val="both"/>
              <w:rPr>
                <w:rFonts w:eastAsia="Arial" w:cs="Arial"/>
                <w:sz w:val="22"/>
                <w:szCs w:val="22"/>
              </w:rPr>
            </w:pPr>
            <w:r w:rsidRPr="005455F3">
              <w:rPr>
                <w:rFonts w:eastAsia="Arial" w:cs="Arial"/>
                <w:sz w:val="22"/>
                <w:szCs w:val="22"/>
                <w:lang w:val="es-CO"/>
              </w:rPr>
              <w:t xml:space="preserve">-La propuesta no genera afectación a la infraestructura, a sus operarios ni perjudica las redes o servicios prestados por otros proveedores de redes y servicios de telecomunicaciones </w:t>
            </w:r>
            <w:r w:rsidRPr="005455F3">
              <w:rPr>
                <w:rFonts w:eastAsia="Arial" w:cs="Arial"/>
                <w:sz w:val="22"/>
                <w:szCs w:val="22"/>
                <w:lang w:val="es-CO"/>
              </w:rPr>
              <w:lastRenderedPageBreak/>
              <w:t>(PRST)</w:t>
            </w:r>
            <w:r w:rsidR="00D44E79" w:rsidRPr="005455F3">
              <w:rPr>
                <w:rFonts w:eastAsia="Arial" w:cs="Arial"/>
                <w:sz w:val="22"/>
                <w:szCs w:val="22"/>
                <w:lang w:val="es-CO"/>
              </w:rPr>
              <w:t xml:space="preserve"> y </w:t>
            </w:r>
            <w:r w:rsidRPr="005455F3">
              <w:rPr>
                <w:rFonts w:eastAsia="Arial" w:cs="Arial"/>
                <w:sz w:val="22"/>
                <w:szCs w:val="22"/>
                <w:lang w:val="es-CO"/>
              </w:rPr>
              <w:t>de servicios de radiodifusión sonora (ORS), u operadores de servicios postales (OSP).</w:t>
            </w:r>
          </w:p>
        </w:tc>
        <w:tc>
          <w:tcPr>
            <w:tcW w:w="2551" w:type="dxa"/>
            <w:vAlign w:val="center"/>
          </w:tcPr>
          <w:p w14:paraId="5C118955" w14:textId="77777777" w:rsidR="007F1725" w:rsidRPr="005455F3" w:rsidRDefault="007F1725" w:rsidP="00430593">
            <w:pPr>
              <w:jc w:val="both"/>
              <w:rPr>
                <w:rFonts w:eastAsia="Arial" w:cs="Arial"/>
                <w:sz w:val="22"/>
                <w:szCs w:val="22"/>
              </w:rPr>
            </w:pPr>
            <w:r w:rsidRPr="005455F3">
              <w:rPr>
                <w:rFonts w:eastAsia="Arial" w:cs="Arial"/>
                <w:sz w:val="22"/>
                <w:szCs w:val="22"/>
                <w:lang w:val="es-CO"/>
              </w:rPr>
              <w:lastRenderedPageBreak/>
              <w:t>-La propuesta encaja fácilmente en el marco regulatorio vigente.</w:t>
            </w:r>
          </w:p>
          <w:p w14:paraId="27CE6250" w14:textId="77777777" w:rsidR="007F1725" w:rsidRPr="005455F3" w:rsidRDefault="007F1725" w:rsidP="00430593">
            <w:pPr>
              <w:jc w:val="both"/>
              <w:rPr>
                <w:rFonts w:eastAsia="Arial" w:cs="Arial"/>
                <w:sz w:val="22"/>
                <w:szCs w:val="22"/>
              </w:rPr>
            </w:pPr>
            <w:r w:rsidRPr="005455F3">
              <w:rPr>
                <w:rFonts w:eastAsia="Arial" w:cs="Arial"/>
                <w:sz w:val="22"/>
                <w:szCs w:val="22"/>
                <w:lang w:val="es-CO"/>
              </w:rPr>
              <w:t>-La propuesta no requiere experimentación para aclarar dudas sobre el modelo de negocio o el ajuste al marco regulatorio de la entidad competente del Sandbox, estas dudas pueden resolverse a través de la presentación de PQRSD a la respectiva entidad.</w:t>
            </w:r>
          </w:p>
          <w:p w14:paraId="339E6823" w14:textId="77777777" w:rsidR="007F1725" w:rsidRPr="005455F3" w:rsidRDefault="007F1725" w:rsidP="00430593">
            <w:pPr>
              <w:jc w:val="both"/>
              <w:rPr>
                <w:rFonts w:eastAsia="Arial" w:cs="Arial"/>
                <w:sz w:val="22"/>
                <w:szCs w:val="22"/>
              </w:rPr>
            </w:pPr>
          </w:p>
        </w:tc>
      </w:tr>
      <w:tr w:rsidR="007F1725" w:rsidRPr="003D03DF" w14:paraId="368DA080" w14:textId="77777777" w:rsidTr="005455F3">
        <w:tc>
          <w:tcPr>
            <w:tcW w:w="562" w:type="dxa"/>
            <w:vAlign w:val="center"/>
          </w:tcPr>
          <w:p w14:paraId="2FC0580A" w14:textId="77777777" w:rsidR="007F1725" w:rsidRPr="005455F3" w:rsidRDefault="007F1725" w:rsidP="00430593">
            <w:pPr>
              <w:rPr>
                <w:rFonts w:eastAsia="Arial" w:cs="Arial"/>
                <w:sz w:val="22"/>
                <w:szCs w:val="22"/>
              </w:rPr>
            </w:pPr>
            <w:r w:rsidRPr="005455F3">
              <w:rPr>
                <w:rFonts w:eastAsia="Arial" w:cs="Arial"/>
                <w:b/>
                <w:bCs/>
                <w:sz w:val="22"/>
                <w:szCs w:val="22"/>
                <w:lang w:val="es-CO"/>
              </w:rPr>
              <w:t>4</w:t>
            </w:r>
          </w:p>
        </w:tc>
        <w:tc>
          <w:tcPr>
            <w:tcW w:w="1418" w:type="dxa"/>
            <w:vAlign w:val="center"/>
          </w:tcPr>
          <w:p w14:paraId="00FE4064" w14:textId="77777777" w:rsidR="007F1725" w:rsidRPr="005455F3" w:rsidRDefault="007F1725" w:rsidP="00430593">
            <w:pPr>
              <w:jc w:val="center"/>
              <w:rPr>
                <w:rFonts w:eastAsia="Arial" w:cs="Arial"/>
                <w:sz w:val="22"/>
                <w:szCs w:val="22"/>
              </w:rPr>
            </w:pPr>
            <w:r w:rsidRPr="005455F3">
              <w:rPr>
                <w:rFonts w:eastAsia="Arial" w:cs="Arial"/>
                <w:sz w:val="22"/>
                <w:szCs w:val="22"/>
                <w:lang w:val="es-CO"/>
              </w:rPr>
              <w:t>Experiencia del proponente</w:t>
            </w:r>
          </w:p>
        </w:tc>
        <w:tc>
          <w:tcPr>
            <w:tcW w:w="1276" w:type="dxa"/>
            <w:vAlign w:val="center"/>
          </w:tcPr>
          <w:p w14:paraId="34F8FE1E" w14:textId="77777777" w:rsidR="007F1725" w:rsidRPr="005455F3" w:rsidRDefault="007F1725" w:rsidP="00430593">
            <w:pPr>
              <w:jc w:val="center"/>
              <w:rPr>
                <w:rFonts w:eastAsia="Arial" w:cs="Arial"/>
                <w:sz w:val="22"/>
                <w:szCs w:val="22"/>
              </w:rPr>
            </w:pPr>
            <w:r w:rsidRPr="005455F3">
              <w:rPr>
                <w:rFonts w:eastAsia="Arial" w:cs="Arial"/>
                <w:sz w:val="22"/>
                <w:szCs w:val="22"/>
                <w:lang w:val="es-CO"/>
              </w:rPr>
              <w:t>¿El operador responsable de la propuesta cuenta con la seriedad, los recursos y la experiencia para implementarla de manera satisfactoria?</w:t>
            </w:r>
          </w:p>
        </w:tc>
        <w:tc>
          <w:tcPr>
            <w:tcW w:w="2835" w:type="dxa"/>
            <w:vAlign w:val="center"/>
          </w:tcPr>
          <w:p w14:paraId="4F398ACF" w14:textId="77777777" w:rsidR="007F1725" w:rsidRPr="005455F3" w:rsidRDefault="007F1725" w:rsidP="00430593">
            <w:pPr>
              <w:jc w:val="both"/>
              <w:rPr>
                <w:rFonts w:eastAsia="Arial" w:cs="Arial"/>
                <w:sz w:val="22"/>
                <w:szCs w:val="22"/>
              </w:rPr>
            </w:pPr>
            <w:r w:rsidRPr="005455F3">
              <w:rPr>
                <w:rFonts w:eastAsia="Arial" w:cs="Arial"/>
                <w:sz w:val="22"/>
                <w:szCs w:val="22"/>
                <w:lang w:val="es-CO"/>
              </w:rPr>
              <w:t>-El operador proponente ha emprendido proyectos de características similares.</w:t>
            </w:r>
          </w:p>
          <w:p w14:paraId="6D8EF83B" w14:textId="77777777" w:rsidR="007F1725" w:rsidRPr="005455F3" w:rsidRDefault="007F1725" w:rsidP="00430593">
            <w:pPr>
              <w:jc w:val="both"/>
              <w:rPr>
                <w:rFonts w:eastAsia="Arial" w:cs="Arial"/>
                <w:sz w:val="22"/>
                <w:szCs w:val="22"/>
              </w:rPr>
            </w:pPr>
            <w:r w:rsidRPr="005455F3">
              <w:rPr>
                <w:rFonts w:eastAsia="Arial" w:cs="Arial"/>
                <w:sz w:val="22"/>
                <w:szCs w:val="22"/>
                <w:lang w:val="es-CO"/>
              </w:rPr>
              <w:t>-La propuesta analiza los riesgos y desafíos para alcanzar los objetivos planteados.</w:t>
            </w:r>
          </w:p>
          <w:p w14:paraId="20D5ED77" w14:textId="77777777" w:rsidR="007F1725" w:rsidRPr="005455F3" w:rsidRDefault="007F1725" w:rsidP="00430593">
            <w:pPr>
              <w:jc w:val="both"/>
              <w:rPr>
                <w:rFonts w:eastAsia="Arial" w:cs="Arial"/>
                <w:sz w:val="22"/>
                <w:szCs w:val="22"/>
                <w:lang w:val="es-CO"/>
              </w:rPr>
            </w:pPr>
            <w:r w:rsidRPr="005455F3">
              <w:rPr>
                <w:rFonts w:eastAsia="Arial" w:cs="Arial"/>
                <w:sz w:val="22"/>
                <w:szCs w:val="22"/>
                <w:lang w:val="es-CO"/>
              </w:rPr>
              <w:t>-La propuesta demuestra que el operador cuenta con los recursos para ejecutarla.</w:t>
            </w:r>
          </w:p>
          <w:p w14:paraId="4A03B5C9" w14:textId="77777777" w:rsidR="007F1725" w:rsidRPr="005455F3" w:rsidRDefault="007F1725" w:rsidP="00430593">
            <w:pPr>
              <w:jc w:val="both"/>
              <w:rPr>
                <w:rFonts w:eastAsia="Arial" w:cs="Arial"/>
                <w:sz w:val="22"/>
                <w:szCs w:val="22"/>
              </w:rPr>
            </w:pPr>
            <w:r w:rsidRPr="005455F3">
              <w:rPr>
                <w:rFonts w:eastAsia="Arial" w:cs="Arial"/>
                <w:sz w:val="22"/>
                <w:szCs w:val="22"/>
                <w:lang w:val="es-CO"/>
              </w:rPr>
              <w:t xml:space="preserve">- El operador proponente ha cumplido con los compromisos derivados de la aprobación de anteriores propuestas de Sandbox Regulatorio en cualquier entidad del sector TIC.  </w:t>
            </w:r>
          </w:p>
        </w:tc>
        <w:tc>
          <w:tcPr>
            <w:tcW w:w="2551" w:type="dxa"/>
            <w:vAlign w:val="center"/>
          </w:tcPr>
          <w:p w14:paraId="0B61CBC5" w14:textId="77777777" w:rsidR="007F1725" w:rsidRPr="005455F3" w:rsidRDefault="007F1725" w:rsidP="00430593">
            <w:pPr>
              <w:jc w:val="both"/>
              <w:rPr>
                <w:rFonts w:eastAsia="Arial" w:cs="Arial"/>
                <w:sz w:val="22"/>
                <w:szCs w:val="22"/>
              </w:rPr>
            </w:pPr>
            <w:r w:rsidRPr="005455F3">
              <w:rPr>
                <w:rFonts w:eastAsia="Arial" w:cs="Arial"/>
                <w:sz w:val="22"/>
                <w:szCs w:val="22"/>
                <w:lang w:val="es-CO"/>
              </w:rPr>
              <w:t>-El operador proponente no demuestra tener experiencia en ejecución de proyectos de Tecnologías de la Información y las Comunicaciones.</w:t>
            </w:r>
          </w:p>
          <w:p w14:paraId="41D2FFAF" w14:textId="77777777" w:rsidR="007F1725" w:rsidRPr="005455F3" w:rsidRDefault="007F1725" w:rsidP="00430593">
            <w:pPr>
              <w:jc w:val="both"/>
              <w:rPr>
                <w:rFonts w:eastAsia="Arial" w:cs="Arial"/>
                <w:sz w:val="22"/>
                <w:szCs w:val="22"/>
              </w:rPr>
            </w:pPr>
            <w:r w:rsidRPr="005455F3">
              <w:rPr>
                <w:rFonts w:eastAsia="Arial" w:cs="Arial"/>
                <w:sz w:val="22"/>
                <w:szCs w:val="22"/>
                <w:lang w:val="es-CO"/>
              </w:rPr>
              <w:t>-La propuesta no tiene unos objetivos ni un alcance definidos o presenta deficiencias metodológicas en su planteamiento.</w:t>
            </w:r>
          </w:p>
          <w:p w14:paraId="56A7C27A" w14:textId="77777777" w:rsidR="007F1725" w:rsidRPr="005455F3" w:rsidRDefault="007F1725" w:rsidP="00430593">
            <w:pPr>
              <w:jc w:val="both"/>
              <w:rPr>
                <w:rFonts w:eastAsia="Arial" w:cs="Arial"/>
                <w:sz w:val="22"/>
                <w:szCs w:val="22"/>
                <w:lang w:val="es-CO"/>
              </w:rPr>
            </w:pPr>
            <w:r w:rsidRPr="005455F3">
              <w:rPr>
                <w:rFonts w:eastAsia="Arial" w:cs="Arial"/>
                <w:sz w:val="22"/>
                <w:szCs w:val="22"/>
                <w:lang w:val="es-CO"/>
              </w:rPr>
              <w:t>-El operador proponente no demuestra contar con los recursos para ejecutar la propuesta.</w:t>
            </w:r>
          </w:p>
          <w:p w14:paraId="7CDC9D5B" w14:textId="77777777" w:rsidR="007F1725" w:rsidRPr="005455F3" w:rsidRDefault="007F1725" w:rsidP="00430593">
            <w:pPr>
              <w:jc w:val="both"/>
              <w:rPr>
                <w:rFonts w:eastAsia="Arial" w:cs="Arial"/>
                <w:sz w:val="22"/>
                <w:szCs w:val="22"/>
              </w:rPr>
            </w:pPr>
            <w:r w:rsidRPr="005455F3">
              <w:rPr>
                <w:rFonts w:eastAsia="Arial" w:cs="Arial"/>
                <w:sz w:val="22"/>
                <w:szCs w:val="22"/>
                <w:lang w:val="es-CO"/>
              </w:rPr>
              <w:t xml:space="preserve">- El operador proponente ha incumplido con los compromisos derivados de la aprobación de anteriores propuestas de Sandbox Regulatorio en cualquier entidad el sector TIC.  </w:t>
            </w:r>
          </w:p>
        </w:tc>
      </w:tr>
    </w:tbl>
    <w:p w14:paraId="72530C77" w14:textId="77777777" w:rsidR="007F1725" w:rsidRPr="005455F3" w:rsidRDefault="007F1725" w:rsidP="007F1725">
      <w:pPr>
        <w:jc w:val="both"/>
        <w:rPr>
          <w:rFonts w:eastAsia="Arial" w:cs="Arial"/>
          <w:sz w:val="22"/>
          <w:szCs w:val="22"/>
          <w:lang w:val="es-CO"/>
        </w:rPr>
      </w:pPr>
    </w:p>
    <w:p w14:paraId="77121362" w14:textId="77777777" w:rsidR="007F1725" w:rsidRDefault="007F1725" w:rsidP="007F1725">
      <w:pPr>
        <w:jc w:val="both"/>
        <w:rPr>
          <w:rFonts w:eastAsia="Arial" w:cs="Arial"/>
          <w:lang w:val="es-CO"/>
        </w:rPr>
      </w:pPr>
      <w:r w:rsidRPr="22538234">
        <w:rPr>
          <w:rFonts w:eastAsia="Arial" w:cs="Arial"/>
          <w:lang w:val="es-CO"/>
        </w:rPr>
        <w:t xml:space="preserve">Las propuestas y sus proponentes deben cumplir con la totalidad de los criterios señalados en el presente artículo, pero no deben cumplir necesariamente con cada uno de los indicadores positivos establecidos para cada uno de estos; no obstante, la información que se aporte para realizar la evaluación será utilizada por el Ministerio de Tecnologías de la Información y las Comunicaciones para determinar el efectivo cumplimiento del criterio al que corresponda. </w:t>
      </w:r>
    </w:p>
    <w:p w14:paraId="0B7E9502" w14:textId="77777777" w:rsidR="007F1725" w:rsidRDefault="007F1725" w:rsidP="007F1725">
      <w:pPr>
        <w:jc w:val="both"/>
        <w:rPr>
          <w:rFonts w:eastAsia="Arial" w:cs="Arial"/>
          <w:lang w:val="es-CO"/>
        </w:rPr>
      </w:pPr>
      <w:r w:rsidRPr="2139AF9D">
        <w:rPr>
          <w:rFonts w:eastAsia="Arial" w:cs="Arial"/>
          <w:lang w:val="es-CO"/>
        </w:rPr>
        <w:t xml:space="preserve"> </w:t>
      </w:r>
    </w:p>
    <w:p w14:paraId="122731B1" w14:textId="487995FD" w:rsidR="007F1725" w:rsidRDefault="007F1725" w:rsidP="007F1725">
      <w:pPr>
        <w:jc w:val="both"/>
        <w:rPr>
          <w:rFonts w:eastAsia="Arial" w:cs="Arial"/>
          <w:lang w:val="es-CO"/>
        </w:rPr>
      </w:pPr>
      <w:r w:rsidRPr="21004F96">
        <w:rPr>
          <w:rFonts w:eastAsia="Arial" w:cs="Arial"/>
          <w:lang w:val="es-CO"/>
        </w:rPr>
        <w:t>El Ministerio de Tecnologías de la Información y las Comunicaciones revisará en esta fase el plan de salida que deberá ser presentado por los</w:t>
      </w:r>
      <w:r>
        <w:rPr>
          <w:rFonts w:eastAsia="Arial" w:cs="Arial"/>
          <w:lang w:val="es-CO"/>
        </w:rPr>
        <w:t xml:space="preserve"> </w:t>
      </w:r>
      <w:r w:rsidR="00D44E79">
        <w:rPr>
          <w:rFonts w:eastAsia="Arial" w:cs="Arial"/>
          <w:color w:val="000000" w:themeColor="text1"/>
          <w:lang w:val="es-CO"/>
        </w:rPr>
        <w:t xml:space="preserve">proveedores y/o operadores </w:t>
      </w:r>
      <w:r w:rsidRPr="21004F96">
        <w:rPr>
          <w:rFonts w:eastAsia="Arial" w:cs="Arial"/>
          <w:lang w:val="es-CO"/>
        </w:rPr>
        <w:t>proponentes</w:t>
      </w:r>
      <w:r w:rsidR="00686CF5">
        <w:rPr>
          <w:rFonts w:eastAsia="Arial" w:cs="Arial"/>
          <w:lang w:val="es-CO"/>
        </w:rPr>
        <w:t xml:space="preserve"> en la fase de </w:t>
      </w:r>
      <w:r w:rsidR="00ED2554">
        <w:rPr>
          <w:rFonts w:eastAsia="Arial" w:cs="Arial"/>
          <w:lang w:val="es-CO"/>
        </w:rPr>
        <w:t>evaluación</w:t>
      </w:r>
      <w:r w:rsidRPr="21004F96">
        <w:rPr>
          <w:rFonts w:eastAsia="Arial" w:cs="Arial"/>
          <w:lang w:val="es-CO"/>
        </w:rPr>
        <w:t xml:space="preserve">, en el cual debe establecerse el procedimiento para terminar las operaciones y finalizar la experimentación temporal en el espacio controlado de prueba. Dicho plan no podrá superar los cuatro (4) meses de duración. </w:t>
      </w:r>
    </w:p>
    <w:p w14:paraId="04A9FD1D" w14:textId="77777777" w:rsidR="007F1725" w:rsidRDefault="007F1725" w:rsidP="007F1725">
      <w:pPr>
        <w:jc w:val="both"/>
        <w:rPr>
          <w:rFonts w:eastAsia="Arial" w:cs="Arial"/>
          <w:lang w:val="es-CO"/>
        </w:rPr>
      </w:pPr>
    </w:p>
    <w:p w14:paraId="086002A7" w14:textId="77777777" w:rsidR="007F1725" w:rsidRDefault="007F1725" w:rsidP="007F1725">
      <w:pPr>
        <w:jc w:val="both"/>
        <w:rPr>
          <w:rFonts w:eastAsia="Arial" w:cs="Arial"/>
          <w:lang w:val="es-CO"/>
        </w:rPr>
      </w:pPr>
      <w:r w:rsidRPr="22538234">
        <w:rPr>
          <w:rFonts w:eastAsia="Arial" w:cs="Arial"/>
          <w:lang w:val="es-CO"/>
        </w:rPr>
        <w:t xml:space="preserve">Posterior a la publicación de la lista de propuestas admitidas, el Ministerio de Tecnologías de la Información y las Comunicaciones expedirá el respectivo acto administrativo de autorización del proyecto de Sandbox Regulatorio con la definición de las condiciones particulares bajo las cuales deberán desarrollarse las fases </w:t>
      </w:r>
      <w:r w:rsidRPr="22538234">
        <w:rPr>
          <w:rFonts w:eastAsia="Arial" w:cs="Arial"/>
          <w:lang w:val="es-CO"/>
        </w:rPr>
        <w:lastRenderedPageBreak/>
        <w:t xml:space="preserve">subsiguientes, y atendiendo lo señalado en el artículo </w:t>
      </w:r>
      <w:r w:rsidRPr="001863F1">
        <w:rPr>
          <w:rFonts w:eastAsia="Arial" w:cs="Arial"/>
          <w:color w:val="000000" w:themeColor="text1"/>
          <w:lang w:val="es-CO"/>
        </w:rPr>
        <w:t>2.2.23.1.2.9</w:t>
      </w:r>
      <w:r w:rsidRPr="001863F1">
        <w:rPr>
          <w:rFonts w:eastAsia="Arial" w:cs="Arial"/>
          <w:color w:val="000000" w:themeColor="text1"/>
        </w:rPr>
        <w:t>.</w:t>
      </w:r>
      <w:r w:rsidRPr="22538234">
        <w:rPr>
          <w:rFonts w:eastAsia="Arial" w:cs="Arial"/>
          <w:b/>
          <w:bCs/>
          <w:color w:val="000000" w:themeColor="text1"/>
        </w:rPr>
        <w:t xml:space="preserve"> </w:t>
      </w:r>
      <w:r w:rsidRPr="22538234">
        <w:rPr>
          <w:rFonts w:eastAsia="Arial" w:cs="Arial"/>
          <w:lang w:val="es-CO"/>
        </w:rPr>
        <w:t xml:space="preserve">del presente </w:t>
      </w:r>
      <w:r>
        <w:rPr>
          <w:rFonts w:eastAsia="Arial" w:cs="Arial"/>
          <w:lang w:val="es-CO"/>
        </w:rPr>
        <w:t>Decreto</w:t>
      </w:r>
      <w:r w:rsidRPr="22538234">
        <w:rPr>
          <w:rFonts w:eastAsia="Arial" w:cs="Arial"/>
          <w:lang w:val="es-CO"/>
        </w:rPr>
        <w:t xml:space="preserve">.  </w:t>
      </w:r>
    </w:p>
    <w:p w14:paraId="66526E39" w14:textId="77777777" w:rsidR="007F1725" w:rsidRDefault="007F1725" w:rsidP="007F1725">
      <w:pPr>
        <w:jc w:val="both"/>
        <w:rPr>
          <w:rFonts w:eastAsia="Arial" w:cs="Arial"/>
          <w:lang w:val="es-CO"/>
        </w:rPr>
      </w:pPr>
    </w:p>
    <w:p w14:paraId="035B6B56" w14:textId="77777777" w:rsidR="007F1725" w:rsidRDefault="007F1725" w:rsidP="007F1725">
      <w:pPr>
        <w:jc w:val="both"/>
        <w:rPr>
          <w:rFonts w:eastAsia="Arial" w:cs="Arial"/>
          <w:color w:val="000000" w:themeColor="text1"/>
        </w:rPr>
      </w:pPr>
      <w:r w:rsidRPr="22538234">
        <w:rPr>
          <w:rFonts w:eastAsia="Arial" w:cs="Arial"/>
          <w:b/>
          <w:bCs/>
          <w:lang w:val="es-CO"/>
        </w:rPr>
        <w:t xml:space="preserve">Parágrafo 1. </w:t>
      </w:r>
      <w:r w:rsidRPr="22538234">
        <w:rPr>
          <w:rFonts w:eastAsia="Arial" w:cs="Arial"/>
          <w:color w:val="000000" w:themeColor="text1"/>
        </w:rPr>
        <w:t xml:space="preserve">En el caso de Sandbox Regulatorio Sectorial, la definición del cronograma de la fase de evaluación se realizará en los términos del presente artículo, de manera conjunta entre el Ministerio de Tecnologías de la Información y las Comunicaciones, la Comisión de Regulación de Comunicaciones, </w:t>
      </w:r>
      <w:r>
        <w:rPr>
          <w:rFonts w:eastAsia="Arial" w:cs="Arial"/>
          <w:color w:val="000000" w:themeColor="text1"/>
        </w:rPr>
        <w:t>o</w:t>
      </w:r>
      <w:r w:rsidRPr="22538234">
        <w:rPr>
          <w:rFonts w:eastAsia="Arial" w:cs="Arial"/>
          <w:color w:val="000000" w:themeColor="text1"/>
        </w:rPr>
        <w:t xml:space="preserve"> la Agencia Nacional del Espectro, según el objeto de</w:t>
      </w:r>
      <w:r>
        <w:rPr>
          <w:rFonts w:eastAsia="Arial" w:cs="Arial"/>
          <w:color w:val="000000" w:themeColor="text1"/>
        </w:rPr>
        <w:t xml:space="preserve"> </w:t>
      </w:r>
      <w:r w:rsidRPr="22538234">
        <w:rPr>
          <w:rFonts w:eastAsia="Arial" w:cs="Arial"/>
          <w:color w:val="000000" w:themeColor="text1"/>
        </w:rPr>
        <w:t>l</w:t>
      </w:r>
      <w:r>
        <w:rPr>
          <w:rFonts w:eastAsia="Arial" w:cs="Arial"/>
          <w:color w:val="000000" w:themeColor="text1"/>
        </w:rPr>
        <w:t>a(s)</w:t>
      </w:r>
      <w:r w:rsidRPr="22538234">
        <w:rPr>
          <w:rFonts w:eastAsia="Arial" w:cs="Arial"/>
          <w:color w:val="000000" w:themeColor="text1"/>
        </w:rPr>
        <w:t xml:space="preserve"> </w:t>
      </w:r>
      <w:r>
        <w:rPr>
          <w:rFonts w:eastAsia="Arial" w:cs="Arial"/>
          <w:color w:val="000000" w:themeColor="text1"/>
        </w:rPr>
        <w:t>propuesta(s) de Sandbox y sus competencias</w:t>
      </w:r>
      <w:r w:rsidRPr="22538234">
        <w:rPr>
          <w:rFonts w:eastAsia="Arial" w:cs="Arial"/>
          <w:color w:val="000000" w:themeColor="text1"/>
        </w:rPr>
        <w:t xml:space="preserve">. Las actividades de </w:t>
      </w:r>
      <w:r w:rsidRPr="22538234">
        <w:rPr>
          <w:rFonts w:eastAsia="Arial" w:cs="Arial"/>
          <w:lang w:val="es-CO"/>
        </w:rPr>
        <w:t xml:space="preserve">evaluación de las propuestas habilitadas, utilización de la información para la validación del cumplimiento de los criterios, verificación de las correcciones u observaciones que se presenten en el periodo de subsanación y publicaciones que deban realizarse en página </w:t>
      </w:r>
      <w:r>
        <w:rPr>
          <w:rFonts w:eastAsia="Arial" w:cs="Arial"/>
          <w:lang w:val="es-CO"/>
        </w:rPr>
        <w:t>W</w:t>
      </w:r>
      <w:r w:rsidRPr="22538234">
        <w:rPr>
          <w:rFonts w:eastAsia="Arial" w:cs="Arial"/>
          <w:lang w:val="es-CO"/>
        </w:rPr>
        <w:t>eb</w:t>
      </w:r>
      <w:r w:rsidRPr="22538234">
        <w:rPr>
          <w:rFonts w:eastAsia="Arial" w:cs="Arial"/>
          <w:color w:val="000000" w:themeColor="text1"/>
        </w:rPr>
        <w:t xml:space="preserve"> se realizarán de manera coordinada, pero independiente y en el marco de sus competencias, por cada una de las entidades participantes en la convocatoria de Sandbox.  </w:t>
      </w:r>
    </w:p>
    <w:p w14:paraId="6531618F" w14:textId="77777777" w:rsidR="007F1725" w:rsidRDefault="007F1725" w:rsidP="007F1725">
      <w:pPr>
        <w:jc w:val="both"/>
        <w:rPr>
          <w:rFonts w:eastAsia="Arial" w:cs="Arial"/>
          <w:b/>
          <w:bCs/>
          <w:lang w:val="es-CO"/>
        </w:rPr>
      </w:pPr>
    </w:p>
    <w:p w14:paraId="3278A84E" w14:textId="7B7BF30F" w:rsidR="007F1725" w:rsidRDefault="007F1725" w:rsidP="007F1725">
      <w:pPr>
        <w:jc w:val="both"/>
        <w:rPr>
          <w:rFonts w:eastAsia="Arial" w:cs="Arial"/>
          <w:color w:val="000000" w:themeColor="text1"/>
          <w:lang w:val="es-CO"/>
        </w:rPr>
      </w:pPr>
      <w:r w:rsidRPr="22538234">
        <w:rPr>
          <w:rFonts w:eastAsia="Arial" w:cs="Arial"/>
          <w:b/>
          <w:bCs/>
          <w:lang w:val="es-CO"/>
        </w:rPr>
        <w:t xml:space="preserve">Parágrafo 2. </w:t>
      </w:r>
      <w:r w:rsidRPr="22538234">
        <w:rPr>
          <w:rFonts w:eastAsia="Arial" w:cs="Arial"/>
          <w:color w:val="000000" w:themeColor="text1"/>
          <w:lang w:val="es-CO"/>
        </w:rPr>
        <w:t>En el caso de que alguna propuesta para el Sandbox Regulatorio o el Sandbox Regulatorio Sectorial pueda considerarse con potencialidad de generar efectos no deseados en la competencia en mercados de comunicaciones, est</w:t>
      </w:r>
      <w:r>
        <w:rPr>
          <w:rFonts w:eastAsia="Arial" w:cs="Arial"/>
          <w:color w:val="000000" w:themeColor="text1"/>
          <w:lang w:val="es-CO"/>
        </w:rPr>
        <w:t>a</w:t>
      </w:r>
      <w:r w:rsidRPr="22538234">
        <w:rPr>
          <w:rFonts w:eastAsia="Arial" w:cs="Arial"/>
          <w:color w:val="000000" w:themeColor="text1"/>
          <w:lang w:val="es-CO"/>
        </w:rPr>
        <w:t xml:space="preserve"> será enviad</w:t>
      </w:r>
      <w:r>
        <w:rPr>
          <w:rFonts w:eastAsia="Arial" w:cs="Arial"/>
          <w:color w:val="000000" w:themeColor="text1"/>
          <w:lang w:val="es-CO"/>
        </w:rPr>
        <w:t>a</w:t>
      </w:r>
      <w:r w:rsidRPr="22538234">
        <w:rPr>
          <w:rFonts w:eastAsia="Arial" w:cs="Arial"/>
          <w:color w:val="000000" w:themeColor="text1"/>
          <w:lang w:val="es-CO"/>
        </w:rPr>
        <w:t xml:space="preserve"> a la Superintendencia de Industria y Comercio o la entidad que haga sus veces para su respectivo concepto, </w:t>
      </w:r>
      <w:r>
        <w:rPr>
          <w:rFonts w:eastAsia="Arial" w:cs="Arial"/>
          <w:color w:val="000000" w:themeColor="text1"/>
          <w:lang w:val="es-CO"/>
        </w:rPr>
        <w:t xml:space="preserve">el </w:t>
      </w:r>
      <w:r w:rsidRPr="22538234">
        <w:rPr>
          <w:rFonts w:eastAsia="Arial" w:cs="Arial"/>
          <w:color w:val="000000" w:themeColor="text1"/>
          <w:lang w:val="es-CO"/>
        </w:rPr>
        <w:t>cual deberá ser tenido en cuenta en la evaluación de la propuesta.</w:t>
      </w:r>
    </w:p>
    <w:p w14:paraId="59DD8DC1" w14:textId="77777777" w:rsidR="007F1725" w:rsidRDefault="007F1725" w:rsidP="007F1725">
      <w:pPr>
        <w:jc w:val="both"/>
        <w:rPr>
          <w:rFonts w:eastAsia="Arial" w:cs="Arial"/>
          <w:color w:val="000000" w:themeColor="text1"/>
          <w:lang w:val="es-CO"/>
        </w:rPr>
      </w:pPr>
    </w:p>
    <w:p w14:paraId="239401A7" w14:textId="5D2872B8" w:rsidR="007F1725" w:rsidRPr="001863F1" w:rsidRDefault="007F1725" w:rsidP="007F1725">
      <w:pPr>
        <w:jc w:val="both"/>
        <w:rPr>
          <w:rFonts w:eastAsia="Arial" w:cs="Arial"/>
          <w:color w:val="000000" w:themeColor="text1"/>
          <w:lang w:val="es-CO"/>
        </w:rPr>
      </w:pPr>
      <w:r w:rsidRPr="001863F1">
        <w:rPr>
          <w:rFonts w:eastAsia="Arial" w:cs="Arial"/>
          <w:b/>
          <w:bCs/>
          <w:color w:val="000000" w:themeColor="text1"/>
          <w:lang w:val="es-CO"/>
        </w:rPr>
        <w:t xml:space="preserve">Parágrafo </w:t>
      </w:r>
      <w:r w:rsidRPr="22538234">
        <w:rPr>
          <w:rFonts w:eastAsia="Arial" w:cs="Arial"/>
          <w:b/>
          <w:bCs/>
          <w:color w:val="000000" w:themeColor="text1"/>
          <w:lang w:val="es-CO"/>
        </w:rPr>
        <w:t>3</w:t>
      </w:r>
      <w:r w:rsidRPr="001863F1">
        <w:rPr>
          <w:rFonts w:eastAsia="Arial" w:cs="Arial"/>
          <w:b/>
          <w:bCs/>
          <w:color w:val="000000" w:themeColor="text1"/>
          <w:lang w:val="es-CO"/>
        </w:rPr>
        <w:t xml:space="preserve">. </w:t>
      </w:r>
      <w:r w:rsidRPr="001863F1">
        <w:rPr>
          <w:rFonts w:eastAsia="Arial" w:cs="Arial"/>
          <w:color w:val="000000" w:themeColor="text1"/>
          <w:lang w:val="es-CO"/>
        </w:rPr>
        <w:t xml:space="preserve">La evaluación de los criterios de innovación y necesidad demostrada señalados en el presente artículo se realizará de forma diferencial y en relación con la zona geográfica de implementación del correspondiente Sandbox Regulatorio, </w:t>
      </w:r>
      <w:r w:rsidRPr="22538234">
        <w:rPr>
          <w:rFonts w:eastAsia="Arial" w:cs="Arial"/>
          <w:color w:val="000000" w:themeColor="text1"/>
          <w:lang w:val="es-CO"/>
        </w:rPr>
        <w:t xml:space="preserve">buscando, de manera prioritaria, la materialización del beneficio para los ciudadanos a través de la innovación para la correspondiente zona en cualquier aspecto de la provisión de redes y servicios de comunicaciones de acuerdo con sus condiciones particulares.  </w:t>
      </w:r>
    </w:p>
    <w:p w14:paraId="001023A9" w14:textId="77777777" w:rsidR="007F1725" w:rsidRPr="001863F1" w:rsidRDefault="007F1725" w:rsidP="007F1725">
      <w:pPr>
        <w:jc w:val="both"/>
        <w:rPr>
          <w:rFonts w:eastAsia="Arial" w:cs="Arial"/>
          <w:b/>
          <w:bCs/>
          <w:color w:val="000000" w:themeColor="text1"/>
          <w:lang w:val="es-CO"/>
        </w:rPr>
      </w:pPr>
    </w:p>
    <w:p w14:paraId="0634C285" w14:textId="0A8169F4" w:rsidR="007F1725" w:rsidRDefault="007F1725" w:rsidP="007F1725">
      <w:pPr>
        <w:jc w:val="both"/>
        <w:rPr>
          <w:rFonts w:eastAsia="Arial" w:cs="Arial"/>
          <w:lang w:val="es-CO"/>
        </w:rPr>
      </w:pPr>
      <w:r w:rsidRPr="22538234">
        <w:rPr>
          <w:rFonts w:eastAsia="Arial" w:cs="Arial"/>
          <w:b/>
          <w:bCs/>
          <w:lang w:val="es-CO"/>
        </w:rPr>
        <w:t xml:space="preserve">Artículo </w:t>
      </w:r>
      <w:r w:rsidRPr="22538234">
        <w:rPr>
          <w:rFonts w:eastAsia="Arial" w:cs="Arial"/>
          <w:b/>
          <w:bCs/>
          <w:color w:val="000000" w:themeColor="text1"/>
          <w:lang w:val="es-CO"/>
        </w:rPr>
        <w:t>2.2.23.1.2.5</w:t>
      </w:r>
      <w:r w:rsidRPr="22538234">
        <w:rPr>
          <w:rFonts w:eastAsia="Arial" w:cs="Arial"/>
          <w:b/>
          <w:bCs/>
          <w:color w:val="000000" w:themeColor="text1"/>
        </w:rPr>
        <w:t>.</w:t>
      </w:r>
      <w:r w:rsidRPr="22538234">
        <w:rPr>
          <w:rFonts w:eastAsia="Arial" w:cs="Arial"/>
          <w:b/>
          <w:bCs/>
          <w:lang w:val="es-CO"/>
        </w:rPr>
        <w:t xml:space="preserve"> </w:t>
      </w:r>
      <w:r w:rsidRPr="008D0C24">
        <w:rPr>
          <w:rFonts w:eastAsia="Arial" w:cs="Arial"/>
          <w:b/>
          <w:bCs/>
          <w:i/>
          <w:iCs/>
          <w:lang w:val="es-CO"/>
        </w:rPr>
        <w:t>Definición de riesgos, salvaguardas e indicadores de éxito</w:t>
      </w:r>
      <w:r w:rsidRPr="22538234">
        <w:rPr>
          <w:rFonts w:eastAsia="Arial" w:cs="Arial"/>
          <w:b/>
          <w:bCs/>
          <w:lang w:val="es-CO"/>
        </w:rPr>
        <w:t>.</w:t>
      </w:r>
      <w:r w:rsidRPr="22538234">
        <w:rPr>
          <w:rFonts w:eastAsia="Arial" w:cs="Arial"/>
          <w:lang w:val="es-CO"/>
        </w:rPr>
        <w:t xml:space="preserve"> Los </w:t>
      </w:r>
      <w:r w:rsidR="00D44E79">
        <w:rPr>
          <w:rFonts w:eastAsia="Arial" w:cs="Arial"/>
          <w:color w:val="000000" w:themeColor="text1"/>
          <w:lang w:val="es-CO"/>
        </w:rPr>
        <w:t xml:space="preserve">proveedores y/o operadores </w:t>
      </w:r>
      <w:r w:rsidRPr="22538234">
        <w:rPr>
          <w:rFonts w:eastAsia="Arial" w:cs="Arial"/>
          <w:lang w:val="es-CO"/>
        </w:rPr>
        <w:t>proponentes admitidos en</w:t>
      </w:r>
      <w:r w:rsidR="002A41C6">
        <w:rPr>
          <w:rFonts w:eastAsia="Arial" w:cs="Arial"/>
          <w:lang w:val="es-CO"/>
        </w:rPr>
        <w:t xml:space="preserve"> la fase de evaluación </w:t>
      </w:r>
      <w:r w:rsidR="00982B07">
        <w:rPr>
          <w:rFonts w:eastAsia="Arial" w:cs="Arial"/>
          <w:lang w:val="es-CO"/>
        </w:rPr>
        <w:t>d</w:t>
      </w:r>
      <w:r w:rsidRPr="22538234">
        <w:rPr>
          <w:rFonts w:eastAsia="Arial" w:cs="Arial"/>
          <w:lang w:val="es-CO"/>
        </w:rPr>
        <w:t xml:space="preserve">el Sandbox Regulatorio del Ministerio de Tecnologías de la Información y las Comunicaciones deberán determinar:  </w:t>
      </w:r>
    </w:p>
    <w:p w14:paraId="31171DAB" w14:textId="77777777" w:rsidR="007F1725" w:rsidRDefault="007F1725" w:rsidP="007F1725">
      <w:pPr>
        <w:jc w:val="both"/>
        <w:rPr>
          <w:rFonts w:eastAsia="Arial" w:cs="Arial"/>
          <w:lang w:val="es-CO"/>
        </w:rPr>
      </w:pPr>
      <w:r w:rsidRPr="21004F96">
        <w:rPr>
          <w:rFonts w:eastAsia="Arial" w:cs="Arial"/>
          <w:lang w:val="es-CO"/>
        </w:rPr>
        <w:t xml:space="preserve"> </w:t>
      </w:r>
    </w:p>
    <w:p w14:paraId="5ED9F6D7" w14:textId="77777777" w:rsidR="007F1725" w:rsidRDefault="007F1725" w:rsidP="007F1725">
      <w:pPr>
        <w:ind w:left="426" w:hanging="426"/>
        <w:jc w:val="both"/>
        <w:rPr>
          <w:rFonts w:eastAsia="Arial" w:cs="Arial"/>
          <w:b/>
          <w:bCs/>
          <w:lang w:val="es-CO"/>
        </w:rPr>
      </w:pPr>
      <w:r w:rsidRPr="22538234">
        <w:rPr>
          <w:rFonts w:eastAsia="Arial" w:cs="Arial"/>
          <w:b/>
          <w:bCs/>
          <w:lang w:val="es-CO"/>
        </w:rPr>
        <w:t xml:space="preserve">1. </w:t>
      </w:r>
      <w:r>
        <w:tab/>
      </w:r>
      <w:r w:rsidRPr="22538234">
        <w:rPr>
          <w:rFonts w:eastAsia="Arial" w:cs="Arial"/>
          <w:b/>
          <w:bCs/>
          <w:lang w:val="es-CO"/>
        </w:rPr>
        <w:t xml:space="preserve">Los riesgos de la propuesta y las salvaguardas para proteger a los usuarios involucrados cuando corresponda.  </w:t>
      </w:r>
    </w:p>
    <w:p w14:paraId="6ADF75F0" w14:textId="77777777" w:rsidR="007F1725" w:rsidRDefault="007F1725" w:rsidP="007F1725">
      <w:pPr>
        <w:jc w:val="both"/>
        <w:rPr>
          <w:rFonts w:eastAsia="Arial" w:cs="Arial"/>
          <w:lang w:val="es-CO"/>
        </w:rPr>
      </w:pPr>
    </w:p>
    <w:p w14:paraId="19BC5E3E" w14:textId="01E09C16" w:rsidR="007F1725" w:rsidRDefault="007F1725" w:rsidP="007F1725">
      <w:pPr>
        <w:jc w:val="both"/>
        <w:rPr>
          <w:rFonts w:eastAsia="Arial" w:cs="Arial"/>
          <w:lang w:val="es-CO"/>
        </w:rPr>
      </w:pPr>
      <w:r w:rsidRPr="22538234">
        <w:rPr>
          <w:rFonts w:eastAsia="Arial" w:cs="Arial"/>
          <w:lang w:val="es-CO"/>
        </w:rPr>
        <w:t xml:space="preserve">La propuesta deberá identificar los riesgos previsibles que pueden surgir durante su desarrollo. Adicionalmente, cuando dichos riesgos impliquen afectación a los mecanismos de protección a los usuarios, el </w:t>
      </w:r>
      <w:r>
        <w:rPr>
          <w:rFonts w:eastAsia="Arial" w:cs="Arial"/>
          <w:lang w:val="es-CO"/>
        </w:rPr>
        <w:t xml:space="preserve">operador </w:t>
      </w:r>
      <w:r w:rsidRPr="22538234">
        <w:rPr>
          <w:rFonts w:eastAsia="Arial" w:cs="Arial"/>
          <w:lang w:val="es-CO"/>
        </w:rPr>
        <w:t xml:space="preserve">proponente que esté a cargo de la propuesta deberá establecer salvaguardas, las cuales estarán sujetas a evaluación y aprobación por parte del Ministerio de Tecnologías de la Información y las Comunicaciones. En cualquier caso, el </w:t>
      </w:r>
      <w:r>
        <w:rPr>
          <w:rFonts w:eastAsia="Arial" w:cs="Arial"/>
          <w:lang w:val="es-CO"/>
        </w:rPr>
        <w:t>operador</w:t>
      </w:r>
      <w:r w:rsidR="002D63DA">
        <w:rPr>
          <w:rFonts w:eastAsia="Arial" w:cs="Arial"/>
          <w:lang w:val="es-CO"/>
        </w:rPr>
        <w:t xml:space="preserve"> y/o proveedor</w:t>
      </w:r>
      <w:r w:rsidRPr="22538234">
        <w:rPr>
          <w:rFonts w:eastAsia="Arial" w:cs="Arial"/>
          <w:lang w:val="es-CO"/>
        </w:rPr>
        <w:t xml:space="preserve"> al que se le autorice experimentar al interior del Sandbox Regulatorio deberá responder por los daños y perjuicios causados a terceros durante su experimentación. </w:t>
      </w:r>
    </w:p>
    <w:p w14:paraId="6A783348" w14:textId="77777777" w:rsidR="007F1725" w:rsidRDefault="007F1725" w:rsidP="007F1725">
      <w:pPr>
        <w:jc w:val="both"/>
        <w:rPr>
          <w:rFonts w:eastAsia="Arial" w:cs="Arial"/>
          <w:lang w:val="es-CO"/>
        </w:rPr>
      </w:pPr>
      <w:r w:rsidRPr="21004F96">
        <w:rPr>
          <w:rFonts w:eastAsia="Arial" w:cs="Arial"/>
          <w:lang w:val="es-CO"/>
        </w:rPr>
        <w:t xml:space="preserve"> </w:t>
      </w:r>
    </w:p>
    <w:p w14:paraId="20544B4B" w14:textId="77777777" w:rsidR="007F1725" w:rsidRDefault="007F1725" w:rsidP="007F1725">
      <w:pPr>
        <w:ind w:left="426" w:hanging="426"/>
        <w:jc w:val="both"/>
        <w:rPr>
          <w:rFonts w:eastAsia="Arial" w:cs="Arial"/>
          <w:b/>
          <w:bCs/>
          <w:lang w:val="es-CO"/>
        </w:rPr>
      </w:pPr>
      <w:r w:rsidRPr="22538234">
        <w:rPr>
          <w:rFonts w:eastAsia="Arial" w:cs="Arial"/>
          <w:b/>
          <w:bCs/>
          <w:lang w:val="es-CO"/>
        </w:rPr>
        <w:t xml:space="preserve">2.   Los indicadores para medir el éxito del proyecto.  </w:t>
      </w:r>
    </w:p>
    <w:p w14:paraId="5CD93291" w14:textId="77777777" w:rsidR="007F1725" w:rsidRDefault="007F1725" w:rsidP="007F1725">
      <w:pPr>
        <w:jc w:val="both"/>
        <w:rPr>
          <w:rFonts w:eastAsia="Arial" w:cs="Arial"/>
          <w:lang w:val="es-CO"/>
        </w:rPr>
      </w:pPr>
      <w:r w:rsidRPr="21004F96">
        <w:rPr>
          <w:rFonts w:eastAsia="Arial" w:cs="Arial"/>
          <w:lang w:val="es-CO"/>
        </w:rPr>
        <w:t xml:space="preserve"> </w:t>
      </w:r>
    </w:p>
    <w:p w14:paraId="1375D8F8" w14:textId="21CA68D2" w:rsidR="007F1725" w:rsidRDefault="007F1725" w:rsidP="007F1725">
      <w:pPr>
        <w:jc w:val="both"/>
        <w:rPr>
          <w:rFonts w:eastAsia="Arial" w:cs="Arial"/>
          <w:lang w:val="es-CO"/>
        </w:rPr>
      </w:pPr>
      <w:r w:rsidRPr="22538234">
        <w:rPr>
          <w:rFonts w:eastAsia="Arial" w:cs="Arial"/>
          <w:lang w:val="es-CO"/>
        </w:rPr>
        <w:t>Los proponentes admitidos</w:t>
      </w:r>
      <w:r w:rsidR="002D63DA">
        <w:rPr>
          <w:rFonts w:eastAsia="Arial" w:cs="Arial"/>
          <w:lang w:val="es-CO"/>
        </w:rPr>
        <w:t xml:space="preserve"> en la fase de evaluación</w:t>
      </w:r>
      <w:r w:rsidRPr="22538234">
        <w:rPr>
          <w:rFonts w:eastAsia="Arial" w:cs="Arial"/>
          <w:lang w:val="es-CO"/>
        </w:rPr>
        <w:t xml:space="preserve"> </w:t>
      </w:r>
      <w:r>
        <w:rPr>
          <w:rFonts w:eastAsia="Arial" w:cs="Arial"/>
          <w:lang w:val="es-CO"/>
        </w:rPr>
        <w:t>presentarán al</w:t>
      </w:r>
      <w:r w:rsidRPr="22538234">
        <w:rPr>
          <w:rFonts w:eastAsia="Arial" w:cs="Arial"/>
          <w:lang w:val="es-CO"/>
        </w:rPr>
        <w:t xml:space="preserve"> Ministerio de Tecnologías de la Información y las Comunicaciones, </w:t>
      </w:r>
      <w:r>
        <w:rPr>
          <w:rFonts w:eastAsia="Arial" w:cs="Arial"/>
          <w:lang w:val="es-CO"/>
        </w:rPr>
        <w:t>propuesta de</w:t>
      </w:r>
      <w:r w:rsidRPr="22538234">
        <w:rPr>
          <w:rFonts w:eastAsia="Arial" w:cs="Arial"/>
          <w:lang w:val="es-CO"/>
        </w:rPr>
        <w:t xml:space="preserve">: (i) los indicadores de éxito para la medición del proyecto que van a experimentar en el </w:t>
      </w:r>
      <w:r w:rsidRPr="22538234">
        <w:rPr>
          <w:rFonts w:eastAsia="Arial" w:cs="Arial"/>
          <w:lang w:val="es-CO"/>
        </w:rPr>
        <w:lastRenderedPageBreak/>
        <w:t>Sandbox Regulatorio, los cuales pueden versar respecto de objetivos estratégicos como bienestar social, calidad, competitividad, desarrollo e inversión, innovación, entre otros y (ii) los mecanismos de monitoreo de estos indicadores con el fin de verificar su cumplimiento durante la fase de experimentación. E</w:t>
      </w:r>
      <w:r>
        <w:rPr>
          <w:rFonts w:eastAsia="Arial" w:cs="Arial"/>
          <w:lang w:val="es-CO"/>
        </w:rPr>
        <w:t>stos indicadores estarán sujetos a revisión y aprobación de</w:t>
      </w:r>
      <w:r w:rsidRPr="22538234">
        <w:rPr>
          <w:rFonts w:eastAsia="Arial" w:cs="Arial"/>
          <w:lang w:val="es-CO"/>
        </w:rPr>
        <w:t>l Ministerio de Tecnologías de la Información y las Comunicaciones</w:t>
      </w:r>
      <w:r>
        <w:rPr>
          <w:rFonts w:eastAsia="Arial" w:cs="Arial"/>
          <w:lang w:val="es-CO"/>
        </w:rPr>
        <w:t>.</w:t>
      </w:r>
    </w:p>
    <w:p w14:paraId="7757ABC0" w14:textId="360F0060" w:rsidR="007F1725" w:rsidRDefault="007F1725" w:rsidP="007F1725">
      <w:pPr>
        <w:jc w:val="both"/>
        <w:rPr>
          <w:rFonts w:eastAsia="Arial" w:cs="Arial"/>
          <w:color w:val="000000" w:themeColor="text1"/>
          <w:lang w:val="es-CO"/>
        </w:rPr>
      </w:pPr>
    </w:p>
    <w:p w14:paraId="7964EDB7" w14:textId="788E25DC" w:rsidR="007F1725" w:rsidRDefault="007F1725" w:rsidP="007F1725">
      <w:pPr>
        <w:jc w:val="both"/>
        <w:rPr>
          <w:rFonts w:eastAsia="Arial" w:cs="Arial"/>
          <w:color w:val="000000" w:themeColor="text1"/>
          <w:lang w:val="es-CO"/>
        </w:rPr>
      </w:pPr>
      <w:r w:rsidRPr="21004F96">
        <w:rPr>
          <w:rFonts w:eastAsia="Arial" w:cs="Arial"/>
          <w:color w:val="000000" w:themeColor="text1"/>
          <w:lang w:val="es-CO"/>
        </w:rPr>
        <w:t xml:space="preserve">En todo caso, el Ministerio de Tecnologías de la Información y las Comunicaciones se reserva el derecho de modificar </w:t>
      </w:r>
      <w:r>
        <w:rPr>
          <w:rFonts w:eastAsia="Arial" w:cs="Arial"/>
          <w:color w:val="000000" w:themeColor="text1"/>
          <w:lang w:val="es-CO"/>
        </w:rPr>
        <w:t xml:space="preserve">en cualquier momento </w:t>
      </w:r>
      <w:r w:rsidRPr="21004F96">
        <w:rPr>
          <w:rFonts w:eastAsia="Arial" w:cs="Arial"/>
          <w:color w:val="000000" w:themeColor="text1"/>
          <w:lang w:val="es-CO"/>
        </w:rPr>
        <w:t xml:space="preserve">las salvaguardas aprobadas.  </w:t>
      </w:r>
    </w:p>
    <w:p w14:paraId="3000872F" w14:textId="77777777" w:rsidR="007F1725" w:rsidRDefault="007F1725" w:rsidP="007F1725">
      <w:pPr>
        <w:jc w:val="both"/>
        <w:rPr>
          <w:rFonts w:eastAsia="Arial" w:cs="Arial"/>
          <w:color w:val="000000" w:themeColor="text1"/>
          <w:lang w:val="es-CO"/>
        </w:rPr>
      </w:pPr>
    </w:p>
    <w:p w14:paraId="1F4ED9BD" w14:textId="77777777" w:rsidR="007F1725" w:rsidRDefault="007F1725" w:rsidP="007F1725">
      <w:pPr>
        <w:jc w:val="both"/>
        <w:rPr>
          <w:rFonts w:eastAsia="Arial" w:cs="Arial"/>
          <w:color w:val="000000" w:themeColor="text1"/>
        </w:rPr>
      </w:pPr>
      <w:r w:rsidRPr="22538234">
        <w:rPr>
          <w:rFonts w:eastAsia="Arial" w:cs="Arial"/>
          <w:b/>
          <w:bCs/>
          <w:color w:val="000000" w:themeColor="text1"/>
          <w:lang w:val="es-CO"/>
        </w:rPr>
        <w:t>Parágrafo.</w:t>
      </w:r>
      <w:r w:rsidRPr="22538234">
        <w:rPr>
          <w:rFonts w:eastAsia="Arial" w:cs="Arial"/>
          <w:color w:val="000000" w:themeColor="text1"/>
          <w:lang w:val="es-CO"/>
        </w:rPr>
        <w:t xml:space="preserve"> En el caso de Sandbox Regulatorio Sectorial, la verificación o eventual modificación de las salvaguardas, </w:t>
      </w:r>
      <w:r>
        <w:rPr>
          <w:rFonts w:eastAsia="Arial" w:cs="Arial"/>
          <w:color w:val="000000" w:themeColor="text1"/>
          <w:lang w:val="es-CO"/>
        </w:rPr>
        <w:t>definición</w:t>
      </w:r>
      <w:r w:rsidRPr="22538234">
        <w:rPr>
          <w:rFonts w:eastAsia="Arial" w:cs="Arial"/>
          <w:color w:val="000000" w:themeColor="text1"/>
          <w:lang w:val="es-CO"/>
        </w:rPr>
        <w:t xml:space="preserve"> de los indicadores de éxito y de los mecanismos de monitoreo, y la comunicación de los riesgos a las autoridades de vigilancia y control y demás entidades, se realizarán en los términos del presente artículo, de manera conjunta entre el Ministerio de Tecnologías de la Información y las Comunicaciones, la Comisión de Regulación de Comunicaciones, </w:t>
      </w:r>
      <w:r>
        <w:rPr>
          <w:rFonts w:eastAsia="Arial" w:cs="Arial"/>
          <w:color w:val="000000" w:themeColor="text1"/>
          <w:lang w:val="es-CO"/>
        </w:rPr>
        <w:t>o</w:t>
      </w:r>
      <w:r w:rsidRPr="22538234">
        <w:rPr>
          <w:rFonts w:eastAsia="Arial" w:cs="Arial"/>
          <w:color w:val="000000" w:themeColor="text1"/>
          <w:lang w:val="es-CO"/>
        </w:rPr>
        <w:t xml:space="preserve"> la Agencia Nacional del Espectro, </w:t>
      </w:r>
      <w:r w:rsidRPr="22538234">
        <w:rPr>
          <w:rFonts w:eastAsia="Arial" w:cs="Arial"/>
          <w:color w:val="000000" w:themeColor="text1"/>
        </w:rPr>
        <w:t xml:space="preserve">según </w:t>
      </w:r>
      <w:r>
        <w:rPr>
          <w:rFonts w:eastAsia="Arial" w:cs="Arial"/>
          <w:color w:val="000000" w:themeColor="text1"/>
        </w:rPr>
        <w:t xml:space="preserve">sus competencias y </w:t>
      </w:r>
      <w:r w:rsidRPr="22538234">
        <w:rPr>
          <w:rFonts w:eastAsia="Arial" w:cs="Arial"/>
          <w:color w:val="000000" w:themeColor="text1"/>
        </w:rPr>
        <w:t>el objeto de</w:t>
      </w:r>
      <w:r>
        <w:rPr>
          <w:rFonts w:eastAsia="Arial" w:cs="Arial"/>
          <w:color w:val="000000" w:themeColor="text1"/>
        </w:rPr>
        <w:t xml:space="preserve"> </w:t>
      </w:r>
      <w:r w:rsidRPr="22538234">
        <w:rPr>
          <w:rFonts w:eastAsia="Arial" w:cs="Arial"/>
          <w:color w:val="000000" w:themeColor="text1"/>
        </w:rPr>
        <w:t>l</w:t>
      </w:r>
      <w:r>
        <w:rPr>
          <w:rFonts w:eastAsia="Arial" w:cs="Arial"/>
          <w:color w:val="000000" w:themeColor="text1"/>
        </w:rPr>
        <w:t>a(s) propuesta(s) del</w:t>
      </w:r>
      <w:r w:rsidRPr="22538234">
        <w:rPr>
          <w:rFonts w:eastAsia="Arial" w:cs="Arial"/>
          <w:color w:val="000000" w:themeColor="text1"/>
        </w:rPr>
        <w:t xml:space="preserve"> citado Sandbox.  </w:t>
      </w:r>
    </w:p>
    <w:p w14:paraId="2F03DBF6" w14:textId="77777777" w:rsidR="007F1725" w:rsidRPr="00344D5A" w:rsidRDefault="007F1725" w:rsidP="007F1725">
      <w:pPr>
        <w:jc w:val="both"/>
        <w:rPr>
          <w:rFonts w:eastAsia="Arial" w:cs="Arial"/>
          <w:color w:val="000000" w:themeColor="text1"/>
        </w:rPr>
      </w:pPr>
    </w:p>
    <w:p w14:paraId="421A3DF7" w14:textId="004F519A" w:rsidR="007F1725" w:rsidRPr="009F2FB2" w:rsidRDefault="007F1725" w:rsidP="007F1725">
      <w:pPr>
        <w:jc w:val="both"/>
        <w:rPr>
          <w:rFonts w:eastAsia="Arial" w:cs="Arial"/>
          <w:color w:val="000000" w:themeColor="text1"/>
        </w:rPr>
      </w:pPr>
      <w:r w:rsidRPr="22538234">
        <w:rPr>
          <w:rFonts w:eastAsia="Arial" w:cs="Arial"/>
          <w:b/>
          <w:bCs/>
          <w:color w:val="000000" w:themeColor="text1"/>
        </w:rPr>
        <w:t xml:space="preserve">Artículo </w:t>
      </w:r>
      <w:r w:rsidRPr="22538234">
        <w:rPr>
          <w:rFonts w:eastAsia="Arial" w:cs="Arial"/>
          <w:b/>
          <w:bCs/>
          <w:color w:val="000000" w:themeColor="text1"/>
          <w:lang w:val="es-CO"/>
        </w:rPr>
        <w:t>2.2.23.1.2.6</w:t>
      </w:r>
      <w:r w:rsidRPr="22538234">
        <w:rPr>
          <w:rFonts w:eastAsia="Arial" w:cs="Arial"/>
          <w:b/>
          <w:bCs/>
          <w:color w:val="000000" w:themeColor="text1"/>
        </w:rPr>
        <w:t xml:space="preserve">. </w:t>
      </w:r>
      <w:r w:rsidRPr="008D0C24">
        <w:rPr>
          <w:rFonts w:eastAsia="Arial" w:cs="Arial"/>
          <w:b/>
          <w:bCs/>
          <w:i/>
          <w:iCs/>
          <w:color w:val="000000" w:themeColor="text1"/>
        </w:rPr>
        <w:t>Protocolos de recolección de información</w:t>
      </w:r>
      <w:r w:rsidRPr="22538234">
        <w:rPr>
          <w:rFonts w:eastAsia="Arial" w:cs="Arial"/>
          <w:b/>
          <w:bCs/>
          <w:color w:val="000000" w:themeColor="text1"/>
        </w:rPr>
        <w:t>.</w:t>
      </w:r>
      <w:r w:rsidRPr="22538234">
        <w:rPr>
          <w:rFonts w:eastAsia="Arial" w:cs="Arial"/>
          <w:color w:val="000000" w:themeColor="text1"/>
        </w:rPr>
        <w:t xml:space="preserve"> De manera previa a la fase de experimentación, el Ministerio de Tecnologías de la Información y las Comunicaciones establecerá los protocolos de recolección de información de la fase de experimentación de cada </w:t>
      </w:r>
      <w:r>
        <w:rPr>
          <w:rFonts w:eastAsia="Arial" w:cs="Arial"/>
          <w:color w:val="000000" w:themeColor="text1"/>
        </w:rPr>
        <w:t>propuesta</w:t>
      </w:r>
      <w:r w:rsidRPr="22538234">
        <w:rPr>
          <w:rFonts w:eastAsia="Arial" w:cs="Arial"/>
          <w:color w:val="000000" w:themeColor="text1"/>
        </w:rPr>
        <w:t xml:space="preserve"> de Sandbox sobre la base de los análisis pertinentes y las sugerencias de los </w:t>
      </w:r>
      <w:r w:rsidR="00D44E79">
        <w:rPr>
          <w:rFonts w:eastAsia="Arial" w:cs="Arial"/>
          <w:color w:val="000000" w:themeColor="text1"/>
          <w:lang w:val="es-CO"/>
        </w:rPr>
        <w:t xml:space="preserve">proveedores y/o operadores </w:t>
      </w:r>
      <w:r w:rsidRPr="22538234">
        <w:rPr>
          <w:rFonts w:eastAsia="Arial" w:cs="Arial"/>
          <w:color w:val="000000" w:themeColor="text1"/>
        </w:rPr>
        <w:t xml:space="preserve">proponentes admitidos.  </w:t>
      </w:r>
    </w:p>
    <w:p w14:paraId="03C7FF28" w14:textId="77777777" w:rsidR="007F1725" w:rsidRPr="009F2FB2" w:rsidRDefault="007F1725" w:rsidP="007F1725">
      <w:pPr>
        <w:jc w:val="both"/>
        <w:rPr>
          <w:rFonts w:eastAsia="Arial" w:cs="Arial"/>
          <w:color w:val="000000" w:themeColor="text1"/>
        </w:rPr>
      </w:pPr>
    </w:p>
    <w:p w14:paraId="2A944D84" w14:textId="7DFA2AFA" w:rsidR="007F1725" w:rsidRPr="009F2FB2" w:rsidRDefault="007F1725" w:rsidP="007F1725">
      <w:pPr>
        <w:jc w:val="both"/>
        <w:rPr>
          <w:rFonts w:eastAsia="Arial" w:cs="Arial"/>
          <w:color w:val="000000" w:themeColor="text1"/>
        </w:rPr>
      </w:pPr>
      <w:r w:rsidRPr="21004F96">
        <w:rPr>
          <w:rFonts w:eastAsia="Arial" w:cs="Arial"/>
          <w:color w:val="000000" w:themeColor="text1"/>
        </w:rPr>
        <w:t xml:space="preserve">Estos protocolos de recolección de información determinarán el medio y la periodicidad de la recolección, la cantidad, confidencialidad y monitoreo de la información, las partes que tendrán acceso a la información que se recolecte y demás condiciones que deberán cumplir tanto los </w:t>
      </w:r>
      <w:r w:rsidR="00D44E79">
        <w:rPr>
          <w:rFonts w:eastAsia="Arial" w:cs="Arial"/>
          <w:color w:val="000000" w:themeColor="text1"/>
          <w:lang w:val="es-CO"/>
        </w:rPr>
        <w:t xml:space="preserve">proveedores y/o operadores </w:t>
      </w:r>
      <w:r w:rsidRPr="21004F96">
        <w:rPr>
          <w:rFonts w:eastAsia="Arial" w:cs="Arial"/>
          <w:color w:val="000000" w:themeColor="text1"/>
        </w:rPr>
        <w:t xml:space="preserve">proponentes admitidos como el Ministerio de Tecnologías de la Información y las Comunicaciones.  </w:t>
      </w:r>
    </w:p>
    <w:p w14:paraId="166E8C55" w14:textId="77777777" w:rsidR="007F1725" w:rsidRPr="009F2FB2" w:rsidRDefault="007F1725" w:rsidP="007F1725">
      <w:pPr>
        <w:jc w:val="both"/>
        <w:rPr>
          <w:rFonts w:eastAsia="Arial" w:cs="Arial"/>
          <w:color w:val="000000" w:themeColor="text1"/>
        </w:rPr>
      </w:pPr>
    </w:p>
    <w:p w14:paraId="1C58CFE9" w14:textId="4F03A13A" w:rsidR="00605769" w:rsidRPr="009F2FB2" w:rsidRDefault="007F1725" w:rsidP="007F1725">
      <w:pPr>
        <w:jc w:val="both"/>
        <w:rPr>
          <w:rFonts w:eastAsia="Arial" w:cs="Arial"/>
          <w:color w:val="000000" w:themeColor="text1"/>
        </w:rPr>
      </w:pPr>
      <w:r>
        <w:rPr>
          <w:rFonts w:eastAsia="Arial" w:cs="Arial"/>
          <w:color w:val="000000" w:themeColor="text1"/>
        </w:rPr>
        <w:t>E</w:t>
      </w:r>
      <w:r w:rsidRPr="22538234">
        <w:rPr>
          <w:rFonts w:eastAsia="Arial" w:cs="Arial"/>
          <w:color w:val="000000" w:themeColor="text1"/>
        </w:rPr>
        <w:t>l Ministerio de Tecnologías de la Información y las Comunicaciones</w:t>
      </w:r>
      <w:r w:rsidRPr="0014194A">
        <w:rPr>
          <w:rFonts w:eastAsia="Arial" w:cs="Arial"/>
          <w:color w:val="000000" w:themeColor="text1"/>
        </w:rPr>
        <w:t xml:space="preserve"> </w:t>
      </w:r>
      <w:r>
        <w:rPr>
          <w:rFonts w:eastAsia="Arial" w:cs="Arial"/>
          <w:color w:val="000000" w:themeColor="text1"/>
        </w:rPr>
        <w:t xml:space="preserve">revisará </w:t>
      </w:r>
      <w:r w:rsidRPr="22538234">
        <w:rPr>
          <w:rFonts w:eastAsia="Arial" w:cs="Arial"/>
          <w:color w:val="000000" w:themeColor="text1"/>
        </w:rPr>
        <w:t>el protocolo de recolección de información</w:t>
      </w:r>
      <w:r>
        <w:rPr>
          <w:rFonts w:eastAsia="Arial" w:cs="Arial"/>
          <w:color w:val="000000" w:themeColor="text1"/>
        </w:rPr>
        <w:t>,</w:t>
      </w:r>
      <w:r w:rsidRPr="22538234">
        <w:rPr>
          <w:rFonts w:eastAsia="Arial" w:cs="Arial"/>
          <w:color w:val="000000" w:themeColor="text1"/>
        </w:rPr>
        <w:t xml:space="preserve"> definido con anterioridad al inicio de la fase de experimentación de cada producto, servicio o solución autorizado</w:t>
      </w:r>
      <w:r w:rsidR="00605769">
        <w:rPr>
          <w:rFonts w:eastAsia="Arial" w:cs="Arial"/>
          <w:color w:val="000000" w:themeColor="text1"/>
        </w:rPr>
        <w:t xml:space="preserve">, junto con los riesgos </w:t>
      </w:r>
      <w:r w:rsidR="00605769" w:rsidRPr="22538234">
        <w:rPr>
          <w:rFonts w:eastAsia="Arial" w:cs="Arial"/>
          <w:lang w:val="es-CO"/>
        </w:rPr>
        <w:t xml:space="preserve">salvaguardas e indicadores de éxito que fueron </w:t>
      </w:r>
      <w:r w:rsidR="00605769">
        <w:rPr>
          <w:rFonts w:eastAsia="Arial" w:cs="Arial"/>
          <w:lang w:val="es-CO"/>
        </w:rPr>
        <w:t>aprobados para</w:t>
      </w:r>
      <w:r w:rsidR="00605769" w:rsidRPr="22538234">
        <w:rPr>
          <w:rFonts w:eastAsia="Arial" w:cs="Arial"/>
          <w:color w:val="000000" w:themeColor="text1"/>
          <w:lang w:val="es-CO"/>
        </w:rPr>
        <w:t xml:space="preserve"> la experimentación de cada proyecto</w:t>
      </w:r>
      <w:r w:rsidR="00652DEE">
        <w:rPr>
          <w:rFonts w:eastAsia="Arial" w:cs="Arial"/>
          <w:color w:val="000000" w:themeColor="text1"/>
        </w:rPr>
        <w:t xml:space="preserve"> </w:t>
      </w:r>
      <w:r>
        <w:rPr>
          <w:rFonts w:eastAsia="Arial" w:cs="Arial"/>
          <w:color w:val="000000" w:themeColor="text1"/>
        </w:rPr>
        <w:t>e informará</w:t>
      </w:r>
      <w:r w:rsidRPr="22538234">
        <w:rPr>
          <w:rFonts w:eastAsia="Arial" w:cs="Arial"/>
          <w:lang w:val="es-CO"/>
        </w:rPr>
        <w:t xml:space="preserve"> a las demás autoridades de inspección, vigilancia y control como la Superintendencia de Industria y Comercio y a las entidades del sector que considere</w:t>
      </w:r>
      <w:r>
        <w:rPr>
          <w:rFonts w:eastAsia="Arial" w:cs="Arial"/>
          <w:color w:val="000000" w:themeColor="text1"/>
        </w:rPr>
        <w:t>.</w:t>
      </w:r>
      <w:r w:rsidR="00605769" w:rsidDel="00605769">
        <w:rPr>
          <w:rFonts w:eastAsia="Arial" w:cs="Arial"/>
          <w:color w:val="000000" w:themeColor="text1"/>
        </w:rPr>
        <w:t xml:space="preserve"> </w:t>
      </w:r>
    </w:p>
    <w:p w14:paraId="6C53205C" w14:textId="77777777" w:rsidR="007F1725" w:rsidRPr="009F2FB2" w:rsidRDefault="007F1725" w:rsidP="007F1725">
      <w:pPr>
        <w:jc w:val="both"/>
        <w:rPr>
          <w:rFonts w:eastAsia="Arial" w:cs="Arial"/>
          <w:color w:val="000000" w:themeColor="text1"/>
        </w:rPr>
      </w:pPr>
    </w:p>
    <w:p w14:paraId="4C0D626E" w14:textId="594D165F" w:rsidR="007F1725" w:rsidRPr="009F2FB2" w:rsidRDefault="007F1725" w:rsidP="007F1725">
      <w:pPr>
        <w:jc w:val="both"/>
        <w:rPr>
          <w:rFonts w:eastAsia="Arial" w:cs="Arial"/>
          <w:color w:val="000000" w:themeColor="text1"/>
        </w:rPr>
      </w:pPr>
      <w:r w:rsidRPr="21004F96">
        <w:rPr>
          <w:rFonts w:eastAsia="Arial" w:cs="Arial"/>
          <w:color w:val="000000" w:themeColor="text1"/>
        </w:rPr>
        <w:t xml:space="preserve">El Ministerio de Tecnologías de la Información y las Comunicaciones se reserva el derecho de modificar </w:t>
      </w:r>
      <w:r>
        <w:rPr>
          <w:rFonts w:eastAsia="Arial" w:cs="Arial"/>
          <w:color w:val="000000" w:themeColor="text1"/>
        </w:rPr>
        <w:t xml:space="preserve">en cualquier momento </w:t>
      </w:r>
      <w:r w:rsidRPr="21004F96">
        <w:rPr>
          <w:rFonts w:eastAsia="Arial" w:cs="Arial"/>
          <w:color w:val="000000" w:themeColor="text1"/>
        </w:rPr>
        <w:t xml:space="preserve">el protocolo de recolección de información. </w:t>
      </w:r>
    </w:p>
    <w:p w14:paraId="3885FD4A" w14:textId="77777777" w:rsidR="007F1725" w:rsidRPr="009F2FB2" w:rsidRDefault="007F1725" w:rsidP="007F1725">
      <w:pPr>
        <w:jc w:val="both"/>
        <w:rPr>
          <w:rFonts w:eastAsia="Arial" w:cs="Arial"/>
          <w:color w:val="000000" w:themeColor="text1"/>
        </w:rPr>
      </w:pPr>
    </w:p>
    <w:p w14:paraId="0752C5DF" w14:textId="306FE270" w:rsidR="007F1725" w:rsidRDefault="007F1725" w:rsidP="007F1725">
      <w:pPr>
        <w:jc w:val="both"/>
        <w:rPr>
          <w:rFonts w:eastAsia="Arial" w:cs="Arial"/>
          <w:color w:val="000000" w:themeColor="text1"/>
        </w:rPr>
      </w:pPr>
      <w:r w:rsidRPr="22538234">
        <w:rPr>
          <w:rFonts w:eastAsia="Arial" w:cs="Arial"/>
          <w:b/>
          <w:bCs/>
          <w:color w:val="000000" w:themeColor="text1"/>
        </w:rPr>
        <w:t xml:space="preserve">Parágrafo. </w:t>
      </w:r>
      <w:r w:rsidRPr="22538234">
        <w:rPr>
          <w:rFonts w:eastAsia="Arial" w:cs="Arial"/>
          <w:color w:val="000000" w:themeColor="text1"/>
        </w:rPr>
        <w:t xml:space="preserve">En el caso de Sandbox Regulatorio Sectorial, el establecimiento de los protocolos de recolección de información y su comunicación previamente al inicio de </w:t>
      </w:r>
      <w:r w:rsidR="00122E83">
        <w:rPr>
          <w:rFonts w:eastAsia="Arial" w:cs="Arial"/>
          <w:color w:val="000000" w:themeColor="text1"/>
        </w:rPr>
        <w:t xml:space="preserve"> la fase de experimentación, </w:t>
      </w:r>
      <w:r w:rsidRPr="22538234">
        <w:rPr>
          <w:rFonts w:eastAsia="Arial" w:cs="Arial"/>
          <w:color w:val="000000" w:themeColor="text1"/>
        </w:rPr>
        <w:t xml:space="preserve"> a las autoridades de vigilancia, inspección y control y demás entidades según se considere pertinente, se realizarán en los términos del presente artículo, de manera conjunta entre el Ministerio de Tecnologías de la Información y las Comunicaciones, la Comisión de Regulación de Comunicaciones, </w:t>
      </w:r>
      <w:r>
        <w:rPr>
          <w:rFonts w:eastAsia="Arial" w:cs="Arial"/>
          <w:color w:val="000000" w:themeColor="text1"/>
        </w:rPr>
        <w:lastRenderedPageBreak/>
        <w:t>o</w:t>
      </w:r>
      <w:r w:rsidRPr="22538234">
        <w:rPr>
          <w:rFonts w:eastAsia="Arial" w:cs="Arial"/>
          <w:color w:val="000000" w:themeColor="text1"/>
        </w:rPr>
        <w:t xml:space="preserve"> la Agencia Nacional del Espectro, de acuerdo con </w:t>
      </w:r>
      <w:r>
        <w:rPr>
          <w:rFonts w:eastAsia="Arial" w:cs="Arial"/>
          <w:color w:val="000000" w:themeColor="text1"/>
        </w:rPr>
        <w:t xml:space="preserve">sus competencias y </w:t>
      </w:r>
      <w:r w:rsidRPr="22538234">
        <w:rPr>
          <w:rFonts w:eastAsia="Arial" w:cs="Arial"/>
          <w:color w:val="000000" w:themeColor="text1"/>
        </w:rPr>
        <w:t>el objeto de</w:t>
      </w:r>
      <w:r>
        <w:rPr>
          <w:rFonts w:eastAsia="Arial" w:cs="Arial"/>
          <w:color w:val="000000" w:themeColor="text1"/>
        </w:rPr>
        <w:t xml:space="preserve"> </w:t>
      </w:r>
      <w:r w:rsidRPr="22538234">
        <w:rPr>
          <w:rFonts w:eastAsia="Arial" w:cs="Arial"/>
          <w:color w:val="000000" w:themeColor="text1"/>
        </w:rPr>
        <w:t>l</w:t>
      </w:r>
      <w:r>
        <w:rPr>
          <w:rFonts w:eastAsia="Arial" w:cs="Arial"/>
          <w:color w:val="000000" w:themeColor="text1"/>
        </w:rPr>
        <w:t>a(s) propuesta(s) del</w:t>
      </w:r>
      <w:r w:rsidRPr="22538234">
        <w:rPr>
          <w:rFonts w:eastAsia="Arial" w:cs="Arial"/>
          <w:color w:val="000000" w:themeColor="text1"/>
        </w:rPr>
        <w:t xml:space="preserve"> citado Sandbox.</w:t>
      </w:r>
    </w:p>
    <w:p w14:paraId="0D7DA227" w14:textId="77777777" w:rsidR="007F1725" w:rsidRDefault="007F1725" w:rsidP="007F1725">
      <w:pPr>
        <w:jc w:val="both"/>
        <w:rPr>
          <w:rFonts w:eastAsia="Arial" w:cs="Arial"/>
          <w:color w:val="000000" w:themeColor="text1"/>
        </w:rPr>
      </w:pPr>
    </w:p>
    <w:p w14:paraId="27C2771B" w14:textId="14109C38" w:rsidR="007F1725" w:rsidRDefault="007F1725" w:rsidP="007F1725">
      <w:pPr>
        <w:jc w:val="both"/>
        <w:rPr>
          <w:rFonts w:eastAsia="Arial" w:cs="Arial"/>
          <w:color w:val="000000" w:themeColor="text1"/>
        </w:rPr>
      </w:pPr>
      <w:r w:rsidRPr="22538234">
        <w:rPr>
          <w:rFonts w:eastAsia="Arial" w:cs="Arial"/>
          <w:b/>
          <w:bCs/>
          <w:color w:val="000000" w:themeColor="text1"/>
        </w:rPr>
        <w:t xml:space="preserve">Artículo </w:t>
      </w:r>
      <w:r w:rsidRPr="22538234">
        <w:rPr>
          <w:rFonts w:eastAsia="Arial" w:cs="Arial"/>
          <w:b/>
          <w:bCs/>
          <w:color w:val="000000" w:themeColor="text1"/>
          <w:lang w:val="es-CO"/>
        </w:rPr>
        <w:t>2.2.23.1.2.7</w:t>
      </w:r>
      <w:r w:rsidRPr="22538234">
        <w:rPr>
          <w:rFonts w:eastAsia="Arial" w:cs="Arial"/>
          <w:b/>
          <w:bCs/>
          <w:color w:val="000000" w:themeColor="text1"/>
        </w:rPr>
        <w:t xml:space="preserve">. </w:t>
      </w:r>
      <w:r w:rsidRPr="008D0C24">
        <w:rPr>
          <w:rFonts w:eastAsia="Arial" w:cs="Arial"/>
          <w:b/>
          <w:bCs/>
          <w:i/>
          <w:iCs/>
          <w:color w:val="000000" w:themeColor="text1"/>
        </w:rPr>
        <w:t>Adecuaciones para experimentación</w:t>
      </w:r>
      <w:r w:rsidRPr="22538234">
        <w:rPr>
          <w:rFonts w:eastAsia="Arial" w:cs="Arial"/>
          <w:b/>
          <w:bCs/>
          <w:color w:val="000000" w:themeColor="text1"/>
        </w:rPr>
        <w:t xml:space="preserve">. </w:t>
      </w:r>
      <w:r w:rsidRPr="22538234">
        <w:rPr>
          <w:rFonts w:eastAsia="Arial" w:cs="Arial"/>
          <w:color w:val="000000" w:themeColor="text1"/>
        </w:rPr>
        <w:t xml:space="preserve">En caso de que los </w:t>
      </w:r>
      <w:r w:rsidR="00D44E79">
        <w:rPr>
          <w:rFonts w:eastAsia="Arial" w:cs="Arial"/>
          <w:color w:val="000000" w:themeColor="text1"/>
          <w:lang w:val="es-CO"/>
        </w:rPr>
        <w:t xml:space="preserve">proveedores y/o operadores </w:t>
      </w:r>
      <w:r w:rsidRPr="22538234">
        <w:rPr>
          <w:rFonts w:eastAsia="Arial" w:cs="Arial"/>
          <w:color w:val="000000" w:themeColor="text1"/>
        </w:rPr>
        <w:t xml:space="preserve">autorizados requieran realizar adecuaciones para el inicio de la comercialización o utilización de los productos, servicios o soluciones propuestos en la fase de experimentación, deberán comunicarlo al Ministerio de Tecnologías de la Información y las Comunicaciones durante la fase de evaluación señalando la descripción de las razones y el término requerido para esas adecuaciones, el cual no podrá ser superior a seis (6) meses.  </w:t>
      </w:r>
    </w:p>
    <w:p w14:paraId="6A5FFE7A" w14:textId="77777777" w:rsidR="007F1725" w:rsidRDefault="007F1725" w:rsidP="007F1725">
      <w:pPr>
        <w:jc w:val="both"/>
        <w:rPr>
          <w:rFonts w:eastAsia="Arial" w:cs="Arial"/>
          <w:color w:val="000000" w:themeColor="text1"/>
        </w:rPr>
      </w:pPr>
    </w:p>
    <w:p w14:paraId="7FB28CF2" w14:textId="77777777" w:rsidR="007F1725" w:rsidRDefault="007F1725" w:rsidP="007F1725">
      <w:pPr>
        <w:jc w:val="both"/>
        <w:rPr>
          <w:rFonts w:eastAsia="Arial" w:cs="Arial"/>
          <w:color w:val="000000" w:themeColor="text1"/>
        </w:rPr>
      </w:pPr>
      <w:r w:rsidRPr="22538234">
        <w:rPr>
          <w:rFonts w:eastAsia="Arial" w:cs="Arial"/>
          <w:color w:val="000000" w:themeColor="text1"/>
        </w:rPr>
        <w:t xml:space="preserve">El término de adecuación se excluye de la duración de la fase de experimentación establecida en el artículo </w:t>
      </w:r>
      <w:r w:rsidRPr="001863F1">
        <w:rPr>
          <w:rFonts w:eastAsia="Arial" w:cs="Arial"/>
          <w:color w:val="000000" w:themeColor="text1"/>
          <w:lang w:val="es-CO"/>
        </w:rPr>
        <w:t>2.2.23.1.2.10</w:t>
      </w:r>
      <w:r w:rsidRPr="22538234">
        <w:rPr>
          <w:rFonts w:eastAsia="Arial" w:cs="Arial"/>
          <w:b/>
          <w:bCs/>
          <w:color w:val="000000" w:themeColor="text1"/>
          <w:lang w:val="es-CO"/>
        </w:rPr>
        <w:t xml:space="preserve"> </w:t>
      </w:r>
      <w:r w:rsidRPr="22538234">
        <w:rPr>
          <w:rFonts w:eastAsia="Arial" w:cs="Arial"/>
          <w:color w:val="000000" w:themeColor="text1"/>
        </w:rPr>
        <w:t xml:space="preserve">del presente </w:t>
      </w:r>
      <w:r>
        <w:rPr>
          <w:rFonts w:eastAsia="Arial" w:cs="Arial"/>
          <w:color w:val="000000" w:themeColor="text1"/>
        </w:rPr>
        <w:t>Decreto</w:t>
      </w:r>
      <w:r w:rsidRPr="22538234">
        <w:rPr>
          <w:rFonts w:eastAsia="Arial" w:cs="Arial"/>
          <w:color w:val="000000" w:themeColor="text1"/>
        </w:rPr>
        <w:t xml:space="preserve"> y deberá quedar plenamente establecido en el acto administrativo de autorización de la propuesta de Sandbox Regulatorio. </w:t>
      </w:r>
    </w:p>
    <w:p w14:paraId="7FD61F10" w14:textId="77777777" w:rsidR="007F1725" w:rsidRDefault="007F1725" w:rsidP="007F1725">
      <w:pPr>
        <w:jc w:val="both"/>
        <w:rPr>
          <w:rFonts w:eastAsia="Arial" w:cs="Arial"/>
          <w:color w:val="000000" w:themeColor="text1"/>
        </w:rPr>
      </w:pPr>
    </w:p>
    <w:p w14:paraId="5472B274" w14:textId="77777777" w:rsidR="007F1725" w:rsidRDefault="007F1725" w:rsidP="007F1725">
      <w:pPr>
        <w:jc w:val="both"/>
        <w:rPr>
          <w:rFonts w:eastAsia="Arial" w:cs="Arial"/>
          <w:color w:val="000000" w:themeColor="text1"/>
        </w:rPr>
      </w:pPr>
      <w:r w:rsidRPr="22538234">
        <w:rPr>
          <w:rFonts w:eastAsia="Arial" w:cs="Arial"/>
          <w:b/>
          <w:bCs/>
          <w:color w:val="000000" w:themeColor="text1"/>
        </w:rPr>
        <w:t xml:space="preserve">Parágrafo. </w:t>
      </w:r>
      <w:r w:rsidRPr="22538234">
        <w:rPr>
          <w:rFonts w:eastAsia="Arial" w:cs="Arial"/>
          <w:color w:val="000000" w:themeColor="text1"/>
        </w:rPr>
        <w:t>Para el Sandbox Regulatorio Sectorial, la comunicación deberá dirigirse al Ministerio de Tecnologías de la Información y las Comunicaciones, la Comisión de Regulación de Comunicaciones, o la Agencia Nacional del Espectro, de conformidad con el objeto de</w:t>
      </w:r>
      <w:r>
        <w:rPr>
          <w:rFonts w:eastAsia="Arial" w:cs="Arial"/>
          <w:color w:val="000000" w:themeColor="text1"/>
        </w:rPr>
        <w:t xml:space="preserve"> </w:t>
      </w:r>
      <w:r w:rsidRPr="22538234">
        <w:rPr>
          <w:rFonts w:eastAsia="Arial" w:cs="Arial"/>
          <w:color w:val="000000" w:themeColor="text1"/>
        </w:rPr>
        <w:t>l</w:t>
      </w:r>
      <w:r>
        <w:rPr>
          <w:rFonts w:eastAsia="Arial" w:cs="Arial"/>
          <w:color w:val="000000" w:themeColor="text1"/>
        </w:rPr>
        <w:t>a(s)</w:t>
      </w:r>
      <w:r w:rsidRPr="22538234">
        <w:rPr>
          <w:rFonts w:eastAsia="Arial" w:cs="Arial"/>
          <w:color w:val="000000" w:themeColor="text1"/>
        </w:rPr>
        <w:t xml:space="preserve"> </w:t>
      </w:r>
      <w:r>
        <w:rPr>
          <w:rFonts w:eastAsia="Arial" w:cs="Arial"/>
          <w:color w:val="000000" w:themeColor="text1"/>
        </w:rPr>
        <w:t>propuesta(s)</w:t>
      </w:r>
      <w:r w:rsidRPr="22538234">
        <w:rPr>
          <w:rFonts w:eastAsia="Arial" w:cs="Arial"/>
          <w:color w:val="000000" w:themeColor="text1"/>
        </w:rPr>
        <w:t xml:space="preserve"> de</w:t>
      </w:r>
      <w:r>
        <w:rPr>
          <w:rFonts w:eastAsia="Arial" w:cs="Arial"/>
          <w:color w:val="000000" w:themeColor="text1"/>
        </w:rPr>
        <w:t>l</w:t>
      </w:r>
      <w:r w:rsidRPr="22538234">
        <w:rPr>
          <w:rFonts w:eastAsia="Arial" w:cs="Arial"/>
          <w:color w:val="000000" w:themeColor="text1"/>
        </w:rPr>
        <w:t xml:space="preserve"> Sandbox autorizado</w:t>
      </w:r>
      <w:r>
        <w:rPr>
          <w:rFonts w:eastAsia="Arial" w:cs="Arial"/>
          <w:color w:val="000000" w:themeColor="text1"/>
        </w:rPr>
        <w:t xml:space="preserve"> y las competencias de cada entidad</w:t>
      </w:r>
      <w:r w:rsidRPr="22538234">
        <w:rPr>
          <w:rFonts w:eastAsia="Arial" w:cs="Arial"/>
          <w:color w:val="000000" w:themeColor="text1"/>
        </w:rPr>
        <w:t>.</w:t>
      </w:r>
    </w:p>
    <w:p w14:paraId="4F34FFE7" w14:textId="77777777" w:rsidR="007F1725" w:rsidRDefault="007F1725" w:rsidP="007F1725">
      <w:pPr>
        <w:jc w:val="both"/>
        <w:rPr>
          <w:rFonts w:eastAsia="Arial" w:cs="Arial"/>
          <w:color w:val="000000" w:themeColor="text1"/>
        </w:rPr>
      </w:pPr>
    </w:p>
    <w:p w14:paraId="3F4A331C" w14:textId="5C45C76A" w:rsidR="007F1725" w:rsidRPr="00262907" w:rsidRDefault="007F1725" w:rsidP="007F1725">
      <w:pPr>
        <w:jc w:val="both"/>
        <w:rPr>
          <w:rFonts w:eastAsia="Arial" w:cs="Arial"/>
          <w:color w:val="000000" w:themeColor="text1"/>
        </w:rPr>
      </w:pPr>
      <w:r w:rsidRPr="001863F1">
        <w:rPr>
          <w:rFonts w:eastAsia="Arial" w:cs="Arial"/>
          <w:b/>
          <w:bCs/>
          <w:color w:val="000000" w:themeColor="text1"/>
        </w:rPr>
        <w:t xml:space="preserve">Artículo </w:t>
      </w:r>
      <w:r w:rsidRPr="22538234">
        <w:rPr>
          <w:rFonts w:eastAsia="Arial" w:cs="Arial"/>
          <w:b/>
          <w:bCs/>
          <w:color w:val="000000" w:themeColor="text1"/>
          <w:lang w:val="es-CO"/>
        </w:rPr>
        <w:t>2.2.23.1.2.8</w:t>
      </w:r>
      <w:r w:rsidRPr="001863F1">
        <w:rPr>
          <w:rFonts w:eastAsia="Arial" w:cs="Arial"/>
          <w:b/>
          <w:bCs/>
          <w:color w:val="000000" w:themeColor="text1"/>
        </w:rPr>
        <w:t>.</w:t>
      </w:r>
      <w:r w:rsidRPr="22538234">
        <w:rPr>
          <w:rFonts w:eastAsia="Arial" w:cs="Arial"/>
          <w:b/>
          <w:bCs/>
          <w:color w:val="000000" w:themeColor="text1"/>
        </w:rPr>
        <w:t xml:space="preserve"> </w:t>
      </w:r>
      <w:r w:rsidRPr="008D0C24">
        <w:rPr>
          <w:rFonts w:eastAsia="Arial" w:cs="Arial"/>
          <w:b/>
          <w:bCs/>
          <w:i/>
          <w:iCs/>
          <w:color w:val="000000" w:themeColor="text1"/>
        </w:rPr>
        <w:t>Eventuales afectaciones a terceros</w:t>
      </w:r>
      <w:r w:rsidRPr="22538234">
        <w:rPr>
          <w:rFonts w:eastAsia="Arial" w:cs="Arial"/>
          <w:b/>
          <w:bCs/>
          <w:color w:val="000000" w:themeColor="text1"/>
        </w:rPr>
        <w:t xml:space="preserve">. </w:t>
      </w:r>
      <w:r w:rsidRPr="001863F1">
        <w:rPr>
          <w:rFonts w:eastAsia="Arial" w:cs="Arial"/>
          <w:color w:val="000000" w:themeColor="text1"/>
        </w:rPr>
        <w:t>S</w:t>
      </w:r>
      <w:r w:rsidRPr="22538234">
        <w:rPr>
          <w:rFonts w:eastAsia="Arial" w:cs="Arial"/>
          <w:color w:val="000000" w:themeColor="text1"/>
        </w:rPr>
        <w:t xml:space="preserve">i se identifica que con la autorización que se otorgue al interesado para experimentar mediante el mecanismo de Sandbox Regulatorio por parte del Ministerio de Tecnologías de la Información y las Comunicaciones o Sandbox Regulatorio Sectorial pueden afectarse los intereses de terceros, en cumplimiento de lo dispuesto en el artículo 37 de la Ley 1437 de 2011, Código de Procedimiento Administrativo y de lo Contencioso Administrativo, previamente al otorgamiento de la respectiva autorización, </w:t>
      </w:r>
      <w:r w:rsidR="00DC3000">
        <w:rPr>
          <w:rFonts w:eastAsia="Arial" w:cs="Arial"/>
          <w:color w:val="000000" w:themeColor="text1"/>
        </w:rPr>
        <w:t>cada entidad dentro del ámbito de su competencia</w:t>
      </w:r>
      <w:r w:rsidRPr="22538234">
        <w:rPr>
          <w:rFonts w:eastAsia="Arial" w:cs="Arial"/>
          <w:color w:val="000000" w:themeColor="text1"/>
        </w:rPr>
        <w:t xml:space="preserve"> deberá comunicar a los eventuales afectados acerca de la actuación administrativa adelantada para que puedan hacer valer sus derechos. </w:t>
      </w:r>
    </w:p>
    <w:p w14:paraId="1C978C1F" w14:textId="77777777" w:rsidR="007F1725" w:rsidRPr="009F2FB2" w:rsidRDefault="007F1725" w:rsidP="007F1725">
      <w:pPr>
        <w:jc w:val="both"/>
        <w:rPr>
          <w:rFonts w:eastAsia="Arial" w:cs="Arial"/>
          <w:color w:val="000000" w:themeColor="text1"/>
        </w:rPr>
      </w:pPr>
    </w:p>
    <w:p w14:paraId="7CE737A8" w14:textId="2B0F3183" w:rsidR="007F1725" w:rsidRDefault="007F1725" w:rsidP="007F1725">
      <w:pPr>
        <w:jc w:val="both"/>
        <w:rPr>
          <w:rFonts w:eastAsia="Arial" w:cs="Arial"/>
          <w:color w:val="000000" w:themeColor="text1"/>
        </w:rPr>
      </w:pPr>
      <w:r w:rsidRPr="22538234">
        <w:rPr>
          <w:rFonts w:eastAsia="Arial" w:cs="Arial"/>
          <w:b/>
          <w:bCs/>
          <w:color w:val="000000" w:themeColor="text1"/>
        </w:rPr>
        <w:t xml:space="preserve">Artículo </w:t>
      </w:r>
      <w:r w:rsidRPr="22538234">
        <w:rPr>
          <w:rFonts w:eastAsia="Arial" w:cs="Arial"/>
          <w:b/>
          <w:bCs/>
          <w:color w:val="000000" w:themeColor="text1"/>
          <w:lang w:val="es-CO"/>
        </w:rPr>
        <w:t>2.2.23.1.2.9</w:t>
      </w:r>
      <w:r w:rsidRPr="22538234">
        <w:rPr>
          <w:rFonts w:eastAsia="Arial" w:cs="Arial"/>
          <w:b/>
          <w:bCs/>
          <w:color w:val="000000" w:themeColor="text1"/>
        </w:rPr>
        <w:t xml:space="preserve">. </w:t>
      </w:r>
      <w:r w:rsidRPr="008D0C24">
        <w:rPr>
          <w:rFonts w:eastAsia="Arial" w:cs="Arial"/>
          <w:b/>
          <w:bCs/>
          <w:i/>
          <w:iCs/>
          <w:color w:val="000000" w:themeColor="text1"/>
        </w:rPr>
        <w:t>Autorización</w:t>
      </w:r>
      <w:r w:rsidRPr="22538234">
        <w:rPr>
          <w:rFonts w:eastAsia="Arial" w:cs="Arial"/>
          <w:b/>
          <w:bCs/>
          <w:color w:val="000000" w:themeColor="text1"/>
        </w:rPr>
        <w:t xml:space="preserve">. </w:t>
      </w:r>
      <w:r w:rsidRPr="22538234">
        <w:rPr>
          <w:rFonts w:eastAsia="Arial" w:cs="Arial"/>
          <w:color w:val="000000" w:themeColor="text1"/>
        </w:rPr>
        <w:t xml:space="preserve"> Una vez culminada la fase de evaluación y definidos los riesgos, las salvaguardas y los indicadores de éxito, mediante actos administrativos de carácter particular y concreto, el Ministerio de Tecnologías de la Información y las Comunicaciones autorizará a aquellos </w:t>
      </w:r>
      <w:r w:rsidR="00D44E79">
        <w:rPr>
          <w:rFonts w:eastAsia="Arial" w:cs="Arial"/>
          <w:color w:val="000000" w:themeColor="text1"/>
          <w:lang w:val="es-CO"/>
        </w:rPr>
        <w:t xml:space="preserve">proveedores y/o operadores </w:t>
      </w:r>
      <w:r w:rsidRPr="22538234">
        <w:rPr>
          <w:rFonts w:eastAsia="Arial" w:cs="Arial"/>
          <w:color w:val="000000" w:themeColor="text1"/>
        </w:rPr>
        <w:t xml:space="preserve">admitidos para comenzar la fase de experimentación del Sandbox Regulatorio de que trata el </w:t>
      </w:r>
      <w:r w:rsidRPr="001863F1">
        <w:rPr>
          <w:rFonts w:eastAsia="Arial" w:cs="Arial"/>
          <w:color w:val="000000" w:themeColor="text1"/>
        </w:rPr>
        <w:t xml:space="preserve">artículo </w:t>
      </w:r>
      <w:r w:rsidRPr="001863F1">
        <w:rPr>
          <w:rFonts w:eastAsia="Arial" w:cs="Arial"/>
          <w:color w:val="000000" w:themeColor="text1"/>
          <w:lang w:val="es-CO"/>
        </w:rPr>
        <w:t xml:space="preserve">2.2.23.1.2.10 </w:t>
      </w:r>
      <w:r w:rsidRPr="001863F1">
        <w:rPr>
          <w:rFonts w:eastAsia="Arial" w:cs="Arial"/>
          <w:color w:val="000000" w:themeColor="text1"/>
        </w:rPr>
        <w:t xml:space="preserve">del presente </w:t>
      </w:r>
      <w:r>
        <w:rPr>
          <w:rFonts w:eastAsia="Arial" w:cs="Arial"/>
          <w:color w:val="000000" w:themeColor="text1"/>
        </w:rPr>
        <w:t>Decreto</w:t>
      </w:r>
      <w:r w:rsidRPr="22538234">
        <w:rPr>
          <w:rFonts w:eastAsia="Arial" w:cs="Arial"/>
          <w:color w:val="000000" w:themeColor="text1"/>
        </w:rPr>
        <w:t xml:space="preserve">. Dicha autorización incluirá la forma de flexibilización de la regulación o las excepciones al marco regulatorio que tendrán cada una de las propuestas seleccionadas y se restringirá al periodo de tiempo, </w:t>
      </w:r>
      <w:r>
        <w:rPr>
          <w:rFonts w:eastAsia="Arial" w:cs="Arial"/>
          <w:color w:val="000000" w:themeColor="text1"/>
        </w:rPr>
        <w:t xml:space="preserve">zona </w:t>
      </w:r>
      <w:r w:rsidRPr="22538234">
        <w:rPr>
          <w:rFonts w:eastAsia="Arial" w:cs="Arial"/>
          <w:color w:val="000000" w:themeColor="text1"/>
        </w:rPr>
        <w:t>geogr</w:t>
      </w:r>
      <w:r>
        <w:rPr>
          <w:rFonts w:eastAsia="Arial" w:cs="Arial"/>
          <w:color w:val="000000" w:themeColor="text1"/>
        </w:rPr>
        <w:t>áfica</w:t>
      </w:r>
      <w:r w:rsidRPr="22538234">
        <w:rPr>
          <w:rFonts w:eastAsia="Arial" w:cs="Arial"/>
          <w:color w:val="000000" w:themeColor="text1"/>
        </w:rPr>
        <w:t xml:space="preserve"> y demás condiciones particulares allí consignadas. </w:t>
      </w:r>
    </w:p>
    <w:p w14:paraId="4D4F234A" w14:textId="77777777" w:rsidR="007F1725" w:rsidRDefault="007F1725" w:rsidP="007F1725">
      <w:pPr>
        <w:jc w:val="both"/>
        <w:rPr>
          <w:rFonts w:eastAsia="Arial" w:cs="Arial"/>
          <w:color w:val="000000" w:themeColor="text1"/>
        </w:rPr>
      </w:pPr>
    </w:p>
    <w:p w14:paraId="7009A014" w14:textId="77777777" w:rsidR="007F1725" w:rsidRDefault="007F1725" w:rsidP="007F1725">
      <w:pPr>
        <w:jc w:val="both"/>
        <w:rPr>
          <w:rFonts w:eastAsia="Arial" w:cs="Arial"/>
          <w:color w:val="000000" w:themeColor="text1"/>
        </w:rPr>
      </w:pPr>
      <w:r w:rsidRPr="692EF610">
        <w:rPr>
          <w:rFonts w:eastAsia="Arial" w:cs="Arial"/>
          <w:color w:val="000000" w:themeColor="text1"/>
        </w:rPr>
        <w:t xml:space="preserve">En ningún caso, las exenciones y flexibilizaciones al marco regulatorio definidas en dicho acto supondrán autorización para el desarrollo de las actividades fuera del ambiente de pruebas previsto en el Sandbox Regulatorio. </w:t>
      </w:r>
    </w:p>
    <w:p w14:paraId="3E35A148" w14:textId="77777777" w:rsidR="007F1725" w:rsidRDefault="007F1725" w:rsidP="007F1725">
      <w:pPr>
        <w:jc w:val="both"/>
        <w:rPr>
          <w:rFonts w:eastAsia="Arial" w:cs="Arial"/>
          <w:color w:val="000000" w:themeColor="text1"/>
        </w:rPr>
      </w:pPr>
      <w:r w:rsidRPr="22538234">
        <w:rPr>
          <w:rFonts w:eastAsia="Arial" w:cs="Arial"/>
          <w:color w:val="000000" w:themeColor="text1"/>
        </w:rPr>
        <w:t xml:space="preserve">Autorizada la propuesta, esta pasará a denominarse proyecto de Sandbox Regulatorio. </w:t>
      </w:r>
    </w:p>
    <w:p w14:paraId="2A791588" w14:textId="77777777" w:rsidR="007F1725" w:rsidRDefault="007F1725" w:rsidP="007F1725">
      <w:pPr>
        <w:jc w:val="both"/>
        <w:rPr>
          <w:rFonts w:eastAsia="Arial" w:cs="Arial"/>
          <w:color w:val="000000" w:themeColor="text1"/>
        </w:rPr>
      </w:pPr>
    </w:p>
    <w:p w14:paraId="023BDC19" w14:textId="170F9DD7" w:rsidR="007F1725" w:rsidRPr="001A63EF" w:rsidRDefault="007F1725" w:rsidP="007F1725">
      <w:pPr>
        <w:jc w:val="both"/>
        <w:rPr>
          <w:rFonts w:eastAsia="Arial" w:cs="Arial"/>
          <w:lang w:val="es-CO"/>
        </w:rPr>
      </w:pPr>
      <w:r w:rsidRPr="22538234">
        <w:rPr>
          <w:rFonts w:eastAsia="Arial" w:cs="Arial"/>
          <w:b/>
          <w:bCs/>
          <w:lang w:val="es-CO"/>
        </w:rPr>
        <w:t>Parágrafo 1.</w:t>
      </w:r>
      <w:r w:rsidRPr="22538234">
        <w:rPr>
          <w:rFonts w:eastAsia="Arial" w:cs="Arial"/>
          <w:lang w:val="es-CO"/>
        </w:rPr>
        <w:t xml:space="preserve"> Para el caso de Sandbox Regulatorio Sectorial, cada </w:t>
      </w:r>
      <w:r>
        <w:rPr>
          <w:rFonts w:eastAsia="Arial" w:cs="Arial"/>
          <w:lang w:val="es-CO"/>
        </w:rPr>
        <w:t>entidad</w:t>
      </w:r>
      <w:r w:rsidRPr="22538234">
        <w:rPr>
          <w:rFonts w:eastAsia="Arial" w:cs="Arial"/>
          <w:lang w:val="es-CO"/>
        </w:rPr>
        <w:t xml:space="preserve"> aplicando el principio de coordinación, pero de </w:t>
      </w:r>
      <w:r w:rsidRPr="22538234">
        <w:rPr>
          <w:rFonts w:eastAsia="Arial" w:cs="Arial"/>
          <w:color w:val="000000" w:themeColor="text1"/>
          <w:lang w:val="es-CO"/>
        </w:rPr>
        <w:t>manera</w:t>
      </w:r>
      <w:r w:rsidRPr="22538234">
        <w:rPr>
          <w:rFonts w:eastAsia="Arial" w:cs="Arial"/>
          <w:lang w:val="es-CO"/>
        </w:rPr>
        <w:t xml:space="preserve"> independiente y en el ámbito </w:t>
      </w:r>
      <w:r w:rsidRPr="22538234">
        <w:rPr>
          <w:rFonts w:eastAsia="Arial" w:cs="Arial"/>
          <w:lang w:val="es-CO"/>
        </w:rPr>
        <w:lastRenderedPageBreak/>
        <w:t xml:space="preserve">de su competencia, determinará mediante acto administrativo las condiciones particulares de autorización de la propuesta. La coordinación, como mínimo, deberá buscar la expedición en la misma fecha de los actos administrativos para la aplicación del Sandbox y el deber de comunicación de esa autorización a las demás </w:t>
      </w:r>
      <w:r>
        <w:rPr>
          <w:rFonts w:eastAsia="Arial" w:cs="Arial"/>
          <w:lang w:val="es-CO"/>
        </w:rPr>
        <w:t>entidades</w:t>
      </w:r>
      <w:r w:rsidRPr="22538234">
        <w:rPr>
          <w:rFonts w:eastAsia="Arial" w:cs="Arial"/>
          <w:lang w:val="es-CO"/>
        </w:rPr>
        <w:t xml:space="preserve"> participantes del respectivo Sandbox. </w:t>
      </w:r>
      <w:r w:rsidR="00792C26">
        <w:rPr>
          <w:rFonts w:eastAsia="Arial" w:cs="Arial"/>
          <w:lang w:val="es-CO"/>
        </w:rPr>
        <w:t>La fase de experimentación</w:t>
      </w:r>
      <w:r>
        <w:rPr>
          <w:rFonts w:eastAsia="Arial" w:cs="Arial"/>
          <w:lang w:val="es-CO"/>
        </w:rPr>
        <w:t xml:space="preserve"> </w:t>
      </w:r>
      <w:r w:rsidRPr="22538234">
        <w:rPr>
          <w:rFonts w:eastAsia="Arial" w:cs="Arial"/>
          <w:color w:val="000000" w:themeColor="text1"/>
        </w:rPr>
        <w:t xml:space="preserve">del Sandbox Regulatorio de que trata el </w:t>
      </w:r>
      <w:r w:rsidRPr="003C5FF9">
        <w:rPr>
          <w:rFonts w:eastAsia="Arial" w:cs="Arial"/>
          <w:color w:val="000000" w:themeColor="text1"/>
        </w:rPr>
        <w:t xml:space="preserve">artículo </w:t>
      </w:r>
      <w:r w:rsidRPr="003C5FF9">
        <w:rPr>
          <w:rFonts w:eastAsia="Arial" w:cs="Arial"/>
          <w:color w:val="000000" w:themeColor="text1"/>
          <w:lang w:val="es-CO"/>
        </w:rPr>
        <w:t xml:space="preserve">2.2.23.1.2.10 </w:t>
      </w:r>
      <w:r w:rsidRPr="003C5FF9">
        <w:rPr>
          <w:rFonts w:eastAsia="Arial" w:cs="Arial"/>
          <w:color w:val="000000" w:themeColor="text1"/>
        </w:rPr>
        <w:t xml:space="preserve">del presente </w:t>
      </w:r>
      <w:r>
        <w:rPr>
          <w:rFonts w:eastAsia="Arial" w:cs="Arial"/>
          <w:color w:val="000000" w:themeColor="text1"/>
        </w:rPr>
        <w:t>Decreto</w:t>
      </w:r>
      <w:r w:rsidR="00792C26">
        <w:rPr>
          <w:rFonts w:eastAsia="Arial" w:cs="Arial"/>
          <w:color w:val="000000" w:themeColor="text1"/>
        </w:rPr>
        <w:t xml:space="preserve"> </w:t>
      </w:r>
      <w:r w:rsidR="00792C26">
        <w:rPr>
          <w:rFonts w:eastAsia="Arial" w:cs="Arial"/>
          <w:lang w:val="es-CO"/>
        </w:rPr>
        <w:t xml:space="preserve">solo podrá </w:t>
      </w:r>
      <w:r w:rsidR="00792C26" w:rsidRPr="22538234">
        <w:rPr>
          <w:rFonts w:eastAsia="Arial" w:cs="Arial"/>
          <w:color w:val="000000" w:themeColor="text1"/>
        </w:rPr>
        <w:t>comenzar</w:t>
      </w:r>
      <w:r>
        <w:rPr>
          <w:rFonts w:eastAsia="Arial" w:cs="Arial"/>
          <w:color w:val="000000" w:themeColor="text1"/>
        </w:rPr>
        <w:t xml:space="preserve"> </w:t>
      </w:r>
      <w:r w:rsidRPr="008D0C24">
        <w:rPr>
          <w:rFonts w:eastAsia="Arial" w:cs="Arial"/>
        </w:rPr>
        <w:t xml:space="preserve">cuando </w:t>
      </w:r>
      <w:r w:rsidR="00764D31">
        <w:rPr>
          <w:rFonts w:eastAsia="Arial" w:cs="Arial"/>
        </w:rPr>
        <w:t>estén en firme</w:t>
      </w:r>
      <w:r w:rsidRPr="008D0C24">
        <w:rPr>
          <w:rFonts w:eastAsia="Arial" w:cs="Arial"/>
        </w:rPr>
        <w:t xml:space="preserve"> todos los actos administrativos expedidos por las entidades que sean competentes para la ejecución del proyecto. </w:t>
      </w:r>
    </w:p>
    <w:p w14:paraId="4D776ED1" w14:textId="77777777" w:rsidR="007F1725" w:rsidRPr="008D0C24" w:rsidRDefault="007F1725" w:rsidP="007F1725">
      <w:pPr>
        <w:jc w:val="both"/>
        <w:rPr>
          <w:rFonts w:eastAsia="Arial" w:cs="Arial"/>
        </w:rPr>
      </w:pPr>
      <w:r w:rsidRPr="001A63EF">
        <w:rPr>
          <w:rFonts w:eastAsia="Arial" w:cs="Arial"/>
          <w:b/>
          <w:bCs/>
          <w:lang w:val="es-CO"/>
        </w:rPr>
        <w:t xml:space="preserve"> </w:t>
      </w:r>
    </w:p>
    <w:p w14:paraId="79E3298E" w14:textId="77777777" w:rsidR="007F1725" w:rsidRDefault="007F1725" w:rsidP="007F1725">
      <w:pPr>
        <w:jc w:val="both"/>
        <w:rPr>
          <w:rFonts w:eastAsia="Arial" w:cs="Arial"/>
          <w:color w:val="000000" w:themeColor="text1"/>
          <w:lang w:val="es-CO"/>
        </w:rPr>
      </w:pPr>
      <w:r w:rsidRPr="22538234">
        <w:rPr>
          <w:rFonts w:eastAsia="Arial" w:cs="Arial"/>
          <w:b/>
          <w:bCs/>
          <w:color w:val="000000" w:themeColor="text1"/>
          <w:lang w:val="es-CO"/>
        </w:rPr>
        <w:t xml:space="preserve">Parágrafo </w:t>
      </w:r>
      <w:r>
        <w:rPr>
          <w:rFonts w:eastAsia="Arial" w:cs="Arial"/>
          <w:b/>
          <w:bCs/>
          <w:color w:val="000000" w:themeColor="text1"/>
          <w:lang w:val="es-CO"/>
        </w:rPr>
        <w:t>2</w:t>
      </w:r>
      <w:r w:rsidRPr="22538234">
        <w:rPr>
          <w:rFonts w:eastAsia="Arial" w:cs="Arial"/>
          <w:color w:val="000000" w:themeColor="text1"/>
          <w:lang w:val="es-CO"/>
        </w:rPr>
        <w:t>. En ningún caso el Sandbox Regulatorio del Ministerio de Tecnologías de la Información y las Comunicaciones, y el Sandbox Regulatorio Sectorial, podrán modificar normas de rango superior, normas que regulan obligaciones sustanciales laborales, y tributarias, normas supranacionales de aplicación inmediata, preferente y automática, o aquellas que estén por fuera del ámbito de competencias de la entidad o entidades que lo crearon, ni podrán otorgar excepciones respecto del ejercicio y cumplimiento de los derechos y deberes fundamentales de las personas, y los procedimientos y recursos para su protección.</w:t>
      </w:r>
    </w:p>
    <w:p w14:paraId="1ABE376E" w14:textId="77777777" w:rsidR="007F1725" w:rsidRDefault="007F1725" w:rsidP="007F1725">
      <w:pPr>
        <w:jc w:val="both"/>
        <w:rPr>
          <w:rFonts w:eastAsia="Arial" w:cs="Arial"/>
          <w:color w:val="000000" w:themeColor="text1"/>
          <w:lang w:val="es-CO"/>
        </w:rPr>
      </w:pPr>
    </w:p>
    <w:p w14:paraId="0E6140C5" w14:textId="48868FC8" w:rsidR="007F1725" w:rsidRPr="007C1DF5" w:rsidRDefault="007F1725" w:rsidP="007F1725">
      <w:pPr>
        <w:jc w:val="both"/>
        <w:rPr>
          <w:rFonts w:eastAsia="Arial" w:cs="Arial"/>
          <w:color w:val="000000" w:themeColor="text1"/>
          <w:lang w:val="es-CO"/>
        </w:rPr>
      </w:pPr>
      <w:r w:rsidRPr="001863F1">
        <w:rPr>
          <w:rFonts w:eastAsia="Arial" w:cs="Arial"/>
          <w:b/>
          <w:bCs/>
          <w:color w:val="000000" w:themeColor="text1"/>
          <w:lang w:val="es-CO"/>
        </w:rPr>
        <w:t xml:space="preserve">Parágrafo </w:t>
      </w:r>
      <w:r>
        <w:rPr>
          <w:rFonts w:eastAsia="Arial" w:cs="Arial"/>
          <w:b/>
          <w:bCs/>
          <w:color w:val="000000" w:themeColor="text1"/>
          <w:lang w:val="es-CO"/>
        </w:rPr>
        <w:t>3</w:t>
      </w:r>
      <w:r w:rsidRPr="001863F1">
        <w:rPr>
          <w:rFonts w:eastAsia="Arial" w:cs="Arial"/>
          <w:b/>
          <w:bCs/>
          <w:color w:val="000000" w:themeColor="text1"/>
          <w:lang w:val="es-CO"/>
        </w:rPr>
        <w:t xml:space="preserve">. </w:t>
      </w:r>
      <w:r w:rsidRPr="22538234">
        <w:rPr>
          <w:rFonts w:eastAsia="Arial" w:cs="Arial"/>
          <w:color w:val="000000" w:themeColor="text1"/>
          <w:lang w:val="es-CO"/>
        </w:rPr>
        <w:t xml:space="preserve">En </w:t>
      </w:r>
      <w:r>
        <w:rPr>
          <w:rFonts w:eastAsia="Arial" w:cs="Arial"/>
          <w:color w:val="000000" w:themeColor="text1"/>
          <w:lang w:val="es-CO"/>
        </w:rPr>
        <w:t xml:space="preserve">los </w:t>
      </w:r>
      <w:r w:rsidRPr="22538234">
        <w:rPr>
          <w:rFonts w:eastAsia="Arial" w:cs="Arial"/>
          <w:color w:val="000000" w:themeColor="text1"/>
          <w:lang w:val="es-CO"/>
        </w:rPr>
        <w:t>acto</w:t>
      </w:r>
      <w:r>
        <w:rPr>
          <w:rFonts w:eastAsia="Arial" w:cs="Arial"/>
          <w:color w:val="000000" w:themeColor="text1"/>
          <w:lang w:val="es-CO"/>
        </w:rPr>
        <w:t>s</w:t>
      </w:r>
      <w:r w:rsidRPr="22538234">
        <w:rPr>
          <w:rFonts w:eastAsia="Arial" w:cs="Arial"/>
          <w:color w:val="000000" w:themeColor="text1"/>
          <w:lang w:val="es-CO"/>
        </w:rPr>
        <w:t xml:space="preserve"> administrativo</w:t>
      </w:r>
      <w:r>
        <w:rPr>
          <w:rFonts w:eastAsia="Arial" w:cs="Arial"/>
          <w:color w:val="000000" w:themeColor="text1"/>
          <w:lang w:val="es-CO"/>
        </w:rPr>
        <w:t>s</w:t>
      </w:r>
      <w:r w:rsidRPr="22538234">
        <w:rPr>
          <w:rFonts w:eastAsia="Arial" w:cs="Arial"/>
          <w:color w:val="000000" w:themeColor="text1"/>
          <w:lang w:val="es-CO"/>
        </w:rPr>
        <w:t xml:space="preserve"> de autorización se deberá indicar el deber que tienen los </w:t>
      </w:r>
      <w:r w:rsidR="00D44E79">
        <w:rPr>
          <w:rFonts w:eastAsia="Arial" w:cs="Arial"/>
          <w:color w:val="000000" w:themeColor="text1"/>
          <w:lang w:val="es-CO"/>
        </w:rPr>
        <w:t xml:space="preserve">proveedores y/o operadores </w:t>
      </w:r>
      <w:r w:rsidRPr="22538234">
        <w:rPr>
          <w:rFonts w:eastAsia="Arial" w:cs="Arial"/>
          <w:color w:val="000000" w:themeColor="text1"/>
          <w:lang w:val="es-CO"/>
        </w:rPr>
        <w:t>beneficiados de informar a los usuarios o consumidores que los productos, servicios o soluciones innovadoras ofertados se desarrollan en el marco de un proyecto de Sandbox Regulatorio</w:t>
      </w:r>
      <w:r>
        <w:rPr>
          <w:rFonts w:eastAsia="Arial" w:cs="Arial"/>
          <w:color w:val="000000" w:themeColor="text1"/>
          <w:lang w:val="es-CO"/>
        </w:rPr>
        <w:t xml:space="preserve"> o Sandbox Regulatorio Sectorial</w:t>
      </w:r>
      <w:r w:rsidRPr="22538234">
        <w:rPr>
          <w:rFonts w:eastAsia="Arial" w:cs="Arial"/>
          <w:color w:val="000000" w:themeColor="text1"/>
          <w:lang w:val="es-CO"/>
        </w:rPr>
        <w:t>, el cual tiene la connotación temporal</w:t>
      </w:r>
      <w:r>
        <w:rPr>
          <w:rFonts w:eastAsia="Arial" w:cs="Arial"/>
          <w:color w:val="000000" w:themeColor="text1"/>
          <w:lang w:val="es-CO"/>
        </w:rPr>
        <w:t xml:space="preserve"> y circunscrito a una zona geográfica específica</w:t>
      </w:r>
      <w:r w:rsidRPr="22538234">
        <w:rPr>
          <w:rFonts w:eastAsia="Arial" w:cs="Arial"/>
          <w:color w:val="000000" w:themeColor="text1"/>
          <w:lang w:val="es-CO"/>
        </w:rPr>
        <w:t xml:space="preserve">. </w:t>
      </w:r>
    </w:p>
    <w:p w14:paraId="43FE75D2" w14:textId="77777777" w:rsidR="007F1725" w:rsidRDefault="007F1725" w:rsidP="007F1725">
      <w:pPr>
        <w:jc w:val="both"/>
        <w:rPr>
          <w:rFonts w:eastAsia="Arial" w:cs="Arial"/>
          <w:color w:val="000000" w:themeColor="text1"/>
          <w:lang w:val="es-CO"/>
        </w:rPr>
      </w:pPr>
    </w:p>
    <w:p w14:paraId="13FAD23B" w14:textId="52384699" w:rsidR="007F1725" w:rsidRDefault="007F1725" w:rsidP="007F1725">
      <w:pPr>
        <w:jc w:val="both"/>
        <w:rPr>
          <w:rFonts w:eastAsia="Arial" w:cs="Arial"/>
          <w:color w:val="000000" w:themeColor="text1"/>
          <w:lang w:val="es-CO"/>
        </w:rPr>
      </w:pPr>
      <w:r w:rsidRPr="22538234">
        <w:rPr>
          <w:rFonts w:eastAsia="Arial" w:cs="Arial"/>
          <w:b/>
          <w:bCs/>
          <w:color w:val="000000" w:themeColor="text1"/>
          <w:lang w:val="es-CO"/>
        </w:rPr>
        <w:t>Artículo 2.2.23.1.2.10</w:t>
      </w:r>
      <w:r w:rsidRPr="22538234">
        <w:rPr>
          <w:rFonts w:eastAsia="Arial" w:cs="Arial"/>
          <w:b/>
          <w:bCs/>
          <w:color w:val="000000" w:themeColor="text1"/>
        </w:rPr>
        <w:t xml:space="preserve">. </w:t>
      </w:r>
      <w:r w:rsidRPr="008D0C24">
        <w:rPr>
          <w:rFonts w:eastAsia="Arial" w:cs="Arial"/>
          <w:b/>
          <w:bCs/>
          <w:i/>
          <w:iCs/>
          <w:color w:val="000000" w:themeColor="text1"/>
          <w:lang w:val="es-CO"/>
        </w:rPr>
        <w:t>Fase de Experimentación</w:t>
      </w:r>
      <w:r w:rsidRPr="22538234">
        <w:rPr>
          <w:rFonts w:eastAsia="Arial" w:cs="Arial"/>
          <w:b/>
          <w:bCs/>
          <w:color w:val="000000" w:themeColor="text1"/>
          <w:lang w:val="es-CO"/>
        </w:rPr>
        <w:t>.</w:t>
      </w:r>
      <w:r w:rsidRPr="22538234">
        <w:rPr>
          <w:rFonts w:eastAsia="Arial" w:cs="Arial"/>
          <w:color w:val="000000" w:themeColor="text1"/>
          <w:lang w:val="es-CO"/>
        </w:rPr>
        <w:t xml:space="preserve"> Una vez en firme el acto particular o </w:t>
      </w:r>
      <w:r>
        <w:rPr>
          <w:rFonts w:eastAsia="Arial" w:cs="Arial"/>
          <w:color w:val="000000" w:themeColor="text1"/>
          <w:lang w:val="es-CO"/>
        </w:rPr>
        <w:t xml:space="preserve">el último de </w:t>
      </w:r>
      <w:r w:rsidRPr="22538234">
        <w:rPr>
          <w:rFonts w:eastAsia="Arial" w:cs="Arial"/>
          <w:color w:val="000000" w:themeColor="text1"/>
          <w:lang w:val="es-CO"/>
        </w:rPr>
        <w:t>los actos particulares de autorización</w:t>
      </w:r>
      <w:r>
        <w:rPr>
          <w:rFonts w:eastAsia="Arial" w:cs="Arial"/>
          <w:color w:val="000000" w:themeColor="text1"/>
          <w:lang w:val="es-CO"/>
        </w:rPr>
        <w:t xml:space="preserve"> que se expidan en caso de Sandbox Regulatorio Sectorial</w:t>
      </w:r>
      <w:r w:rsidR="00990E2C">
        <w:rPr>
          <w:rFonts w:eastAsia="Arial" w:cs="Arial"/>
          <w:color w:val="000000" w:themeColor="text1"/>
          <w:lang w:val="es-CO"/>
        </w:rPr>
        <w:t xml:space="preserve"> se </w:t>
      </w:r>
      <w:r w:rsidR="006908BD">
        <w:rPr>
          <w:rFonts w:eastAsia="Arial" w:cs="Arial"/>
          <w:color w:val="000000" w:themeColor="text1"/>
          <w:lang w:val="es-CO"/>
        </w:rPr>
        <w:t>iniciará</w:t>
      </w:r>
      <w:r w:rsidR="00990E2C">
        <w:rPr>
          <w:rFonts w:eastAsia="Arial" w:cs="Arial"/>
          <w:color w:val="000000" w:themeColor="text1"/>
          <w:lang w:val="es-CO"/>
        </w:rPr>
        <w:t xml:space="preserve"> la fase de experimentación y</w:t>
      </w:r>
      <w:r w:rsidRPr="22538234">
        <w:rPr>
          <w:rFonts w:eastAsia="Arial" w:cs="Arial"/>
          <w:color w:val="000000" w:themeColor="text1"/>
          <w:lang w:val="es-CO"/>
        </w:rPr>
        <w:t xml:space="preserve"> los </w:t>
      </w:r>
      <w:r w:rsidR="00D44E79">
        <w:rPr>
          <w:rFonts w:eastAsia="Arial" w:cs="Arial"/>
          <w:color w:val="000000" w:themeColor="text1"/>
          <w:lang w:val="es-CO"/>
        </w:rPr>
        <w:t xml:space="preserve">proveedores y/o operadores </w:t>
      </w:r>
      <w:r w:rsidRPr="22538234">
        <w:rPr>
          <w:rFonts w:eastAsia="Arial" w:cs="Arial"/>
          <w:color w:val="000000" w:themeColor="text1"/>
          <w:lang w:val="es-CO"/>
        </w:rPr>
        <w:t>autorizados podrán iniciar la comercialización o utilización de sus productos, servicios o soluciones, lo que activará el</w:t>
      </w:r>
      <w:r>
        <w:rPr>
          <w:rFonts w:eastAsia="Arial" w:cs="Arial"/>
          <w:color w:val="000000" w:themeColor="text1"/>
          <w:lang w:val="es-CO"/>
        </w:rPr>
        <w:t>(los)</w:t>
      </w:r>
      <w:r w:rsidRPr="22538234">
        <w:rPr>
          <w:rFonts w:eastAsia="Arial" w:cs="Arial"/>
          <w:color w:val="000000" w:themeColor="text1"/>
          <w:lang w:val="es-CO"/>
        </w:rPr>
        <w:t xml:space="preserve"> protocolo</w:t>
      </w:r>
      <w:r>
        <w:rPr>
          <w:rFonts w:eastAsia="Arial" w:cs="Arial"/>
          <w:color w:val="000000" w:themeColor="text1"/>
          <w:lang w:val="es-CO"/>
        </w:rPr>
        <w:t>(s)</w:t>
      </w:r>
      <w:r w:rsidRPr="22538234">
        <w:rPr>
          <w:rFonts w:eastAsia="Arial" w:cs="Arial"/>
          <w:color w:val="000000" w:themeColor="text1"/>
          <w:lang w:val="es-CO"/>
        </w:rPr>
        <w:t xml:space="preserve"> de recolección de información definido</w:t>
      </w:r>
      <w:r>
        <w:rPr>
          <w:rFonts w:eastAsia="Arial" w:cs="Arial"/>
          <w:color w:val="000000" w:themeColor="text1"/>
          <w:lang w:val="es-CO"/>
        </w:rPr>
        <w:t>(s)</w:t>
      </w:r>
      <w:r w:rsidRPr="22538234">
        <w:rPr>
          <w:rFonts w:eastAsia="Arial" w:cs="Arial"/>
          <w:color w:val="000000" w:themeColor="text1"/>
          <w:lang w:val="es-CO"/>
        </w:rPr>
        <w:t xml:space="preserve"> en este</w:t>
      </w:r>
      <w:r>
        <w:rPr>
          <w:rFonts w:eastAsia="Arial" w:cs="Arial"/>
          <w:color w:val="000000" w:themeColor="text1"/>
          <w:lang w:val="es-CO"/>
        </w:rPr>
        <w:t>(os)</w:t>
      </w:r>
      <w:r w:rsidRPr="22538234">
        <w:rPr>
          <w:rFonts w:eastAsia="Arial" w:cs="Arial"/>
          <w:color w:val="000000" w:themeColor="text1"/>
          <w:lang w:val="es-CO"/>
        </w:rPr>
        <w:t xml:space="preserve">. </w:t>
      </w:r>
    </w:p>
    <w:p w14:paraId="185FEC37" w14:textId="77777777" w:rsidR="007F1725" w:rsidRPr="001863F1" w:rsidRDefault="007F1725" w:rsidP="007F1725">
      <w:pPr>
        <w:jc w:val="both"/>
        <w:rPr>
          <w:rFonts w:eastAsia="Arial" w:cs="Arial"/>
          <w:color w:val="000000" w:themeColor="text1"/>
          <w:lang w:val="es-CO"/>
        </w:rPr>
      </w:pPr>
    </w:p>
    <w:p w14:paraId="32F5B819" w14:textId="77777777" w:rsidR="007F1725" w:rsidRDefault="007F1725" w:rsidP="007F1725">
      <w:pPr>
        <w:jc w:val="both"/>
        <w:rPr>
          <w:rFonts w:eastAsia="Arial" w:cs="Arial"/>
          <w:color w:val="000000" w:themeColor="text1"/>
          <w:highlight w:val="yellow"/>
          <w:lang w:val="es-CO"/>
        </w:rPr>
      </w:pPr>
      <w:r w:rsidRPr="22538234">
        <w:rPr>
          <w:rFonts w:eastAsia="Arial" w:cs="Arial"/>
          <w:color w:val="000000" w:themeColor="text1"/>
          <w:lang w:val="es-CO"/>
        </w:rPr>
        <w:t xml:space="preserve">En caso de que se presenten situaciones de fuerza mayor o caso fortuito durante la fase de experimentación, y por estas razones el proponente autorizado manifieste la necesidad de desmontar dicha experimentación en alguna de las zonas geográficas autorizadas, deberá enviar inmediatamente una solicitud al Ministerio de Tecnologías de la Información y las Comunicaciones justificando tal necesidad. </w:t>
      </w:r>
    </w:p>
    <w:p w14:paraId="17A460D0" w14:textId="77777777" w:rsidR="007F1725" w:rsidRDefault="007F1725" w:rsidP="007F1725">
      <w:pPr>
        <w:jc w:val="both"/>
        <w:rPr>
          <w:rFonts w:eastAsia="Arial" w:cs="Arial"/>
          <w:color w:val="000000" w:themeColor="text1"/>
        </w:rPr>
      </w:pPr>
    </w:p>
    <w:p w14:paraId="1822DB37" w14:textId="77777777" w:rsidR="007F1725" w:rsidRDefault="007F1725" w:rsidP="007F1725">
      <w:pPr>
        <w:jc w:val="both"/>
        <w:rPr>
          <w:rFonts w:eastAsia="Arial" w:cs="Arial"/>
          <w:color w:val="000000" w:themeColor="text1"/>
          <w:highlight w:val="yellow"/>
          <w:lang w:val="es-CO"/>
        </w:rPr>
      </w:pPr>
      <w:r w:rsidRPr="22538234">
        <w:rPr>
          <w:rFonts w:eastAsia="Arial" w:cs="Arial"/>
          <w:color w:val="000000" w:themeColor="text1"/>
          <w:lang w:val="es-CO"/>
        </w:rPr>
        <w:t>El Ministerio de Tecnologías de la Información y las Comunicaciones, dentro de los quince (15) días hábiles siguientes a la recepción de la solicitud</w:t>
      </w:r>
      <w:r>
        <w:rPr>
          <w:rFonts w:eastAsia="Arial" w:cs="Arial"/>
          <w:color w:val="000000" w:themeColor="text1"/>
          <w:lang w:val="es-CO"/>
        </w:rPr>
        <w:t>,</w:t>
      </w:r>
      <w:r w:rsidRPr="22538234">
        <w:rPr>
          <w:rFonts w:eastAsia="Arial" w:cs="Arial"/>
          <w:color w:val="000000" w:themeColor="text1"/>
          <w:lang w:val="es-CO"/>
        </w:rPr>
        <w:t xml:space="preserve"> </w:t>
      </w:r>
      <w:r w:rsidRPr="22538234">
        <w:rPr>
          <w:rFonts w:eastAsia="Arial" w:cs="Arial"/>
          <w:color w:val="000000" w:themeColor="text1"/>
        </w:rPr>
        <w:t>prorrogables hasta por el mismo término y por única vez</w:t>
      </w:r>
      <w:r w:rsidRPr="22538234">
        <w:rPr>
          <w:rFonts w:eastAsia="Arial" w:cs="Arial"/>
          <w:color w:val="000000" w:themeColor="text1"/>
          <w:lang w:val="es-CO"/>
        </w:rPr>
        <w:t xml:space="preserve">, decidirá sobre el asunto; lo anterior no implica el inicio de la fase de salida dispuesta en el artículo </w:t>
      </w:r>
      <w:r w:rsidRPr="001863F1">
        <w:rPr>
          <w:rFonts w:eastAsia="Arial" w:cs="Arial"/>
          <w:color w:val="000000" w:themeColor="text1"/>
          <w:lang w:val="es-CO"/>
        </w:rPr>
        <w:t>2.2.23.1.2.13</w:t>
      </w:r>
      <w:r w:rsidRPr="001863F1">
        <w:rPr>
          <w:rFonts w:eastAsia="Arial" w:cs="Arial"/>
          <w:color w:val="000000" w:themeColor="text1"/>
        </w:rPr>
        <w:t>.</w:t>
      </w:r>
      <w:r w:rsidRPr="001863F1">
        <w:rPr>
          <w:rFonts w:eastAsia="Arial" w:cs="Arial"/>
          <w:color w:val="000000" w:themeColor="text1"/>
          <w:lang w:val="es-CO"/>
        </w:rPr>
        <w:t xml:space="preserve"> del presente </w:t>
      </w:r>
      <w:r>
        <w:rPr>
          <w:rFonts w:eastAsia="Arial" w:cs="Arial"/>
          <w:color w:val="000000" w:themeColor="text1"/>
          <w:lang w:val="es-CO"/>
        </w:rPr>
        <w:t>Decreto</w:t>
      </w:r>
      <w:r w:rsidRPr="001863F1">
        <w:rPr>
          <w:rFonts w:eastAsia="Arial" w:cs="Arial"/>
          <w:color w:val="000000" w:themeColor="text1"/>
          <w:lang w:val="es-CO"/>
        </w:rPr>
        <w:t>.</w:t>
      </w:r>
      <w:r w:rsidRPr="22538234">
        <w:rPr>
          <w:rFonts w:eastAsia="Arial" w:cs="Arial"/>
          <w:color w:val="000000" w:themeColor="text1"/>
          <w:lang w:val="es-CO"/>
        </w:rPr>
        <w:t xml:space="preserve"> </w:t>
      </w:r>
    </w:p>
    <w:p w14:paraId="0C4083AE" w14:textId="77777777" w:rsidR="007F1725" w:rsidRDefault="007F1725" w:rsidP="007F1725">
      <w:pPr>
        <w:jc w:val="both"/>
        <w:rPr>
          <w:rFonts w:eastAsia="Arial" w:cs="Arial"/>
          <w:b/>
          <w:color w:val="000000" w:themeColor="text1"/>
          <w:lang w:val="es-CO"/>
        </w:rPr>
      </w:pPr>
    </w:p>
    <w:p w14:paraId="2208749E" w14:textId="77777777" w:rsidR="007F1725" w:rsidRDefault="007F1725" w:rsidP="007F1725">
      <w:pPr>
        <w:jc w:val="both"/>
        <w:rPr>
          <w:rFonts w:eastAsia="Arial" w:cs="Arial"/>
          <w:color w:val="000000" w:themeColor="text1"/>
          <w:highlight w:val="yellow"/>
          <w:lang w:val="es-CO"/>
        </w:rPr>
      </w:pPr>
      <w:r w:rsidRPr="22538234">
        <w:rPr>
          <w:rFonts w:eastAsia="Arial" w:cs="Arial"/>
          <w:b/>
          <w:bCs/>
          <w:color w:val="000000" w:themeColor="text1"/>
          <w:lang w:val="es-CO"/>
        </w:rPr>
        <w:t xml:space="preserve">Parágrafo. </w:t>
      </w:r>
      <w:r w:rsidRPr="22538234">
        <w:rPr>
          <w:rFonts w:eastAsia="Arial" w:cs="Arial"/>
          <w:color w:val="000000" w:themeColor="text1"/>
          <w:lang w:val="es-CO"/>
        </w:rPr>
        <w:t xml:space="preserve">En el caso de Sandbox Regulatorio Sectorial, la solicitud de desmonte de la experimentación por razones de fuerza mayor o caso fortuito y la decisión sobre el particular se realizarán en los términos del presente artículo aplicando el principio de coordinación, pero esa solicitud deberá ser dirigida y resuelta de manera independiente y de acuerdo con la competencia particular del Ministerio de Tecnologías de la Información y las Comunicaciones, la Comisión de Regulación de Comunicaciones, </w:t>
      </w:r>
      <w:r>
        <w:rPr>
          <w:rFonts w:eastAsia="Arial" w:cs="Arial"/>
          <w:color w:val="000000" w:themeColor="text1"/>
          <w:lang w:val="es-CO"/>
        </w:rPr>
        <w:t>o</w:t>
      </w:r>
      <w:r w:rsidRPr="22538234">
        <w:rPr>
          <w:rFonts w:eastAsia="Arial" w:cs="Arial"/>
          <w:color w:val="000000" w:themeColor="text1"/>
          <w:lang w:val="es-CO"/>
        </w:rPr>
        <w:t xml:space="preserve"> la Agencia Nacional del Espectro, según el objeto del </w:t>
      </w:r>
      <w:r>
        <w:rPr>
          <w:rFonts w:eastAsia="Arial" w:cs="Arial"/>
          <w:color w:val="000000" w:themeColor="text1"/>
          <w:lang w:val="es-CO"/>
        </w:rPr>
        <w:t>proyecto de</w:t>
      </w:r>
      <w:r w:rsidRPr="22538234">
        <w:rPr>
          <w:rFonts w:eastAsia="Arial" w:cs="Arial"/>
          <w:color w:val="000000" w:themeColor="text1"/>
          <w:lang w:val="es-CO"/>
        </w:rPr>
        <w:t xml:space="preserve"> Sandbox y de acuerdo con las particularidades de la situación de fuerza mayor </w:t>
      </w:r>
      <w:r w:rsidRPr="22538234">
        <w:rPr>
          <w:rFonts w:eastAsia="Arial" w:cs="Arial"/>
          <w:color w:val="000000" w:themeColor="text1"/>
          <w:lang w:val="es-CO"/>
        </w:rPr>
        <w:lastRenderedPageBreak/>
        <w:t>o caso fortuito alegada.</w:t>
      </w:r>
      <w:r>
        <w:rPr>
          <w:rFonts w:eastAsia="Arial" w:cs="Arial"/>
          <w:color w:val="000000" w:themeColor="text1"/>
          <w:lang w:val="es-CO"/>
        </w:rPr>
        <w:t xml:space="preserve"> En caso de que alguna de las entidades competentes en el proyecto de Sandbox determine que no existe fuerza mayor o caso fortuito, no se autorizará a desmontar la experimentación en alguna de las zonas geográficas autorizadas.</w:t>
      </w:r>
    </w:p>
    <w:p w14:paraId="396E9309" w14:textId="77777777" w:rsidR="007F1725" w:rsidRDefault="007F1725" w:rsidP="007F1725">
      <w:pPr>
        <w:jc w:val="both"/>
        <w:rPr>
          <w:rFonts w:eastAsia="Arial" w:cs="Arial"/>
          <w:color w:val="000000" w:themeColor="text1"/>
        </w:rPr>
      </w:pPr>
    </w:p>
    <w:p w14:paraId="620B9E9A" w14:textId="53F93220" w:rsidR="007F1725" w:rsidRDefault="007F1725" w:rsidP="007F1725">
      <w:pPr>
        <w:jc w:val="both"/>
        <w:rPr>
          <w:rFonts w:eastAsia="Arial" w:cs="Arial"/>
          <w:color w:val="000000" w:themeColor="text1"/>
          <w:lang w:val="es-CO"/>
        </w:rPr>
      </w:pPr>
      <w:r w:rsidRPr="22538234">
        <w:rPr>
          <w:rFonts w:eastAsia="Arial" w:cs="Arial"/>
          <w:b/>
          <w:bCs/>
          <w:color w:val="000000" w:themeColor="text1"/>
          <w:lang w:val="es-CO"/>
        </w:rPr>
        <w:t>Artículo 2.2.23.1.2.11</w:t>
      </w:r>
      <w:r w:rsidRPr="22538234">
        <w:rPr>
          <w:rFonts w:eastAsia="Arial" w:cs="Arial"/>
          <w:b/>
          <w:bCs/>
          <w:color w:val="000000" w:themeColor="text1"/>
        </w:rPr>
        <w:t xml:space="preserve">. </w:t>
      </w:r>
      <w:r w:rsidRPr="008D0C24">
        <w:rPr>
          <w:rFonts w:eastAsia="Arial" w:cs="Arial"/>
          <w:b/>
          <w:bCs/>
          <w:i/>
          <w:iCs/>
          <w:color w:val="000000" w:themeColor="text1"/>
          <w:lang w:val="es-CO"/>
        </w:rPr>
        <w:t>Duración y ampliación de la Fase de Experimentación.</w:t>
      </w:r>
      <w:r w:rsidRPr="22538234">
        <w:rPr>
          <w:rFonts w:eastAsia="Arial" w:cs="Arial"/>
          <w:color w:val="000000" w:themeColor="text1"/>
          <w:lang w:val="es-CO"/>
        </w:rPr>
        <w:t xml:space="preserve"> La duración de la fase de experimentación del Sandbox Regulatorio </w:t>
      </w:r>
      <w:r>
        <w:rPr>
          <w:rFonts w:eastAsia="Arial" w:cs="Arial"/>
          <w:color w:val="000000" w:themeColor="text1"/>
          <w:lang w:val="es-CO"/>
        </w:rPr>
        <w:t xml:space="preserve">y del Sandbox regulatorio </w:t>
      </w:r>
      <w:r w:rsidRPr="22538234">
        <w:rPr>
          <w:rFonts w:eastAsia="Arial" w:cs="Arial"/>
          <w:color w:val="000000" w:themeColor="text1"/>
          <w:lang w:val="es-CO"/>
        </w:rPr>
        <w:t>Sectorial de que trata el artículo anterior será hasta por doce (12) meses</w:t>
      </w:r>
      <w:r w:rsidRPr="3A3CEE69">
        <w:rPr>
          <w:rFonts w:eastAsia="Arial" w:cs="Arial"/>
          <w:color w:val="000000" w:themeColor="text1"/>
          <w:lang w:val="es-CO"/>
        </w:rPr>
        <w:t>. Este término podrá</w:t>
      </w:r>
      <w:r w:rsidRPr="22538234">
        <w:rPr>
          <w:rFonts w:eastAsia="Arial" w:cs="Arial"/>
          <w:color w:val="000000" w:themeColor="text1"/>
          <w:lang w:val="es-CO"/>
        </w:rPr>
        <w:t xml:space="preserve"> ser </w:t>
      </w:r>
      <w:r w:rsidRPr="131B230C">
        <w:rPr>
          <w:rFonts w:eastAsia="Arial" w:cs="Arial"/>
          <w:color w:val="000000" w:themeColor="text1"/>
          <w:lang w:val="es-CO"/>
        </w:rPr>
        <w:t>prorrogado</w:t>
      </w:r>
      <w:r w:rsidRPr="22538234">
        <w:rPr>
          <w:rFonts w:eastAsia="Arial" w:cs="Arial"/>
          <w:color w:val="000000" w:themeColor="text1"/>
          <w:lang w:val="es-CO"/>
        </w:rPr>
        <w:t>, por una única vez, por el término inicialmente otorgado sin que supere en todo caso los doce (12) meses adicionales. El periodo inicial se contará a partir de la comunicación al Ministerio de Tecnologías de la Información y las Comunicaciones o las entidades involucradas en el Sandbox Regulatorio</w:t>
      </w:r>
      <w:r>
        <w:rPr>
          <w:rFonts w:eastAsia="Arial" w:cs="Arial"/>
          <w:color w:val="000000" w:themeColor="text1"/>
          <w:lang w:val="es-CO"/>
        </w:rPr>
        <w:t xml:space="preserve"> Sectorial</w:t>
      </w:r>
      <w:r w:rsidRPr="22538234">
        <w:rPr>
          <w:rFonts w:eastAsia="Arial" w:cs="Arial"/>
          <w:color w:val="000000" w:themeColor="text1"/>
          <w:lang w:val="es-CO"/>
        </w:rPr>
        <w:t xml:space="preserve">, del inicio de la comercialización o utilización de los productos, servicios o soluciones por parte de los </w:t>
      </w:r>
      <w:r w:rsidR="00D44E79">
        <w:rPr>
          <w:rFonts w:eastAsia="Arial" w:cs="Arial"/>
          <w:color w:val="000000" w:themeColor="text1"/>
          <w:lang w:val="es-CO"/>
        </w:rPr>
        <w:t xml:space="preserve">proveedores y/o operadores </w:t>
      </w:r>
      <w:r w:rsidRPr="22538234">
        <w:rPr>
          <w:rFonts w:eastAsia="Arial" w:cs="Arial"/>
          <w:color w:val="000000" w:themeColor="text1"/>
          <w:lang w:val="es-CO"/>
        </w:rPr>
        <w:t xml:space="preserve">autorizados. </w:t>
      </w:r>
    </w:p>
    <w:p w14:paraId="72D06E15" w14:textId="77777777" w:rsidR="007F1725" w:rsidRDefault="007F1725" w:rsidP="007F1725">
      <w:pPr>
        <w:jc w:val="both"/>
        <w:rPr>
          <w:rFonts w:eastAsia="Arial" w:cs="Arial"/>
          <w:color w:val="000000" w:themeColor="text1"/>
          <w:lang w:val="es-CO"/>
        </w:rPr>
      </w:pPr>
    </w:p>
    <w:p w14:paraId="411C0A4C" w14:textId="77777777" w:rsidR="007F1725" w:rsidRPr="00564A78" w:rsidRDefault="007F1725" w:rsidP="007F1725">
      <w:pPr>
        <w:jc w:val="both"/>
        <w:rPr>
          <w:rFonts w:eastAsia="Arial" w:cs="Arial"/>
          <w:color w:val="000000" w:themeColor="text1"/>
          <w:lang w:val="es-CO"/>
        </w:rPr>
      </w:pPr>
      <w:r w:rsidRPr="22538234">
        <w:rPr>
          <w:rFonts w:eastAsia="Arial" w:cs="Arial"/>
          <w:color w:val="000000" w:themeColor="text1"/>
          <w:lang w:val="es-CO"/>
        </w:rPr>
        <w:t xml:space="preserve">La solicitud de ampliación del término deberá ser presentada con una anterioridad no inferior a sesenta (60) días al vencimiento de la fase de experimentación y cumplir con los requisitos señalados en el artículo siguiente. En caso de no presentarse, se entiende que el </w:t>
      </w:r>
      <w:r>
        <w:rPr>
          <w:rFonts w:eastAsia="Arial" w:cs="Arial"/>
          <w:color w:val="000000" w:themeColor="text1"/>
          <w:lang w:val="es-CO"/>
        </w:rPr>
        <w:t>operador</w:t>
      </w:r>
      <w:r w:rsidRPr="22538234">
        <w:rPr>
          <w:rFonts w:eastAsia="Arial" w:cs="Arial"/>
          <w:color w:val="000000" w:themeColor="text1"/>
          <w:lang w:val="es-CO"/>
        </w:rPr>
        <w:t xml:space="preserve"> desiste de prorrogar su autorización</w:t>
      </w:r>
      <w:r>
        <w:rPr>
          <w:rFonts w:eastAsia="Arial" w:cs="Arial"/>
          <w:color w:val="000000" w:themeColor="text1"/>
          <w:lang w:val="es-CO"/>
        </w:rPr>
        <w:t>.</w:t>
      </w:r>
      <w:r w:rsidRPr="22538234">
        <w:rPr>
          <w:rFonts w:eastAsia="Arial" w:cs="Arial"/>
          <w:color w:val="000000" w:themeColor="text1"/>
          <w:lang w:val="es-CO"/>
        </w:rPr>
        <w:t xml:space="preserve"> </w:t>
      </w:r>
    </w:p>
    <w:p w14:paraId="6BC3EA63" w14:textId="77777777" w:rsidR="007F1725" w:rsidRDefault="007F1725" w:rsidP="007F1725">
      <w:pPr>
        <w:jc w:val="both"/>
        <w:rPr>
          <w:rFonts w:eastAsia="Arial" w:cs="Arial"/>
          <w:color w:val="000000" w:themeColor="text1"/>
          <w:lang w:val="es-CO"/>
        </w:rPr>
      </w:pPr>
    </w:p>
    <w:p w14:paraId="5603BD91" w14:textId="1A04C799" w:rsidR="007F1725" w:rsidRDefault="007F1725" w:rsidP="007F1725">
      <w:pPr>
        <w:jc w:val="both"/>
        <w:rPr>
          <w:rFonts w:eastAsia="Arial" w:cs="Arial"/>
          <w:color w:val="000000" w:themeColor="text1"/>
          <w:lang w:val="es-CO"/>
        </w:rPr>
      </w:pPr>
      <w:r w:rsidRPr="22538234">
        <w:rPr>
          <w:rFonts w:eastAsia="Arial" w:cs="Arial"/>
          <w:color w:val="000000" w:themeColor="text1"/>
          <w:lang w:val="es-CO"/>
        </w:rPr>
        <w:t>Para efectos de analizar la solicitud de ampliación del término, el Ministerio de Tecnologías de la Información y las Comunicaciones revisará los indicadores de éxito definidos para los productos, servicios o soluciones para los que se realizó la solicitud, y demás información recolectada</w:t>
      </w:r>
      <w:r>
        <w:rPr>
          <w:rFonts w:eastAsia="Arial" w:cs="Arial"/>
          <w:color w:val="000000" w:themeColor="text1"/>
          <w:lang w:val="es-CO"/>
        </w:rPr>
        <w:t>, así como el cumplimiento de los requisitos que establece el artículo siguiente,</w:t>
      </w:r>
      <w:r w:rsidRPr="22538234">
        <w:rPr>
          <w:rFonts w:eastAsia="Arial" w:cs="Arial"/>
          <w:color w:val="000000" w:themeColor="text1"/>
          <w:lang w:val="es-CO"/>
        </w:rPr>
        <w:t xml:space="preserve"> e informará máximo diez (10) días antes de la finalización del término de experimentación inicial, la autorización o no de la extensión del periodo de duración del Sandbox Regulatorio al </w:t>
      </w:r>
      <w:r>
        <w:rPr>
          <w:rFonts w:eastAsia="Arial" w:cs="Arial"/>
          <w:color w:val="000000" w:themeColor="text1"/>
          <w:lang w:val="es-CO"/>
        </w:rPr>
        <w:t>operador</w:t>
      </w:r>
      <w:r w:rsidRPr="22538234">
        <w:rPr>
          <w:rFonts w:eastAsia="Arial" w:cs="Arial"/>
          <w:color w:val="000000" w:themeColor="text1"/>
          <w:lang w:val="es-CO"/>
        </w:rPr>
        <w:t xml:space="preserve"> autorizado. </w:t>
      </w:r>
    </w:p>
    <w:p w14:paraId="688C4934" w14:textId="77777777" w:rsidR="007F1725" w:rsidRDefault="007F1725" w:rsidP="007F1725">
      <w:pPr>
        <w:jc w:val="both"/>
        <w:rPr>
          <w:rFonts w:eastAsia="Arial" w:cs="Arial"/>
          <w:color w:val="000000" w:themeColor="text1"/>
          <w:lang w:val="es-CO"/>
        </w:rPr>
      </w:pPr>
    </w:p>
    <w:p w14:paraId="68E12E73" w14:textId="7D2E4D88" w:rsidR="007F1725" w:rsidRDefault="007F1725" w:rsidP="007F1725">
      <w:pPr>
        <w:jc w:val="both"/>
        <w:rPr>
          <w:rFonts w:eastAsia="Arial" w:cs="Arial"/>
          <w:color w:val="000000" w:themeColor="text1"/>
          <w:lang w:val="es-CO"/>
        </w:rPr>
      </w:pPr>
      <w:r w:rsidRPr="22538234">
        <w:rPr>
          <w:rFonts w:eastAsia="Arial" w:cs="Arial"/>
          <w:b/>
          <w:bCs/>
          <w:color w:val="000000" w:themeColor="text1"/>
          <w:lang w:val="es-CO"/>
        </w:rPr>
        <w:t xml:space="preserve">Parágrafo. </w:t>
      </w:r>
      <w:r w:rsidRPr="22538234">
        <w:rPr>
          <w:rFonts w:eastAsia="Arial" w:cs="Arial"/>
          <w:color w:val="000000" w:themeColor="text1"/>
          <w:lang w:val="es-CO"/>
        </w:rPr>
        <w:t xml:space="preserve">En el caso de Sandbox Regulatorio Sectorial, la solicitud de </w:t>
      </w:r>
      <w:r>
        <w:rPr>
          <w:rFonts w:eastAsia="Arial" w:cs="Arial"/>
          <w:color w:val="000000" w:themeColor="text1"/>
          <w:lang w:val="es-CO"/>
        </w:rPr>
        <w:t>ampliación de la fase de experimentación</w:t>
      </w:r>
      <w:r w:rsidRPr="22538234">
        <w:rPr>
          <w:rFonts w:eastAsia="Arial" w:cs="Arial"/>
          <w:color w:val="000000" w:themeColor="text1"/>
          <w:lang w:val="es-CO"/>
        </w:rPr>
        <w:t xml:space="preserve"> y la decisión sobre el particular se realizarán en los términos del presente artículo aplicando el principio de coordinación, pero esa solicitud deberá ser dirigida y resuelta de manera independiente y de acuerdo con la competencia particular del Ministerio de Tecnologías de la Información y las Comunicaciones, la Comisión de Regulación de Comunicaciones, </w:t>
      </w:r>
      <w:r>
        <w:rPr>
          <w:rFonts w:eastAsia="Arial" w:cs="Arial"/>
          <w:color w:val="000000" w:themeColor="text1"/>
          <w:lang w:val="es-CO"/>
        </w:rPr>
        <w:t>o</w:t>
      </w:r>
      <w:r w:rsidRPr="22538234">
        <w:rPr>
          <w:rFonts w:eastAsia="Arial" w:cs="Arial"/>
          <w:color w:val="000000" w:themeColor="text1"/>
          <w:lang w:val="es-CO"/>
        </w:rPr>
        <w:t xml:space="preserve"> la Agencia Nacional del Espectro, según el objeto del </w:t>
      </w:r>
      <w:r>
        <w:rPr>
          <w:rFonts w:eastAsia="Arial" w:cs="Arial"/>
          <w:color w:val="000000" w:themeColor="text1"/>
          <w:lang w:val="es-CO"/>
        </w:rPr>
        <w:t>proyecto de</w:t>
      </w:r>
      <w:r w:rsidRPr="22538234">
        <w:rPr>
          <w:rFonts w:eastAsia="Arial" w:cs="Arial"/>
          <w:color w:val="000000" w:themeColor="text1"/>
          <w:lang w:val="es-CO"/>
        </w:rPr>
        <w:t xml:space="preserve"> Sandbox.</w:t>
      </w:r>
      <w:r>
        <w:rPr>
          <w:rFonts w:eastAsia="Arial" w:cs="Arial"/>
          <w:color w:val="000000" w:themeColor="text1"/>
          <w:lang w:val="es-CO"/>
        </w:rPr>
        <w:t xml:space="preserve"> En caso de que alguna de las entidades competentes en el proyecto de Sandbox Regulatorio Sectorial considere que no es viable la ampliación de la fase de experimentación, dicho término no será prorrogado.</w:t>
      </w:r>
    </w:p>
    <w:p w14:paraId="74616732" w14:textId="77777777" w:rsidR="001B1E94" w:rsidRPr="004731B3" w:rsidRDefault="001B1E94" w:rsidP="007F1725">
      <w:pPr>
        <w:jc w:val="both"/>
        <w:rPr>
          <w:rFonts w:eastAsia="Arial" w:cs="Arial"/>
          <w:color w:val="000000" w:themeColor="text1"/>
          <w:lang w:val="es-CO"/>
        </w:rPr>
      </w:pPr>
    </w:p>
    <w:p w14:paraId="57466ECF" w14:textId="77777777" w:rsidR="007F1725" w:rsidRPr="007848EC" w:rsidRDefault="007F1725" w:rsidP="007F1725">
      <w:pPr>
        <w:jc w:val="both"/>
        <w:rPr>
          <w:rFonts w:eastAsia="Arial" w:cs="Arial"/>
          <w:color w:val="000000" w:themeColor="text1"/>
          <w:lang w:val="es-CO"/>
        </w:rPr>
      </w:pPr>
      <w:r w:rsidRPr="22538234">
        <w:rPr>
          <w:rFonts w:eastAsia="Arial" w:cs="Arial"/>
          <w:b/>
          <w:bCs/>
          <w:color w:val="000000" w:themeColor="text1"/>
          <w:lang w:val="es-CO"/>
        </w:rPr>
        <w:t>Artículo 2.2.23.1.2.12</w:t>
      </w:r>
      <w:r w:rsidRPr="22538234">
        <w:rPr>
          <w:rFonts w:eastAsia="Arial" w:cs="Arial"/>
          <w:b/>
          <w:bCs/>
          <w:color w:val="000000" w:themeColor="text1"/>
        </w:rPr>
        <w:t xml:space="preserve">. </w:t>
      </w:r>
      <w:r w:rsidRPr="008D0C24">
        <w:rPr>
          <w:rFonts w:eastAsia="Arial" w:cs="Arial"/>
          <w:b/>
          <w:bCs/>
          <w:i/>
          <w:iCs/>
          <w:color w:val="000000" w:themeColor="text1"/>
          <w:lang w:val="es-CO"/>
        </w:rPr>
        <w:t>Requisitos para la ampliación del término de la fase de experimentación</w:t>
      </w:r>
      <w:r w:rsidRPr="22538234">
        <w:rPr>
          <w:rFonts w:eastAsia="Arial" w:cs="Arial"/>
          <w:b/>
          <w:bCs/>
          <w:color w:val="000000" w:themeColor="text1"/>
          <w:lang w:val="es-CO"/>
        </w:rPr>
        <w:t>.</w:t>
      </w:r>
      <w:r w:rsidRPr="22538234">
        <w:rPr>
          <w:rFonts w:eastAsia="Arial" w:cs="Arial"/>
          <w:color w:val="000000" w:themeColor="text1"/>
          <w:lang w:val="es-CO"/>
        </w:rPr>
        <w:t xml:space="preserve"> El Ministerio de Tecnologías de la Información y las Comunicaciones otorgará la extensión del período de duración de la fase de experimentación para el Sandbox Regulatorio </w:t>
      </w:r>
      <w:r>
        <w:rPr>
          <w:rFonts w:eastAsia="Arial" w:cs="Arial"/>
          <w:color w:val="000000" w:themeColor="text1"/>
          <w:lang w:val="es-CO"/>
        </w:rPr>
        <w:t xml:space="preserve">luego de analizar lo consagrado en el artículo anterior, </w:t>
      </w:r>
      <w:r w:rsidRPr="22538234">
        <w:rPr>
          <w:rFonts w:eastAsia="Arial" w:cs="Arial"/>
          <w:color w:val="000000" w:themeColor="text1"/>
          <w:lang w:val="es-CO"/>
        </w:rPr>
        <w:t>en los siguientes casos:</w:t>
      </w:r>
    </w:p>
    <w:p w14:paraId="29A3ECF1" w14:textId="77777777" w:rsidR="00197EDB" w:rsidRDefault="00197EDB" w:rsidP="007F1725">
      <w:pPr>
        <w:jc w:val="both"/>
        <w:rPr>
          <w:rFonts w:eastAsia="Arial" w:cs="Arial"/>
          <w:color w:val="000000" w:themeColor="text1"/>
        </w:rPr>
      </w:pPr>
    </w:p>
    <w:p w14:paraId="16669D9E" w14:textId="77777777" w:rsidR="007F1725" w:rsidRDefault="007F1725" w:rsidP="007F1725">
      <w:pPr>
        <w:ind w:left="426" w:hanging="426"/>
        <w:jc w:val="both"/>
        <w:rPr>
          <w:rFonts w:eastAsia="Arial" w:cs="Arial"/>
          <w:b/>
          <w:bCs/>
          <w:color w:val="000000" w:themeColor="text1"/>
          <w:lang w:val="es-CO"/>
        </w:rPr>
      </w:pPr>
      <w:r w:rsidRPr="22538234">
        <w:rPr>
          <w:rFonts w:eastAsia="Arial" w:cs="Arial"/>
          <w:b/>
          <w:bCs/>
          <w:color w:val="000000" w:themeColor="text1"/>
          <w:lang w:val="es-CO"/>
        </w:rPr>
        <w:t xml:space="preserve">1. </w:t>
      </w:r>
      <w:r>
        <w:tab/>
      </w:r>
      <w:r w:rsidRPr="22538234">
        <w:rPr>
          <w:rFonts w:eastAsia="Arial" w:cs="Arial"/>
          <w:b/>
          <w:bCs/>
          <w:color w:val="000000" w:themeColor="text1"/>
          <w:lang w:val="es-CO"/>
        </w:rPr>
        <w:t>Pertinencia de ajuste del marco regulatorio vigente.</w:t>
      </w:r>
    </w:p>
    <w:p w14:paraId="79B9623A" w14:textId="77777777" w:rsidR="007F1725" w:rsidRPr="008D1B74" w:rsidRDefault="007F1725" w:rsidP="007F1725">
      <w:pPr>
        <w:ind w:left="426" w:hanging="426"/>
        <w:jc w:val="both"/>
        <w:rPr>
          <w:rFonts w:eastAsia="Arial" w:cs="Arial"/>
          <w:b/>
          <w:bCs/>
          <w:color w:val="000000" w:themeColor="text1"/>
          <w:lang w:val="es-CO"/>
        </w:rPr>
      </w:pPr>
    </w:p>
    <w:p w14:paraId="57FA553D" w14:textId="77777777" w:rsidR="007F1725" w:rsidRPr="002E50DF" w:rsidRDefault="007F1725" w:rsidP="007F1725">
      <w:pPr>
        <w:ind w:left="426"/>
        <w:jc w:val="both"/>
        <w:rPr>
          <w:rFonts w:eastAsia="Arial" w:cs="Arial"/>
          <w:color w:val="000000" w:themeColor="text1"/>
          <w:lang w:val="es-CO"/>
        </w:rPr>
      </w:pPr>
      <w:r w:rsidRPr="22538234">
        <w:rPr>
          <w:rFonts w:eastAsia="Arial" w:cs="Arial"/>
          <w:color w:val="000000" w:themeColor="text1"/>
          <w:lang w:val="es-CO"/>
        </w:rPr>
        <w:t xml:space="preserve">Cuando, durante la ejecución del Sandbox Regulatorio y a partir de la información recolectada, se evidencie la necesidad de analizar la pertinencia de ajustar el marco regulatorio vigente expedido por el Ministerio de Tecnologías de la Información y las Comunicaciones, el Ministerio </w:t>
      </w:r>
      <w:r>
        <w:rPr>
          <w:rFonts w:eastAsia="Arial" w:cs="Arial"/>
          <w:color w:val="000000" w:themeColor="text1"/>
          <w:lang w:val="es-CO"/>
        </w:rPr>
        <w:t xml:space="preserve">podrá extender </w:t>
      </w:r>
      <w:r w:rsidRPr="22538234">
        <w:rPr>
          <w:rFonts w:eastAsia="Arial" w:cs="Arial"/>
          <w:color w:val="000000" w:themeColor="text1"/>
          <w:lang w:val="es-CO"/>
        </w:rPr>
        <w:t xml:space="preserve">la fase de </w:t>
      </w:r>
      <w:r w:rsidRPr="22538234">
        <w:rPr>
          <w:rFonts w:eastAsia="Arial" w:cs="Arial"/>
          <w:color w:val="000000" w:themeColor="text1"/>
          <w:lang w:val="es-CO"/>
        </w:rPr>
        <w:lastRenderedPageBreak/>
        <w:t xml:space="preserve">experimentación hasta por doce (12) meses adicionales y durante este periodo adelantará los estudios para determinar si es necesario realizar modificaciones al marco regulatorio para que los productos, servicios o soluciones puedan operar fuera del Sandbox Regulatorio. </w:t>
      </w:r>
    </w:p>
    <w:p w14:paraId="39A4DCE7" w14:textId="77777777" w:rsidR="007F1725" w:rsidRDefault="007F1725" w:rsidP="007F1725">
      <w:pPr>
        <w:ind w:left="426"/>
        <w:jc w:val="both"/>
        <w:rPr>
          <w:rFonts w:eastAsia="Arial" w:cs="Arial"/>
          <w:color w:val="000000" w:themeColor="text1"/>
        </w:rPr>
      </w:pPr>
    </w:p>
    <w:p w14:paraId="04BB584C" w14:textId="77777777" w:rsidR="007F1725" w:rsidRDefault="007F1725" w:rsidP="007F1725">
      <w:pPr>
        <w:ind w:left="426" w:hanging="426"/>
        <w:jc w:val="both"/>
        <w:rPr>
          <w:rFonts w:eastAsia="Arial" w:cs="Arial"/>
          <w:b/>
          <w:bCs/>
          <w:color w:val="000000" w:themeColor="text1"/>
          <w:lang w:val="es-CO"/>
        </w:rPr>
      </w:pPr>
      <w:r w:rsidRPr="22538234">
        <w:rPr>
          <w:rFonts w:eastAsia="Arial" w:cs="Arial"/>
          <w:b/>
          <w:bCs/>
          <w:color w:val="000000" w:themeColor="text1"/>
          <w:lang w:val="es-CO"/>
        </w:rPr>
        <w:t>2.</w:t>
      </w:r>
      <w:r w:rsidRPr="22538234">
        <w:rPr>
          <w:rFonts w:eastAsia="Arial" w:cs="Arial"/>
          <w:color w:val="000000" w:themeColor="text1"/>
          <w:lang w:val="es-CO"/>
        </w:rPr>
        <w:t xml:space="preserve"> </w:t>
      </w:r>
      <w:r w:rsidRPr="22538234">
        <w:rPr>
          <w:rFonts w:eastAsia="Arial" w:cs="Arial"/>
          <w:b/>
          <w:bCs/>
          <w:color w:val="000000" w:themeColor="text1"/>
          <w:lang w:val="es-CO"/>
        </w:rPr>
        <w:t>Continuidad del proyecto.</w:t>
      </w:r>
    </w:p>
    <w:p w14:paraId="22370EF0" w14:textId="77777777" w:rsidR="007F1725" w:rsidRPr="00393B98" w:rsidRDefault="007F1725" w:rsidP="007F1725">
      <w:pPr>
        <w:ind w:left="426" w:hanging="426"/>
        <w:jc w:val="both"/>
        <w:rPr>
          <w:rFonts w:eastAsia="Arial" w:cs="Arial"/>
          <w:b/>
          <w:bCs/>
          <w:color w:val="000000" w:themeColor="text1"/>
          <w:lang w:val="es-CO"/>
        </w:rPr>
      </w:pPr>
    </w:p>
    <w:p w14:paraId="3544D0EC" w14:textId="77777777" w:rsidR="007F1725" w:rsidRDefault="007F1725" w:rsidP="007F1725">
      <w:pPr>
        <w:ind w:left="426"/>
        <w:jc w:val="both"/>
        <w:rPr>
          <w:rFonts w:eastAsia="Arial" w:cs="Arial"/>
          <w:color w:val="000000" w:themeColor="text1"/>
          <w:lang w:val="es-CO"/>
        </w:rPr>
      </w:pPr>
      <w:r w:rsidRPr="22538234">
        <w:rPr>
          <w:rFonts w:eastAsia="Arial" w:cs="Arial"/>
          <w:color w:val="000000" w:themeColor="text1"/>
          <w:lang w:val="es-CO"/>
        </w:rPr>
        <w:t xml:space="preserve">Cuando a pesar de que la información recolectada no evidencie que es necesaria una modificación del marco regulatorio, pero el </w:t>
      </w:r>
      <w:r>
        <w:rPr>
          <w:rFonts w:eastAsia="Arial" w:cs="Arial"/>
          <w:color w:val="000000" w:themeColor="text1"/>
          <w:lang w:val="es-CO"/>
        </w:rPr>
        <w:t xml:space="preserve">operador </w:t>
      </w:r>
      <w:r w:rsidRPr="22538234">
        <w:rPr>
          <w:rFonts w:eastAsia="Arial" w:cs="Arial"/>
          <w:color w:val="000000" w:themeColor="text1"/>
          <w:lang w:val="es-CO"/>
        </w:rPr>
        <w:t xml:space="preserve">esté interesado en continuar ejecutando el proyecto. En este caso, el Ministerio de Tecnologías de la Información y las Comunicaciones </w:t>
      </w:r>
      <w:r>
        <w:rPr>
          <w:rFonts w:eastAsia="Arial" w:cs="Arial"/>
          <w:color w:val="000000" w:themeColor="text1"/>
          <w:lang w:val="es-CO"/>
        </w:rPr>
        <w:t>podrá extender</w:t>
      </w:r>
      <w:r w:rsidRPr="22538234">
        <w:rPr>
          <w:rFonts w:eastAsia="Arial" w:cs="Arial"/>
          <w:color w:val="000000" w:themeColor="text1"/>
          <w:lang w:val="es-CO"/>
        </w:rPr>
        <w:t xml:space="preserve"> la fase de experimentación hasta por doce (12) meses adicionales para que el </w:t>
      </w:r>
      <w:r>
        <w:rPr>
          <w:rFonts w:eastAsia="Arial" w:cs="Arial"/>
          <w:color w:val="000000" w:themeColor="text1"/>
          <w:lang w:val="es-CO"/>
        </w:rPr>
        <w:t>operador</w:t>
      </w:r>
      <w:r w:rsidRPr="22538234">
        <w:rPr>
          <w:rFonts w:eastAsia="Arial" w:cs="Arial"/>
          <w:color w:val="000000" w:themeColor="text1"/>
          <w:lang w:val="es-CO"/>
        </w:rPr>
        <w:t xml:space="preserve"> autorizado ajuste su modelo de negocio al marco regulatorio vigente y pueda continuar proveyendo los productos, servicios o soluciones fuera del Sandbox Regulatorio establecido.</w:t>
      </w:r>
    </w:p>
    <w:p w14:paraId="2C0FCF5E" w14:textId="77777777" w:rsidR="007F1725" w:rsidRDefault="007F1725" w:rsidP="007F1725">
      <w:pPr>
        <w:ind w:left="426"/>
        <w:jc w:val="both"/>
        <w:rPr>
          <w:rFonts w:eastAsia="Arial" w:cs="Arial"/>
          <w:color w:val="000000" w:themeColor="text1"/>
          <w:lang w:val="es-CO"/>
        </w:rPr>
      </w:pPr>
    </w:p>
    <w:p w14:paraId="7593169F" w14:textId="77777777" w:rsidR="007F1725" w:rsidRDefault="007F1725" w:rsidP="007F1725">
      <w:pPr>
        <w:jc w:val="both"/>
        <w:rPr>
          <w:rFonts w:eastAsia="Arial" w:cs="Arial"/>
          <w:color w:val="000000" w:themeColor="text1"/>
          <w:lang w:val="es-CO"/>
        </w:rPr>
      </w:pPr>
      <w:r w:rsidRPr="22538234">
        <w:rPr>
          <w:rFonts w:eastAsia="Arial" w:cs="Arial"/>
          <w:b/>
          <w:bCs/>
          <w:color w:val="000000" w:themeColor="text1"/>
          <w:lang w:val="es-CO"/>
        </w:rPr>
        <w:t xml:space="preserve">Parágrafo. </w:t>
      </w:r>
      <w:r w:rsidRPr="22538234">
        <w:rPr>
          <w:rFonts w:eastAsia="Arial" w:cs="Arial"/>
          <w:color w:val="000000" w:themeColor="text1"/>
          <w:lang w:val="es-CO"/>
        </w:rPr>
        <w:t>En caso de Sandbox Regulatorio Sectorial, el</w:t>
      </w:r>
      <w:r>
        <w:rPr>
          <w:rFonts w:eastAsia="Arial" w:cs="Arial"/>
          <w:color w:val="000000" w:themeColor="text1"/>
          <w:lang w:val="es-CO"/>
        </w:rPr>
        <w:t xml:space="preserve"> análisis</w:t>
      </w:r>
      <w:r w:rsidRPr="22538234">
        <w:rPr>
          <w:rFonts w:eastAsia="Arial" w:cs="Arial"/>
          <w:color w:val="000000" w:themeColor="text1"/>
          <w:lang w:val="es-CO"/>
        </w:rPr>
        <w:t xml:space="preserve"> </w:t>
      </w:r>
      <w:r w:rsidRPr="00983F02">
        <w:rPr>
          <w:rFonts w:eastAsia="Arial" w:cs="Arial"/>
          <w:color w:val="000000" w:themeColor="text1"/>
          <w:lang w:val="es-CO"/>
        </w:rPr>
        <w:t>para la ampliación del término de la fase de experimentación</w:t>
      </w:r>
      <w:r w:rsidRPr="00983F02" w:rsidDel="00983F02">
        <w:rPr>
          <w:rFonts w:eastAsia="Arial" w:cs="Arial"/>
          <w:color w:val="000000" w:themeColor="text1"/>
          <w:lang w:val="es-CO"/>
        </w:rPr>
        <w:t xml:space="preserve"> </w:t>
      </w:r>
      <w:r>
        <w:rPr>
          <w:rFonts w:eastAsia="Arial" w:cs="Arial"/>
          <w:color w:val="000000" w:themeColor="text1"/>
          <w:lang w:val="es-CO"/>
        </w:rPr>
        <w:t xml:space="preserve">realizado por las entidades competentes deberá tener en consideración lo establecido en el presente artículo. </w:t>
      </w:r>
    </w:p>
    <w:p w14:paraId="26D7CAEC" w14:textId="77777777" w:rsidR="007F1725" w:rsidRDefault="007F1725" w:rsidP="007F1725">
      <w:pPr>
        <w:jc w:val="both"/>
        <w:rPr>
          <w:rFonts w:eastAsia="Arial" w:cs="Arial"/>
          <w:color w:val="000000" w:themeColor="text1"/>
          <w:highlight w:val="yellow"/>
          <w:lang w:val="es-CO"/>
        </w:rPr>
      </w:pPr>
    </w:p>
    <w:p w14:paraId="3F908EA2" w14:textId="77777777" w:rsidR="007F1725" w:rsidRPr="00794D68" w:rsidRDefault="007F1725" w:rsidP="007F1725">
      <w:pPr>
        <w:jc w:val="both"/>
        <w:rPr>
          <w:rFonts w:eastAsia="Arial" w:cs="Arial"/>
          <w:color w:val="000000" w:themeColor="text1"/>
          <w:lang w:val="es-CO"/>
        </w:rPr>
      </w:pPr>
      <w:r w:rsidRPr="22538234">
        <w:rPr>
          <w:rFonts w:eastAsia="Arial" w:cs="Arial"/>
          <w:b/>
          <w:bCs/>
          <w:color w:val="000000" w:themeColor="text1"/>
          <w:lang w:val="es-CO"/>
        </w:rPr>
        <w:t>Artículo 2.2.23.1.2.13</w:t>
      </w:r>
      <w:r w:rsidRPr="22538234">
        <w:rPr>
          <w:rFonts w:eastAsia="Arial" w:cs="Arial"/>
          <w:b/>
          <w:bCs/>
          <w:color w:val="000000" w:themeColor="text1"/>
        </w:rPr>
        <w:t>.</w:t>
      </w:r>
      <w:r w:rsidRPr="22538234">
        <w:rPr>
          <w:rFonts w:eastAsia="Arial" w:cs="Arial"/>
          <w:b/>
          <w:bCs/>
          <w:color w:val="000000" w:themeColor="text1"/>
          <w:lang w:val="es-CO"/>
        </w:rPr>
        <w:t xml:space="preserve"> </w:t>
      </w:r>
      <w:r w:rsidRPr="008D0C24">
        <w:rPr>
          <w:rFonts w:eastAsia="Arial" w:cs="Arial"/>
          <w:b/>
          <w:bCs/>
          <w:i/>
          <w:iCs/>
          <w:color w:val="000000" w:themeColor="text1"/>
          <w:lang w:val="es-CO"/>
        </w:rPr>
        <w:t>Fase de Salida</w:t>
      </w:r>
      <w:r w:rsidRPr="22538234">
        <w:rPr>
          <w:rFonts w:eastAsia="Arial" w:cs="Arial"/>
          <w:b/>
          <w:bCs/>
          <w:color w:val="000000" w:themeColor="text1"/>
          <w:lang w:val="es-CO"/>
        </w:rPr>
        <w:t>.</w:t>
      </w:r>
      <w:r w:rsidRPr="22538234">
        <w:rPr>
          <w:rFonts w:eastAsia="Arial" w:cs="Arial"/>
          <w:color w:val="000000" w:themeColor="text1"/>
          <w:lang w:val="es-CO"/>
        </w:rPr>
        <w:t xml:space="preserve"> Los proyectos autorizados podrán optar por una de las siguientes opciones para salir de la fase de experimentación del Sandbox Regulatorio:</w:t>
      </w:r>
    </w:p>
    <w:p w14:paraId="27BCC0F5" w14:textId="77777777" w:rsidR="007F1725" w:rsidRDefault="007F1725" w:rsidP="007F1725">
      <w:pPr>
        <w:jc w:val="both"/>
        <w:rPr>
          <w:rFonts w:eastAsia="Arial" w:cs="Arial"/>
          <w:color w:val="000000" w:themeColor="text1"/>
        </w:rPr>
      </w:pPr>
    </w:p>
    <w:p w14:paraId="0F434442" w14:textId="6562657D" w:rsidR="007F1725" w:rsidRPr="004206B1" w:rsidRDefault="007F1725" w:rsidP="007F1725">
      <w:pPr>
        <w:ind w:left="426" w:hanging="426"/>
        <w:jc w:val="both"/>
      </w:pPr>
      <w:r w:rsidRPr="22538234">
        <w:rPr>
          <w:rFonts w:cs="Arial"/>
          <w:b/>
          <w:bCs/>
        </w:rPr>
        <w:t>1</w:t>
      </w:r>
      <w:r w:rsidRPr="22538234">
        <w:rPr>
          <w:b/>
          <w:bCs/>
        </w:rPr>
        <w:t>.</w:t>
      </w:r>
      <w:r>
        <w:t xml:space="preserve"> </w:t>
      </w:r>
      <w:r>
        <w:tab/>
      </w:r>
      <w:r w:rsidRPr="22538234">
        <w:rPr>
          <w:rFonts w:eastAsia="Arial" w:cs="Arial"/>
          <w:b/>
          <w:bCs/>
          <w:color w:val="000000" w:themeColor="text1"/>
          <w:lang w:val="es-CO"/>
        </w:rPr>
        <w:t>Finalización del proyecto:</w:t>
      </w:r>
      <w:r>
        <w:t xml:space="preserve"> </w:t>
      </w:r>
      <w:r w:rsidRPr="22538234">
        <w:rPr>
          <w:rFonts w:eastAsia="Arial" w:cs="Arial"/>
          <w:color w:val="000000" w:themeColor="text1"/>
          <w:lang w:val="es-CO"/>
        </w:rPr>
        <w:t>para dar cierre al proyecto y gestionar la culminación de los productos</w:t>
      </w:r>
      <w:r>
        <w:rPr>
          <w:rFonts w:eastAsia="Arial" w:cs="Arial"/>
          <w:color w:val="000000" w:themeColor="text1"/>
          <w:lang w:val="es-CO"/>
        </w:rPr>
        <w:t>,</w:t>
      </w:r>
      <w:r w:rsidRPr="22538234">
        <w:rPr>
          <w:rFonts w:eastAsia="Arial" w:cs="Arial"/>
          <w:color w:val="000000" w:themeColor="text1"/>
          <w:lang w:val="es-CO"/>
        </w:rPr>
        <w:t xml:space="preserve"> servicios o </w:t>
      </w:r>
      <w:r>
        <w:rPr>
          <w:rFonts w:eastAsia="Arial" w:cs="Arial"/>
          <w:color w:val="000000" w:themeColor="text1"/>
          <w:lang w:val="es-CO"/>
        </w:rPr>
        <w:t xml:space="preserve">soluciones </w:t>
      </w:r>
      <w:r w:rsidRPr="22538234">
        <w:rPr>
          <w:rFonts w:eastAsia="Arial" w:cs="Arial"/>
          <w:color w:val="000000" w:themeColor="text1"/>
          <w:lang w:val="es-CO"/>
        </w:rPr>
        <w:t xml:space="preserve">ofrecidos a los usuarios, los </w:t>
      </w:r>
      <w:r w:rsidR="00D44E79">
        <w:rPr>
          <w:rFonts w:eastAsia="Arial" w:cs="Arial"/>
          <w:color w:val="000000" w:themeColor="text1"/>
          <w:lang w:val="es-CO"/>
        </w:rPr>
        <w:t xml:space="preserve">proveedores y/o operadores </w:t>
      </w:r>
      <w:r w:rsidRPr="22538234">
        <w:rPr>
          <w:rFonts w:eastAsia="Arial" w:cs="Arial"/>
          <w:color w:val="000000" w:themeColor="text1"/>
          <w:lang w:val="es-CO"/>
        </w:rPr>
        <w:t>autorizados contarán con un periodo de hasta cuatro (4) meses para realizar las adecuaciones a que haya lugar</w:t>
      </w:r>
      <w:r w:rsidR="00DC3000">
        <w:rPr>
          <w:rFonts w:eastAsia="Arial" w:cs="Arial"/>
          <w:color w:val="000000" w:themeColor="text1"/>
          <w:lang w:val="es-CO"/>
        </w:rPr>
        <w:t xml:space="preserve">, los cuales se </w:t>
      </w:r>
      <w:r w:rsidR="00F4319D">
        <w:rPr>
          <w:rFonts w:eastAsia="Arial" w:cs="Arial"/>
          <w:color w:val="000000" w:themeColor="text1"/>
          <w:lang w:val="es-CO"/>
        </w:rPr>
        <w:t>contarán</w:t>
      </w:r>
      <w:r w:rsidR="00DC3000">
        <w:rPr>
          <w:rFonts w:eastAsia="Arial" w:cs="Arial"/>
          <w:color w:val="000000" w:themeColor="text1"/>
          <w:lang w:val="es-CO"/>
        </w:rPr>
        <w:t xml:space="preserve"> una vez finalice la fase de experimentación.</w:t>
      </w:r>
    </w:p>
    <w:p w14:paraId="229E55DF" w14:textId="77777777" w:rsidR="007F1725" w:rsidRDefault="007F1725" w:rsidP="007F1725">
      <w:pPr>
        <w:ind w:left="426" w:hanging="426"/>
        <w:jc w:val="both"/>
        <w:rPr>
          <w:rFonts w:eastAsia="Arial" w:cs="Arial"/>
          <w:color w:val="000000" w:themeColor="text1"/>
        </w:rPr>
      </w:pPr>
    </w:p>
    <w:p w14:paraId="2F5100D6" w14:textId="452895BE" w:rsidR="007F1725" w:rsidRDefault="007F1725" w:rsidP="007F1725">
      <w:pPr>
        <w:ind w:left="426" w:hanging="426"/>
        <w:jc w:val="both"/>
        <w:rPr>
          <w:rFonts w:eastAsia="Arial" w:cs="Arial"/>
          <w:color w:val="000000" w:themeColor="text1"/>
          <w:lang w:val="es-CO"/>
        </w:rPr>
      </w:pPr>
      <w:r w:rsidRPr="22538234">
        <w:rPr>
          <w:rFonts w:eastAsia="Arial" w:cs="Arial"/>
          <w:b/>
          <w:bCs/>
          <w:color w:val="000000" w:themeColor="text1"/>
          <w:lang w:val="es-CO"/>
        </w:rPr>
        <w:t xml:space="preserve">2. </w:t>
      </w:r>
      <w:r>
        <w:rPr>
          <w:rFonts w:eastAsia="Arial" w:cs="Arial"/>
          <w:b/>
          <w:bCs/>
          <w:color w:val="000000" w:themeColor="text1"/>
          <w:lang w:val="es-CO"/>
        </w:rPr>
        <w:tab/>
      </w:r>
      <w:r w:rsidRPr="22538234">
        <w:rPr>
          <w:rFonts w:eastAsia="Arial" w:cs="Arial"/>
          <w:b/>
          <w:bCs/>
          <w:color w:val="000000" w:themeColor="text1"/>
          <w:lang w:val="es-CO"/>
        </w:rPr>
        <w:t>Transición al marco regulatorio general:</w:t>
      </w:r>
      <w:r w:rsidRPr="22538234">
        <w:rPr>
          <w:rFonts w:eastAsia="Arial" w:cs="Arial"/>
          <w:color w:val="000000" w:themeColor="text1"/>
          <w:lang w:val="es-CO"/>
        </w:rPr>
        <w:t xml:space="preserve"> para continuar con la comercialización o utilización de los productos, servicios o soluciones los </w:t>
      </w:r>
      <w:r w:rsidR="00D44E79">
        <w:rPr>
          <w:rFonts w:eastAsia="Arial" w:cs="Arial"/>
          <w:color w:val="000000" w:themeColor="text1"/>
          <w:lang w:val="es-CO"/>
        </w:rPr>
        <w:t xml:space="preserve">proveedores y/o operadores </w:t>
      </w:r>
      <w:r w:rsidRPr="22538234">
        <w:rPr>
          <w:rFonts w:eastAsia="Arial" w:cs="Arial"/>
          <w:color w:val="000000" w:themeColor="text1"/>
          <w:lang w:val="es-CO"/>
        </w:rPr>
        <w:t>autorizados podrán realizar las adecuaciones a que haya lugar y dar cumplimiento al marco regulatorio vigente, para lo cual contarán con un periodo de hasta cuatro (4) meses</w:t>
      </w:r>
      <w:r w:rsidR="00DC3000">
        <w:rPr>
          <w:rFonts w:eastAsia="Arial" w:cs="Arial"/>
          <w:color w:val="000000" w:themeColor="text1"/>
          <w:lang w:val="es-CO"/>
        </w:rPr>
        <w:t>, los cuales se contaran una vez finalice la fase de experimentación</w:t>
      </w:r>
      <w:r w:rsidRPr="22538234">
        <w:rPr>
          <w:rFonts w:eastAsia="Arial" w:cs="Arial"/>
          <w:color w:val="000000" w:themeColor="text1"/>
          <w:lang w:val="es-CO"/>
        </w:rPr>
        <w:t>.</w:t>
      </w:r>
    </w:p>
    <w:p w14:paraId="5D7E601C" w14:textId="77777777" w:rsidR="00EC4C53" w:rsidRPr="00794D68" w:rsidRDefault="00EC4C53" w:rsidP="007F1725">
      <w:pPr>
        <w:ind w:left="426" w:hanging="426"/>
        <w:jc w:val="both"/>
        <w:rPr>
          <w:rFonts w:eastAsia="Arial" w:cs="Arial"/>
          <w:color w:val="000000" w:themeColor="text1"/>
          <w:lang w:val="es-CO"/>
        </w:rPr>
      </w:pPr>
    </w:p>
    <w:p w14:paraId="1942E10E" w14:textId="5E8C21E6" w:rsidR="007F1725" w:rsidRDefault="007F1725" w:rsidP="007F1725">
      <w:pPr>
        <w:jc w:val="both"/>
        <w:rPr>
          <w:rFonts w:eastAsia="Arial" w:cs="Arial"/>
          <w:color w:val="000000" w:themeColor="text1"/>
          <w:lang w:val="es-CO"/>
        </w:rPr>
      </w:pPr>
      <w:r w:rsidRPr="22538234">
        <w:rPr>
          <w:rFonts w:eastAsia="Arial" w:cs="Arial"/>
          <w:b/>
          <w:bCs/>
          <w:color w:val="000000" w:themeColor="text1"/>
          <w:lang w:val="es-CO"/>
        </w:rPr>
        <w:t>Parágrafo 1</w:t>
      </w:r>
      <w:r w:rsidRPr="22538234">
        <w:rPr>
          <w:rFonts w:eastAsia="Arial" w:cs="Arial"/>
          <w:color w:val="000000" w:themeColor="text1"/>
          <w:lang w:val="es-CO"/>
        </w:rPr>
        <w:t xml:space="preserve">. En cualquier momento durante el periodo de experimentación los </w:t>
      </w:r>
      <w:r w:rsidR="00D44E79">
        <w:rPr>
          <w:rFonts w:eastAsia="Arial" w:cs="Arial"/>
          <w:color w:val="000000" w:themeColor="text1"/>
          <w:lang w:val="es-CO"/>
        </w:rPr>
        <w:t xml:space="preserve">proveedores y/o operadores </w:t>
      </w:r>
      <w:r w:rsidRPr="22538234">
        <w:rPr>
          <w:rFonts w:eastAsia="Arial" w:cs="Arial"/>
          <w:color w:val="000000" w:themeColor="text1"/>
          <w:lang w:val="es-CO"/>
        </w:rPr>
        <w:t xml:space="preserve">autorizados podrán optar por desmontar de manera voluntaria sus operaciones e ingresar a la fase de salida, para lo cual deberán informar la decisión al Ministerio de Tecnologías de la Información y las Comunicaciones por lo menos </w:t>
      </w:r>
      <w:r w:rsidR="00C61C2A">
        <w:rPr>
          <w:rFonts w:eastAsia="Arial" w:cs="Arial"/>
          <w:color w:val="000000" w:themeColor="text1"/>
          <w:lang w:val="es-CO"/>
        </w:rPr>
        <w:t>treinta</w:t>
      </w:r>
      <w:r w:rsidR="00C61C2A" w:rsidRPr="22538234">
        <w:rPr>
          <w:rFonts w:eastAsia="Arial" w:cs="Arial"/>
          <w:color w:val="000000" w:themeColor="text1"/>
          <w:lang w:val="es-CO"/>
        </w:rPr>
        <w:t xml:space="preserve"> </w:t>
      </w:r>
      <w:r w:rsidRPr="22538234">
        <w:rPr>
          <w:rFonts w:eastAsia="Arial" w:cs="Arial"/>
          <w:color w:val="000000" w:themeColor="text1"/>
          <w:lang w:val="es-CO"/>
        </w:rPr>
        <w:t>(</w:t>
      </w:r>
      <w:r w:rsidR="00C61C2A">
        <w:rPr>
          <w:rFonts w:eastAsia="Arial" w:cs="Arial"/>
          <w:color w:val="000000" w:themeColor="text1"/>
          <w:lang w:val="es-CO"/>
        </w:rPr>
        <w:t>30</w:t>
      </w:r>
      <w:r w:rsidRPr="22538234">
        <w:rPr>
          <w:rFonts w:eastAsia="Arial" w:cs="Arial"/>
          <w:color w:val="000000" w:themeColor="text1"/>
          <w:lang w:val="es-CO"/>
        </w:rPr>
        <w:t xml:space="preserve">) días antes del desmonte. En caso de Sandbox Regulatorio Sectorial se deberá informar al </w:t>
      </w:r>
      <w:r>
        <w:rPr>
          <w:rFonts w:eastAsia="Arial" w:cs="Arial"/>
          <w:color w:val="000000" w:themeColor="text1"/>
          <w:lang w:val="es-CO"/>
        </w:rPr>
        <w:t xml:space="preserve">mismo tiempo al </w:t>
      </w:r>
      <w:r w:rsidRPr="22538234">
        <w:rPr>
          <w:rFonts w:eastAsia="Arial" w:cs="Arial"/>
          <w:color w:val="000000" w:themeColor="text1"/>
          <w:lang w:val="es-CO"/>
        </w:rPr>
        <w:t xml:space="preserve">Ministerio de Tecnologías de la Información y las Comunicaciones, a la Comisión de Regulación de Comunicaciones, </w:t>
      </w:r>
      <w:r>
        <w:rPr>
          <w:rFonts w:eastAsia="Arial" w:cs="Arial"/>
          <w:color w:val="000000" w:themeColor="text1"/>
          <w:lang w:val="es-CO"/>
        </w:rPr>
        <w:t>o</w:t>
      </w:r>
      <w:r w:rsidRPr="22538234">
        <w:rPr>
          <w:rFonts w:eastAsia="Arial" w:cs="Arial"/>
          <w:color w:val="000000" w:themeColor="text1"/>
          <w:lang w:val="es-CO"/>
        </w:rPr>
        <w:t xml:space="preserve"> a la Agencia Nacional del Espectro, de conformidad con el objeto del</w:t>
      </w:r>
      <w:r>
        <w:rPr>
          <w:rFonts w:eastAsia="Arial" w:cs="Arial"/>
          <w:color w:val="000000" w:themeColor="text1"/>
          <w:lang w:val="es-CO"/>
        </w:rPr>
        <w:t xml:space="preserve"> proyecto de</w:t>
      </w:r>
      <w:r w:rsidRPr="22538234">
        <w:rPr>
          <w:rFonts w:eastAsia="Arial" w:cs="Arial"/>
          <w:color w:val="000000" w:themeColor="text1"/>
          <w:lang w:val="es-CO"/>
        </w:rPr>
        <w:t xml:space="preserve"> Sandbox a realizar.</w:t>
      </w:r>
    </w:p>
    <w:p w14:paraId="35C084B1" w14:textId="77777777" w:rsidR="007F1725" w:rsidRDefault="007F1725" w:rsidP="007F1725">
      <w:pPr>
        <w:jc w:val="both"/>
        <w:rPr>
          <w:rFonts w:eastAsia="Arial" w:cs="Arial"/>
          <w:color w:val="000000" w:themeColor="text1"/>
          <w:lang w:val="es-CO"/>
        </w:rPr>
      </w:pPr>
    </w:p>
    <w:p w14:paraId="35AF5364" w14:textId="77777777" w:rsidR="007F1725" w:rsidRDefault="007F1725" w:rsidP="007F1725">
      <w:pPr>
        <w:jc w:val="both"/>
        <w:rPr>
          <w:rFonts w:eastAsia="Arial" w:cs="Arial"/>
          <w:color w:val="000000" w:themeColor="text1"/>
          <w:lang w:val="es-CO"/>
        </w:rPr>
      </w:pPr>
      <w:r w:rsidRPr="001863F1">
        <w:rPr>
          <w:rFonts w:eastAsia="Arial" w:cs="Arial"/>
          <w:b/>
          <w:bCs/>
          <w:color w:val="000000" w:themeColor="text1"/>
          <w:lang w:val="es-CO"/>
        </w:rPr>
        <w:t>Parágrafo 2.</w:t>
      </w:r>
      <w:r w:rsidRPr="22538234">
        <w:rPr>
          <w:rFonts w:eastAsia="Arial" w:cs="Arial"/>
          <w:color w:val="000000" w:themeColor="text1"/>
          <w:lang w:val="es-CO"/>
        </w:rPr>
        <w:t xml:space="preserve"> Durante los primeros quince (15) días calendario de la fase de salida</w:t>
      </w:r>
      <w:r w:rsidRPr="1210A88A">
        <w:rPr>
          <w:rFonts w:eastAsia="Arial" w:cs="Arial"/>
          <w:color w:val="000000" w:themeColor="text1"/>
          <w:lang w:val="es-CO"/>
        </w:rPr>
        <w:t>,</w:t>
      </w:r>
      <w:r w:rsidRPr="22538234">
        <w:rPr>
          <w:rFonts w:eastAsia="Arial" w:cs="Arial"/>
          <w:color w:val="000000" w:themeColor="text1"/>
          <w:lang w:val="es-CO"/>
        </w:rPr>
        <w:t xml:space="preserve"> </w:t>
      </w:r>
      <w:r>
        <w:rPr>
          <w:rFonts w:eastAsia="Arial" w:cs="Arial"/>
          <w:color w:val="000000" w:themeColor="text1"/>
          <w:lang w:val="es-CO"/>
        </w:rPr>
        <w:t>el operador</w:t>
      </w:r>
      <w:r w:rsidRPr="22538234">
        <w:rPr>
          <w:rFonts w:eastAsia="Arial" w:cs="Arial"/>
          <w:color w:val="000000" w:themeColor="text1"/>
          <w:lang w:val="es-CO"/>
        </w:rPr>
        <w:t xml:space="preserve"> deberá comunicar de esta situación a los consumidores o usuarios de los productos, servicios o soluciones ofrecidos en el marco del proyecto de Sandbox Regulatorio</w:t>
      </w:r>
      <w:r>
        <w:rPr>
          <w:rFonts w:eastAsia="Arial" w:cs="Arial"/>
          <w:color w:val="000000" w:themeColor="text1"/>
          <w:lang w:val="es-CO"/>
        </w:rPr>
        <w:t xml:space="preserve"> o Sandbox Regulatorio Sectorial</w:t>
      </w:r>
      <w:r w:rsidRPr="22538234">
        <w:rPr>
          <w:rFonts w:eastAsia="Arial" w:cs="Arial"/>
          <w:color w:val="000000" w:themeColor="text1"/>
          <w:lang w:val="es-CO"/>
        </w:rPr>
        <w:t xml:space="preserve"> para la protección de sus derechos, especialmente, el de información.</w:t>
      </w:r>
    </w:p>
    <w:p w14:paraId="19B80E3C" w14:textId="77777777" w:rsidR="007F1725" w:rsidRPr="00D74F4C" w:rsidRDefault="007F1725" w:rsidP="007F1725">
      <w:pPr>
        <w:jc w:val="both"/>
        <w:rPr>
          <w:rFonts w:eastAsia="Arial" w:cs="Arial"/>
          <w:color w:val="000000" w:themeColor="text1"/>
          <w:lang w:val="es-CO"/>
        </w:rPr>
      </w:pPr>
      <w:r w:rsidRPr="22538234">
        <w:rPr>
          <w:rFonts w:eastAsia="Arial" w:cs="Arial"/>
          <w:b/>
          <w:bCs/>
          <w:color w:val="000000" w:themeColor="text1"/>
          <w:lang w:val="es-CO"/>
        </w:rPr>
        <w:lastRenderedPageBreak/>
        <w:t>Artículo 2.2.23.1.2.14</w:t>
      </w:r>
      <w:r w:rsidRPr="22538234">
        <w:rPr>
          <w:rFonts w:eastAsia="Arial" w:cs="Arial"/>
          <w:b/>
          <w:bCs/>
          <w:color w:val="000000" w:themeColor="text1"/>
        </w:rPr>
        <w:t xml:space="preserve">. </w:t>
      </w:r>
      <w:r w:rsidRPr="008D0C24">
        <w:rPr>
          <w:rFonts w:eastAsia="Arial" w:cs="Arial"/>
          <w:b/>
          <w:bCs/>
          <w:i/>
          <w:iCs/>
          <w:color w:val="000000" w:themeColor="text1"/>
          <w:lang w:val="es-CO"/>
        </w:rPr>
        <w:t>Informe Final</w:t>
      </w:r>
      <w:r w:rsidRPr="22538234">
        <w:rPr>
          <w:rFonts w:eastAsia="Arial" w:cs="Arial"/>
          <w:b/>
          <w:bCs/>
          <w:color w:val="000000" w:themeColor="text1"/>
          <w:lang w:val="es-CO"/>
        </w:rPr>
        <w:t>.</w:t>
      </w:r>
      <w:r w:rsidRPr="22538234">
        <w:rPr>
          <w:rFonts w:eastAsia="Arial" w:cs="Arial"/>
          <w:color w:val="000000" w:themeColor="text1"/>
          <w:lang w:val="es-CO"/>
        </w:rPr>
        <w:t xml:space="preserve"> Durante los doce (12) meses siguientes a la finalización del periodo inicial de la fase de experimentación, el Ministerio de Tecnologías de la Información y las Comunicaciones publicará en su página </w:t>
      </w:r>
      <w:r w:rsidRPr="3DE40817">
        <w:rPr>
          <w:rFonts w:eastAsia="Arial" w:cs="Arial"/>
          <w:color w:val="000000" w:themeColor="text1"/>
          <w:lang w:val="es-CO"/>
        </w:rPr>
        <w:t>W</w:t>
      </w:r>
      <w:r w:rsidRPr="22538234">
        <w:rPr>
          <w:rFonts w:eastAsia="Arial" w:cs="Arial"/>
          <w:color w:val="000000" w:themeColor="text1"/>
          <w:lang w:val="es-CO"/>
        </w:rPr>
        <w:t>eb un informe final de la cohorte respectiva con las conclusiones y resultados del desarrollo del Sandbox Regulatorio</w:t>
      </w:r>
      <w:r>
        <w:rPr>
          <w:rFonts w:eastAsia="Arial" w:cs="Arial"/>
          <w:color w:val="000000" w:themeColor="text1"/>
          <w:lang w:val="es-CO"/>
        </w:rPr>
        <w:t>, el cual, en todo caso, incluirá la p</w:t>
      </w:r>
      <w:r w:rsidRPr="003C7FE1">
        <w:rPr>
          <w:rFonts w:eastAsia="Arial" w:cs="Arial"/>
          <w:color w:val="000000" w:themeColor="text1"/>
          <w:lang w:val="es-CO"/>
        </w:rPr>
        <w:t xml:space="preserve">ertinencia </w:t>
      </w:r>
      <w:r>
        <w:rPr>
          <w:rFonts w:eastAsia="Arial" w:cs="Arial"/>
          <w:color w:val="000000" w:themeColor="text1"/>
          <w:lang w:val="es-CO"/>
        </w:rPr>
        <w:t xml:space="preserve">o no </w:t>
      </w:r>
      <w:r w:rsidRPr="003C7FE1">
        <w:rPr>
          <w:rFonts w:eastAsia="Arial" w:cs="Arial"/>
          <w:color w:val="000000" w:themeColor="text1"/>
          <w:lang w:val="es-CO"/>
        </w:rPr>
        <w:t xml:space="preserve">de </w:t>
      </w:r>
      <w:r>
        <w:rPr>
          <w:rFonts w:eastAsia="Arial" w:cs="Arial"/>
          <w:color w:val="000000" w:themeColor="text1"/>
          <w:lang w:val="es-CO"/>
        </w:rPr>
        <w:t xml:space="preserve">ajustar </w:t>
      </w:r>
      <w:r w:rsidRPr="003C7FE1">
        <w:rPr>
          <w:rFonts w:eastAsia="Arial" w:cs="Arial"/>
          <w:color w:val="000000" w:themeColor="text1"/>
          <w:lang w:val="es-CO"/>
        </w:rPr>
        <w:t>el marco regulatorio vigente</w:t>
      </w:r>
      <w:r w:rsidRPr="22538234">
        <w:rPr>
          <w:rFonts w:eastAsia="Arial" w:cs="Arial"/>
          <w:color w:val="000000" w:themeColor="text1"/>
          <w:lang w:val="es-CO"/>
        </w:rPr>
        <w:t>.</w:t>
      </w:r>
    </w:p>
    <w:p w14:paraId="4506DE47" w14:textId="77777777" w:rsidR="007F1725" w:rsidRDefault="007F1725" w:rsidP="007F1725">
      <w:pPr>
        <w:jc w:val="both"/>
        <w:rPr>
          <w:rFonts w:eastAsia="Arial" w:cs="Arial"/>
          <w:color w:val="000000" w:themeColor="text1"/>
        </w:rPr>
      </w:pPr>
    </w:p>
    <w:p w14:paraId="338A1266" w14:textId="77777777" w:rsidR="007F1725" w:rsidRPr="00C126DB" w:rsidRDefault="007F1725" w:rsidP="007F1725">
      <w:pPr>
        <w:jc w:val="both"/>
        <w:rPr>
          <w:rFonts w:eastAsia="Arial" w:cs="Arial"/>
          <w:color w:val="000000" w:themeColor="text1"/>
          <w:lang w:val="es-CO"/>
        </w:rPr>
      </w:pPr>
      <w:r w:rsidRPr="22538234">
        <w:rPr>
          <w:rFonts w:eastAsia="Arial" w:cs="Arial"/>
          <w:b/>
          <w:bCs/>
          <w:color w:val="000000" w:themeColor="text1"/>
          <w:lang w:val="es-CO"/>
        </w:rPr>
        <w:t>Parágrafo.</w:t>
      </w:r>
      <w:r w:rsidRPr="22538234">
        <w:rPr>
          <w:rFonts w:eastAsia="Arial" w:cs="Arial"/>
          <w:color w:val="000000" w:themeColor="text1"/>
          <w:lang w:val="es-CO"/>
        </w:rPr>
        <w:t xml:space="preserve"> En caso de Sandbox Regulatorio Sectorial el informe se publicará de manera conjunta en la página </w:t>
      </w:r>
      <w:r>
        <w:rPr>
          <w:rFonts w:eastAsia="Arial" w:cs="Arial"/>
          <w:color w:val="000000" w:themeColor="text1"/>
          <w:lang w:val="es-CO"/>
        </w:rPr>
        <w:t>W</w:t>
      </w:r>
      <w:r w:rsidRPr="22538234">
        <w:rPr>
          <w:rFonts w:eastAsia="Arial" w:cs="Arial"/>
          <w:color w:val="000000" w:themeColor="text1"/>
          <w:lang w:val="es-CO"/>
        </w:rPr>
        <w:t>eb</w:t>
      </w:r>
      <w:r>
        <w:rPr>
          <w:rFonts w:eastAsia="Arial" w:cs="Arial"/>
          <w:color w:val="000000" w:themeColor="text1"/>
          <w:lang w:val="es-CO"/>
        </w:rPr>
        <w:t xml:space="preserve"> de</w:t>
      </w:r>
      <w:r w:rsidRPr="22538234">
        <w:rPr>
          <w:rFonts w:eastAsia="Arial" w:cs="Arial"/>
          <w:color w:val="000000" w:themeColor="text1"/>
          <w:lang w:val="es-CO"/>
        </w:rPr>
        <w:t xml:space="preserve"> </w:t>
      </w:r>
      <w:r>
        <w:rPr>
          <w:rFonts w:eastAsia="Arial" w:cs="Arial"/>
          <w:color w:val="000000" w:themeColor="text1"/>
          <w:lang w:val="es-CO"/>
        </w:rPr>
        <w:t xml:space="preserve">cada entidad, es decir </w:t>
      </w:r>
      <w:r w:rsidRPr="22538234">
        <w:rPr>
          <w:rFonts w:eastAsia="Arial" w:cs="Arial"/>
          <w:color w:val="000000" w:themeColor="text1"/>
          <w:lang w:val="es-CO"/>
        </w:rPr>
        <w:t xml:space="preserve">del Ministerio de Tecnologías de la Información y las Comunicaciones, de la Comisión de Regulación de Comunicaciones, o de la Agencia Nacional del Espectro de conformidad con el objeto del </w:t>
      </w:r>
      <w:r>
        <w:rPr>
          <w:rFonts w:eastAsia="Arial" w:cs="Arial"/>
          <w:color w:val="000000" w:themeColor="text1"/>
          <w:lang w:val="es-CO"/>
        </w:rPr>
        <w:t xml:space="preserve">proyecto de </w:t>
      </w:r>
      <w:r w:rsidRPr="22538234">
        <w:rPr>
          <w:rFonts w:eastAsia="Arial" w:cs="Arial"/>
          <w:color w:val="000000" w:themeColor="text1"/>
          <w:lang w:val="es-CO"/>
        </w:rPr>
        <w:t>Sandbox.</w:t>
      </w:r>
    </w:p>
    <w:p w14:paraId="52F0AD44" w14:textId="77777777" w:rsidR="007F1725" w:rsidRDefault="007F1725" w:rsidP="007F1725">
      <w:pPr>
        <w:jc w:val="both"/>
        <w:rPr>
          <w:rFonts w:eastAsia="Arial" w:cs="Arial"/>
          <w:color w:val="000000" w:themeColor="text1"/>
        </w:rPr>
      </w:pPr>
    </w:p>
    <w:p w14:paraId="7633FE37" w14:textId="77777777" w:rsidR="007F1725" w:rsidRPr="00D74F4C" w:rsidRDefault="007F1725" w:rsidP="007F1725">
      <w:pPr>
        <w:jc w:val="both"/>
        <w:rPr>
          <w:rFonts w:eastAsia="Arial" w:cs="Arial"/>
          <w:color w:val="000000" w:themeColor="text1"/>
          <w:lang w:val="es-CO"/>
        </w:rPr>
      </w:pPr>
      <w:r w:rsidRPr="22538234">
        <w:rPr>
          <w:rFonts w:eastAsia="Arial" w:cs="Arial"/>
          <w:b/>
          <w:bCs/>
          <w:color w:val="000000" w:themeColor="text1"/>
          <w:lang w:val="es-CO"/>
        </w:rPr>
        <w:t>Artículo 2.2.23.1.2.15</w:t>
      </w:r>
      <w:r w:rsidRPr="22538234">
        <w:rPr>
          <w:rFonts w:eastAsia="Arial" w:cs="Arial"/>
          <w:b/>
          <w:bCs/>
          <w:color w:val="000000" w:themeColor="text1"/>
        </w:rPr>
        <w:t xml:space="preserve">. </w:t>
      </w:r>
      <w:r w:rsidRPr="008D0C24">
        <w:rPr>
          <w:rFonts w:eastAsia="Arial" w:cs="Arial"/>
          <w:b/>
          <w:bCs/>
          <w:i/>
          <w:iCs/>
          <w:color w:val="000000" w:themeColor="text1"/>
          <w:lang w:val="es-CO"/>
        </w:rPr>
        <w:t>Modificaciones al marco regulatorio general.</w:t>
      </w:r>
      <w:r w:rsidRPr="22538234">
        <w:rPr>
          <w:rFonts w:eastAsia="Arial" w:cs="Arial"/>
          <w:color w:val="000000" w:themeColor="text1"/>
          <w:lang w:val="es-CO"/>
        </w:rPr>
        <w:t xml:space="preserve"> Una vez analizados los resultados de la fase de experimentación, el Ministerio de Tecnologías de la Información y las Comunicaciones determinará, utilizando la información recolectada, si se evidenció la necesidad de estudiar una eventual modificación al marco regulatorio general; de ser así, adelantará los estudios o proyectos necesarios para determinar la viabilidad de que los productos, servicios o soluciones involucrados puedan operar fuera del Sandbox Regulatorio.</w:t>
      </w:r>
    </w:p>
    <w:p w14:paraId="43AC6F21" w14:textId="77777777" w:rsidR="007F1725" w:rsidRDefault="007F1725" w:rsidP="007F1725">
      <w:pPr>
        <w:jc w:val="both"/>
        <w:rPr>
          <w:rFonts w:eastAsia="Arial" w:cs="Arial"/>
          <w:color w:val="000000" w:themeColor="text1"/>
        </w:rPr>
      </w:pPr>
    </w:p>
    <w:p w14:paraId="4930153C" w14:textId="77777777" w:rsidR="007F1725" w:rsidRDefault="007F1725" w:rsidP="007F1725">
      <w:pPr>
        <w:jc w:val="both"/>
        <w:rPr>
          <w:rFonts w:eastAsia="Arial" w:cs="Arial"/>
          <w:color w:val="000000" w:themeColor="text1"/>
          <w:lang w:val="es-CO"/>
        </w:rPr>
      </w:pPr>
      <w:r w:rsidRPr="22538234">
        <w:rPr>
          <w:rFonts w:eastAsia="Arial" w:cs="Arial"/>
          <w:b/>
          <w:bCs/>
          <w:color w:val="000000" w:themeColor="text1"/>
          <w:lang w:val="es-CO"/>
        </w:rPr>
        <w:t xml:space="preserve">Parágrafo. </w:t>
      </w:r>
      <w:r w:rsidRPr="22538234">
        <w:rPr>
          <w:rFonts w:eastAsia="Arial" w:cs="Arial"/>
          <w:color w:val="000000" w:themeColor="text1"/>
          <w:lang w:val="es-CO"/>
        </w:rPr>
        <w:t>En caso de Sandbox Regulatorio Sectorial el Ministerio de Tecnologías de la Información y las Comunicaciones, la Comisión de Regulación de Comunicaciones o la Agencia Nacional del Espectro de conformidad con el objeto del</w:t>
      </w:r>
      <w:r>
        <w:rPr>
          <w:rFonts w:eastAsia="Arial" w:cs="Arial"/>
          <w:color w:val="000000" w:themeColor="text1"/>
          <w:lang w:val="es-CO"/>
        </w:rPr>
        <w:t xml:space="preserve"> proyecto de</w:t>
      </w:r>
      <w:r w:rsidRPr="22538234">
        <w:rPr>
          <w:rFonts w:eastAsia="Arial" w:cs="Arial"/>
          <w:color w:val="000000" w:themeColor="text1"/>
          <w:lang w:val="es-CO"/>
        </w:rPr>
        <w:t xml:space="preserve"> Sandbox, revisarán, en el ámbito de sus competencias, si se evidenció la necesidad de estudiar una eventual modificación al marco regulatorio general de conformidad con lo dispuesto en el presente artículo.</w:t>
      </w:r>
    </w:p>
    <w:p w14:paraId="54AB8D3E" w14:textId="77777777" w:rsidR="007F1725" w:rsidRDefault="007F1725" w:rsidP="007F1725">
      <w:pPr>
        <w:jc w:val="both"/>
        <w:rPr>
          <w:rFonts w:eastAsia="Arial" w:cs="Arial"/>
          <w:color w:val="000000" w:themeColor="text1"/>
          <w:lang w:val="es-CO"/>
        </w:rPr>
      </w:pPr>
    </w:p>
    <w:p w14:paraId="54565352" w14:textId="3FD57B8F" w:rsidR="007F1725" w:rsidRDefault="007F1725" w:rsidP="007F1725">
      <w:pPr>
        <w:jc w:val="both"/>
        <w:rPr>
          <w:rFonts w:eastAsia="Arial" w:cs="Arial"/>
          <w:color w:val="000000" w:themeColor="text1"/>
          <w:lang w:val="es-CO"/>
        </w:rPr>
      </w:pPr>
      <w:r w:rsidRPr="00AC044B">
        <w:rPr>
          <w:rFonts w:eastAsia="Arial" w:cs="Arial"/>
          <w:b/>
          <w:bCs/>
          <w:color w:val="000000" w:themeColor="text1"/>
          <w:lang w:val="es-CO"/>
        </w:rPr>
        <w:t>Artículo 2º. Vigencia y adición</w:t>
      </w:r>
      <w:r>
        <w:rPr>
          <w:rFonts w:eastAsia="Arial" w:cs="Arial"/>
          <w:b/>
          <w:bCs/>
          <w:color w:val="000000" w:themeColor="text1"/>
          <w:lang w:val="es-CO"/>
        </w:rPr>
        <w:t xml:space="preserve">. </w:t>
      </w:r>
      <w:r>
        <w:rPr>
          <w:rFonts w:eastAsia="Arial" w:cs="Arial"/>
          <w:color w:val="000000" w:themeColor="text1"/>
          <w:lang w:val="es-CO"/>
        </w:rPr>
        <w:t xml:space="preserve">El presente decreto rige a partir de la fecha de su publicación en el Diario Oficial y adiciona el </w:t>
      </w:r>
      <w:r w:rsidRPr="00AC044B">
        <w:rPr>
          <w:rFonts w:eastAsia="Arial" w:cs="Arial"/>
          <w:color w:val="000000" w:themeColor="text1"/>
          <w:lang w:val="es-CO"/>
        </w:rPr>
        <w:t>Título 23 a la Parte 2 del Libro 2 del Decreto 1078 de 2015, Único Reglamentario del Sector de</w:t>
      </w:r>
      <w:r>
        <w:rPr>
          <w:rFonts w:eastAsia="Arial" w:cs="Arial"/>
          <w:color w:val="000000" w:themeColor="text1"/>
          <w:lang w:val="es-CO"/>
        </w:rPr>
        <w:t xml:space="preserve"> </w:t>
      </w:r>
      <w:r w:rsidRPr="00AC044B">
        <w:rPr>
          <w:rFonts w:eastAsia="Arial" w:cs="Arial"/>
          <w:color w:val="000000" w:themeColor="text1"/>
          <w:lang w:val="es-CO"/>
        </w:rPr>
        <w:t>Tecnologías de la Información y las Comunicaciones.</w:t>
      </w:r>
    </w:p>
    <w:p w14:paraId="7BF1FF54" w14:textId="77777777" w:rsidR="00EB46A6" w:rsidRPr="00AC044B" w:rsidRDefault="00EB46A6" w:rsidP="007F1725">
      <w:pPr>
        <w:jc w:val="both"/>
        <w:rPr>
          <w:rFonts w:eastAsia="Arial" w:cs="Arial"/>
          <w:color w:val="000000" w:themeColor="text1"/>
          <w:lang w:val="es-CO"/>
        </w:rPr>
      </w:pPr>
    </w:p>
    <w:p w14:paraId="0EC75BCA" w14:textId="77777777" w:rsidR="007F1725" w:rsidRPr="00AC044B" w:rsidRDefault="007F1725" w:rsidP="007F1725">
      <w:pPr>
        <w:jc w:val="both"/>
        <w:rPr>
          <w:rFonts w:cs="Arial"/>
          <w:lang w:val="es-CO"/>
        </w:rPr>
      </w:pPr>
    </w:p>
    <w:p w14:paraId="1119168C" w14:textId="77777777" w:rsidR="007F1725" w:rsidRDefault="007F1725" w:rsidP="007F1725">
      <w:pPr>
        <w:widowControl w:val="0"/>
        <w:ind w:right="-2"/>
        <w:jc w:val="center"/>
        <w:rPr>
          <w:rFonts w:cs="Arial"/>
          <w:b/>
          <w:bCs/>
          <w:kern w:val="1"/>
          <w:lang w:val="es-CO"/>
        </w:rPr>
      </w:pPr>
      <w:r w:rsidRPr="00CA7660">
        <w:rPr>
          <w:rFonts w:cs="Arial"/>
          <w:b/>
          <w:bCs/>
          <w:kern w:val="1"/>
          <w:lang w:val="es-CO"/>
        </w:rPr>
        <w:t>PUBLÍQUESE Y CÚMPLASE</w:t>
      </w:r>
    </w:p>
    <w:p w14:paraId="0A82BB40" w14:textId="77777777" w:rsidR="007F1725" w:rsidRDefault="007F1725" w:rsidP="007F1725">
      <w:pPr>
        <w:widowControl w:val="0"/>
        <w:ind w:left="1416" w:right="-2" w:hanging="1416"/>
        <w:rPr>
          <w:rFonts w:cs="Arial"/>
          <w:b/>
          <w:bCs/>
          <w:kern w:val="1"/>
          <w:lang w:val="es-CO"/>
        </w:rPr>
      </w:pPr>
    </w:p>
    <w:p w14:paraId="5456372D" w14:textId="77777777" w:rsidR="007F1725" w:rsidRDefault="007F1725" w:rsidP="007F1725">
      <w:pPr>
        <w:widowControl w:val="0"/>
        <w:ind w:right="-2"/>
        <w:rPr>
          <w:rFonts w:cs="Arial"/>
          <w:b/>
          <w:bCs/>
          <w:kern w:val="1"/>
          <w:lang w:val="es-CO"/>
        </w:rPr>
      </w:pPr>
    </w:p>
    <w:p w14:paraId="0A8FAAA5" w14:textId="77777777" w:rsidR="007F1725" w:rsidRDefault="007F1725" w:rsidP="007F1725">
      <w:pPr>
        <w:widowControl w:val="0"/>
        <w:ind w:right="-2"/>
        <w:rPr>
          <w:rFonts w:cs="Arial"/>
          <w:kern w:val="1"/>
          <w:lang w:val="es-CO"/>
        </w:rPr>
      </w:pPr>
      <w:r w:rsidRPr="00CA7660">
        <w:rPr>
          <w:rFonts w:cs="Arial"/>
          <w:kern w:val="1"/>
          <w:lang w:val="es-CO"/>
        </w:rPr>
        <w:t>Dado en Bogotá D.C., a los</w:t>
      </w:r>
    </w:p>
    <w:p w14:paraId="449221A1" w14:textId="77777777" w:rsidR="007F1725" w:rsidRDefault="007F1725" w:rsidP="007F1725">
      <w:pPr>
        <w:widowControl w:val="0"/>
        <w:ind w:right="-2"/>
        <w:rPr>
          <w:rFonts w:cs="Arial"/>
          <w:kern w:val="1"/>
          <w:lang w:val="es-CO"/>
        </w:rPr>
      </w:pPr>
    </w:p>
    <w:p w14:paraId="35210557" w14:textId="77777777" w:rsidR="007F1725" w:rsidRDefault="007F1725" w:rsidP="007F1725">
      <w:pPr>
        <w:widowControl w:val="0"/>
        <w:ind w:right="-2"/>
        <w:rPr>
          <w:rFonts w:cs="Arial"/>
          <w:kern w:val="1"/>
          <w:lang w:val="es-CO"/>
        </w:rPr>
      </w:pPr>
    </w:p>
    <w:p w14:paraId="4ED6AB01" w14:textId="77777777" w:rsidR="007F1725" w:rsidRDefault="007F1725" w:rsidP="007F1725">
      <w:pPr>
        <w:widowControl w:val="0"/>
        <w:ind w:right="-2"/>
        <w:rPr>
          <w:rFonts w:cs="Arial"/>
          <w:kern w:val="1"/>
          <w:lang w:val="es-CO"/>
        </w:rPr>
      </w:pPr>
    </w:p>
    <w:p w14:paraId="1C6B1B62" w14:textId="77777777" w:rsidR="007F1725" w:rsidRDefault="007F1725" w:rsidP="007F1725">
      <w:pPr>
        <w:widowControl w:val="0"/>
        <w:ind w:right="-2"/>
        <w:rPr>
          <w:rFonts w:cs="Arial"/>
          <w:kern w:val="1"/>
          <w:lang w:val="es-CO"/>
        </w:rPr>
      </w:pPr>
    </w:p>
    <w:p w14:paraId="7BCBCC54" w14:textId="77777777" w:rsidR="007F1725" w:rsidRDefault="007F1725" w:rsidP="007F1725">
      <w:pPr>
        <w:widowControl w:val="0"/>
        <w:tabs>
          <w:tab w:val="left" w:pos="2805"/>
        </w:tabs>
        <w:ind w:right="-2"/>
        <w:rPr>
          <w:rFonts w:cs="Arial"/>
          <w:kern w:val="1"/>
          <w:lang w:val="es-CO"/>
        </w:rPr>
      </w:pPr>
    </w:p>
    <w:p w14:paraId="546AB3EA" w14:textId="77777777" w:rsidR="007F1725" w:rsidRDefault="007F1725" w:rsidP="007F1725">
      <w:pPr>
        <w:widowControl w:val="0"/>
        <w:tabs>
          <w:tab w:val="left" w:pos="2805"/>
        </w:tabs>
        <w:ind w:right="-2"/>
        <w:rPr>
          <w:rFonts w:cs="Arial"/>
          <w:kern w:val="1"/>
          <w:lang w:val="es-CO"/>
        </w:rPr>
      </w:pPr>
    </w:p>
    <w:p w14:paraId="1C850C86" w14:textId="77777777" w:rsidR="007F1725" w:rsidRDefault="007F1725">
      <w:pPr>
        <w:rPr>
          <w:rFonts w:cs="Arial"/>
          <w:lang w:val="es-CO"/>
        </w:rPr>
      </w:pPr>
      <w:r w:rsidRPr="22538234">
        <w:rPr>
          <w:rFonts w:cs="Arial"/>
          <w:lang w:val="es-CO"/>
        </w:rPr>
        <w:t xml:space="preserve">LA MINISTRA DE TECNOLOGÍAS DE LA INFORMACIÓN Y LAS COMUNICACIONES,       </w:t>
      </w:r>
    </w:p>
    <w:p w14:paraId="373E3577" w14:textId="77777777" w:rsidR="007F1725" w:rsidRDefault="007F1725" w:rsidP="007F1725">
      <w:pPr>
        <w:rPr>
          <w:rFonts w:cs="Arial"/>
          <w:lang w:val="es-CO"/>
        </w:rPr>
      </w:pPr>
      <w:r w:rsidRPr="22538234">
        <w:rPr>
          <w:rFonts w:cs="Arial"/>
          <w:lang w:val="es-CO"/>
        </w:rPr>
        <w:t xml:space="preserve">                                                  </w:t>
      </w:r>
    </w:p>
    <w:p w14:paraId="59B20506" w14:textId="77777777" w:rsidR="007F1725" w:rsidRDefault="007F1725" w:rsidP="007F1725">
      <w:pPr>
        <w:rPr>
          <w:rFonts w:cs="Arial"/>
          <w:bCs/>
          <w:lang w:val="es-CO"/>
        </w:rPr>
      </w:pPr>
    </w:p>
    <w:p w14:paraId="1D778F39" w14:textId="77777777" w:rsidR="007F1725" w:rsidRDefault="007F1725" w:rsidP="007F1725">
      <w:pPr>
        <w:rPr>
          <w:rFonts w:cs="Arial"/>
          <w:bCs/>
          <w:lang w:val="es-CO"/>
        </w:rPr>
      </w:pPr>
    </w:p>
    <w:p w14:paraId="0EBE4198" w14:textId="77777777" w:rsidR="007F1725" w:rsidRDefault="007F1725" w:rsidP="007F1725">
      <w:pPr>
        <w:ind w:left="708" w:firstLine="708"/>
        <w:jc w:val="right"/>
        <w:rPr>
          <w:rFonts w:cs="Arial"/>
          <w:lang w:val="es-CO"/>
        </w:rPr>
      </w:pPr>
      <w:r w:rsidRPr="22538234">
        <w:rPr>
          <w:rFonts w:cs="Arial"/>
          <w:lang w:val="es-CO"/>
        </w:rPr>
        <w:t xml:space="preserve">                            </w:t>
      </w:r>
    </w:p>
    <w:p w14:paraId="33E72D6D" w14:textId="77777777" w:rsidR="007F1725" w:rsidRPr="00281830" w:rsidRDefault="007F1725" w:rsidP="007F1725">
      <w:pPr>
        <w:ind w:left="1416" w:firstLine="708"/>
        <w:jc w:val="right"/>
        <w:rPr>
          <w:rFonts w:cs="Arial"/>
          <w:sz w:val="23"/>
          <w:szCs w:val="23"/>
          <w:lang w:val="es-CO"/>
        </w:rPr>
      </w:pPr>
      <w:r w:rsidRPr="22538234">
        <w:rPr>
          <w:rFonts w:cs="Arial"/>
          <w:b/>
          <w:bCs/>
          <w:lang w:val="es-CO"/>
        </w:rPr>
        <w:t>CARMEN LIGIA VALDERRAMA ROJAS</w:t>
      </w:r>
    </w:p>
    <w:p w14:paraId="5C3C18F0" w14:textId="50DEC3D3" w:rsidR="006107BC" w:rsidRPr="00622D9C" w:rsidRDefault="006107BC" w:rsidP="007F1725">
      <w:pPr>
        <w:tabs>
          <w:tab w:val="center" w:pos="4561"/>
          <w:tab w:val="left" w:pos="7410"/>
        </w:tabs>
        <w:jc w:val="both"/>
        <w:rPr>
          <w:rFonts w:cs="Arial"/>
          <w:b/>
          <w:sz w:val="20"/>
          <w:szCs w:val="23"/>
          <w:lang w:val="es-CO"/>
        </w:rPr>
      </w:pPr>
    </w:p>
    <w:sectPr w:rsidR="006107BC" w:rsidRPr="00622D9C" w:rsidSect="005455F3">
      <w:headerReference w:type="default" r:id="rId12"/>
      <w:headerReference w:type="first" r:id="rId13"/>
      <w:pgSz w:w="12242" w:h="18722" w:code="120"/>
      <w:pgMar w:top="2836" w:right="1701" w:bottom="1418" w:left="1701"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B6D49" w14:textId="77777777" w:rsidR="0033390C" w:rsidRDefault="0033390C" w:rsidP="00BF2347">
      <w:r>
        <w:separator/>
      </w:r>
    </w:p>
  </w:endnote>
  <w:endnote w:type="continuationSeparator" w:id="0">
    <w:p w14:paraId="774A8BC5" w14:textId="77777777" w:rsidR="0033390C" w:rsidRDefault="0033390C" w:rsidP="00BF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81FD2" w14:textId="77777777" w:rsidR="0033390C" w:rsidRDefault="0033390C" w:rsidP="00BF2347">
      <w:r>
        <w:separator/>
      </w:r>
    </w:p>
  </w:footnote>
  <w:footnote w:type="continuationSeparator" w:id="0">
    <w:p w14:paraId="3771103A" w14:textId="77777777" w:rsidR="0033390C" w:rsidRDefault="0033390C" w:rsidP="00BF2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064B8" w14:textId="2D2B1994" w:rsidR="00430593" w:rsidRDefault="00430593" w:rsidP="004308C3">
    <w:pPr>
      <w:pStyle w:val="Encabezado"/>
    </w:pPr>
    <w:r w:rsidRPr="004C6565">
      <w:rPr>
        <w:rFonts w:cs="Arial"/>
      </w:rPr>
      <w:t>CONTINUACIÓN DEL DECRETO NÚMERO _____</w:t>
    </w:r>
    <w:r>
      <w:rPr>
        <w:rFonts w:cs="Arial"/>
      </w:rPr>
      <w:t>___</w:t>
    </w:r>
    <w:r w:rsidRPr="004C6565">
      <w:rPr>
        <w:rFonts w:cs="Arial"/>
      </w:rPr>
      <w:t>DE 20</w:t>
    </w:r>
    <w:r>
      <w:rPr>
        <w:rFonts w:cs="Arial"/>
      </w:rPr>
      <w:t>22</w:t>
    </w:r>
    <w:r w:rsidRPr="004C6565">
      <w:rPr>
        <w:rFonts w:cs="Arial"/>
      </w:rPr>
      <w:t xml:space="preserve">     </w:t>
    </w:r>
    <w:sdt>
      <w:sdtPr>
        <w:id w:val="-1318336367"/>
        <w:docPartObj>
          <w:docPartGallery w:val="Page Numbers (Top of Page)"/>
          <w:docPartUnique/>
        </w:docPartObj>
      </w:sdtPr>
      <w:sdtEndPr/>
      <w:sdtContent>
        <w:r w:rsidRPr="000A6D1C">
          <w:rPr>
            <w:rFonts w:cs="Arial"/>
          </w:rPr>
          <w:t xml:space="preserve">Página </w:t>
        </w:r>
        <w:r w:rsidRPr="000A6D1C">
          <w:rPr>
            <w:rFonts w:cs="Arial"/>
            <w:b/>
            <w:bCs/>
          </w:rPr>
          <w:fldChar w:fldCharType="begin"/>
        </w:r>
        <w:r w:rsidRPr="000A6D1C">
          <w:rPr>
            <w:rFonts w:cs="Arial"/>
            <w:b/>
            <w:bCs/>
          </w:rPr>
          <w:instrText>PAGE</w:instrText>
        </w:r>
        <w:r w:rsidRPr="000A6D1C">
          <w:rPr>
            <w:rFonts w:cs="Arial"/>
            <w:b/>
            <w:bCs/>
          </w:rPr>
          <w:fldChar w:fldCharType="separate"/>
        </w:r>
        <w:r>
          <w:rPr>
            <w:rFonts w:cs="Arial"/>
            <w:b/>
            <w:bCs/>
            <w:noProof/>
          </w:rPr>
          <w:t>8</w:t>
        </w:r>
        <w:r w:rsidRPr="000A6D1C">
          <w:rPr>
            <w:rFonts w:cs="Arial"/>
            <w:b/>
            <w:bCs/>
          </w:rPr>
          <w:fldChar w:fldCharType="end"/>
        </w:r>
        <w:r w:rsidRPr="000A6D1C">
          <w:rPr>
            <w:rFonts w:cs="Arial"/>
          </w:rPr>
          <w:t xml:space="preserve"> de </w:t>
        </w:r>
        <w:r w:rsidRPr="000A6D1C">
          <w:rPr>
            <w:rFonts w:cs="Arial"/>
            <w:b/>
            <w:bCs/>
          </w:rPr>
          <w:fldChar w:fldCharType="begin"/>
        </w:r>
        <w:r w:rsidRPr="000A6D1C">
          <w:rPr>
            <w:rFonts w:cs="Arial"/>
            <w:b/>
            <w:bCs/>
          </w:rPr>
          <w:instrText>NUMPAGES</w:instrText>
        </w:r>
        <w:r w:rsidRPr="000A6D1C">
          <w:rPr>
            <w:rFonts w:cs="Arial"/>
            <w:b/>
            <w:bCs/>
          </w:rPr>
          <w:fldChar w:fldCharType="separate"/>
        </w:r>
        <w:r>
          <w:rPr>
            <w:rFonts w:cs="Arial"/>
            <w:b/>
            <w:bCs/>
            <w:noProof/>
          </w:rPr>
          <w:t>8</w:t>
        </w:r>
        <w:r w:rsidRPr="000A6D1C">
          <w:rPr>
            <w:rFonts w:cs="Arial"/>
            <w:b/>
            <w:bCs/>
          </w:rPr>
          <w:fldChar w:fldCharType="end"/>
        </w:r>
      </w:sdtContent>
    </w:sdt>
  </w:p>
  <w:p w14:paraId="08D4A88F" w14:textId="77777777" w:rsidR="00430593" w:rsidRPr="004C6565" w:rsidRDefault="00430593">
    <w:pPr>
      <w:pStyle w:val="Encabezado"/>
      <w:rPr>
        <w:rFonts w:cs="Arial"/>
      </w:rPr>
    </w:pPr>
  </w:p>
  <w:p w14:paraId="615334E3" w14:textId="08785DFE" w:rsidR="00430593" w:rsidRDefault="00EB46A6" w:rsidP="005455F3">
    <w:pPr>
      <w:pStyle w:val="Encabezado"/>
      <w:tabs>
        <w:tab w:val="clear" w:pos="4419"/>
        <w:tab w:val="clear" w:pos="8838"/>
        <w:tab w:val="left" w:pos="1440"/>
      </w:tabs>
    </w:pPr>
    <w:r>
      <w:rPr>
        <w:noProof/>
        <w:lang w:val="en-US" w:eastAsia="en-US"/>
      </w:rPr>
      <mc:AlternateContent>
        <mc:Choice Requires="wps">
          <w:drawing>
            <wp:anchor distT="0" distB="0" distL="114300" distR="114300" simplePos="0" relativeHeight="251662336" behindDoc="0" locked="0" layoutInCell="1" allowOverlap="1" wp14:anchorId="19F357FE" wp14:editId="496E1F60">
              <wp:simplePos x="0" y="0"/>
              <wp:positionH relativeFrom="margin">
                <wp:align>right</wp:align>
              </wp:positionH>
              <wp:positionV relativeFrom="paragraph">
                <wp:posOffset>767715</wp:posOffset>
              </wp:positionV>
              <wp:extent cx="5467350" cy="9525"/>
              <wp:effectExtent l="0" t="0" r="19050" b="28575"/>
              <wp:wrapNone/>
              <wp:docPr id="12" name="Conector recto 12"/>
              <wp:cNvGraphicFramePr/>
              <a:graphic xmlns:a="http://schemas.openxmlformats.org/drawingml/2006/main">
                <a:graphicData uri="http://schemas.microsoft.com/office/word/2010/wordprocessingShape">
                  <wps:wsp>
                    <wps:cNvCnPr/>
                    <wps:spPr>
                      <a:xfrm flipV="1">
                        <a:off x="0" y="0"/>
                        <a:ext cx="54673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FF660B" id="Conector recto 12" o:spid="_x0000_s1026" style="position:absolute;flip:y;z-index:251662336;visibility:visible;mso-wrap-style:square;mso-wrap-distance-left:9pt;mso-wrap-distance-top:0;mso-wrap-distance-right:9pt;mso-wrap-distance-bottom:0;mso-position-horizontal:right;mso-position-horizontal-relative:margin;mso-position-vertical:absolute;mso-position-vertical-relative:text" from="379.3pt,60.45pt" to="809.8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" strokecolor="black [3213]" strokeweight="1.5pt">
              <v:stroke joinstyle="miter"/>
              <w10:wrap anchorx="margin"/>
            </v:line>
          </w:pict>
        </mc:Fallback>
      </mc:AlternateContent>
    </w:r>
    <w:r w:rsidR="000C253B" w:rsidRPr="004C6565">
      <w:rPr>
        <w:rFonts w:cs="Arial"/>
        <w:noProof/>
        <w:lang w:val="en-US" w:eastAsia="en-US"/>
      </w:rPr>
      <mc:AlternateContent>
        <mc:Choice Requires="wps">
          <w:drawing>
            <wp:anchor distT="0" distB="0" distL="114300" distR="114300" simplePos="0" relativeHeight="251659264" behindDoc="1" locked="0" layoutInCell="1" allowOverlap="1" wp14:anchorId="7330426C" wp14:editId="58EAA140">
              <wp:simplePos x="0" y="0"/>
              <wp:positionH relativeFrom="page">
                <wp:posOffset>990600</wp:posOffset>
              </wp:positionH>
              <wp:positionV relativeFrom="page">
                <wp:posOffset>774700</wp:posOffset>
              </wp:positionV>
              <wp:extent cx="5772150" cy="10172700"/>
              <wp:effectExtent l="19050" t="1905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2150" cy="10172700"/>
                      </a:xfrm>
                      <a:prstGeom prst="rect">
                        <a:avLst/>
                      </a:prstGeom>
                      <a:noFill/>
                      <a:ln w="38100">
                        <a:solidFill>
                          <a:srgbClr val="000000"/>
                        </a:solidFill>
                        <a:round/>
                        <a:headEnd/>
                        <a:tailEnd/>
                      </a:ln>
                    </wps:spPr>
                    <wps:txbx>
                      <w:txbxContent>
                        <w:p w14:paraId="0E7FA45D" w14:textId="77777777" w:rsidR="00430593" w:rsidRDefault="00430593" w:rsidP="00F45BB2">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eastAsia="Times New Roman"/>
                              <w:color w:val="auto"/>
                              <w:lang w:val="es-CO" w:eastAsia="es-ES"/>
                            </w:rPr>
                          </w:pPr>
                        </w:p>
                        <w:p w14:paraId="3B394450" w14:textId="75B8902E" w:rsidR="00430593" w:rsidRDefault="00F74E86" w:rsidP="000A7143">
                          <w:pPr>
                            <w:jc w:val="center"/>
                            <w:rPr>
                              <w:rFonts w:cs="Arial"/>
                              <w:sz w:val="20"/>
                              <w:szCs w:val="20"/>
                              <w:lang w:val="es-CO"/>
                            </w:rPr>
                          </w:pPr>
                          <w:r w:rsidRPr="00F74E86">
                            <w:rPr>
                              <w:rFonts w:cs="Arial"/>
                              <w:sz w:val="20"/>
                              <w:szCs w:val="20"/>
                              <w:lang w:val="es-CO"/>
                            </w:rPr>
                            <w:t>“Por el cual se adiciona el Título 23 a la Parte 2 del Libro 2 del Decreto 1078 de 2015, Único Reglamentario del Sector de Tecnologías de la Información y las Comunicaciones, para determinar las condiciones generales para la aplicación del Sandbox Regulatorio por parte del Ministerio de Tecnologías de la Información y las Comunicaciones, y del Sandbox Regulatorio Sectorial”</w:t>
                          </w:r>
                        </w:p>
                        <w:p w14:paraId="6612D6FB" w14:textId="7BCE43C8" w:rsidR="00F74E86" w:rsidRDefault="00F74E86" w:rsidP="000A7143">
                          <w:pPr>
                            <w:jc w:val="center"/>
                            <w:rPr>
                              <w:rFonts w:cs="Arial"/>
                              <w:sz w:val="20"/>
                              <w:szCs w:val="20"/>
                              <w:lang w:val="es-CO"/>
                            </w:rPr>
                          </w:pPr>
                        </w:p>
                        <w:p w14:paraId="330B3F60" w14:textId="77777777" w:rsidR="00F74E86" w:rsidRDefault="00F74E86" w:rsidP="000A7143">
                          <w:pPr>
                            <w:jc w:val="center"/>
                            <w:rPr>
                              <w:rFonts w:cs="Arial"/>
                              <w:sz w:val="20"/>
                              <w:szCs w:val="20"/>
                              <w:lang w:val="es-CO"/>
                            </w:rPr>
                          </w:pPr>
                        </w:p>
                        <w:p w14:paraId="26626D56" w14:textId="77777777" w:rsidR="00F74E86" w:rsidRPr="000A7143" w:rsidRDefault="00F74E86" w:rsidP="000A7143">
                          <w:pPr>
                            <w:jc w:val="center"/>
                            <w:rPr>
                              <w:rFonts w:cs="Arial"/>
                              <w:sz w:val="20"/>
                              <w:szCs w:val="20"/>
                              <w:lang w:val="es-CO"/>
                            </w:rPr>
                          </w:pPr>
                        </w:p>
                        <w:p w14:paraId="2627E16F" w14:textId="77777777" w:rsidR="00430593" w:rsidRPr="00CD08AE" w:rsidRDefault="00430593" w:rsidP="0026163B">
                          <w:pPr>
                            <w:pStyle w:val="Sinespaciado"/>
                            <w:jc w:val="center"/>
                            <w:rPr>
                              <w:rFonts w:ascii="Arial" w:hAnsi="Arial" w:cs="Arial"/>
                              <w:szCs w:val="24"/>
                            </w:rPr>
                          </w:pPr>
                        </w:p>
                        <w:p w14:paraId="63476B3E" w14:textId="74D3ED91" w:rsidR="00430593" w:rsidRDefault="00430593" w:rsidP="0026163B">
                          <w:pPr>
                            <w:pStyle w:val="Sinespaciado"/>
                            <w:jc w:val="center"/>
                            <w:rPr>
                              <w:rFonts w:ascii="Arial" w:hAnsi="Arial" w:cs="Arial"/>
                              <w:b/>
                            </w:rPr>
                          </w:pPr>
                        </w:p>
                        <w:p w14:paraId="014DD2FC" w14:textId="21A3B20A" w:rsidR="00430593" w:rsidRDefault="00430593" w:rsidP="0026163B">
                          <w:pPr>
                            <w:pStyle w:val="Sinespaciado"/>
                            <w:jc w:val="center"/>
                            <w:rPr>
                              <w:rFonts w:ascii="Arial" w:hAnsi="Arial" w:cs="Arial"/>
                              <w:b/>
                            </w:rPr>
                          </w:pPr>
                        </w:p>
                        <w:p w14:paraId="1FF1EEB8" w14:textId="77777777" w:rsidR="00430593" w:rsidRDefault="00430593" w:rsidP="0026163B">
                          <w:pPr>
                            <w:pStyle w:val="Sinespaciado"/>
                            <w:jc w:val="center"/>
                            <w:rPr>
                              <w:rFonts w:ascii="Arial" w:hAnsi="Arial" w:cs="Arial"/>
                              <w:b/>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0426C" id="Rectangle 4" o:spid="_x0000_s1026" style="position:absolute;margin-left:78pt;margin-top:61pt;width:454.5pt;height:8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" filled="f" strokeweight="3pt">
              <v:stroke joinstyle="round"/>
              <v:path arrowok="t"/>
              <v:textbox inset="3pt,3pt,3pt,3pt">
                <w:txbxContent>
                  <w:p w14:paraId="0E7FA45D" w14:textId="77777777" w:rsidR="00430593" w:rsidRDefault="00430593" w:rsidP="00F45BB2">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eastAsia="Times New Roman"/>
                        <w:color w:val="auto"/>
                        <w:lang w:val="es-CO" w:eastAsia="es-ES"/>
                      </w:rPr>
                    </w:pPr>
                  </w:p>
                  <w:p w14:paraId="3B394450" w14:textId="75B8902E" w:rsidR="00430593" w:rsidRDefault="00F74E86" w:rsidP="000A7143">
                    <w:pPr>
                      <w:jc w:val="center"/>
                      <w:rPr>
                        <w:rFonts w:cs="Arial"/>
                        <w:sz w:val="20"/>
                        <w:szCs w:val="20"/>
                        <w:lang w:val="es-CO"/>
                      </w:rPr>
                    </w:pPr>
                    <w:r w:rsidRPr="00F74E86">
                      <w:rPr>
                        <w:rFonts w:cs="Arial"/>
                        <w:sz w:val="20"/>
                        <w:szCs w:val="20"/>
                        <w:lang w:val="es-CO"/>
                      </w:rPr>
                      <w:t>“Por el cual se adiciona el Título 23 a la Parte 2 del Libro 2 del Decreto 1078 de 2015, Único Reglamentario del Sector de Tecnologías de la Información y las Comunicaciones, para determinar las condiciones generales para la aplicación del Sandbox Regulatorio por parte del Ministerio de Tecnologías de la Información y las Comunicaciones, y del Sandbox Regulatorio Sectorial”</w:t>
                    </w:r>
                  </w:p>
                  <w:p w14:paraId="6612D6FB" w14:textId="7BCE43C8" w:rsidR="00F74E86" w:rsidRDefault="00F74E86" w:rsidP="000A7143">
                    <w:pPr>
                      <w:jc w:val="center"/>
                      <w:rPr>
                        <w:rFonts w:cs="Arial"/>
                        <w:sz w:val="20"/>
                        <w:szCs w:val="20"/>
                        <w:lang w:val="es-CO"/>
                      </w:rPr>
                    </w:pPr>
                  </w:p>
                  <w:p w14:paraId="330B3F60" w14:textId="77777777" w:rsidR="00F74E86" w:rsidRDefault="00F74E86" w:rsidP="000A7143">
                    <w:pPr>
                      <w:jc w:val="center"/>
                      <w:rPr>
                        <w:rFonts w:cs="Arial"/>
                        <w:sz w:val="20"/>
                        <w:szCs w:val="20"/>
                        <w:lang w:val="es-CO"/>
                      </w:rPr>
                    </w:pPr>
                  </w:p>
                  <w:p w14:paraId="26626D56" w14:textId="77777777" w:rsidR="00F74E86" w:rsidRPr="000A7143" w:rsidRDefault="00F74E86" w:rsidP="000A7143">
                    <w:pPr>
                      <w:jc w:val="center"/>
                      <w:rPr>
                        <w:rFonts w:cs="Arial"/>
                        <w:sz w:val="20"/>
                        <w:szCs w:val="20"/>
                        <w:lang w:val="es-CO"/>
                      </w:rPr>
                    </w:pPr>
                  </w:p>
                  <w:p w14:paraId="2627E16F" w14:textId="77777777" w:rsidR="00430593" w:rsidRPr="00CD08AE" w:rsidRDefault="00430593" w:rsidP="0026163B">
                    <w:pPr>
                      <w:pStyle w:val="Sinespaciado"/>
                      <w:jc w:val="center"/>
                      <w:rPr>
                        <w:rFonts w:ascii="Arial" w:hAnsi="Arial" w:cs="Arial"/>
                        <w:szCs w:val="24"/>
                      </w:rPr>
                    </w:pPr>
                  </w:p>
                  <w:p w14:paraId="63476B3E" w14:textId="74D3ED91" w:rsidR="00430593" w:rsidRDefault="00430593" w:rsidP="0026163B">
                    <w:pPr>
                      <w:pStyle w:val="Sinespaciado"/>
                      <w:jc w:val="center"/>
                      <w:rPr>
                        <w:rFonts w:ascii="Arial" w:hAnsi="Arial" w:cs="Arial"/>
                        <w:b/>
                      </w:rPr>
                    </w:pPr>
                  </w:p>
                  <w:p w14:paraId="014DD2FC" w14:textId="21A3B20A" w:rsidR="00430593" w:rsidRDefault="00430593" w:rsidP="0026163B">
                    <w:pPr>
                      <w:pStyle w:val="Sinespaciado"/>
                      <w:jc w:val="center"/>
                      <w:rPr>
                        <w:rFonts w:ascii="Arial" w:hAnsi="Arial" w:cs="Arial"/>
                        <w:b/>
                      </w:rPr>
                    </w:pPr>
                  </w:p>
                  <w:p w14:paraId="1FF1EEB8" w14:textId="77777777" w:rsidR="00430593" w:rsidRDefault="00430593" w:rsidP="0026163B">
                    <w:pPr>
                      <w:pStyle w:val="Sinespaciado"/>
                      <w:jc w:val="center"/>
                      <w:rPr>
                        <w:rFonts w:ascii="Arial" w:hAnsi="Arial" w:cs="Arial"/>
                        <w:b/>
                      </w:rPr>
                    </w:pPr>
                  </w:p>
                </w:txbxContent>
              </v:textbox>
              <w10:wrap anchorx="page" anchory="page"/>
            </v:rect>
          </w:pict>
        </mc:Fallback>
      </mc:AlternateContent>
    </w:r>
    <w:r w:rsidR="00F74E8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DD5BB" w14:textId="77777777" w:rsidR="00430593" w:rsidRDefault="00430593" w:rsidP="00E959E1">
    <w:pPr>
      <w:pStyle w:val="Encabezado"/>
      <w:jc w:val="center"/>
    </w:pPr>
    <w:r>
      <w:rPr>
        <w:noProof/>
        <w:lang w:val="en-US" w:eastAsia="en-US"/>
      </w:rPr>
      <mc:AlternateContent>
        <mc:Choice Requires="wps">
          <w:drawing>
            <wp:anchor distT="0" distB="0" distL="114300" distR="114300" simplePos="0" relativeHeight="251661312" behindDoc="1" locked="0" layoutInCell="1" allowOverlap="1" wp14:anchorId="75106658" wp14:editId="51BC55DA">
              <wp:simplePos x="0" y="0"/>
              <wp:positionH relativeFrom="margin">
                <wp:posOffset>-99060</wp:posOffset>
              </wp:positionH>
              <wp:positionV relativeFrom="page">
                <wp:posOffset>752475</wp:posOffset>
              </wp:positionV>
              <wp:extent cx="5800090" cy="10458450"/>
              <wp:effectExtent l="19050" t="19050" r="1016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0090" cy="10458450"/>
                      </a:xfrm>
                      <a:prstGeom prst="rect">
                        <a:avLst/>
                      </a:prstGeom>
                      <a:noFill/>
                      <a:ln w="38100">
                        <a:solidFill>
                          <a:srgbClr val="000000"/>
                        </a:solidFill>
                        <a:round/>
                        <a:headEnd/>
                        <a:tailEnd/>
                      </a:ln>
                    </wps:spPr>
                    <wps:txbx>
                      <w:txbxContent>
                        <w:p w14:paraId="3EC92A5C" w14:textId="77777777" w:rsidR="00430593" w:rsidRPr="004C6565" w:rsidRDefault="00430593" w:rsidP="00A83E6A">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ascii="Arial" w:hAnsi="Arial" w:cs="Arial"/>
                              <w:sz w:val="22"/>
                              <w:szCs w:val="22"/>
                            </w:rPr>
                          </w:pPr>
                        </w:p>
                        <w:p w14:paraId="466AEFFA" w14:textId="77777777" w:rsidR="00430593" w:rsidRPr="004C6565" w:rsidRDefault="00430593" w:rsidP="00A83E6A">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ascii="Arial" w:eastAsia="Times New Roman" w:hAnsi="Arial" w:cs="Arial"/>
                              <w:color w:val="auto"/>
                              <w:sz w:val="22"/>
                              <w:szCs w:val="22"/>
                              <w:lang w:val="es-CO" w:eastAsia="es-ES"/>
                            </w:rPr>
                          </w:pPr>
                        </w:p>
                        <w:p w14:paraId="0F851A85" w14:textId="77777777" w:rsidR="00430593" w:rsidRPr="004C6565" w:rsidRDefault="00430593" w:rsidP="00A83E6A">
                          <w:pPr>
                            <w:pStyle w:val="Encabezado1"/>
                            <w:tabs>
                              <w:tab w:val="left" w:pos="9204"/>
                            </w:tabs>
                            <w:jc w:val="center"/>
                            <w:rPr>
                              <w:rFonts w:cs="Arial"/>
                              <w:b/>
                              <w:szCs w:val="22"/>
                            </w:rPr>
                          </w:pPr>
                        </w:p>
                        <w:p w14:paraId="00572BD9" w14:textId="77777777" w:rsidR="00430593" w:rsidRPr="004C6565" w:rsidRDefault="00430593" w:rsidP="00A83E6A">
                          <w:pPr>
                            <w:pStyle w:val="Encabezado1"/>
                            <w:tabs>
                              <w:tab w:val="left" w:pos="9204"/>
                            </w:tabs>
                            <w:jc w:val="center"/>
                            <w:rPr>
                              <w:rFonts w:cs="Arial"/>
                              <w:b/>
                              <w:szCs w:val="22"/>
                            </w:rPr>
                          </w:pPr>
                        </w:p>
                        <w:p w14:paraId="2B39DAE8" w14:textId="77777777" w:rsidR="00430593" w:rsidRPr="004C6565" w:rsidRDefault="00430593" w:rsidP="00A83E6A">
                          <w:pPr>
                            <w:pStyle w:val="Encabezado1"/>
                            <w:tabs>
                              <w:tab w:val="left" w:pos="9204"/>
                            </w:tabs>
                            <w:jc w:val="center"/>
                            <w:rPr>
                              <w:rFonts w:cs="Arial"/>
                              <w:b/>
                              <w:szCs w:val="22"/>
                            </w:rPr>
                          </w:pPr>
                        </w:p>
                        <w:p w14:paraId="658FBD2A" w14:textId="77777777" w:rsidR="00430593" w:rsidRPr="004C6565" w:rsidRDefault="00430593" w:rsidP="00A83E6A">
                          <w:pPr>
                            <w:pStyle w:val="Encabezado1"/>
                            <w:tabs>
                              <w:tab w:val="left" w:pos="9204"/>
                            </w:tabs>
                            <w:jc w:val="center"/>
                            <w:rPr>
                              <w:rFonts w:cs="Arial"/>
                              <w:b/>
                              <w:szCs w:val="22"/>
                            </w:rPr>
                          </w:pPr>
                        </w:p>
                        <w:p w14:paraId="5658D60A" w14:textId="77777777" w:rsidR="00430593" w:rsidRPr="004C6565" w:rsidRDefault="00430593" w:rsidP="00A83E6A">
                          <w:pPr>
                            <w:pStyle w:val="Encabezado1"/>
                            <w:tabs>
                              <w:tab w:val="left" w:pos="9204"/>
                            </w:tabs>
                            <w:jc w:val="center"/>
                            <w:rPr>
                              <w:rFonts w:cs="Arial"/>
                              <w:b/>
                              <w:szCs w:val="22"/>
                            </w:rPr>
                          </w:pPr>
                          <w:r w:rsidRPr="004C6565">
                            <w:rPr>
                              <w:rFonts w:cs="Arial"/>
                              <w:b/>
                              <w:szCs w:val="22"/>
                            </w:rPr>
                            <w:t>MINISTERIO DE TECNOLOGÍAS DE LA INFORMACIÓN Y LAS COMUNICACIONES</w:t>
                          </w:r>
                        </w:p>
                        <w:p w14:paraId="2918190C" w14:textId="77777777" w:rsidR="00430593" w:rsidRPr="004C6565" w:rsidRDefault="00430593" w:rsidP="00A83E6A">
                          <w:pPr>
                            <w:pStyle w:val="Encabezado1"/>
                            <w:tabs>
                              <w:tab w:val="left" w:pos="9204"/>
                            </w:tabs>
                            <w:jc w:val="center"/>
                            <w:rPr>
                              <w:rFonts w:cs="Arial"/>
                              <w:b/>
                              <w:szCs w:val="22"/>
                            </w:rPr>
                          </w:pPr>
                        </w:p>
                        <w:p w14:paraId="7A1BF335" w14:textId="68807232" w:rsidR="00430593" w:rsidRPr="004C6565" w:rsidRDefault="00430593" w:rsidP="004308C3">
                          <w:pPr>
                            <w:pStyle w:val="Encabezado1"/>
                            <w:tabs>
                              <w:tab w:val="clear" w:pos="8640"/>
                            </w:tabs>
                            <w:jc w:val="center"/>
                            <w:rPr>
                              <w:rFonts w:cs="Arial"/>
                              <w:b/>
                              <w:szCs w:val="22"/>
                            </w:rPr>
                          </w:pPr>
                          <w:r w:rsidRPr="004C6565">
                            <w:rPr>
                              <w:rFonts w:cs="Arial"/>
                              <w:b/>
                              <w:szCs w:val="22"/>
                            </w:rPr>
                            <w:t>DECRETO NÚMERO</w:t>
                          </w:r>
                          <w:r>
                            <w:rPr>
                              <w:rFonts w:cs="Arial"/>
                              <w:b/>
                              <w:szCs w:val="22"/>
                            </w:rPr>
                            <w:t xml:space="preserve">       </w:t>
                          </w:r>
                          <w:r w:rsidRPr="004C6565">
                            <w:rPr>
                              <w:rFonts w:cs="Arial"/>
                              <w:b/>
                              <w:szCs w:val="22"/>
                            </w:rPr>
                            <w:t xml:space="preserve">           DE 20</w:t>
                          </w:r>
                          <w:r>
                            <w:rPr>
                              <w:rFonts w:cs="Arial"/>
                              <w:b/>
                              <w:szCs w:val="22"/>
                            </w:rPr>
                            <w:t>22</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75106658" id="_x0000_s1027" style="position:absolute;left:0;text-align:left;margin-left:-7.8pt;margin-top:59.25pt;width:456.7pt;height:82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" filled="f" strokeweight="3pt">
              <v:stroke joinstyle="round"/>
              <v:path arrowok="t"/>
              <v:textbox inset="3pt,3pt,3pt,3pt">
                <w:txbxContent>
                  <w:p w14:paraId="3EC92A5C" w14:textId="77777777" w:rsidR="00430593" w:rsidRPr="004C6565" w:rsidRDefault="00430593" w:rsidP="00A83E6A">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ascii="Arial" w:hAnsi="Arial" w:cs="Arial"/>
                        <w:sz w:val="22"/>
                        <w:szCs w:val="22"/>
                      </w:rPr>
                    </w:pPr>
                  </w:p>
                  <w:p w14:paraId="466AEFFA" w14:textId="77777777" w:rsidR="00430593" w:rsidRPr="004C6565" w:rsidRDefault="00430593" w:rsidP="00A83E6A">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ascii="Arial" w:eastAsia="Times New Roman" w:hAnsi="Arial" w:cs="Arial"/>
                        <w:color w:val="auto"/>
                        <w:sz w:val="22"/>
                        <w:szCs w:val="22"/>
                        <w:lang w:val="es-CO" w:eastAsia="es-ES"/>
                      </w:rPr>
                    </w:pPr>
                  </w:p>
                  <w:p w14:paraId="0F851A85" w14:textId="77777777" w:rsidR="00430593" w:rsidRPr="004C6565" w:rsidRDefault="00430593" w:rsidP="00A83E6A">
                    <w:pPr>
                      <w:pStyle w:val="Encabezado1"/>
                      <w:tabs>
                        <w:tab w:val="left" w:pos="9204"/>
                      </w:tabs>
                      <w:jc w:val="center"/>
                      <w:rPr>
                        <w:rFonts w:cs="Arial"/>
                        <w:b/>
                        <w:szCs w:val="22"/>
                      </w:rPr>
                    </w:pPr>
                  </w:p>
                  <w:p w14:paraId="00572BD9" w14:textId="77777777" w:rsidR="00430593" w:rsidRPr="004C6565" w:rsidRDefault="00430593" w:rsidP="00A83E6A">
                    <w:pPr>
                      <w:pStyle w:val="Encabezado1"/>
                      <w:tabs>
                        <w:tab w:val="left" w:pos="9204"/>
                      </w:tabs>
                      <w:jc w:val="center"/>
                      <w:rPr>
                        <w:rFonts w:cs="Arial"/>
                        <w:b/>
                        <w:szCs w:val="22"/>
                      </w:rPr>
                    </w:pPr>
                  </w:p>
                  <w:p w14:paraId="2B39DAE8" w14:textId="77777777" w:rsidR="00430593" w:rsidRPr="004C6565" w:rsidRDefault="00430593" w:rsidP="00A83E6A">
                    <w:pPr>
                      <w:pStyle w:val="Encabezado1"/>
                      <w:tabs>
                        <w:tab w:val="left" w:pos="9204"/>
                      </w:tabs>
                      <w:jc w:val="center"/>
                      <w:rPr>
                        <w:rFonts w:cs="Arial"/>
                        <w:b/>
                        <w:szCs w:val="22"/>
                      </w:rPr>
                    </w:pPr>
                  </w:p>
                  <w:p w14:paraId="658FBD2A" w14:textId="77777777" w:rsidR="00430593" w:rsidRPr="004C6565" w:rsidRDefault="00430593" w:rsidP="00A83E6A">
                    <w:pPr>
                      <w:pStyle w:val="Encabezado1"/>
                      <w:tabs>
                        <w:tab w:val="left" w:pos="9204"/>
                      </w:tabs>
                      <w:jc w:val="center"/>
                      <w:rPr>
                        <w:rFonts w:cs="Arial"/>
                        <w:b/>
                        <w:szCs w:val="22"/>
                      </w:rPr>
                    </w:pPr>
                  </w:p>
                  <w:p w14:paraId="5658D60A" w14:textId="77777777" w:rsidR="00430593" w:rsidRPr="004C6565" w:rsidRDefault="00430593" w:rsidP="00A83E6A">
                    <w:pPr>
                      <w:pStyle w:val="Encabezado1"/>
                      <w:tabs>
                        <w:tab w:val="left" w:pos="9204"/>
                      </w:tabs>
                      <w:jc w:val="center"/>
                      <w:rPr>
                        <w:rFonts w:cs="Arial"/>
                        <w:b/>
                        <w:szCs w:val="22"/>
                      </w:rPr>
                    </w:pPr>
                    <w:r w:rsidRPr="004C6565">
                      <w:rPr>
                        <w:rFonts w:cs="Arial"/>
                        <w:b/>
                        <w:szCs w:val="22"/>
                      </w:rPr>
                      <w:t>MINISTERIO DE TECNOLOGÍAS DE LA INFORMACIÓN Y LAS COMUNICACIONES</w:t>
                    </w:r>
                  </w:p>
                  <w:p w14:paraId="2918190C" w14:textId="77777777" w:rsidR="00430593" w:rsidRPr="004C6565" w:rsidRDefault="00430593" w:rsidP="00A83E6A">
                    <w:pPr>
                      <w:pStyle w:val="Encabezado1"/>
                      <w:tabs>
                        <w:tab w:val="left" w:pos="9204"/>
                      </w:tabs>
                      <w:jc w:val="center"/>
                      <w:rPr>
                        <w:rFonts w:cs="Arial"/>
                        <w:b/>
                        <w:szCs w:val="22"/>
                      </w:rPr>
                    </w:pPr>
                  </w:p>
                  <w:p w14:paraId="7A1BF335" w14:textId="68807232" w:rsidR="00430593" w:rsidRPr="004C6565" w:rsidRDefault="00430593" w:rsidP="004308C3">
                    <w:pPr>
                      <w:pStyle w:val="Encabezado1"/>
                      <w:tabs>
                        <w:tab w:val="clear" w:pos="8640"/>
                      </w:tabs>
                      <w:jc w:val="center"/>
                      <w:rPr>
                        <w:rFonts w:cs="Arial"/>
                        <w:b/>
                        <w:szCs w:val="22"/>
                      </w:rPr>
                    </w:pPr>
                    <w:r w:rsidRPr="004C6565">
                      <w:rPr>
                        <w:rFonts w:cs="Arial"/>
                        <w:b/>
                        <w:szCs w:val="22"/>
                      </w:rPr>
                      <w:t>DECRETO NÚMERO</w:t>
                    </w:r>
                    <w:r>
                      <w:rPr>
                        <w:rFonts w:cs="Arial"/>
                        <w:b/>
                        <w:szCs w:val="22"/>
                      </w:rPr>
                      <w:t xml:space="preserve">       </w:t>
                    </w:r>
                    <w:r w:rsidRPr="004C6565">
                      <w:rPr>
                        <w:rFonts w:cs="Arial"/>
                        <w:b/>
                        <w:szCs w:val="22"/>
                      </w:rPr>
                      <w:t xml:space="preserve">           DE 20</w:t>
                    </w:r>
                    <w:r>
                      <w:rPr>
                        <w:rFonts w:cs="Arial"/>
                        <w:b/>
                        <w:szCs w:val="22"/>
                      </w:rPr>
                      <w:t>22</w:t>
                    </w:r>
                  </w:p>
                </w:txbxContent>
              </v:textbox>
              <w10:wrap anchorx="margin" anchory="page"/>
            </v:rect>
          </w:pict>
        </mc:Fallback>
      </mc:AlternateContent>
    </w:r>
    <w:r w:rsidRPr="000670DF">
      <w:rPr>
        <w:noProof/>
        <w:lang w:val="es-CO" w:eastAsia="es-CO"/>
      </w:rPr>
      <w:t xml:space="preserve"> </w:t>
    </w:r>
    <w:r>
      <w:rPr>
        <w:noProof/>
        <w:lang w:val="en-US" w:eastAsia="en-US"/>
      </w:rPr>
      <w:drawing>
        <wp:inline distT="0" distB="0" distL="0" distR="0" wp14:anchorId="7272775B" wp14:editId="17FE6155">
          <wp:extent cx="1278834" cy="12255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12391" cy="1257709"/>
                  </a:xfrm>
                  <a:prstGeom prst="rect">
                    <a:avLst/>
                  </a:prstGeom>
                </pic:spPr>
              </pic:pic>
            </a:graphicData>
          </a:graphic>
        </wp:inline>
      </w:drawing>
    </w:r>
  </w:p>
  <w:p w14:paraId="6E9D21C0" w14:textId="77777777" w:rsidR="00430593" w:rsidRDefault="00430593" w:rsidP="00E959E1">
    <w:pPr>
      <w:pStyle w:val="Encabezado"/>
      <w:jc w:val="center"/>
    </w:pPr>
  </w:p>
  <w:p w14:paraId="1D24B325" w14:textId="77777777" w:rsidR="00430593" w:rsidRDefault="00430593">
    <w:pPr>
      <w:pStyle w:val="Encabezado"/>
    </w:pPr>
  </w:p>
  <w:p w14:paraId="23F9579A" w14:textId="77777777" w:rsidR="00430593" w:rsidRDefault="00430593">
    <w:pPr>
      <w:pStyle w:val="Encabezado"/>
    </w:pPr>
  </w:p>
  <w:p w14:paraId="211E7BA3" w14:textId="4D311D1A" w:rsidR="00430593" w:rsidRDefault="00430593" w:rsidP="002C399C">
    <w:pPr>
      <w:pStyle w:val="Encabezado"/>
      <w:tabs>
        <w:tab w:val="clear" w:pos="4419"/>
        <w:tab w:val="clear" w:pos="8838"/>
        <w:tab w:val="left" w:pos="1220"/>
        <w:tab w:val="left" w:pos="6233"/>
        <w:tab w:val="left" w:pos="63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22FB4"/>
    <w:multiLevelType w:val="multilevel"/>
    <w:tmpl w:val="892021D4"/>
    <w:styleLink w:val="List13"/>
    <w:lvl w:ilvl="0">
      <w:start w:val="1"/>
      <w:numFmt w:val="decimal"/>
      <w:lvlText w:val="%1."/>
      <w:lvlJc w:val="left"/>
      <w:pPr>
        <w:tabs>
          <w:tab w:val="num" w:pos="360"/>
        </w:tabs>
        <w:ind w:left="360" w:hanging="360"/>
      </w:pPr>
      <w:rPr>
        <w:rFonts w:ascii="Arial" w:eastAsia="Times New Roman" w:hAnsi="Arial" w:cs="Arial"/>
        <w:color w:val="000000"/>
        <w:position w:val="0"/>
        <w:sz w:val="24"/>
        <w:szCs w:val="24"/>
        <w:u w:color="000000"/>
      </w:rPr>
    </w:lvl>
    <w:lvl w:ilvl="1">
      <w:start w:val="2"/>
      <w:numFmt w:val="decimal"/>
      <w:lvlText w:val="%1.%2."/>
      <w:lvlJc w:val="left"/>
      <w:pPr>
        <w:tabs>
          <w:tab w:val="num" w:pos="502"/>
        </w:tabs>
        <w:ind w:left="502" w:hanging="360"/>
      </w:pPr>
      <w:rPr>
        <w:rFonts w:ascii="Arial" w:eastAsia="Times New Roman" w:hAnsi="Arial" w:cs="Arial"/>
        <w:color w:val="000000"/>
        <w:position w:val="0"/>
        <w:sz w:val="24"/>
        <w:szCs w:val="24"/>
        <w:u w:color="000000"/>
      </w:rPr>
    </w:lvl>
    <w:lvl w:ilvl="2">
      <w:start w:val="1"/>
      <w:numFmt w:val="decimal"/>
      <w:lvlText w:val="%1.%2.%3."/>
      <w:lvlJc w:val="left"/>
      <w:pPr>
        <w:tabs>
          <w:tab w:val="num" w:pos="1004"/>
        </w:tabs>
        <w:ind w:left="1004" w:hanging="720"/>
      </w:pPr>
      <w:rPr>
        <w:rFonts w:ascii="Arial" w:eastAsia="Times New Roman" w:hAnsi="Arial" w:cs="Arial"/>
        <w:color w:val="000000"/>
        <w:position w:val="0"/>
        <w:sz w:val="24"/>
        <w:szCs w:val="24"/>
        <w:u w:color="000000"/>
      </w:rPr>
    </w:lvl>
    <w:lvl w:ilvl="3">
      <w:start w:val="1"/>
      <w:numFmt w:val="decimal"/>
      <w:lvlText w:val="%1.%2.%3.%4."/>
      <w:lvlJc w:val="left"/>
      <w:pPr>
        <w:tabs>
          <w:tab w:val="num" w:pos="1506"/>
        </w:tabs>
        <w:ind w:left="1506" w:hanging="1080"/>
      </w:pPr>
      <w:rPr>
        <w:rFonts w:ascii="Arial" w:eastAsia="Times New Roman" w:hAnsi="Arial" w:cs="Arial"/>
        <w:color w:val="000000"/>
        <w:position w:val="0"/>
        <w:sz w:val="24"/>
        <w:szCs w:val="24"/>
        <w:u w:color="000000"/>
      </w:rPr>
    </w:lvl>
    <w:lvl w:ilvl="4">
      <w:start w:val="1"/>
      <w:numFmt w:val="decimal"/>
      <w:lvlText w:val="%1.%2.%3.%4.%5."/>
      <w:lvlJc w:val="left"/>
      <w:pPr>
        <w:tabs>
          <w:tab w:val="num" w:pos="1648"/>
        </w:tabs>
        <w:ind w:left="1648" w:hanging="1080"/>
      </w:pPr>
      <w:rPr>
        <w:rFonts w:ascii="Arial" w:eastAsia="Times New Roman" w:hAnsi="Arial" w:cs="Arial"/>
        <w:color w:val="000000"/>
        <w:position w:val="0"/>
        <w:sz w:val="24"/>
        <w:szCs w:val="24"/>
        <w:u w:color="000000"/>
      </w:rPr>
    </w:lvl>
    <w:lvl w:ilvl="5">
      <w:start w:val="1"/>
      <w:numFmt w:val="decimal"/>
      <w:lvlText w:val="%1.%2.%3.%4.%5.%6."/>
      <w:lvlJc w:val="left"/>
      <w:pPr>
        <w:tabs>
          <w:tab w:val="num" w:pos="2150"/>
        </w:tabs>
        <w:ind w:left="2150" w:hanging="1440"/>
      </w:pPr>
      <w:rPr>
        <w:rFonts w:ascii="Arial" w:eastAsia="Times New Roman" w:hAnsi="Arial" w:cs="Arial"/>
        <w:color w:val="000000"/>
        <w:position w:val="0"/>
        <w:sz w:val="24"/>
        <w:szCs w:val="24"/>
        <w:u w:color="000000"/>
      </w:rPr>
    </w:lvl>
    <w:lvl w:ilvl="6">
      <w:start w:val="1"/>
      <w:numFmt w:val="decimal"/>
      <w:lvlText w:val="%1.%2.%3.%4.%5.%6.%7."/>
      <w:lvlJc w:val="left"/>
      <w:pPr>
        <w:tabs>
          <w:tab w:val="num" w:pos="2292"/>
        </w:tabs>
        <w:ind w:left="2292" w:hanging="1440"/>
      </w:pPr>
      <w:rPr>
        <w:rFonts w:ascii="Arial" w:eastAsia="Times New Roman" w:hAnsi="Arial" w:cs="Arial"/>
        <w:color w:val="000000"/>
        <w:position w:val="0"/>
        <w:sz w:val="24"/>
        <w:szCs w:val="24"/>
        <w:u w:color="000000"/>
      </w:rPr>
    </w:lvl>
    <w:lvl w:ilvl="7">
      <w:start w:val="1"/>
      <w:numFmt w:val="decimal"/>
      <w:lvlText w:val="%1.%2.%3.%4.%5.%6.%7.%8."/>
      <w:lvlJc w:val="left"/>
      <w:pPr>
        <w:tabs>
          <w:tab w:val="num" w:pos="2794"/>
        </w:tabs>
        <w:ind w:left="2794" w:hanging="1800"/>
      </w:pPr>
      <w:rPr>
        <w:rFonts w:ascii="Arial" w:eastAsia="Times New Roman" w:hAnsi="Arial" w:cs="Arial"/>
        <w:color w:val="000000"/>
        <w:position w:val="0"/>
        <w:sz w:val="24"/>
        <w:szCs w:val="24"/>
        <w:u w:color="000000"/>
      </w:rPr>
    </w:lvl>
    <w:lvl w:ilvl="8">
      <w:start w:val="1"/>
      <w:numFmt w:val="decimal"/>
      <w:lvlText w:val="%1.%2.%3.%4.%5.%6.%7.%8.%9."/>
      <w:lvlJc w:val="left"/>
      <w:pPr>
        <w:tabs>
          <w:tab w:val="num" w:pos="2936"/>
        </w:tabs>
        <w:ind w:left="2936" w:hanging="1800"/>
      </w:pPr>
      <w:rPr>
        <w:rFonts w:ascii="Arial" w:eastAsia="Times New Roman" w:hAnsi="Arial" w:cs="Arial"/>
        <w:color w:val="000000"/>
        <w:position w:val="0"/>
        <w:sz w:val="24"/>
        <w:szCs w:val="24"/>
        <w:u w:color="000000"/>
      </w:rPr>
    </w:lvl>
  </w:abstractNum>
  <w:abstractNum w:abstractNumId="1" w15:restartNumberingAfterBreak="0">
    <w:nsid w:val="05E147CF"/>
    <w:multiLevelType w:val="multilevel"/>
    <w:tmpl w:val="11487AF2"/>
    <w:styleLink w:val="List11"/>
    <w:lvl w:ilvl="0">
      <w:start w:val="1"/>
      <w:numFmt w:val="decimal"/>
      <w:lvlText w:val="%1."/>
      <w:lvlJc w:val="left"/>
      <w:pPr>
        <w:tabs>
          <w:tab w:val="num" w:pos="426"/>
        </w:tabs>
        <w:ind w:left="426" w:hanging="360"/>
      </w:pPr>
      <w:rPr>
        <w:rFonts w:cs="Times New Roman"/>
        <w:color w:val="000000"/>
        <w:position w:val="0"/>
        <w:sz w:val="24"/>
        <w:szCs w:val="24"/>
        <w:u w:color="000000"/>
      </w:rPr>
    </w:lvl>
    <w:lvl w:ilvl="1">
      <w:start w:val="1"/>
      <w:numFmt w:val="decimal"/>
      <w:lvlText w:val="%1.%2."/>
      <w:lvlJc w:val="left"/>
      <w:pPr>
        <w:tabs>
          <w:tab w:val="num" w:pos="851"/>
        </w:tabs>
        <w:ind w:left="851" w:hanging="567"/>
      </w:pPr>
      <w:rPr>
        <w:rFonts w:cs="Times New Roman"/>
        <w:color w:val="000000"/>
        <w:position w:val="0"/>
        <w:sz w:val="24"/>
        <w:szCs w:val="24"/>
        <w:u w:color="000000"/>
      </w:rPr>
    </w:lvl>
    <w:lvl w:ilvl="2">
      <w:start w:val="1"/>
      <w:numFmt w:val="decimal"/>
      <w:lvlText w:val="%1.%2.%3."/>
      <w:lvlJc w:val="left"/>
      <w:pPr>
        <w:tabs>
          <w:tab w:val="num" w:pos="1211"/>
        </w:tabs>
        <w:ind w:left="1211" w:hanging="927"/>
      </w:pPr>
      <w:rPr>
        <w:rFonts w:cs="Times New Roman"/>
        <w:color w:val="000000"/>
        <w:position w:val="0"/>
        <w:sz w:val="24"/>
        <w:szCs w:val="24"/>
        <w:u w:color="000000"/>
      </w:rPr>
    </w:lvl>
    <w:lvl w:ilvl="3">
      <w:start w:val="1"/>
      <w:numFmt w:val="decimal"/>
      <w:lvlText w:val="%1.%2.%3.%4."/>
      <w:lvlJc w:val="left"/>
      <w:pPr>
        <w:tabs>
          <w:tab w:val="num" w:pos="1571"/>
        </w:tabs>
        <w:ind w:left="1571" w:hanging="1287"/>
      </w:pPr>
      <w:rPr>
        <w:rFonts w:cs="Times New Roman"/>
        <w:color w:val="000000"/>
        <w:position w:val="0"/>
        <w:sz w:val="24"/>
        <w:szCs w:val="24"/>
        <w:u w:color="000000"/>
      </w:rPr>
    </w:lvl>
    <w:lvl w:ilvl="4">
      <w:start w:val="1"/>
      <w:numFmt w:val="decimal"/>
      <w:lvlText w:val="%1.%2.%3.%4.%5."/>
      <w:lvlJc w:val="left"/>
      <w:pPr>
        <w:tabs>
          <w:tab w:val="num" w:pos="1571"/>
        </w:tabs>
        <w:ind w:left="1571" w:hanging="1287"/>
      </w:pPr>
      <w:rPr>
        <w:rFonts w:cs="Times New Roman"/>
        <w:color w:val="000000"/>
        <w:position w:val="0"/>
        <w:sz w:val="24"/>
        <w:szCs w:val="24"/>
        <w:u w:color="000000"/>
      </w:rPr>
    </w:lvl>
    <w:lvl w:ilvl="5">
      <w:start w:val="1"/>
      <w:numFmt w:val="decimal"/>
      <w:lvlText w:val="%1.%2.%3.%4.%5.%6."/>
      <w:lvlJc w:val="left"/>
      <w:pPr>
        <w:tabs>
          <w:tab w:val="num" w:pos="1931"/>
        </w:tabs>
        <w:ind w:left="1931" w:hanging="1647"/>
      </w:pPr>
      <w:rPr>
        <w:rFonts w:cs="Times New Roman"/>
        <w:color w:val="000000"/>
        <w:position w:val="0"/>
        <w:sz w:val="24"/>
        <w:szCs w:val="24"/>
        <w:u w:color="000000"/>
      </w:rPr>
    </w:lvl>
    <w:lvl w:ilvl="6">
      <w:start w:val="1"/>
      <w:numFmt w:val="decimal"/>
      <w:lvlText w:val="%1.%2.%3.%4.%5.%6.%7."/>
      <w:lvlJc w:val="left"/>
      <w:pPr>
        <w:tabs>
          <w:tab w:val="num" w:pos="1931"/>
        </w:tabs>
        <w:ind w:left="1931" w:hanging="1647"/>
      </w:pPr>
      <w:rPr>
        <w:rFonts w:cs="Times New Roman"/>
        <w:color w:val="000000"/>
        <w:position w:val="0"/>
        <w:sz w:val="24"/>
        <w:szCs w:val="24"/>
        <w:u w:color="000000"/>
      </w:rPr>
    </w:lvl>
    <w:lvl w:ilvl="7">
      <w:start w:val="1"/>
      <w:numFmt w:val="decimal"/>
      <w:lvlText w:val="%1.%2.%3.%4.%5.%6.%7.%8."/>
      <w:lvlJc w:val="left"/>
      <w:pPr>
        <w:tabs>
          <w:tab w:val="num" w:pos="2291"/>
        </w:tabs>
        <w:ind w:left="2291" w:hanging="2007"/>
      </w:pPr>
      <w:rPr>
        <w:rFonts w:cs="Times New Roman"/>
        <w:color w:val="000000"/>
        <w:position w:val="0"/>
        <w:sz w:val="24"/>
        <w:szCs w:val="24"/>
        <w:u w:color="000000"/>
      </w:rPr>
    </w:lvl>
    <w:lvl w:ilvl="8">
      <w:start w:val="1"/>
      <w:numFmt w:val="decimal"/>
      <w:lvlText w:val="%1.%2.%3.%4.%5.%6.%7.%8.%9."/>
      <w:lvlJc w:val="left"/>
      <w:pPr>
        <w:tabs>
          <w:tab w:val="num" w:pos="2291"/>
        </w:tabs>
        <w:ind w:left="2291" w:hanging="2007"/>
      </w:pPr>
      <w:rPr>
        <w:rFonts w:cs="Times New Roman"/>
        <w:color w:val="000000"/>
        <w:position w:val="0"/>
        <w:sz w:val="24"/>
        <w:szCs w:val="24"/>
        <w:u w:color="000000"/>
      </w:rPr>
    </w:lvl>
  </w:abstractNum>
  <w:abstractNum w:abstractNumId="2" w15:restartNumberingAfterBreak="0">
    <w:nsid w:val="079176CC"/>
    <w:multiLevelType w:val="multilevel"/>
    <w:tmpl w:val="6030A3CA"/>
    <w:styleLink w:val="List6"/>
    <w:lvl w:ilvl="0">
      <w:start w:val="1"/>
      <w:numFmt w:val="decimal"/>
      <w:lvlText w:val="%1."/>
      <w:lvlJc w:val="left"/>
      <w:pPr>
        <w:tabs>
          <w:tab w:val="num" w:pos="720"/>
        </w:tabs>
        <w:ind w:left="720" w:hanging="360"/>
      </w:pPr>
      <w:rPr>
        <w:rFonts w:ascii="Arial" w:eastAsia="Times New Roman" w:hAnsi="Arial" w:cs="Arial"/>
        <w:color w:val="000000"/>
        <w:position w:val="0"/>
        <w:sz w:val="24"/>
        <w:szCs w:val="24"/>
        <w:u w:color="000000"/>
      </w:rPr>
    </w:lvl>
    <w:lvl w:ilvl="1">
      <w:start w:val="1"/>
      <w:numFmt w:val="lowerLetter"/>
      <w:lvlText w:val="%2."/>
      <w:lvlJc w:val="left"/>
      <w:pPr>
        <w:tabs>
          <w:tab w:val="num" w:pos="1440"/>
        </w:tabs>
        <w:ind w:left="3992" w:hanging="360"/>
      </w:pPr>
      <w:rPr>
        <w:rFonts w:ascii="Arial" w:eastAsia="Times New Roman" w:hAnsi="Arial" w:cs="Arial"/>
        <w:color w:val="000000"/>
        <w:position w:val="0"/>
        <w:sz w:val="24"/>
        <w:szCs w:val="24"/>
        <w:u w:color="000000"/>
      </w:rPr>
    </w:lvl>
    <w:lvl w:ilvl="2">
      <w:start w:val="1"/>
      <w:numFmt w:val="lowerRoman"/>
      <w:lvlText w:val="%3."/>
      <w:lvlJc w:val="left"/>
      <w:pPr>
        <w:tabs>
          <w:tab w:val="num" w:pos="2160"/>
        </w:tabs>
        <w:ind w:left="2160" w:hanging="296"/>
      </w:pPr>
      <w:rPr>
        <w:rFonts w:ascii="Arial" w:eastAsia="Times New Roman" w:hAnsi="Arial" w:cs="Arial"/>
        <w:color w:val="000000"/>
        <w:position w:val="0"/>
        <w:sz w:val="24"/>
        <w:szCs w:val="24"/>
        <w:u w:color="000000"/>
      </w:rPr>
    </w:lvl>
    <w:lvl w:ilvl="3">
      <w:start w:val="1"/>
      <w:numFmt w:val="decimal"/>
      <w:lvlText w:val="%4."/>
      <w:lvlJc w:val="left"/>
      <w:pPr>
        <w:tabs>
          <w:tab w:val="num" w:pos="2880"/>
        </w:tabs>
        <w:ind w:left="5432" w:hanging="360"/>
      </w:pPr>
      <w:rPr>
        <w:rFonts w:ascii="Arial" w:eastAsia="Times New Roman" w:hAnsi="Arial" w:cs="Arial"/>
        <w:color w:val="000000"/>
        <w:position w:val="0"/>
        <w:sz w:val="24"/>
        <w:szCs w:val="24"/>
        <w:u w:color="000000"/>
      </w:rPr>
    </w:lvl>
    <w:lvl w:ilvl="4">
      <w:start w:val="1"/>
      <w:numFmt w:val="lowerLetter"/>
      <w:lvlText w:val="%5."/>
      <w:lvlJc w:val="left"/>
      <w:pPr>
        <w:tabs>
          <w:tab w:val="num" w:pos="3600"/>
        </w:tabs>
        <w:ind w:left="3600" w:hanging="360"/>
      </w:pPr>
      <w:rPr>
        <w:rFonts w:ascii="Arial" w:eastAsia="Times New Roman" w:hAnsi="Arial" w:cs="Arial"/>
        <w:color w:val="000000"/>
        <w:position w:val="0"/>
        <w:sz w:val="24"/>
        <w:szCs w:val="24"/>
        <w:u w:color="000000"/>
      </w:rPr>
    </w:lvl>
    <w:lvl w:ilvl="5">
      <w:start w:val="1"/>
      <w:numFmt w:val="lowerRoman"/>
      <w:lvlText w:val="%6."/>
      <w:lvlJc w:val="left"/>
      <w:pPr>
        <w:tabs>
          <w:tab w:val="num" w:pos="4320"/>
        </w:tabs>
        <w:ind w:left="4320" w:hanging="296"/>
      </w:pPr>
      <w:rPr>
        <w:rFonts w:ascii="Arial" w:eastAsia="Times New Roman" w:hAnsi="Arial" w:cs="Arial"/>
        <w:color w:val="000000"/>
        <w:position w:val="0"/>
        <w:sz w:val="24"/>
        <w:szCs w:val="24"/>
        <w:u w:color="000000"/>
      </w:rPr>
    </w:lvl>
    <w:lvl w:ilvl="6">
      <w:start w:val="1"/>
      <w:numFmt w:val="decimal"/>
      <w:lvlText w:val="%7."/>
      <w:lvlJc w:val="left"/>
      <w:pPr>
        <w:tabs>
          <w:tab w:val="num" w:pos="5040"/>
        </w:tabs>
        <w:ind w:left="7592" w:hanging="360"/>
      </w:pPr>
      <w:rPr>
        <w:rFonts w:ascii="Arial" w:eastAsia="Times New Roman" w:hAnsi="Arial" w:cs="Arial"/>
        <w:color w:val="000000"/>
        <w:position w:val="0"/>
        <w:sz w:val="24"/>
        <w:szCs w:val="24"/>
        <w:u w:color="000000"/>
      </w:rPr>
    </w:lvl>
    <w:lvl w:ilvl="7">
      <w:start w:val="1"/>
      <w:numFmt w:val="lowerLetter"/>
      <w:lvlText w:val="%8."/>
      <w:lvlJc w:val="left"/>
      <w:pPr>
        <w:tabs>
          <w:tab w:val="num" w:pos="5760"/>
        </w:tabs>
        <w:ind w:left="8312" w:hanging="360"/>
      </w:pPr>
      <w:rPr>
        <w:rFonts w:ascii="Arial" w:eastAsia="Times New Roman" w:hAnsi="Arial" w:cs="Arial"/>
        <w:color w:val="000000"/>
        <w:position w:val="0"/>
        <w:sz w:val="24"/>
        <w:szCs w:val="24"/>
        <w:u w:color="000000"/>
      </w:rPr>
    </w:lvl>
    <w:lvl w:ilvl="8">
      <w:start w:val="1"/>
      <w:numFmt w:val="lowerRoman"/>
      <w:lvlText w:val="%9."/>
      <w:lvlJc w:val="left"/>
      <w:pPr>
        <w:tabs>
          <w:tab w:val="num" w:pos="6480"/>
        </w:tabs>
        <w:ind w:left="9032" w:hanging="296"/>
      </w:pPr>
      <w:rPr>
        <w:rFonts w:ascii="Arial" w:eastAsia="Times New Roman" w:hAnsi="Arial" w:cs="Arial"/>
        <w:color w:val="000000"/>
        <w:position w:val="0"/>
        <w:sz w:val="24"/>
        <w:szCs w:val="24"/>
        <w:u w:color="000000"/>
      </w:rPr>
    </w:lvl>
  </w:abstractNum>
  <w:abstractNum w:abstractNumId="3" w15:restartNumberingAfterBreak="0">
    <w:nsid w:val="0A2C7CAD"/>
    <w:multiLevelType w:val="multilevel"/>
    <w:tmpl w:val="9A4E2608"/>
    <w:styleLink w:val="Lista31"/>
    <w:lvl w:ilvl="0">
      <w:start w:val="11"/>
      <w:numFmt w:val="lowerLetter"/>
      <w:lvlText w:val="%1."/>
      <w:lvlJc w:val="left"/>
      <w:pPr>
        <w:tabs>
          <w:tab w:val="num" w:pos="567"/>
        </w:tabs>
        <w:ind w:left="567" w:hanging="425"/>
      </w:pPr>
      <w:rPr>
        <w:rFonts w:cs="Times New Roman"/>
        <w:color w:val="000000"/>
        <w:position w:val="0"/>
        <w:sz w:val="24"/>
        <w:szCs w:val="24"/>
      </w:rPr>
    </w:lvl>
    <w:lvl w:ilvl="1">
      <w:start w:val="1"/>
      <w:numFmt w:val="decimal"/>
      <w:lvlText w:val="%2."/>
      <w:lvlJc w:val="left"/>
      <w:pPr>
        <w:tabs>
          <w:tab w:val="num" w:pos="1790"/>
        </w:tabs>
        <w:ind w:left="1790" w:hanging="360"/>
      </w:pPr>
      <w:rPr>
        <w:rFonts w:cs="Times New Roman"/>
        <w:color w:val="000000"/>
        <w:position w:val="0"/>
        <w:sz w:val="24"/>
        <w:szCs w:val="24"/>
      </w:rPr>
    </w:lvl>
    <w:lvl w:ilvl="2">
      <w:start w:val="1"/>
      <w:numFmt w:val="lowerRoman"/>
      <w:lvlText w:val="%3."/>
      <w:lvlJc w:val="left"/>
      <w:pPr>
        <w:tabs>
          <w:tab w:val="num" w:pos="2510"/>
        </w:tabs>
        <w:ind w:left="2510" w:hanging="296"/>
      </w:pPr>
      <w:rPr>
        <w:rFonts w:cs="Times New Roman"/>
        <w:color w:val="000000"/>
        <w:position w:val="0"/>
        <w:sz w:val="24"/>
        <w:szCs w:val="24"/>
      </w:rPr>
    </w:lvl>
    <w:lvl w:ilvl="3">
      <w:start w:val="1"/>
      <w:numFmt w:val="decimal"/>
      <w:lvlText w:val="%4."/>
      <w:lvlJc w:val="left"/>
      <w:pPr>
        <w:tabs>
          <w:tab w:val="num" w:pos="3230"/>
        </w:tabs>
        <w:ind w:left="3230" w:hanging="360"/>
      </w:pPr>
      <w:rPr>
        <w:rFonts w:cs="Times New Roman"/>
        <w:color w:val="000000"/>
        <w:position w:val="0"/>
        <w:sz w:val="24"/>
        <w:szCs w:val="24"/>
      </w:rPr>
    </w:lvl>
    <w:lvl w:ilvl="4">
      <w:start w:val="1"/>
      <w:numFmt w:val="lowerLetter"/>
      <w:lvlText w:val="%5."/>
      <w:lvlJc w:val="left"/>
      <w:pPr>
        <w:tabs>
          <w:tab w:val="num" w:pos="3950"/>
        </w:tabs>
        <w:ind w:left="3950" w:hanging="360"/>
      </w:pPr>
      <w:rPr>
        <w:rFonts w:cs="Times New Roman"/>
        <w:color w:val="000000"/>
        <w:position w:val="0"/>
        <w:sz w:val="24"/>
        <w:szCs w:val="24"/>
      </w:rPr>
    </w:lvl>
    <w:lvl w:ilvl="5">
      <w:start w:val="1"/>
      <w:numFmt w:val="lowerRoman"/>
      <w:lvlText w:val="%6."/>
      <w:lvlJc w:val="left"/>
      <w:pPr>
        <w:tabs>
          <w:tab w:val="num" w:pos="4670"/>
        </w:tabs>
        <w:ind w:left="4670" w:hanging="296"/>
      </w:pPr>
      <w:rPr>
        <w:rFonts w:cs="Times New Roman"/>
        <w:color w:val="000000"/>
        <w:position w:val="0"/>
        <w:sz w:val="24"/>
        <w:szCs w:val="24"/>
      </w:rPr>
    </w:lvl>
    <w:lvl w:ilvl="6">
      <w:start w:val="1"/>
      <w:numFmt w:val="decimal"/>
      <w:lvlText w:val="%7."/>
      <w:lvlJc w:val="left"/>
      <w:pPr>
        <w:tabs>
          <w:tab w:val="num" w:pos="5390"/>
        </w:tabs>
        <w:ind w:left="5390" w:hanging="360"/>
      </w:pPr>
      <w:rPr>
        <w:rFonts w:cs="Times New Roman"/>
        <w:color w:val="000000"/>
        <w:position w:val="0"/>
        <w:sz w:val="24"/>
        <w:szCs w:val="24"/>
      </w:rPr>
    </w:lvl>
    <w:lvl w:ilvl="7">
      <w:start w:val="1"/>
      <w:numFmt w:val="lowerLetter"/>
      <w:lvlText w:val="%8."/>
      <w:lvlJc w:val="left"/>
      <w:pPr>
        <w:tabs>
          <w:tab w:val="num" w:pos="6110"/>
        </w:tabs>
        <w:ind w:left="6110" w:hanging="360"/>
      </w:pPr>
      <w:rPr>
        <w:rFonts w:cs="Times New Roman"/>
        <w:color w:val="000000"/>
        <w:position w:val="0"/>
        <w:sz w:val="24"/>
        <w:szCs w:val="24"/>
      </w:rPr>
    </w:lvl>
    <w:lvl w:ilvl="8">
      <w:start w:val="1"/>
      <w:numFmt w:val="lowerRoman"/>
      <w:lvlText w:val="%9."/>
      <w:lvlJc w:val="left"/>
      <w:pPr>
        <w:tabs>
          <w:tab w:val="num" w:pos="6830"/>
        </w:tabs>
        <w:ind w:left="6830" w:hanging="296"/>
      </w:pPr>
      <w:rPr>
        <w:rFonts w:cs="Times New Roman"/>
        <w:color w:val="000000"/>
        <w:position w:val="0"/>
        <w:sz w:val="24"/>
        <w:szCs w:val="24"/>
      </w:rPr>
    </w:lvl>
  </w:abstractNum>
  <w:abstractNum w:abstractNumId="4" w15:restartNumberingAfterBreak="0">
    <w:nsid w:val="153B200B"/>
    <w:multiLevelType w:val="multilevel"/>
    <w:tmpl w:val="DF1CD588"/>
    <w:styleLink w:val="List12"/>
    <w:lvl w:ilvl="0">
      <w:start w:val="1"/>
      <w:numFmt w:val="decimal"/>
      <w:lvlText w:val="%1."/>
      <w:lvlJc w:val="left"/>
      <w:pPr>
        <w:tabs>
          <w:tab w:val="num" w:pos="516"/>
        </w:tabs>
        <w:ind w:left="516" w:hanging="516"/>
      </w:pPr>
      <w:rPr>
        <w:rFonts w:cs="Times New Roman"/>
        <w:color w:val="000000"/>
        <w:position w:val="0"/>
        <w:sz w:val="24"/>
        <w:szCs w:val="24"/>
        <w:u w:color="000000"/>
      </w:rPr>
    </w:lvl>
    <w:lvl w:ilvl="1">
      <w:start w:val="3"/>
      <w:numFmt w:val="decimal"/>
      <w:lvlText w:val="%1.%2."/>
      <w:lvlJc w:val="left"/>
      <w:pPr>
        <w:tabs>
          <w:tab w:val="num" w:pos="540"/>
        </w:tabs>
        <w:ind w:left="540" w:hanging="489"/>
      </w:pPr>
      <w:rPr>
        <w:rFonts w:cs="Times New Roman"/>
        <w:color w:val="000000"/>
        <w:position w:val="0"/>
        <w:sz w:val="24"/>
        <w:szCs w:val="24"/>
        <w:u w:color="000000"/>
      </w:rPr>
    </w:lvl>
    <w:lvl w:ilvl="2">
      <w:start w:val="1"/>
      <w:numFmt w:val="decimal"/>
      <w:lvlText w:val="%1.%2.%3."/>
      <w:lvlJc w:val="left"/>
      <w:pPr>
        <w:tabs>
          <w:tab w:val="num" w:pos="720"/>
        </w:tabs>
        <w:ind w:left="720" w:hanging="720"/>
      </w:pPr>
      <w:rPr>
        <w:rFonts w:cs="Times New Roman"/>
        <w:color w:val="000000"/>
        <w:position w:val="0"/>
        <w:sz w:val="24"/>
        <w:szCs w:val="24"/>
        <w:u w:color="000000"/>
      </w:rPr>
    </w:lvl>
    <w:lvl w:ilvl="3">
      <w:start w:val="1"/>
      <w:numFmt w:val="decimal"/>
      <w:lvlText w:val="%1.%2.%3.%4."/>
      <w:lvlJc w:val="left"/>
      <w:pPr>
        <w:tabs>
          <w:tab w:val="num" w:pos="1080"/>
        </w:tabs>
        <w:ind w:left="1080" w:hanging="1080"/>
      </w:pPr>
      <w:rPr>
        <w:rFonts w:cs="Times New Roman"/>
        <w:color w:val="000000"/>
        <w:position w:val="0"/>
        <w:sz w:val="24"/>
        <w:szCs w:val="24"/>
        <w:u w:color="000000"/>
      </w:rPr>
    </w:lvl>
    <w:lvl w:ilvl="4">
      <w:start w:val="1"/>
      <w:numFmt w:val="decimal"/>
      <w:lvlText w:val="%1.%2.%3.%4.%5."/>
      <w:lvlJc w:val="left"/>
      <w:pPr>
        <w:tabs>
          <w:tab w:val="num" w:pos="1080"/>
        </w:tabs>
        <w:ind w:left="1080" w:hanging="1080"/>
      </w:pPr>
      <w:rPr>
        <w:rFonts w:cs="Times New Roman"/>
        <w:color w:val="000000"/>
        <w:position w:val="0"/>
        <w:sz w:val="24"/>
        <w:szCs w:val="24"/>
        <w:u w:color="000000"/>
      </w:rPr>
    </w:lvl>
    <w:lvl w:ilvl="5">
      <w:start w:val="1"/>
      <w:numFmt w:val="decimal"/>
      <w:lvlText w:val="%1.%2.%3.%4.%5.%6."/>
      <w:lvlJc w:val="left"/>
      <w:pPr>
        <w:tabs>
          <w:tab w:val="num" w:pos="1440"/>
        </w:tabs>
        <w:ind w:left="1440" w:hanging="1440"/>
      </w:pPr>
      <w:rPr>
        <w:rFonts w:cs="Times New Roman"/>
        <w:color w:val="000000"/>
        <w:position w:val="0"/>
        <w:sz w:val="24"/>
        <w:szCs w:val="24"/>
        <w:u w:color="000000"/>
      </w:rPr>
    </w:lvl>
    <w:lvl w:ilvl="6">
      <w:start w:val="1"/>
      <w:numFmt w:val="decimal"/>
      <w:lvlText w:val="%1.%2.%3.%4.%5.%6.%7."/>
      <w:lvlJc w:val="left"/>
      <w:pPr>
        <w:tabs>
          <w:tab w:val="num" w:pos="1440"/>
        </w:tabs>
        <w:ind w:left="1440" w:hanging="1440"/>
      </w:pPr>
      <w:rPr>
        <w:rFonts w:cs="Times New Roman"/>
        <w:color w:val="000000"/>
        <w:position w:val="0"/>
        <w:sz w:val="24"/>
        <w:szCs w:val="24"/>
        <w:u w:color="000000"/>
      </w:rPr>
    </w:lvl>
    <w:lvl w:ilvl="7">
      <w:start w:val="1"/>
      <w:numFmt w:val="decimal"/>
      <w:lvlText w:val="%1.%2.%3.%4.%5.%6.%7.%8."/>
      <w:lvlJc w:val="left"/>
      <w:pPr>
        <w:tabs>
          <w:tab w:val="num" w:pos="1800"/>
        </w:tabs>
        <w:ind w:left="1800" w:hanging="1800"/>
      </w:pPr>
      <w:rPr>
        <w:rFonts w:cs="Times New Roman"/>
        <w:color w:val="000000"/>
        <w:position w:val="0"/>
        <w:sz w:val="24"/>
        <w:szCs w:val="24"/>
        <w:u w:color="000000"/>
      </w:rPr>
    </w:lvl>
    <w:lvl w:ilvl="8">
      <w:start w:val="1"/>
      <w:numFmt w:val="decimal"/>
      <w:lvlText w:val="%1.%2.%3.%4.%5.%6.%7.%8.%9."/>
      <w:lvlJc w:val="left"/>
      <w:pPr>
        <w:tabs>
          <w:tab w:val="num" w:pos="1800"/>
        </w:tabs>
        <w:ind w:left="1800" w:hanging="1800"/>
      </w:pPr>
      <w:rPr>
        <w:rFonts w:cs="Times New Roman"/>
        <w:color w:val="000000"/>
        <w:position w:val="0"/>
        <w:sz w:val="24"/>
        <w:szCs w:val="24"/>
        <w:u w:color="000000"/>
      </w:rPr>
    </w:lvl>
  </w:abstractNum>
  <w:abstractNum w:abstractNumId="5" w15:restartNumberingAfterBreak="0">
    <w:nsid w:val="1AE74FFB"/>
    <w:multiLevelType w:val="multilevel"/>
    <w:tmpl w:val="07D85034"/>
    <w:styleLink w:val="Nmero"/>
    <w:lvl w:ilvl="0">
      <w:start w:val="1"/>
      <w:numFmt w:val="decimal"/>
      <w:lvlText w:val="%1."/>
      <w:lvlJc w:val="left"/>
      <w:pPr>
        <w:tabs>
          <w:tab w:val="num" w:pos="393"/>
        </w:tabs>
        <w:ind w:left="393" w:hanging="393"/>
      </w:pPr>
      <w:rPr>
        <w:rFonts w:ascii="Arial" w:eastAsia="Times New Roman" w:hAnsi="Arial" w:cs="Arial"/>
        <w:position w:val="0"/>
        <w:sz w:val="24"/>
        <w:szCs w:val="24"/>
      </w:rPr>
    </w:lvl>
    <w:lvl w:ilvl="1">
      <w:start w:val="1"/>
      <w:numFmt w:val="decimal"/>
      <w:lvlText w:val="%2."/>
      <w:lvlJc w:val="left"/>
      <w:pPr>
        <w:tabs>
          <w:tab w:val="num" w:pos="753"/>
        </w:tabs>
        <w:ind w:left="753" w:hanging="393"/>
      </w:pPr>
      <w:rPr>
        <w:rFonts w:ascii="Arial" w:eastAsia="Times New Roman" w:hAnsi="Arial" w:cs="Arial"/>
        <w:position w:val="0"/>
        <w:sz w:val="24"/>
        <w:szCs w:val="24"/>
      </w:rPr>
    </w:lvl>
    <w:lvl w:ilvl="2">
      <w:start w:val="1"/>
      <w:numFmt w:val="decimal"/>
      <w:lvlText w:val="%3."/>
      <w:lvlJc w:val="left"/>
      <w:pPr>
        <w:tabs>
          <w:tab w:val="num" w:pos="1113"/>
        </w:tabs>
        <w:ind w:left="1113" w:hanging="393"/>
      </w:pPr>
      <w:rPr>
        <w:rFonts w:ascii="Arial" w:eastAsia="Times New Roman" w:hAnsi="Arial" w:cs="Arial"/>
        <w:position w:val="0"/>
        <w:sz w:val="24"/>
        <w:szCs w:val="24"/>
      </w:rPr>
    </w:lvl>
    <w:lvl w:ilvl="3">
      <w:start w:val="1"/>
      <w:numFmt w:val="decimal"/>
      <w:lvlText w:val="%4."/>
      <w:lvlJc w:val="left"/>
      <w:pPr>
        <w:tabs>
          <w:tab w:val="num" w:pos="1473"/>
        </w:tabs>
        <w:ind w:left="1473" w:hanging="393"/>
      </w:pPr>
      <w:rPr>
        <w:rFonts w:ascii="Arial" w:eastAsia="Times New Roman" w:hAnsi="Arial" w:cs="Arial"/>
        <w:position w:val="0"/>
        <w:sz w:val="24"/>
        <w:szCs w:val="24"/>
      </w:rPr>
    </w:lvl>
    <w:lvl w:ilvl="4">
      <w:start w:val="1"/>
      <w:numFmt w:val="decimal"/>
      <w:lvlText w:val="%5."/>
      <w:lvlJc w:val="left"/>
      <w:pPr>
        <w:tabs>
          <w:tab w:val="num" w:pos="1833"/>
        </w:tabs>
        <w:ind w:left="1833" w:hanging="393"/>
      </w:pPr>
      <w:rPr>
        <w:rFonts w:ascii="Arial" w:eastAsia="Times New Roman" w:hAnsi="Arial" w:cs="Arial"/>
        <w:position w:val="0"/>
        <w:sz w:val="24"/>
        <w:szCs w:val="24"/>
      </w:rPr>
    </w:lvl>
    <w:lvl w:ilvl="5">
      <w:start w:val="1"/>
      <w:numFmt w:val="decimal"/>
      <w:lvlText w:val="%6."/>
      <w:lvlJc w:val="left"/>
      <w:pPr>
        <w:tabs>
          <w:tab w:val="num" w:pos="2193"/>
        </w:tabs>
        <w:ind w:left="2193" w:hanging="393"/>
      </w:pPr>
      <w:rPr>
        <w:rFonts w:ascii="Arial" w:eastAsia="Times New Roman" w:hAnsi="Arial" w:cs="Arial"/>
        <w:position w:val="0"/>
        <w:sz w:val="24"/>
        <w:szCs w:val="24"/>
      </w:rPr>
    </w:lvl>
    <w:lvl w:ilvl="6">
      <w:start w:val="1"/>
      <w:numFmt w:val="decimal"/>
      <w:lvlText w:val="%7."/>
      <w:lvlJc w:val="left"/>
      <w:pPr>
        <w:tabs>
          <w:tab w:val="num" w:pos="2553"/>
        </w:tabs>
        <w:ind w:left="2553" w:hanging="393"/>
      </w:pPr>
      <w:rPr>
        <w:rFonts w:ascii="Arial" w:eastAsia="Times New Roman" w:hAnsi="Arial" w:cs="Arial"/>
        <w:position w:val="0"/>
        <w:sz w:val="24"/>
        <w:szCs w:val="24"/>
      </w:rPr>
    </w:lvl>
    <w:lvl w:ilvl="7">
      <w:start w:val="1"/>
      <w:numFmt w:val="decimal"/>
      <w:lvlText w:val="%8."/>
      <w:lvlJc w:val="left"/>
      <w:pPr>
        <w:tabs>
          <w:tab w:val="num" w:pos="2913"/>
        </w:tabs>
        <w:ind w:left="2913" w:hanging="393"/>
      </w:pPr>
      <w:rPr>
        <w:rFonts w:ascii="Arial" w:eastAsia="Times New Roman" w:hAnsi="Arial" w:cs="Arial"/>
        <w:position w:val="0"/>
        <w:sz w:val="24"/>
        <w:szCs w:val="24"/>
      </w:rPr>
    </w:lvl>
    <w:lvl w:ilvl="8">
      <w:start w:val="1"/>
      <w:numFmt w:val="decimal"/>
      <w:lvlText w:val="%9."/>
      <w:lvlJc w:val="left"/>
      <w:pPr>
        <w:tabs>
          <w:tab w:val="num" w:pos="3273"/>
        </w:tabs>
        <w:ind w:left="3273" w:hanging="393"/>
      </w:pPr>
      <w:rPr>
        <w:rFonts w:ascii="Arial" w:eastAsia="Times New Roman" w:hAnsi="Arial" w:cs="Arial"/>
        <w:position w:val="0"/>
        <w:sz w:val="24"/>
        <w:szCs w:val="24"/>
      </w:rPr>
    </w:lvl>
  </w:abstractNum>
  <w:abstractNum w:abstractNumId="6" w15:restartNumberingAfterBreak="0">
    <w:nsid w:val="22BE0AC5"/>
    <w:multiLevelType w:val="multilevel"/>
    <w:tmpl w:val="C82E2818"/>
    <w:styleLink w:val="Lista21"/>
    <w:lvl w:ilvl="0">
      <w:numFmt w:val="lowerLetter"/>
      <w:lvlText w:val="%1."/>
      <w:lvlJc w:val="left"/>
      <w:pPr>
        <w:tabs>
          <w:tab w:val="num" w:pos="851"/>
        </w:tabs>
        <w:ind w:left="851" w:hanging="284"/>
      </w:pPr>
      <w:rPr>
        <w:rFonts w:cs="Times New Roman"/>
        <w:color w:val="000000"/>
        <w:position w:val="0"/>
        <w:sz w:val="22"/>
        <w:szCs w:val="22"/>
      </w:rPr>
    </w:lvl>
    <w:lvl w:ilvl="1">
      <w:start w:val="1"/>
      <w:numFmt w:val="lowerLetter"/>
      <w:lvlText w:val="%2."/>
      <w:lvlJc w:val="left"/>
      <w:pPr>
        <w:tabs>
          <w:tab w:val="num" w:pos="1874"/>
        </w:tabs>
        <w:ind w:left="1874" w:hanging="360"/>
      </w:pPr>
      <w:rPr>
        <w:rFonts w:cs="Times New Roman"/>
        <w:color w:val="000000"/>
        <w:position w:val="0"/>
        <w:sz w:val="24"/>
        <w:szCs w:val="24"/>
      </w:rPr>
    </w:lvl>
    <w:lvl w:ilvl="2">
      <w:start w:val="1"/>
      <w:numFmt w:val="lowerRoman"/>
      <w:lvlText w:val="%3."/>
      <w:lvlJc w:val="left"/>
      <w:pPr>
        <w:tabs>
          <w:tab w:val="num" w:pos="2594"/>
        </w:tabs>
        <w:ind w:left="2594" w:hanging="296"/>
      </w:pPr>
      <w:rPr>
        <w:rFonts w:cs="Times New Roman"/>
        <w:color w:val="000000"/>
        <w:position w:val="0"/>
        <w:sz w:val="24"/>
        <w:szCs w:val="24"/>
      </w:rPr>
    </w:lvl>
    <w:lvl w:ilvl="3">
      <w:start w:val="1"/>
      <w:numFmt w:val="decimal"/>
      <w:lvlText w:val="%4."/>
      <w:lvlJc w:val="left"/>
      <w:pPr>
        <w:tabs>
          <w:tab w:val="num" w:pos="3314"/>
        </w:tabs>
        <w:ind w:left="3314" w:hanging="360"/>
      </w:pPr>
      <w:rPr>
        <w:rFonts w:cs="Times New Roman"/>
        <w:color w:val="000000"/>
        <w:position w:val="0"/>
        <w:sz w:val="24"/>
        <w:szCs w:val="24"/>
      </w:rPr>
    </w:lvl>
    <w:lvl w:ilvl="4">
      <w:start w:val="1"/>
      <w:numFmt w:val="lowerLetter"/>
      <w:lvlText w:val="%5."/>
      <w:lvlJc w:val="left"/>
      <w:pPr>
        <w:tabs>
          <w:tab w:val="num" w:pos="4034"/>
        </w:tabs>
        <w:ind w:left="4034" w:hanging="360"/>
      </w:pPr>
      <w:rPr>
        <w:rFonts w:cs="Times New Roman"/>
        <w:color w:val="000000"/>
        <w:position w:val="0"/>
        <w:sz w:val="24"/>
        <w:szCs w:val="24"/>
      </w:rPr>
    </w:lvl>
    <w:lvl w:ilvl="5">
      <w:start w:val="1"/>
      <w:numFmt w:val="lowerRoman"/>
      <w:lvlText w:val="%6."/>
      <w:lvlJc w:val="left"/>
      <w:pPr>
        <w:tabs>
          <w:tab w:val="num" w:pos="4754"/>
        </w:tabs>
        <w:ind w:left="4754" w:hanging="296"/>
      </w:pPr>
      <w:rPr>
        <w:rFonts w:cs="Times New Roman"/>
        <w:color w:val="000000"/>
        <w:position w:val="0"/>
        <w:sz w:val="24"/>
        <w:szCs w:val="24"/>
      </w:rPr>
    </w:lvl>
    <w:lvl w:ilvl="6">
      <w:start w:val="1"/>
      <w:numFmt w:val="decimal"/>
      <w:lvlText w:val="%7."/>
      <w:lvlJc w:val="left"/>
      <w:pPr>
        <w:tabs>
          <w:tab w:val="num" w:pos="5474"/>
        </w:tabs>
        <w:ind w:left="5474" w:hanging="360"/>
      </w:pPr>
      <w:rPr>
        <w:rFonts w:cs="Times New Roman"/>
        <w:color w:val="000000"/>
        <w:position w:val="0"/>
        <w:sz w:val="24"/>
        <w:szCs w:val="24"/>
      </w:rPr>
    </w:lvl>
    <w:lvl w:ilvl="7">
      <w:start w:val="1"/>
      <w:numFmt w:val="lowerLetter"/>
      <w:lvlText w:val="%8."/>
      <w:lvlJc w:val="left"/>
      <w:pPr>
        <w:tabs>
          <w:tab w:val="num" w:pos="6194"/>
        </w:tabs>
        <w:ind w:left="6194" w:hanging="360"/>
      </w:pPr>
      <w:rPr>
        <w:rFonts w:cs="Times New Roman"/>
        <w:color w:val="000000"/>
        <w:position w:val="0"/>
        <w:sz w:val="24"/>
        <w:szCs w:val="24"/>
      </w:rPr>
    </w:lvl>
    <w:lvl w:ilvl="8">
      <w:start w:val="1"/>
      <w:numFmt w:val="lowerRoman"/>
      <w:lvlText w:val="%9."/>
      <w:lvlJc w:val="left"/>
      <w:pPr>
        <w:tabs>
          <w:tab w:val="num" w:pos="6914"/>
        </w:tabs>
        <w:ind w:left="6914" w:hanging="296"/>
      </w:pPr>
      <w:rPr>
        <w:rFonts w:cs="Times New Roman"/>
        <w:color w:val="000000"/>
        <w:position w:val="0"/>
        <w:sz w:val="24"/>
        <w:szCs w:val="24"/>
      </w:rPr>
    </w:lvl>
  </w:abstractNum>
  <w:abstractNum w:abstractNumId="7" w15:restartNumberingAfterBreak="0">
    <w:nsid w:val="34561115"/>
    <w:multiLevelType w:val="multilevel"/>
    <w:tmpl w:val="0B3A1174"/>
    <w:styleLink w:val="List8"/>
    <w:lvl w:ilvl="0">
      <w:start w:val="1"/>
      <w:numFmt w:val="lowerLetter"/>
      <w:lvlText w:val="%1."/>
      <w:lvlJc w:val="left"/>
      <w:pPr>
        <w:tabs>
          <w:tab w:val="num" w:pos="862"/>
        </w:tabs>
        <w:ind w:left="862" w:hanging="360"/>
      </w:pPr>
      <w:rPr>
        <w:rFonts w:ascii="Arial" w:eastAsia="Times New Roman" w:hAnsi="Arial" w:cs="Arial"/>
        <w:color w:val="000000"/>
        <w:position w:val="0"/>
        <w:sz w:val="24"/>
        <w:szCs w:val="24"/>
        <w:u w:color="000000"/>
      </w:rPr>
    </w:lvl>
    <w:lvl w:ilvl="1">
      <w:start w:val="1"/>
      <w:numFmt w:val="lowerLetter"/>
      <w:lvlText w:val="%2."/>
      <w:lvlJc w:val="left"/>
      <w:pPr>
        <w:tabs>
          <w:tab w:val="num" w:pos="1582"/>
        </w:tabs>
        <w:ind w:left="1582" w:hanging="360"/>
      </w:pPr>
      <w:rPr>
        <w:rFonts w:ascii="Arial" w:eastAsia="Times New Roman" w:hAnsi="Arial" w:cs="Arial"/>
        <w:color w:val="000000"/>
        <w:position w:val="0"/>
        <w:sz w:val="24"/>
        <w:szCs w:val="24"/>
        <w:u w:color="000000"/>
      </w:rPr>
    </w:lvl>
    <w:lvl w:ilvl="2">
      <w:start w:val="1"/>
      <w:numFmt w:val="lowerLetter"/>
      <w:lvlText w:val="%3."/>
      <w:lvlJc w:val="left"/>
      <w:pPr>
        <w:tabs>
          <w:tab w:val="num" w:pos="993"/>
        </w:tabs>
        <w:ind w:left="993" w:hanging="426"/>
      </w:pPr>
      <w:rPr>
        <w:rFonts w:ascii="Arial" w:eastAsia="Times New Roman" w:hAnsi="Arial" w:cs="Arial"/>
        <w:color w:val="000000"/>
        <w:position w:val="0"/>
        <w:sz w:val="24"/>
        <w:szCs w:val="24"/>
        <w:u w:color="000000"/>
      </w:rPr>
    </w:lvl>
    <w:lvl w:ilvl="3">
      <w:start w:val="1"/>
      <w:numFmt w:val="decimal"/>
      <w:lvlText w:val="%4."/>
      <w:lvlJc w:val="left"/>
      <w:pPr>
        <w:tabs>
          <w:tab w:val="num" w:pos="3022"/>
        </w:tabs>
        <w:ind w:left="3022" w:hanging="360"/>
      </w:pPr>
      <w:rPr>
        <w:rFonts w:ascii="Arial" w:eastAsia="Times New Roman" w:hAnsi="Arial" w:cs="Arial"/>
        <w:color w:val="000000"/>
        <w:position w:val="0"/>
        <w:sz w:val="24"/>
        <w:szCs w:val="24"/>
        <w:u w:color="000000"/>
      </w:rPr>
    </w:lvl>
    <w:lvl w:ilvl="4">
      <w:start w:val="1"/>
      <w:numFmt w:val="lowerLetter"/>
      <w:lvlText w:val="%5."/>
      <w:lvlJc w:val="left"/>
      <w:pPr>
        <w:tabs>
          <w:tab w:val="num" w:pos="3742"/>
        </w:tabs>
        <w:ind w:left="3742" w:hanging="360"/>
      </w:pPr>
      <w:rPr>
        <w:rFonts w:ascii="Arial" w:eastAsia="Times New Roman" w:hAnsi="Arial" w:cs="Arial"/>
        <w:color w:val="000000"/>
        <w:position w:val="0"/>
        <w:sz w:val="24"/>
        <w:szCs w:val="24"/>
        <w:u w:color="000000"/>
      </w:rPr>
    </w:lvl>
    <w:lvl w:ilvl="5">
      <w:start w:val="1"/>
      <w:numFmt w:val="lowerRoman"/>
      <w:lvlText w:val="%6."/>
      <w:lvlJc w:val="left"/>
      <w:pPr>
        <w:tabs>
          <w:tab w:val="num" w:pos="4462"/>
        </w:tabs>
        <w:ind w:left="4462" w:hanging="296"/>
      </w:pPr>
      <w:rPr>
        <w:rFonts w:ascii="Arial" w:eastAsia="Times New Roman" w:hAnsi="Arial" w:cs="Arial"/>
        <w:color w:val="000000"/>
        <w:position w:val="0"/>
        <w:sz w:val="24"/>
        <w:szCs w:val="24"/>
        <w:u w:color="000000"/>
      </w:rPr>
    </w:lvl>
    <w:lvl w:ilvl="6">
      <w:start w:val="1"/>
      <w:numFmt w:val="decimal"/>
      <w:lvlText w:val="%7."/>
      <w:lvlJc w:val="left"/>
      <w:pPr>
        <w:tabs>
          <w:tab w:val="num" w:pos="5182"/>
        </w:tabs>
        <w:ind w:left="5182" w:hanging="360"/>
      </w:pPr>
      <w:rPr>
        <w:rFonts w:ascii="Arial" w:eastAsia="Times New Roman" w:hAnsi="Arial" w:cs="Arial"/>
        <w:color w:val="000000"/>
        <w:position w:val="0"/>
        <w:sz w:val="24"/>
        <w:szCs w:val="24"/>
        <w:u w:color="000000"/>
      </w:rPr>
    </w:lvl>
    <w:lvl w:ilvl="7">
      <w:start w:val="1"/>
      <w:numFmt w:val="lowerLetter"/>
      <w:lvlText w:val="%8."/>
      <w:lvlJc w:val="left"/>
      <w:pPr>
        <w:tabs>
          <w:tab w:val="num" w:pos="5902"/>
        </w:tabs>
        <w:ind w:left="5902" w:hanging="360"/>
      </w:pPr>
      <w:rPr>
        <w:rFonts w:ascii="Arial" w:eastAsia="Times New Roman" w:hAnsi="Arial" w:cs="Arial"/>
        <w:color w:val="000000"/>
        <w:position w:val="0"/>
        <w:sz w:val="24"/>
        <w:szCs w:val="24"/>
        <w:u w:color="000000"/>
      </w:rPr>
    </w:lvl>
    <w:lvl w:ilvl="8">
      <w:start w:val="1"/>
      <w:numFmt w:val="lowerRoman"/>
      <w:lvlText w:val="%9."/>
      <w:lvlJc w:val="left"/>
      <w:pPr>
        <w:tabs>
          <w:tab w:val="num" w:pos="6622"/>
        </w:tabs>
        <w:ind w:left="6622" w:hanging="296"/>
      </w:pPr>
      <w:rPr>
        <w:rFonts w:ascii="Arial" w:eastAsia="Times New Roman" w:hAnsi="Arial" w:cs="Arial"/>
        <w:color w:val="000000"/>
        <w:position w:val="0"/>
        <w:sz w:val="24"/>
        <w:szCs w:val="24"/>
        <w:u w:color="000000"/>
      </w:rPr>
    </w:lvl>
  </w:abstractNum>
  <w:abstractNum w:abstractNumId="8" w15:restartNumberingAfterBreak="0">
    <w:nsid w:val="50324EC0"/>
    <w:multiLevelType w:val="hybridMultilevel"/>
    <w:tmpl w:val="C0E81298"/>
    <w:styleLink w:val="List9"/>
    <w:lvl w:ilvl="0" w:tplc="D9205506">
      <w:numFmt w:val="lowerLetter"/>
      <w:lvlText w:val="%1)"/>
      <w:lvlJc w:val="left"/>
      <w:pPr>
        <w:tabs>
          <w:tab w:val="num" w:pos="426"/>
        </w:tabs>
        <w:ind w:left="426" w:hanging="360"/>
      </w:pPr>
      <w:rPr>
        <w:rFonts w:cs="Times New Roman"/>
        <w:position w:val="0"/>
        <w:sz w:val="24"/>
        <w:szCs w:val="24"/>
      </w:rPr>
    </w:lvl>
    <w:lvl w:ilvl="1" w:tplc="18A4A2D2">
      <w:start w:val="1"/>
      <w:numFmt w:val="lowerLetter"/>
      <w:lvlText w:val="%2."/>
      <w:lvlJc w:val="left"/>
      <w:pPr>
        <w:tabs>
          <w:tab w:val="num" w:pos="1440"/>
        </w:tabs>
        <w:ind w:left="1440" w:hanging="360"/>
      </w:pPr>
      <w:rPr>
        <w:rFonts w:cs="Times New Roman"/>
        <w:position w:val="0"/>
        <w:sz w:val="24"/>
        <w:szCs w:val="24"/>
      </w:rPr>
    </w:lvl>
    <w:lvl w:ilvl="2" w:tplc="F6384C74">
      <w:start w:val="1"/>
      <w:numFmt w:val="lowerRoman"/>
      <w:lvlText w:val="%3."/>
      <w:lvlJc w:val="left"/>
      <w:pPr>
        <w:tabs>
          <w:tab w:val="num" w:pos="2160"/>
        </w:tabs>
        <w:ind w:left="2160" w:hanging="296"/>
      </w:pPr>
      <w:rPr>
        <w:rFonts w:cs="Times New Roman"/>
        <w:position w:val="0"/>
        <w:sz w:val="24"/>
        <w:szCs w:val="24"/>
      </w:rPr>
    </w:lvl>
    <w:lvl w:ilvl="3" w:tplc="554CAA02">
      <w:start w:val="1"/>
      <w:numFmt w:val="decimal"/>
      <w:lvlText w:val="%4."/>
      <w:lvlJc w:val="left"/>
      <w:pPr>
        <w:tabs>
          <w:tab w:val="num" w:pos="2880"/>
        </w:tabs>
        <w:ind w:left="2880" w:hanging="360"/>
      </w:pPr>
      <w:rPr>
        <w:rFonts w:cs="Times New Roman"/>
        <w:position w:val="0"/>
        <w:sz w:val="24"/>
        <w:szCs w:val="24"/>
      </w:rPr>
    </w:lvl>
    <w:lvl w:ilvl="4" w:tplc="AD5C3566">
      <w:start w:val="1"/>
      <w:numFmt w:val="lowerLetter"/>
      <w:lvlText w:val="%5."/>
      <w:lvlJc w:val="left"/>
      <w:pPr>
        <w:tabs>
          <w:tab w:val="num" w:pos="3600"/>
        </w:tabs>
        <w:ind w:left="3600" w:hanging="360"/>
      </w:pPr>
      <w:rPr>
        <w:rFonts w:cs="Times New Roman"/>
        <w:position w:val="0"/>
        <w:sz w:val="24"/>
        <w:szCs w:val="24"/>
      </w:rPr>
    </w:lvl>
    <w:lvl w:ilvl="5" w:tplc="098452CC">
      <w:start w:val="1"/>
      <w:numFmt w:val="lowerRoman"/>
      <w:lvlText w:val="%6."/>
      <w:lvlJc w:val="left"/>
      <w:pPr>
        <w:tabs>
          <w:tab w:val="num" w:pos="4320"/>
        </w:tabs>
        <w:ind w:left="4320" w:hanging="296"/>
      </w:pPr>
      <w:rPr>
        <w:rFonts w:cs="Times New Roman"/>
        <w:position w:val="0"/>
        <w:sz w:val="24"/>
        <w:szCs w:val="24"/>
      </w:rPr>
    </w:lvl>
    <w:lvl w:ilvl="6" w:tplc="EB6645CA">
      <w:start w:val="1"/>
      <w:numFmt w:val="decimal"/>
      <w:lvlText w:val="%7."/>
      <w:lvlJc w:val="left"/>
      <w:pPr>
        <w:tabs>
          <w:tab w:val="num" w:pos="5040"/>
        </w:tabs>
        <w:ind w:left="5040" w:hanging="360"/>
      </w:pPr>
      <w:rPr>
        <w:rFonts w:cs="Times New Roman"/>
        <w:position w:val="0"/>
        <w:sz w:val="24"/>
        <w:szCs w:val="24"/>
      </w:rPr>
    </w:lvl>
    <w:lvl w:ilvl="7" w:tplc="DE7CFC66">
      <w:start w:val="1"/>
      <w:numFmt w:val="lowerLetter"/>
      <w:lvlText w:val="%8."/>
      <w:lvlJc w:val="left"/>
      <w:pPr>
        <w:tabs>
          <w:tab w:val="num" w:pos="5760"/>
        </w:tabs>
        <w:ind w:left="5760" w:hanging="360"/>
      </w:pPr>
      <w:rPr>
        <w:rFonts w:cs="Times New Roman"/>
        <w:position w:val="0"/>
        <w:sz w:val="24"/>
        <w:szCs w:val="24"/>
      </w:rPr>
    </w:lvl>
    <w:lvl w:ilvl="8" w:tplc="9F7AA22E">
      <w:start w:val="1"/>
      <w:numFmt w:val="lowerRoman"/>
      <w:lvlText w:val="%9."/>
      <w:lvlJc w:val="left"/>
      <w:pPr>
        <w:tabs>
          <w:tab w:val="num" w:pos="6480"/>
        </w:tabs>
        <w:ind w:left="6480" w:hanging="296"/>
      </w:pPr>
      <w:rPr>
        <w:rFonts w:cs="Times New Roman"/>
        <w:position w:val="0"/>
        <w:sz w:val="24"/>
        <w:szCs w:val="24"/>
      </w:rPr>
    </w:lvl>
  </w:abstractNum>
  <w:abstractNum w:abstractNumId="9" w15:restartNumberingAfterBreak="0">
    <w:nsid w:val="5A1651FB"/>
    <w:multiLevelType w:val="hybridMultilevel"/>
    <w:tmpl w:val="B14AFF04"/>
    <w:styleLink w:val="List10"/>
    <w:lvl w:ilvl="0" w:tplc="0BBA63DA">
      <w:numFmt w:val="decimal"/>
      <w:lvlText w:val="%1."/>
      <w:lvlJc w:val="left"/>
      <w:pPr>
        <w:tabs>
          <w:tab w:val="num" w:pos="720"/>
        </w:tabs>
        <w:ind w:left="720" w:hanging="360"/>
      </w:pPr>
      <w:rPr>
        <w:rFonts w:cs="Times New Roman"/>
        <w:position w:val="0"/>
        <w:sz w:val="24"/>
        <w:szCs w:val="24"/>
      </w:rPr>
    </w:lvl>
    <w:lvl w:ilvl="1" w:tplc="1CF2DE16">
      <w:start w:val="1"/>
      <w:numFmt w:val="lowerLetter"/>
      <w:lvlText w:val="%2."/>
      <w:lvlJc w:val="left"/>
      <w:pPr>
        <w:tabs>
          <w:tab w:val="num" w:pos="1440"/>
        </w:tabs>
        <w:ind w:left="7253" w:hanging="360"/>
      </w:pPr>
      <w:rPr>
        <w:rFonts w:cs="Times New Roman"/>
        <w:position w:val="0"/>
        <w:sz w:val="24"/>
        <w:szCs w:val="24"/>
      </w:rPr>
    </w:lvl>
    <w:lvl w:ilvl="2" w:tplc="B0B0F504">
      <w:start w:val="1"/>
      <w:numFmt w:val="lowerRoman"/>
      <w:lvlText w:val="%3."/>
      <w:lvlJc w:val="left"/>
      <w:pPr>
        <w:tabs>
          <w:tab w:val="num" w:pos="2160"/>
        </w:tabs>
        <w:ind w:left="2160" w:hanging="296"/>
      </w:pPr>
      <w:rPr>
        <w:rFonts w:cs="Times New Roman"/>
        <w:position w:val="0"/>
        <w:sz w:val="24"/>
        <w:szCs w:val="24"/>
      </w:rPr>
    </w:lvl>
    <w:lvl w:ilvl="3" w:tplc="3566ECB6">
      <w:start w:val="1"/>
      <w:numFmt w:val="decimal"/>
      <w:lvlText w:val="%4."/>
      <w:lvlJc w:val="left"/>
      <w:pPr>
        <w:tabs>
          <w:tab w:val="num" w:pos="2880"/>
        </w:tabs>
        <w:ind w:left="8693" w:hanging="360"/>
      </w:pPr>
      <w:rPr>
        <w:rFonts w:cs="Times New Roman"/>
        <w:position w:val="0"/>
        <w:sz w:val="24"/>
        <w:szCs w:val="24"/>
      </w:rPr>
    </w:lvl>
    <w:lvl w:ilvl="4" w:tplc="8BBAD868">
      <w:start w:val="1"/>
      <w:numFmt w:val="lowerLetter"/>
      <w:lvlText w:val="%5."/>
      <w:lvlJc w:val="left"/>
      <w:pPr>
        <w:tabs>
          <w:tab w:val="num" w:pos="3600"/>
        </w:tabs>
        <w:ind w:left="3600" w:hanging="360"/>
      </w:pPr>
      <w:rPr>
        <w:rFonts w:cs="Times New Roman"/>
        <w:position w:val="0"/>
        <w:sz w:val="24"/>
        <w:szCs w:val="24"/>
      </w:rPr>
    </w:lvl>
    <w:lvl w:ilvl="5" w:tplc="947CFC18">
      <w:start w:val="1"/>
      <w:numFmt w:val="lowerRoman"/>
      <w:lvlText w:val="%6."/>
      <w:lvlJc w:val="left"/>
      <w:pPr>
        <w:tabs>
          <w:tab w:val="num" w:pos="4320"/>
        </w:tabs>
        <w:ind w:left="4320" w:hanging="296"/>
      </w:pPr>
      <w:rPr>
        <w:rFonts w:cs="Times New Roman"/>
        <w:position w:val="0"/>
        <w:sz w:val="24"/>
        <w:szCs w:val="24"/>
      </w:rPr>
    </w:lvl>
    <w:lvl w:ilvl="6" w:tplc="DCC4DC34">
      <w:start w:val="1"/>
      <w:numFmt w:val="decimal"/>
      <w:lvlText w:val="%7."/>
      <w:lvlJc w:val="left"/>
      <w:pPr>
        <w:tabs>
          <w:tab w:val="num" w:pos="5040"/>
        </w:tabs>
        <w:ind w:left="10853" w:hanging="360"/>
      </w:pPr>
      <w:rPr>
        <w:rFonts w:cs="Times New Roman"/>
        <w:position w:val="0"/>
        <w:sz w:val="24"/>
        <w:szCs w:val="24"/>
      </w:rPr>
    </w:lvl>
    <w:lvl w:ilvl="7" w:tplc="4A168F50">
      <w:start w:val="1"/>
      <w:numFmt w:val="lowerLetter"/>
      <w:lvlText w:val="%8."/>
      <w:lvlJc w:val="left"/>
      <w:pPr>
        <w:tabs>
          <w:tab w:val="num" w:pos="5760"/>
        </w:tabs>
        <w:ind w:left="11573" w:hanging="360"/>
      </w:pPr>
      <w:rPr>
        <w:rFonts w:cs="Times New Roman"/>
        <w:position w:val="0"/>
        <w:sz w:val="24"/>
        <w:szCs w:val="24"/>
      </w:rPr>
    </w:lvl>
    <w:lvl w:ilvl="8" w:tplc="80BC4B72">
      <w:start w:val="1"/>
      <w:numFmt w:val="lowerRoman"/>
      <w:lvlText w:val="%9."/>
      <w:lvlJc w:val="left"/>
      <w:pPr>
        <w:tabs>
          <w:tab w:val="num" w:pos="6480"/>
        </w:tabs>
        <w:ind w:left="12293" w:hanging="296"/>
      </w:pPr>
      <w:rPr>
        <w:rFonts w:cs="Times New Roman"/>
        <w:position w:val="0"/>
        <w:sz w:val="24"/>
        <w:szCs w:val="24"/>
      </w:rPr>
    </w:lvl>
  </w:abstractNum>
  <w:abstractNum w:abstractNumId="10" w15:restartNumberingAfterBreak="0">
    <w:nsid w:val="65CC09BA"/>
    <w:multiLevelType w:val="hybridMultilevel"/>
    <w:tmpl w:val="9014C54A"/>
    <w:styleLink w:val="Lista51"/>
    <w:lvl w:ilvl="0" w:tplc="AF7CBEF4">
      <w:start w:val="18"/>
      <w:numFmt w:val="decimal"/>
      <w:lvlText w:val="%1."/>
      <w:lvlJc w:val="left"/>
      <w:pPr>
        <w:tabs>
          <w:tab w:val="num" w:pos="567"/>
        </w:tabs>
        <w:ind w:left="567" w:hanging="360"/>
      </w:pPr>
      <w:rPr>
        <w:rFonts w:ascii="Arial" w:eastAsia="Times New Roman" w:hAnsi="Arial" w:cs="Arial"/>
        <w:color w:val="000000"/>
        <w:position w:val="0"/>
        <w:sz w:val="24"/>
        <w:szCs w:val="24"/>
      </w:rPr>
    </w:lvl>
    <w:lvl w:ilvl="1" w:tplc="2C7C1F74">
      <w:start w:val="1"/>
      <w:numFmt w:val="lowerLetter"/>
      <w:lvlText w:val="%2."/>
      <w:lvlJc w:val="left"/>
      <w:pPr>
        <w:tabs>
          <w:tab w:val="num" w:pos="1440"/>
        </w:tabs>
        <w:ind w:left="1440" w:hanging="360"/>
      </w:pPr>
      <w:rPr>
        <w:rFonts w:ascii="Arial" w:eastAsia="Times New Roman" w:hAnsi="Arial" w:cs="Arial"/>
        <w:color w:val="000000"/>
        <w:position w:val="0"/>
        <w:sz w:val="24"/>
        <w:szCs w:val="24"/>
      </w:rPr>
    </w:lvl>
    <w:lvl w:ilvl="2" w:tplc="0F50E0F4">
      <w:start w:val="1"/>
      <w:numFmt w:val="lowerRoman"/>
      <w:lvlText w:val="%3."/>
      <w:lvlJc w:val="left"/>
      <w:pPr>
        <w:tabs>
          <w:tab w:val="num" w:pos="2160"/>
        </w:tabs>
        <w:ind w:left="2160" w:hanging="296"/>
      </w:pPr>
      <w:rPr>
        <w:rFonts w:ascii="Arial" w:eastAsia="Times New Roman" w:hAnsi="Arial" w:cs="Arial"/>
        <w:color w:val="000000"/>
        <w:position w:val="0"/>
        <w:sz w:val="24"/>
        <w:szCs w:val="24"/>
      </w:rPr>
    </w:lvl>
    <w:lvl w:ilvl="3" w:tplc="92A425D4">
      <w:start w:val="1"/>
      <w:numFmt w:val="decimal"/>
      <w:lvlText w:val="%4."/>
      <w:lvlJc w:val="left"/>
      <w:pPr>
        <w:tabs>
          <w:tab w:val="num" w:pos="2880"/>
        </w:tabs>
        <w:ind w:left="2880" w:hanging="360"/>
      </w:pPr>
      <w:rPr>
        <w:rFonts w:ascii="Arial" w:eastAsia="Times New Roman" w:hAnsi="Arial" w:cs="Arial"/>
        <w:color w:val="000000"/>
        <w:position w:val="0"/>
        <w:sz w:val="24"/>
        <w:szCs w:val="24"/>
      </w:rPr>
    </w:lvl>
    <w:lvl w:ilvl="4" w:tplc="9F72643C">
      <w:start w:val="1"/>
      <w:numFmt w:val="lowerLetter"/>
      <w:lvlText w:val="%5."/>
      <w:lvlJc w:val="left"/>
      <w:pPr>
        <w:tabs>
          <w:tab w:val="num" w:pos="3600"/>
        </w:tabs>
        <w:ind w:left="3600" w:hanging="360"/>
      </w:pPr>
      <w:rPr>
        <w:rFonts w:ascii="Arial" w:eastAsia="Times New Roman" w:hAnsi="Arial" w:cs="Arial"/>
        <w:color w:val="000000"/>
        <w:position w:val="0"/>
        <w:sz w:val="24"/>
        <w:szCs w:val="24"/>
      </w:rPr>
    </w:lvl>
    <w:lvl w:ilvl="5" w:tplc="D62AB104">
      <w:start w:val="1"/>
      <w:numFmt w:val="lowerRoman"/>
      <w:lvlText w:val="%6."/>
      <w:lvlJc w:val="left"/>
      <w:pPr>
        <w:tabs>
          <w:tab w:val="num" w:pos="4320"/>
        </w:tabs>
        <w:ind w:left="4320" w:hanging="296"/>
      </w:pPr>
      <w:rPr>
        <w:rFonts w:ascii="Arial" w:eastAsia="Times New Roman" w:hAnsi="Arial" w:cs="Arial"/>
        <w:color w:val="000000"/>
        <w:position w:val="0"/>
        <w:sz w:val="24"/>
        <w:szCs w:val="24"/>
      </w:rPr>
    </w:lvl>
    <w:lvl w:ilvl="6" w:tplc="625CFA68">
      <w:start w:val="1"/>
      <w:numFmt w:val="decimal"/>
      <w:lvlText w:val="%7."/>
      <w:lvlJc w:val="left"/>
      <w:pPr>
        <w:tabs>
          <w:tab w:val="num" w:pos="5040"/>
        </w:tabs>
        <w:ind w:left="5040" w:hanging="360"/>
      </w:pPr>
      <w:rPr>
        <w:rFonts w:ascii="Arial" w:eastAsia="Times New Roman" w:hAnsi="Arial" w:cs="Arial"/>
        <w:color w:val="000000"/>
        <w:position w:val="0"/>
        <w:sz w:val="24"/>
        <w:szCs w:val="24"/>
      </w:rPr>
    </w:lvl>
    <w:lvl w:ilvl="7" w:tplc="F744A116">
      <w:start w:val="1"/>
      <w:numFmt w:val="lowerLetter"/>
      <w:lvlText w:val="%8."/>
      <w:lvlJc w:val="left"/>
      <w:pPr>
        <w:tabs>
          <w:tab w:val="num" w:pos="5760"/>
        </w:tabs>
        <w:ind w:left="5760" w:hanging="360"/>
      </w:pPr>
      <w:rPr>
        <w:rFonts w:ascii="Arial" w:eastAsia="Times New Roman" w:hAnsi="Arial" w:cs="Arial"/>
        <w:color w:val="000000"/>
        <w:position w:val="0"/>
        <w:sz w:val="24"/>
        <w:szCs w:val="24"/>
      </w:rPr>
    </w:lvl>
    <w:lvl w:ilvl="8" w:tplc="432C6B5A">
      <w:start w:val="1"/>
      <w:numFmt w:val="lowerRoman"/>
      <w:lvlText w:val="%9."/>
      <w:lvlJc w:val="left"/>
      <w:pPr>
        <w:tabs>
          <w:tab w:val="num" w:pos="6480"/>
        </w:tabs>
        <w:ind w:left="6480" w:hanging="296"/>
      </w:pPr>
      <w:rPr>
        <w:rFonts w:ascii="Arial" w:eastAsia="Times New Roman" w:hAnsi="Arial" w:cs="Arial"/>
        <w:color w:val="000000"/>
        <w:position w:val="0"/>
        <w:sz w:val="24"/>
        <w:szCs w:val="24"/>
      </w:rPr>
    </w:lvl>
  </w:abstractNum>
  <w:abstractNum w:abstractNumId="11" w15:restartNumberingAfterBreak="0">
    <w:nsid w:val="661B6294"/>
    <w:multiLevelType w:val="hybridMultilevel"/>
    <w:tmpl w:val="2CAAE514"/>
    <w:styleLink w:val="List7"/>
    <w:lvl w:ilvl="0" w:tplc="43CEA88A">
      <w:numFmt w:val="decimal"/>
      <w:lvlText w:val="%1."/>
      <w:lvlJc w:val="left"/>
      <w:pPr>
        <w:tabs>
          <w:tab w:val="num" w:pos="567"/>
        </w:tabs>
        <w:ind w:left="567" w:hanging="425"/>
      </w:pPr>
      <w:rPr>
        <w:rFonts w:ascii="Arial" w:eastAsia="Times New Roman" w:hAnsi="Arial" w:cs="Arial"/>
        <w:color w:val="000000"/>
        <w:position w:val="0"/>
        <w:sz w:val="24"/>
        <w:szCs w:val="24"/>
        <w:u w:color="000000"/>
      </w:rPr>
    </w:lvl>
    <w:lvl w:ilvl="1" w:tplc="356493C2">
      <w:start w:val="1"/>
      <w:numFmt w:val="lowerLetter"/>
      <w:lvlText w:val="%2."/>
      <w:lvlJc w:val="left"/>
      <w:pPr>
        <w:tabs>
          <w:tab w:val="num" w:pos="2073"/>
        </w:tabs>
        <w:ind w:left="2073" w:hanging="360"/>
      </w:pPr>
      <w:rPr>
        <w:rFonts w:ascii="Arial" w:eastAsia="Times New Roman" w:hAnsi="Arial" w:cs="Arial"/>
        <w:color w:val="000000"/>
        <w:position w:val="0"/>
        <w:sz w:val="24"/>
        <w:szCs w:val="24"/>
        <w:u w:color="000000"/>
      </w:rPr>
    </w:lvl>
    <w:lvl w:ilvl="2" w:tplc="1292EB58">
      <w:start w:val="1"/>
      <w:numFmt w:val="lowerLetter"/>
      <w:lvlText w:val="%3)"/>
      <w:lvlJc w:val="left"/>
      <w:pPr>
        <w:tabs>
          <w:tab w:val="num" w:pos="2973"/>
        </w:tabs>
        <w:ind w:left="2973" w:hanging="360"/>
      </w:pPr>
      <w:rPr>
        <w:rFonts w:ascii="Arial" w:eastAsia="Times New Roman" w:hAnsi="Arial" w:cs="Arial"/>
        <w:color w:val="000000"/>
        <w:position w:val="0"/>
        <w:sz w:val="24"/>
        <w:szCs w:val="24"/>
        <w:u w:color="000000"/>
      </w:rPr>
    </w:lvl>
    <w:lvl w:ilvl="3" w:tplc="23943FF2">
      <w:start w:val="1"/>
      <w:numFmt w:val="decimal"/>
      <w:lvlText w:val="%4."/>
      <w:lvlJc w:val="left"/>
      <w:pPr>
        <w:tabs>
          <w:tab w:val="num" w:pos="3513"/>
        </w:tabs>
        <w:ind w:left="3513" w:hanging="360"/>
      </w:pPr>
      <w:rPr>
        <w:rFonts w:ascii="Arial" w:eastAsia="Times New Roman" w:hAnsi="Arial" w:cs="Arial"/>
        <w:color w:val="000000"/>
        <w:position w:val="0"/>
        <w:sz w:val="24"/>
        <w:szCs w:val="24"/>
        <w:u w:color="000000"/>
      </w:rPr>
    </w:lvl>
    <w:lvl w:ilvl="4" w:tplc="865C029A">
      <w:start w:val="1"/>
      <w:numFmt w:val="lowerLetter"/>
      <w:lvlText w:val="%5."/>
      <w:lvlJc w:val="left"/>
      <w:pPr>
        <w:tabs>
          <w:tab w:val="num" w:pos="4233"/>
        </w:tabs>
        <w:ind w:left="4233" w:hanging="360"/>
      </w:pPr>
      <w:rPr>
        <w:rFonts w:ascii="Arial" w:eastAsia="Times New Roman" w:hAnsi="Arial" w:cs="Arial"/>
        <w:color w:val="000000"/>
        <w:position w:val="0"/>
        <w:sz w:val="24"/>
        <w:szCs w:val="24"/>
        <w:u w:color="000000"/>
      </w:rPr>
    </w:lvl>
    <w:lvl w:ilvl="5" w:tplc="1F6A8E1A">
      <w:start w:val="1"/>
      <w:numFmt w:val="lowerRoman"/>
      <w:lvlText w:val="%6."/>
      <w:lvlJc w:val="left"/>
      <w:pPr>
        <w:tabs>
          <w:tab w:val="num" w:pos="4953"/>
        </w:tabs>
        <w:ind w:left="4953" w:hanging="296"/>
      </w:pPr>
      <w:rPr>
        <w:rFonts w:ascii="Arial" w:eastAsia="Times New Roman" w:hAnsi="Arial" w:cs="Arial"/>
        <w:color w:val="000000"/>
        <w:position w:val="0"/>
        <w:sz w:val="24"/>
        <w:szCs w:val="24"/>
        <w:u w:color="000000"/>
      </w:rPr>
    </w:lvl>
    <w:lvl w:ilvl="6" w:tplc="E6808132">
      <w:start w:val="1"/>
      <w:numFmt w:val="decimal"/>
      <w:lvlText w:val="%7."/>
      <w:lvlJc w:val="left"/>
      <w:pPr>
        <w:tabs>
          <w:tab w:val="num" w:pos="5673"/>
        </w:tabs>
        <w:ind w:left="5673" w:hanging="360"/>
      </w:pPr>
      <w:rPr>
        <w:rFonts w:ascii="Arial" w:eastAsia="Times New Roman" w:hAnsi="Arial" w:cs="Arial"/>
        <w:color w:val="000000"/>
        <w:position w:val="0"/>
        <w:sz w:val="24"/>
        <w:szCs w:val="24"/>
        <w:u w:color="000000"/>
      </w:rPr>
    </w:lvl>
    <w:lvl w:ilvl="7" w:tplc="E184465E">
      <w:start w:val="1"/>
      <w:numFmt w:val="lowerLetter"/>
      <w:lvlText w:val="%8."/>
      <w:lvlJc w:val="left"/>
      <w:pPr>
        <w:tabs>
          <w:tab w:val="num" w:pos="6393"/>
        </w:tabs>
        <w:ind w:left="6393" w:hanging="360"/>
      </w:pPr>
      <w:rPr>
        <w:rFonts w:ascii="Arial" w:eastAsia="Times New Roman" w:hAnsi="Arial" w:cs="Arial"/>
        <w:color w:val="000000"/>
        <w:position w:val="0"/>
        <w:sz w:val="24"/>
        <w:szCs w:val="24"/>
        <w:u w:color="000000"/>
      </w:rPr>
    </w:lvl>
    <w:lvl w:ilvl="8" w:tplc="0B308A88">
      <w:start w:val="1"/>
      <w:numFmt w:val="lowerRoman"/>
      <w:lvlText w:val="%9."/>
      <w:lvlJc w:val="left"/>
      <w:pPr>
        <w:tabs>
          <w:tab w:val="num" w:pos="7113"/>
        </w:tabs>
        <w:ind w:left="7113" w:hanging="296"/>
      </w:pPr>
      <w:rPr>
        <w:rFonts w:ascii="Arial" w:eastAsia="Times New Roman" w:hAnsi="Arial" w:cs="Arial"/>
        <w:color w:val="000000"/>
        <w:position w:val="0"/>
        <w:sz w:val="24"/>
        <w:szCs w:val="24"/>
        <w:u w:color="000000"/>
      </w:rPr>
    </w:lvl>
  </w:abstractNum>
  <w:abstractNum w:abstractNumId="12" w15:restartNumberingAfterBreak="0">
    <w:nsid w:val="695E19DE"/>
    <w:multiLevelType w:val="hybridMultilevel"/>
    <w:tmpl w:val="846CAB5E"/>
    <w:styleLink w:val="List0"/>
    <w:lvl w:ilvl="0" w:tplc="6234FA50">
      <w:start w:val="4"/>
      <w:numFmt w:val="decimal"/>
      <w:lvlText w:val="%1."/>
      <w:lvlJc w:val="left"/>
      <w:pPr>
        <w:tabs>
          <w:tab w:val="num" w:pos="567"/>
        </w:tabs>
        <w:ind w:left="567" w:hanging="284"/>
      </w:pPr>
      <w:rPr>
        <w:rFonts w:cs="Times New Roman"/>
        <w:color w:val="000000"/>
        <w:position w:val="0"/>
        <w:sz w:val="22"/>
        <w:szCs w:val="22"/>
      </w:rPr>
    </w:lvl>
    <w:lvl w:ilvl="1" w:tplc="6464E48A">
      <w:start w:val="1"/>
      <w:numFmt w:val="lowerLetter"/>
      <w:lvlText w:val="%2."/>
      <w:lvlJc w:val="left"/>
      <w:pPr>
        <w:tabs>
          <w:tab w:val="num" w:pos="1440"/>
        </w:tabs>
        <w:ind w:left="1440" w:hanging="360"/>
      </w:pPr>
      <w:rPr>
        <w:rFonts w:cs="Times New Roman"/>
        <w:color w:val="000000"/>
        <w:position w:val="0"/>
        <w:sz w:val="24"/>
        <w:szCs w:val="24"/>
      </w:rPr>
    </w:lvl>
    <w:lvl w:ilvl="2" w:tplc="0BCAABDC">
      <w:start w:val="1"/>
      <w:numFmt w:val="lowerRoman"/>
      <w:lvlText w:val="%3."/>
      <w:lvlJc w:val="left"/>
      <w:pPr>
        <w:tabs>
          <w:tab w:val="num" w:pos="2160"/>
        </w:tabs>
        <w:ind w:left="2160" w:hanging="296"/>
      </w:pPr>
      <w:rPr>
        <w:rFonts w:cs="Times New Roman"/>
        <w:color w:val="000000"/>
        <w:position w:val="0"/>
        <w:sz w:val="24"/>
        <w:szCs w:val="24"/>
      </w:rPr>
    </w:lvl>
    <w:lvl w:ilvl="3" w:tplc="8EC80572">
      <w:start w:val="1"/>
      <w:numFmt w:val="decimal"/>
      <w:lvlText w:val="%4."/>
      <w:lvlJc w:val="left"/>
      <w:pPr>
        <w:tabs>
          <w:tab w:val="num" w:pos="2880"/>
        </w:tabs>
        <w:ind w:left="2880" w:hanging="360"/>
      </w:pPr>
      <w:rPr>
        <w:rFonts w:cs="Times New Roman"/>
        <w:color w:val="000000"/>
        <w:position w:val="0"/>
        <w:sz w:val="24"/>
        <w:szCs w:val="24"/>
      </w:rPr>
    </w:lvl>
    <w:lvl w:ilvl="4" w:tplc="22A80894">
      <w:start w:val="1"/>
      <w:numFmt w:val="lowerLetter"/>
      <w:lvlText w:val="%5."/>
      <w:lvlJc w:val="left"/>
      <w:pPr>
        <w:tabs>
          <w:tab w:val="num" w:pos="3600"/>
        </w:tabs>
        <w:ind w:left="3600" w:hanging="360"/>
      </w:pPr>
      <w:rPr>
        <w:rFonts w:cs="Times New Roman"/>
        <w:color w:val="000000"/>
        <w:position w:val="0"/>
        <w:sz w:val="24"/>
        <w:szCs w:val="24"/>
      </w:rPr>
    </w:lvl>
    <w:lvl w:ilvl="5" w:tplc="7E5E68EE">
      <w:start w:val="1"/>
      <w:numFmt w:val="lowerRoman"/>
      <w:lvlText w:val="%6."/>
      <w:lvlJc w:val="left"/>
      <w:pPr>
        <w:tabs>
          <w:tab w:val="num" w:pos="4320"/>
        </w:tabs>
        <w:ind w:left="4320" w:hanging="296"/>
      </w:pPr>
      <w:rPr>
        <w:rFonts w:cs="Times New Roman"/>
        <w:color w:val="000000"/>
        <w:position w:val="0"/>
        <w:sz w:val="24"/>
        <w:szCs w:val="24"/>
      </w:rPr>
    </w:lvl>
    <w:lvl w:ilvl="6" w:tplc="D4FE9C7A">
      <w:start w:val="1"/>
      <w:numFmt w:val="decimal"/>
      <w:lvlText w:val="%7."/>
      <w:lvlJc w:val="left"/>
      <w:pPr>
        <w:tabs>
          <w:tab w:val="num" w:pos="5040"/>
        </w:tabs>
        <w:ind w:left="5040" w:hanging="360"/>
      </w:pPr>
      <w:rPr>
        <w:rFonts w:cs="Times New Roman"/>
        <w:color w:val="000000"/>
        <w:position w:val="0"/>
        <w:sz w:val="24"/>
        <w:szCs w:val="24"/>
      </w:rPr>
    </w:lvl>
    <w:lvl w:ilvl="7" w:tplc="9FD439C6">
      <w:start w:val="1"/>
      <w:numFmt w:val="lowerLetter"/>
      <w:lvlText w:val="%8."/>
      <w:lvlJc w:val="left"/>
      <w:pPr>
        <w:tabs>
          <w:tab w:val="num" w:pos="5760"/>
        </w:tabs>
        <w:ind w:left="5760" w:hanging="360"/>
      </w:pPr>
      <w:rPr>
        <w:rFonts w:cs="Times New Roman"/>
        <w:color w:val="000000"/>
        <w:position w:val="0"/>
        <w:sz w:val="24"/>
        <w:szCs w:val="24"/>
      </w:rPr>
    </w:lvl>
    <w:lvl w:ilvl="8" w:tplc="D6340CB2">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3" w15:restartNumberingAfterBreak="0">
    <w:nsid w:val="7871674E"/>
    <w:multiLevelType w:val="hybridMultilevel"/>
    <w:tmpl w:val="C44C4394"/>
    <w:styleLink w:val="List1"/>
    <w:lvl w:ilvl="0" w:tplc="A5122B56">
      <w:start w:val="13"/>
      <w:numFmt w:val="decimal"/>
      <w:lvlText w:val="%1."/>
      <w:lvlJc w:val="left"/>
      <w:pPr>
        <w:tabs>
          <w:tab w:val="num" w:pos="567"/>
        </w:tabs>
        <w:ind w:left="567" w:hanging="425"/>
      </w:pPr>
      <w:rPr>
        <w:rFonts w:cs="Times New Roman"/>
        <w:color w:val="000000"/>
        <w:position w:val="0"/>
        <w:sz w:val="24"/>
        <w:szCs w:val="24"/>
        <w:u w:color="000000"/>
      </w:rPr>
    </w:lvl>
    <w:lvl w:ilvl="1" w:tplc="F3BAD31C">
      <w:start w:val="1"/>
      <w:numFmt w:val="lowerLetter"/>
      <w:lvlText w:val="%2."/>
      <w:lvlJc w:val="left"/>
      <w:pPr>
        <w:tabs>
          <w:tab w:val="num" w:pos="1440"/>
        </w:tabs>
        <w:ind w:left="1440" w:hanging="360"/>
      </w:pPr>
      <w:rPr>
        <w:rFonts w:cs="Times New Roman"/>
        <w:color w:val="000000"/>
        <w:position w:val="0"/>
        <w:sz w:val="24"/>
        <w:szCs w:val="24"/>
        <w:u w:color="000000"/>
      </w:rPr>
    </w:lvl>
    <w:lvl w:ilvl="2" w:tplc="71B48DCC">
      <w:start w:val="1"/>
      <w:numFmt w:val="lowerRoman"/>
      <w:lvlText w:val="%3."/>
      <w:lvlJc w:val="left"/>
      <w:pPr>
        <w:tabs>
          <w:tab w:val="num" w:pos="2160"/>
        </w:tabs>
        <w:ind w:left="2160" w:hanging="296"/>
      </w:pPr>
      <w:rPr>
        <w:rFonts w:cs="Times New Roman"/>
        <w:color w:val="000000"/>
        <w:position w:val="0"/>
        <w:sz w:val="24"/>
        <w:szCs w:val="24"/>
        <w:u w:color="000000"/>
      </w:rPr>
    </w:lvl>
    <w:lvl w:ilvl="3" w:tplc="5EB6EB30">
      <w:start w:val="1"/>
      <w:numFmt w:val="decimal"/>
      <w:lvlText w:val="%4."/>
      <w:lvlJc w:val="left"/>
      <w:pPr>
        <w:tabs>
          <w:tab w:val="num" w:pos="2880"/>
        </w:tabs>
        <w:ind w:left="2880" w:hanging="360"/>
      </w:pPr>
      <w:rPr>
        <w:rFonts w:cs="Times New Roman"/>
        <w:color w:val="000000"/>
        <w:position w:val="0"/>
        <w:sz w:val="24"/>
        <w:szCs w:val="24"/>
        <w:u w:color="000000"/>
      </w:rPr>
    </w:lvl>
    <w:lvl w:ilvl="4" w:tplc="27287434">
      <w:start w:val="1"/>
      <w:numFmt w:val="lowerLetter"/>
      <w:lvlText w:val="%5."/>
      <w:lvlJc w:val="left"/>
      <w:pPr>
        <w:tabs>
          <w:tab w:val="num" w:pos="3600"/>
        </w:tabs>
        <w:ind w:left="3600" w:hanging="360"/>
      </w:pPr>
      <w:rPr>
        <w:rFonts w:cs="Times New Roman"/>
        <w:color w:val="000000"/>
        <w:position w:val="0"/>
        <w:sz w:val="24"/>
        <w:szCs w:val="24"/>
        <w:u w:color="000000"/>
      </w:rPr>
    </w:lvl>
    <w:lvl w:ilvl="5" w:tplc="4C9A06BC">
      <w:start w:val="1"/>
      <w:numFmt w:val="lowerRoman"/>
      <w:lvlText w:val="%6."/>
      <w:lvlJc w:val="left"/>
      <w:pPr>
        <w:tabs>
          <w:tab w:val="num" w:pos="4320"/>
        </w:tabs>
        <w:ind w:left="4320" w:hanging="296"/>
      </w:pPr>
      <w:rPr>
        <w:rFonts w:cs="Times New Roman"/>
        <w:color w:val="000000"/>
        <w:position w:val="0"/>
        <w:sz w:val="24"/>
        <w:szCs w:val="24"/>
        <w:u w:color="000000"/>
      </w:rPr>
    </w:lvl>
    <w:lvl w:ilvl="6" w:tplc="D9C03C20">
      <w:start w:val="1"/>
      <w:numFmt w:val="decimal"/>
      <w:lvlText w:val="%7."/>
      <w:lvlJc w:val="left"/>
      <w:pPr>
        <w:tabs>
          <w:tab w:val="num" w:pos="5040"/>
        </w:tabs>
        <w:ind w:left="5040" w:hanging="360"/>
      </w:pPr>
      <w:rPr>
        <w:rFonts w:cs="Times New Roman"/>
        <w:color w:val="000000"/>
        <w:position w:val="0"/>
        <w:sz w:val="24"/>
        <w:szCs w:val="24"/>
        <w:u w:color="000000"/>
      </w:rPr>
    </w:lvl>
    <w:lvl w:ilvl="7" w:tplc="F098C1EA">
      <w:start w:val="1"/>
      <w:numFmt w:val="lowerLetter"/>
      <w:lvlText w:val="%8."/>
      <w:lvlJc w:val="left"/>
      <w:pPr>
        <w:tabs>
          <w:tab w:val="num" w:pos="5760"/>
        </w:tabs>
        <w:ind w:left="5760" w:hanging="360"/>
      </w:pPr>
      <w:rPr>
        <w:rFonts w:cs="Times New Roman"/>
        <w:color w:val="000000"/>
        <w:position w:val="0"/>
        <w:sz w:val="24"/>
        <w:szCs w:val="24"/>
        <w:u w:color="000000"/>
      </w:rPr>
    </w:lvl>
    <w:lvl w:ilvl="8" w:tplc="CFBC12E4">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14" w15:restartNumberingAfterBreak="0">
    <w:nsid w:val="7DF857E2"/>
    <w:multiLevelType w:val="hybridMultilevel"/>
    <w:tmpl w:val="5F84D84E"/>
    <w:styleLink w:val="Lista41"/>
    <w:lvl w:ilvl="0" w:tplc="53B4952A">
      <w:start w:val="1"/>
      <w:numFmt w:val="lowerLetter"/>
      <w:lvlText w:val="%1."/>
      <w:lvlJc w:val="left"/>
      <w:pPr>
        <w:tabs>
          <w:tab w:val="num" w:pos="851"/>
        </w:tabs>
        <w:ind w:left="851" w:hanging="284"/>
      </w:pPr>
      <w:rPr>
        <w:rFonts w:cs="Times New Roman"/>
        <w:color w:val="000000"/>
        <w:position w:val="0"/>
        <w:sz w:val="22"/>
        <w:szCs w:val="22"/>
        <w:u w:color="000000"/>
      </w:rPr>
    </w:lvl>
    <w:lvl w:ilvl="1" w:tplc="DC148B3A">
      <w:start w:val="1"/>
      <w:numFmt w:val="decimal"/>
      <w:lvlText w:val="%2."/>
      <w:lvlJc w:val="left"/>
      <w:pPr>
        <w:tabs>
          <w:tab w:val="num" w:pos="1790"/>
        </w:tabs>
        <w:ind w:left="1790" w:hanging="360"/>
      </w:pPr>
      <w:rPr>
        <w:rFonts w:cs="Times New Roman"/>
        <w:color w:val="000000"/>
        <w:position w:val="0"/>
        <w:sz w:val="24"/>
        <w:szCs w:val="24"/>
        <w:u w:color="000000"/>
      </w:rPr>
    </w:lvl>
    <w:lvl w:ilvl="2" w:tplc="C276AF8E">
      <w:start w:val="1"/>
      <w:numFmt w:val="lowerRoman"/>
      <w:lvlText w:val="%3."/>
      <w:lvlJc w:val="left"/>
      <w:pPr>
        <w:tabs>
          <w:tab w:val="num" w:pos="2510"/>
        </w:tabs>
        <w:ind w:left="2510" w:hanging="296"/>
      </w:pPr>
      <w:rPr>
        <w:rFonts w:cs="Times New Roman"/>
        <w:color w:val="000000"/>
        <w:position w:val="0"/>
        <w:sz w:val="24"/>
        <w:szCs w:val="24"/>
        <w:u w:color="000000"/>
      </w:rPr>
    </w:lvl>
    <w:lvl w:ilvl="3" w:tplc="533A28F8">
      <w:start w:val="1"/>
      <w:numFmt w:val="decimal"/>
      <w:lvlText w:val="%4."/>
      <w:lvlJc w:val="left"/>
      <w:pPr>
        <w:tabs>
          <w:tab w:val="num" w:pos="3230"/>
        </w:tabs>
        <w:ind w:left="3230" w:hanging="360"/>
      </w:pPr>
      <w:rPr>
        <w:rFonts w:cs="Times New Roman"/>
        <w:color w:val="000000"/>
        <w:position w:val="0"/>
        <w:sz w:val="24"/>
        <w:szCs w:val="24"/>
        <w:u w:color="000000"/>
      </w:rPr>
    </w:lvl>
    <w:lvl w:ilvl="4" w:tplc="1E808BFA">
      <w:start w:val="1"/>
      <w:numFmt w:val="lowerLetter"/>
      <w:lvlText w:val="%5."/>
      <w:lvlJc w:val="left"/>
      <w:pPr>
        <w:tabs>
          <w:tab w:val="num" w:pos="3950"/>
        </w:tabs>
        <w:ind w:left="3950" w:hanging="360"/>
      </w:pPr>
      <w:rPr>
        <w:rFonts w:cs="Times New Roman"/>
        <w:color w:val="000000"/>
        <w:position w:val="0"/>
        <w:sz w:val="24"/>
        <w:szCs w:val="24"/>
        <w:u w:color="000000"/>
      </w:rPr>
    </w:lvl>
    <w:lvl w:ilvl="5" w:tplc="9EE42892">
      <w:start w:val="1"/>
      <w:numFmt w:val="lowerRoman"/>
      <w:lvlText w:val="%6."/>
      <w:lvlJc w:val="left"/>
      <w:pPr>
        <w:tabs>
          <w:tab w:val="num" w:pos="4670"/>
        </w:tabs>
        <w:ind w:left="4670" w:hanging="296"/>
      </w:pPr>
      <w:rPr>
        <w:rFonts w:cs="Times New Roman"/>
        <w:color w:val="000000"/>
        <w:position w:val="0"/>
        <w:sz w:val="24"/>
        <w:szCs w:val="24"/>
        <w:u w:color="000000"/>
      </w:rPr>
    </w:lvl>
    <w:lvl w:ilvl="6" w:tplc="AC20C714">
      <w:start w:val="1"/>
      <w:numFmt w:val="decimal"/>
      <w:lvlText w:val="%7."/>
      <w:lvlJc w:val="left"/>
      <w:pPr>
        <w:tabs>
          <w:tab w:val="num" w:pos="5390"/>
        </w:tabs>
        <w:ind w:left="5390" w:hanging="360"/>
      </w:pPr>
      <w:rPr>
        <w:rFonts w:cs="Times New Roman"/>
        <w:color w:val="000000"/>
        <w:position w:val="0"/>
        <w:sz w:val="24"/>
        <w:szCs w:val="24"/>
        <w:u w:color="000000"/>
      </w:rPr>
    </w:lvl>
    <w:lvl w:ilvl="7" w:tplc="FBC2DE88">
      <w:start w:val="1"/>
      <w:numFmt w:val="lowerLetter"/>
      <w:lvlText w:val="%8."/>
      <w:lvlJc w:val="left"/>
      <w:pPr>
        <w:tabs>
          <w:tab w:val="num" w:pos="6110"/>
        </w:tabs>
        <w:ind w:left="6110" w:hanging="360"/>
      </w:pPr>
      <w:rPr>
        <w:rFonts w:cs="Times New Roman"/>
        <w:color w:val="000000"/>
        <w:position w:val="0"/>
        <w:sz w:val="24"/>
        <w:szCs w:val="24"/>
        <w:u w:color="000000"/>
      </w:rPr>
    </w:lvl>
    <w:lvl w:ilvl="8" w:tplc="849AAF08">
      <w:start w:val="1"/>
      <w:numFmt w:val="lowerRoman"/>
      <w:lvlText w:val="%9."/>
      <w:lvlJc w:val="left"/>
      <w:pPr>
        <w:tabs>
          <w:tab w:val="num" w:pos="6830"/>
        </w:tabs>
        <w:ind w:left="6830" w:hanging="296"/>
      </w:pPr>
      <w:rPr>
        <w:rFonts w:cs="Times New Roman"/>
        <w:color w:val="000000"/>
        <w:position w:val="0"/>
        <w:sz w:val="24"/>
        <w:szCs w:val="24"/>
        <w:u w:color="000000"/>
      </w:rPr>
    </w:lvl>
  </w:abstractNum>
  <w:num w:numId="1">
    <w:abstractNumId w:val="12"/>
  </w:num>
  <w:num w:numId="2">
    <w:abstractNumId w:val="6"/>
  </w:num>
  <w:num w:numId="3">
    <w:abstractNumId w:val="3"/>
  </w:num>
  <w:num w:numId="4">
    <w:abstractNumId w:val="14"/>
  </w:num>
  <w:num w:numId="5">
    <w:abstractNumId w:val="13"/>
  </w:num>
  <w:num w:numId="6">
    <w:abstractNumId w:val="10"/>
  </w:num>
  <w:num w:numId="7">
    <w:abstractNumId w:val="2"/>
  </w:num>
  <w:num w:numId="8">
    <w:abstractNumId w:val="7"/>
  </w:num>
  <w:num w:numId="9">
    <w:abstractNumId w:val="11"/>
  </w:num>
  <w:num w:numId="10">
    <w:abstractNumId w:val="8"/>
  </w:num>
  <w:num w:numId="11">
    <w:abstractNumId w:val="9"/>
  </w:num>
  <w:num w:numId="12">
    <w:abstractNumId w:val="1"/>
  </w:num>
  <w:num w:numId="13">
    <w:abstractNumId w:val="5"/>
  </w:num>
  <w:num w:numId="14">
    <w:abstractNumId w:val="4"/>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pt-BR"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CO"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00E"/>
    <w:rsid w:val="00000ACF"/>
    <w:rsid w:val="000019F3"/>
    <w:rsid w:val="000042D1"/>
    <w:rsid w:val="000043E7"/>
    <w:rsid w:val="000047CF"/>
    <w:rsid w:val="00005842"/>
    <w:rsid w:val="00006C69"/>
    <w:rsid w:val="00007DE8"/>
    <w:rsid w:val="000117F6"/>
    <w:rsid w:val="000118FA"/>
    <w:rsid w:val="00011BC9"/>
    <w:rsid w:val="00015573"/>
    <w:rsid w:val="00016A3F"/>
    <w:rsid w:val="00017632"/>
    <w:rsid w:val="0001770D"/>
    <w:rsid w:val="0002122D"/>
    <w:rsid w:val="000222FB"/>
    <w:rsid w:val="00022B0B"/>
    <w:rsid w:val="0002428D"/>
    <w:rsid w:val="00024609"/>
    <w:rsid w:val="0002469B"/>
    <w:rsid w:val="00024A2E"/>
    <w:rsid w:val="00025A7C"/>
    <w:rsid w:val="00025EE6"/>
    <w:rsid w:val="0002637C"/>
    <w:rsid w:val="00026DC0"/>
    <w:rsid w:val="00026E27"/>
    <w:rsid w:val="0002748A"/>
    <w:rsid w:val="00031450"/>
    <w:rsid w:val="00031458"/>
    <w:rsid w:val="00032698"/>
    <w:rsid w:val="00032DD2"/>
    <w:rsid w:val="00032FD0"/>
    <w:rsid w:val="00036005"/>
    <w:rsid w:val="00036122"/>
    <w:rsid w:val="0003653F"/>
    <w:rsid w:val="00036A60"/>
    <w:rsid w:val="00036D1D"/>
    <w:rsid w:val="00037138"/>
    <w:rsid w:val="00040A81"/>
    <w:rsid w:val="00042E5F"/>
    <w:rsid w:val="00045844"/>
    <w:rsid w:val="00045E99"/>
    <w:rsid w:val="00047101"/>
    <w:rsid w:val="00047123"/>
    <w:rsid w:val="00050116"/>
    <w:rsid w:val="00050C94"/>
    <w:rsid w:val="000520D8"/>
    <w:rsid w:val="00052DF4"/>
    <w:rsid w:val="00052FAF"/>
    <w:rsid w:val="00053566"/>
    <w:rsid w:val="000547A9"/>
    <w:rsid w:val="0005741D"/>
    <w:rsid w:val="000577EE"/>
    <w:rsid w:val="000602FF"/>
    <w:rsid w:val="00060F77"/>
    <w:rsid w:val="00061911"/>
    <w:rsid w:val="0006413E"/>
    <w:rsid w:val="00064B7C"/>
    <w:rsid w:val="00064D89"/>
    <w:rsid w:val="000654E7"/>
    <w:rsid w:val="000667E3"/>
    <w:rsid w:val="00066ED3"/>
    <w:rsid w:val="00066F31"/>
    <w:rsid w:val="000670DF"/>
    <w:rsid w:val="0006755D"/>
    <w:rsid w:val="0006780F"/>
    <w:rsid w:val="00070CAC"/>
    <w:rsid w:val="00071531"/>
    <w:rsid w:val="0007174A"/>
    <w:rsid w:val="00072824"/>
    <w:rsid w:val="000729FE"/>
    <w:rsid w:val="00072D6E"/>
    <w:rsid w:val="000735C6"/>
    <w:rsid w:val="00076C5E"/>
    <w:rsid w:val="00076CF6"/>
    <w:rsid w:val="0008040D"/>
    <w:rsid w:val="00080547"/>
    <w:rsid w:val="00080CC6"/>
    <w:rsid w:val="00082C66"/>
    <w:rsid w:val="0008315B"/>
    <w:rsid w:val="000861A9"/>
    <w:rsid w:val="000862EE"/>
    <w:rsid w:val="00086490"/>
    <w:rsid w:val="00086E94"/>
    <w:rsid w:val="00087D52"/>
    <w:rsid w:val="0009292A"/>
    <w:rsid w:val="00093E1E"/>
    <w:rsid w:val="00093F43"/>
    <w:rsid w:val="00094A0D"/>
    <w:rsid w:val="00094B65"/>
    <w:rsid w:val="0009564A"/>
    <w:rsid w:val="00095B3B"/>
    <w:rsid w:val="00095C3D"/>
    <w:rsid w:val="0009617A"/>
    <w:rsid w:val="00096BB6"/>
    <w:rsid w:val="000A0FD9"/>
    <w:rsid w:val="000A163D"/>
    <w:rsid w:val="000A2539"/>
    <w:rsid w:val="000A3962"/>
    <w:rsid w:val="000A3B6A"/>
    <w:rsid w:val="000A3BAA"/>
    <w:rsid w:val="000A484D"/>
    <w:rsid w:val="000A571B"/>
    <w:rsid w:val="000A6737"/>
    <w:rsid w:val="000A6D1C"/>
    <w:rsid w:val="000A7143"/>
    <w:rsid w:val="000A79DF"/>
    <w:rsid w:val="000A7B5F"/>
    <w:rsid w:val="000B28FA"/>
    <w:rsid w:val="000B2DDD"/>
    <w:rsid w:val="000B34E6"/>
    <w:rsid w:val="000B3E25"/>
    <w:rsid w:val="000B4019"/>
    <w:rsid w:val="000B4DEB"/>
    <w:rsid w:val="000B5DF8"/>
    <w:rsid w:val="000B6537"/>
    <w:rsid w:val="000C102C"/>
    <w:rsid w:val="000C1558"/>
    <w:rsid w:val="000C200B"/>
    <w:rsid w:val="000C20D8"/>
    <w:rsid w:val="000C253B"/>
    <w:rsid w:val="000C63C8"/>
    <w:rsid w:val="000C6D8A"/>
    <w:rsid w:val="000C7517"/>
    <w:rsid w:val="000C764C"/>
    <w:rsid w:val="000D2BDF"/>
    <w:rsid w:val="000D5D87"/>
    <w:rsid w:val="000E1270"/>
    <w:rsid w:val="000E1939"/>
    <w:rsid w:val="000E2776"/>
    <w:rsid w:val="000E3B72"/>
    <w:rsid w:val="000E7014"/>
    <w:rsid w:val="000E7A8B"/>
    <w:rsid w:val="000E7C68"/>
    <w:rsid w:val="000F0202"/>
    <w:rsid w:val="000F04E0"/>
    <w:rsid w:val="000F057E"/>
    <w:rsid w:val="000F0FAB"/>
    <w:rsid w:val="000F133A"/>
    <w:rsid w:val="000F188F"/>
    <w:rsid w:val="000F1922"/>
    <w:rsid w:val="000F2191"/>
    <w:rsid w:val="000F24CB"/>
    <w:rsid w:val="000F29D0"/>
    <w:rsid w:val="000F3596"/>
    <w:rsid w:val="000F3B1E"/>
    <w:rsid w:val="000F664E"/>
    <w:rsid w:val="000F6BE5"/>
    <w:rsid w:val="000F7186"/>
    <w:rsid w:val="000F7F0A"/>
    <w:rsid w:val="00100BA1"/>
    <w:rsid w:val="00100F27"/>
    <w:rsid w:val="0010201C"/>
    <w:rsid w:val="00102AD2"/>
    <w:rsid w:val="0010348D"/>
    <w:rsid w:val="00103DBF"/>
    <w:rsid w:val="00104896"/>
    <w:rsid w:val="00105FCF"/>
    <w:rsid w:val="001067FD"/>
    <w:rsid w:val="00106813"/>
    <w:rsid w:val="0010688A"/>
    <w:rsid w:val="00107C5C"/>
    <w:rsid w:val="00107E02"/>
    <w:rsid w:val="00110E95"/>
    <w:rsid w:val="00110FA1"/>
    <w:rsid w:val="00111015"/>
    <w:rsid w:val="00111B4B"/>
    <w:rsid w:val="00112250"/>
    <w:rsid w:val="001123F9"/>
    <w:rsid w:val="0011297E"/>
    <w:rsid w:val="0011373B"/>
    <w:rsid w:val="001140D3"/>
    <w:rsid w:val="00114190"/>
    <w:rsid w:val="00115455"/>
    <w:rsid w:val="00115658"/>
    <w:rsid w:val="00115EF7"/>
    <w:rsid w:val="00116202"/>
    <w:rsid w:val="00116733"/>
    <w:rsid w:val="00116EA8"/>
    <w:rsid w:val="001173F5"/>
    <w:rsid w:val="00121952"/>
    <w:rsid w:val="0012239F"/>
    <w:rsid w:val="00122E83"/>
    <w:rsid w:val="00123054"/>
    <w:rsid w:val="0012357A"/>
    <w:rsid w:val="00124943"/>
    <w:rsid w:val="00124B14"/>
    <w:rsid w:val="00125314"/>
    <w:rsid w:val="001261DB"/>
    <w:rsid w:val="00126260"/>
    <w:rsid w:val="00126E07"/>
    <w:rsid w:val="00127D05"/>
    <w:rsid w:val="001301E3"/>
    <w:rsid w:val="00130B04"/>
    <w:rsid w:val="0013319B"/>
    <w:rsid w:val="00133421"/>
    <w:rsid w:val="0013416E"/>
    <w:rsid w:val="001344BD"/>
    <w:rsid w:val="001352A8"/>
    <w:rsid w:val="00135BBE"/>
    <w:rsid w:val="00136A78"/>
    <w:rsid w:val="001409EE"/>
    <w:rsid w:val="00141226"/>
    <w:rsid w:val="001415AE"/>
    <w:rsid w:val="00141ADD"/>
    <w:rsid w:val="00143630"/>
    <w:rsid w:val="00144E03"/>
    <w:rsid w:val="00145784"/>
    <w:rsid w:val="001467D3"/>
    <w:rsid w:val="00146F53"/>
    <w:rsid w:val="00147053"/>
    <w:rsid w:val="00150101"/>
    <w:rsid w:val="0015013C"/>
    <w:rsid w:val="00150B24"/>
    <w:rsid w:val="00151274"/>
    <w:rsid w:val="001513A2"/>
    <w:rsid w:val="00151B31"/>
    <w:rsid w:val="001529B5"/>
    <w:rsid w:val="00152E2D"/>
    <w:rsid w:val="00152FFD"/>
    <w:rsid w:val="0015337C"/>
    <w:rsid w:val="001536B9"/>
    <w:rsid w:val="00154924"/>
    <w:rsid w:val="00155E28"/>
    <w:rsid w:val="00156509"/>
    <w:rsid w:val="001568E7"/>
    <w:rsid w:val="001607AC"/>
    <w:rsid w:val="00160BF3"/>
    <w:rsid w:val="0016191D"/>
    <w:rsid w:val="00162817"/>
    <w:rsid w:val="00163AD5"/>
    <w:rsid w:val="001677B2"/>
    <w:rsid w:val="00167A8F"/>
    <w:rsid w:val="00170CFB"/>
    <w:rsid w:val="00174372"/>
    <w:rsid w:val="001751AC"/>
    <w:rsid w:val="00175738"/>
    <w:rsid w:val="001758E7"/>
    <w:rsid w:val="00176111"/>
    <w:rsid w:val="00177A72"/>
    <w:rsid w:val="001827AD"/>
    <w:rsid w:val="00182D12"/>
    <w:rsid w:val="0018356D"/>
    <w:rsid w:val="00183969"/>
    <w:rsid w:val="00183DB5"/>
    <w:rsid w:val="00184AF5"/>
    <w:rsid w:val="00185072"/>
    <w:rsid w:val="00186554"/>
    <w:rsid w:val="00187B09"/>
    <w:rsid w:val="00190217"/>
    <w:rsid w:val="00192BD0"/>
    <w:rsid w:val="001948E6"/>
    <w:rsid w:val="00194DD6"/>
    <w:rsid w:val="00194F29"/>
    <w:rsid w:val="001954BE"/>
    <w:rsid w:val="00196A6A"/>
    <w:rsid w:val="00197EDB"/>
    <w:rsid w:val="001A0B0B"/>
    <w:rsid w:val="001A120E"/>
    <w:rsid w:val="001A127D"/>
    <w:rsid w:val="001A2460"/>
    <w:rsid w:val="001A2720"/>
    <w:rsid w:val="001A3910"/>
    <w:rsid w:val="001A3F30"/>
    <w:rsid w:val="001A3FDB"/>
    <w:rsid w:val="001A5260"/>
    <w:rsid w:val="001A5656"/>
    <w:rsid w:val="001A7660"/>
    <w:rsid w:val="001A7B89"/>
    <w:rsid w:val="001A7DBB"/>
    <w:rsid w:val="001B064A"/>
    <w:rsid w:val="001B0848"/>
    <w:rsid w:val="001B098D"/>
    <w:rsid w:val="001B12F6"/>
    <w:rsid w:val="001B17B3"/>
    <w:rsid w:val="001B1C32"/>
    <w:rsid w:val="001B1E94"/>
    <w:rsid w:val="001B27A5"/>
    <w:rsid w:val="001B38FD"/>
    <w:rsid w:val="001B39E1"/>
    <w:rsid w:val="001B5162"/>
    <w:rsid w:val="001B6A74"/>
    <w:rsid w:val="001B7993"/>
    <w:rsid w:val="001C0F2F"/>
    <w:rsid w:val="001C24BF"/>
    <w:rsid w:val="001C2A6C"/>
    <w:rsid w:val="001C340B"/>
    <w:rsid w:val="001C65EC"/>
    <w:rsid w:val="001C7BCC"/>
    <w:rsid w:val="001C7CF9"/>
    <w:rsid w:val="001D0FFC"/>
    <w:rsid w:val="001D1742"/>
    <w:rsid w:val="001D2A0E"/>
    <w:rsid w:val="001D2CBC"/>
    <w:rsid w:val="001D324A"/>
    <w:rsid w:val="001D3BC1"/>
    <w:rsid w:val="001D44C2"/>
    <w:rsid w:val="001D500E"/>
    <w:rsid w:val="001D51DC"/>
    <w:rsid w:val="001D5996"/>
    <w:rsid w:val="001D64F3"/>
    <w:rsid w:val="001D718B"/>
    <w:rsid w:val="001D7597"/>
    <w:rsid w:val="001D7E6A"/>
    <w:rsid w:val="001E1E4C"/>
    <w:rsid w:val="001E21C6"/>
    <w:rsid w:val="001E2B3E"/>
    <w:rsid w:val="001E3842"/>
    <w:rsid w:val="001E7583"/>
    <w:rsid w:val="001E7AFA"/>
    <w:rsid w:val="001E7BEF"/>
    <w:rsid w:val="001E7C5D"/>
    <w:rsid w:val="001F0625"/>
    <w:rsid w:val="001F1AB3"/>
    <w:rsid w:val="001F1B2D"/>
    <w:rsid w:val="001F1CA0"/>
    <w:rsid w:val="001F23A0"/>
    <w:rsid w:val="001F2EFF"/>
    <w:rsid w:val="001F3867"/>
    <w:rsid w:val="001F3A89"/>
    <w:rsid w:val="001F47C7"/>
    <w:rsid w:val="001F4B3F"/>
    <w:rsid w:val="001F63ED"/>
    <w:rsid w:val="001F6C33"/>
    <w:rsid w:val="001F7B32"/>
    <w:rsid w:val="00201123"/>
    <w:rsid w:val="00203AAB"/>
    <w:rsid w:val="00204040"/>
    <w:rsid w:val="00204FB6"/>
    <w:rsid w:val="00205492"/>
    <w:rsid w:val="002061A4"/>
    <w:rsid w:val="0020666B"/>
    <w:rsid w:val="002076B7"/>
    <w:rsid w:val="00211201"/>
    <w:rsid w:val="00211D3F"/>
    <w:rsid w:val="0021451C"/>
    <w:rsid w:val="002157F6"/>
    <w:rsid w:val="002158C8"/>
    <w:rsid w:val="00215A27"/>
    <w:rsid w:val="002177CB"/>
    <w:rsid w:val="00217F8E"/>
    <w:rsid w:val="00220185"/>
    <w:rsid w:val="0022071F"/>
    <w:rsid w:val="00221374"/>
    <w:rsid w:val="00221D54"/>
    <w:rsid w:val="00222145"/>
    <w:rsid w:val="002250F1"/>
    <w:rsid w:val="002253E2"/>
    <w:rsid w:val="0022621C"/>
    <w:rsid w:val="00226A4C"/>
    <w:rsid w:val="00230CC9"/>
    <w:rsid w:val="0023141B"/>
    <w:rsid w:val="0023159D"/>
    <w:rsid w:val="002315C3"/>
    <w:rsid w:val="00231A0A"/>
    <w:rsid w:val="00232BB4"/>
    <w:rsid w:val="00235799"/>
    <w:rsid w:val="002366F8"/>
    <w:rsid w:val="0024004F"/>
    <w:rsid w:val="00240B69"/>
    <w:rsid w:val="0024176B"/>
    <w:rsid w:val="00242CAE"/>
    <w:rsid w:val="002435E2"/>
    <w:rsid w:val="00243613"/>
    <w:rsid w:val="0024366E"/>
    <w:rsid w:val="002446DA"/>
    <w:rsid w:val="00247B58"/>
    <w:rsid w:val="00247CA8"/>
    <w:rsid w:val="00250156"/>
    <w:rsid w:val="00251B37"/>
    <w:rsid w:val="002520D5"/>
    <w:rsid w:val="00252477"/>
    <w:rsid w:val="00253666"/>
    <w:rsid w:val="00253952"/>
    <w:rsid w:val="00253A5A"/>
    <w:rsid w:val="00253C91"/>
    <w:rsid w:val="002547DF"/>
    <w:rsid w:val="00254F0A"/>
    <w:rsid w:val="00255BAE"/>
    <w:rsid w:val="00255D99"/>
    <w:rsid w:val="00256998"/>
    <w:rsid w:val="002573A6"/>
    <w:rsid w:val="002575FB"/>
    <w:rsid w:val="00260211"/>
    <w:rsid w:val="00260FB0"/>
    <w:rsid w:val="0026163B"/>
    <w:rsid w:val="00263374"/>
    <w:rsid w:val="0026475B"/>
    <w:rsid w:val="0026578C"/>
    <w:rsid w:val="0027169B"/>
    <w:rsid w:val="00271DF5"/>
    <w:rsid w:val="002721D7"/>
    <w:rsid w:val="002723B3"/>
    <w:rsid w:val="0027313A"/>
    <w:rsid w:val="002735AF"/>
    <w:rsid w:val="00275442"/>
    <w:rsid w:val="00275F80"/>
    <w:rsid w:val="00276367"/>
    <w:rsid w:val="00276D13"/>
    <w:rsid w:val="0027741D"/>
    <w:rsid w:val="00277C64"/>
    <w:rsid w:val="00283171"/>
    <w:rsid w:val="00283618"/>
    <w:rsid w:val="00283A30"/>
    <w:rsid w:val="00284480"/>
    <w:rsid w:val="00285E19"/>
    <w:rsid w:val="002900A9"/>
    <w:rsid w:val="00291C5B"/>
    <w:rsid w:val="002945A5"/>
    <w:rsid w:val="0029500B"/>
    <w:rsid w:val="0029512C"/>
    <w:rsid w:val="002957E0"/>
    <w:rsid w:val="00295915"/>
    <w:rsid w:val="00295C0B"/>
    <w:rsid w:val="0029707B"/>
    <w:rsid w:val="00297A0C"/>
    <w:rsid w:val="002A063C"/>
    <w:rsid w:val="002A1A35"/>
    <w:rsid w:val="002A2134"/>
    <w:rsid w:val="002A262E"/>
    <w:rsid w:val="002A281A"/>
    <w:rsid w:val="002A2963"/>
    <w:rsid w:val="002A2AA6"/>
    <w:rsid w:val="002A31F4"/>
    <w:rsid w:val="002A3E24"/>
    <w:rsid w:val="002A41C6"/>
    <w:rsid w:val="002A5273"/>
    <w:rsid w:val="002A6E20"/>
    <w:rsid w:val="002A7F0A"/>
    <w:rsid w:val="002B054E"/>
    <w:rsid w:val="002B0CDE"/>
    <w:rsid w:val="002B1D92"/>
    <w:rsid w:val="002B2BCB"/>
    <w:rsid w:val="002B3166"/>
    <w:rsid w:val="002B45DA"/>
    <w:rsid w:val="002B5CA7"/>
    <w:rsid w:val="002B6117"/>
    <w:rsid w:val="002B6233"/>
    <w:rsid w:val="002B6835"/>
    <w:rsid w:val="002B6B94"/>
    <w:rsid w:val="002B74A8"/>
    <w:rsid w:val="002B7774"/>
    <w:rsid w:val="002C18A8"/>
    <w:rsid w:val="002C1A83"/>
    <w:rsid w:val="002C206A"/>
    <w:rsid w:val="002C2526"/>
    <w:rsid w:val="002C399C"/>
    <w:rsid w:val="002C7149"/>
    <w:rsid w:val="002C7AB1"/>
    <w:rsid w:val="002D072D"/>
    <w:rsid w:val="002D14B5"/>
    <w:rsid w:val="002D1D29"/>
    <w:rsid w:val="002D33BC"/>
    <w:rsid w:val="002D5355"/>
    <w:rsid w:val="002D63DA"/>
    <w:rsid w:val="002D78CA"/>
    <w:rsid w:val="002E4D47"/>
    <w:rsid w:val="002E57DB"/>
    <w:rsid w:val="002E5E02"/>
    <w:rsid w:val="002E639F"/>
    <w:rsid w:val="002E6C96"/>
    <w:rsid w:val="002E6F47"/>
    <w:rsid w:val="002E785E"/>
    <w:rsid w:val="002F0DE5"/>
    <w:rsid w:val="002F2920"/>
    <w:rsid w:val="002F56A2"/>
    <w:rsid w:val="002F61D9"/>
    <w:rsid w:val="002F62EE"/>
    <w:rsid w:val="002F6B33"/>
    <w:rsid w:val="002F7A76"/>
    <w:rsid w:val="00300980"/>
    <w:rsid w:val="00300E25"/>
    <w:rsid w:val="0030150E"/>
    <w:rsid w:val="00301C1F"/>
    <w:rsid w:val="00301F46"/>
    <w:rsid w:val="003041BF"/>
    <w:rsid w:val="00304B36"/>
    <w:rsid w:val="0030591D"/>
    <w:rsid w:val="00305CD1"/>
    <w:rsid w:val="00305F32"/>
    <w:rsid w:val="0030698F"/>
    <w:rsid w:val="00310917"/>
    <w:rsid w:val="00310FEF"/>
    <w:rsid w:val="003110DF"/>
    <w:rsid w:val="00311641"/>
    <w:rsid w:val="00311CE8"/>
    <w:rsid w:val="003145EE"/>
    <w:rsid w:val="00314DA8"/>
    <w:rsid w:val="00315691"/>
    <w:rsid w:val="00317B93"/>
    <w:rsid w:val="00320074"/>
    <w:rsid w:val="003201AD"/>
    <w:rsid w:val="00320494"/>
    <w:rsid w:val="00320EFB"/>
    <w:rsid w:val="00322121"/>
    <w:rsid w:val="00322FAD"/>
    <w:rsid w:val="003236EC"/>
    <w:rsid w:val="00324662"/>
    <w:rsid w:val="00324E8E"/>
    <w:rsid w:val="003265BB"/>
    <w:rsid w:val="003266C6"/>
    <w:rsid w:val="003314D7"/>
    <w:rsid w:val="003326A6"/>
    <w:rsid w:val="0033390C"/>
    <w:rsid w:val="0033474A"/>
    <w:rsid w:val="00334A57"/>
    <w:rsid w:val="0033773E"/>
    <w:rsid w:val="003427F9"/>
    <w:rsid w:val="00344C47"/>
    <w:rsid w:val="00344C4E"/>
    <w:rsid w:val="0035093E"/>
    <w:rsid w:val="00351174"/>
    <w:rsid w:val="00351728"/>
    <w:rsid w:val="00352406"/>
    <w:rsid w:val="0035279D"/>
    <w:rsid w:val="0035441B"/>
    <w:rsid w:val="003546AB"/>
    <w:rsid w:val="00354ADD"/>
    <w:rsid w:val="003550AC"/>
    <w:rsid w:val="003555E5"/>
    <w:rsid w:val="00356528"/>
    <w:rsid w:val="00357416"/>
    <w:rsid w:val="0035794A"/>
    <w:rsid w:val="00357B0E"/>
    <w:rsid w:val="00357B83"/>
    <w:rsid w:val="00360711"/>
    <w:rsid w:val="00360F62"/>
    <w:rsid w:val="00361428"/>
    <w:rsid w:val="00361998"/>
    <w:rsid w:val="003620B2"/>
    <w:rsid w:val="0036244C"/>
    <w:rsid w:val="00362494"/>
    <w:rsid w:val="003628B3"/>
    <w:rsid w:val="00367B55"/>
    <w:rsid w:val="003723B3"/>
    <w:rsid w:val="003727E8"/>
    <w:rsid w:val="00372C21"/>
    <w:rsid w:val="00372F22"/>
    <w:rsid w:val="00373373"/>
    <w:rsid w:val="00373850"/>
    <w:rsid w:val="00373968"/>
    <w:rsid w:val="00373FA0"/>
    <w:rsid w:val="0037405F"/>
    <w:rsid w:val="00375196"/>
    <w:rsid w:val="0037531B"/>
    <w:rsid w:val="00375E9C"/>
    <w:rsid w:val="003767D5"/>
    <w:rsid w:val="00376B03"/>
    <w:rsid w:val="00377F46"/>
    <w:rsid w:val="00377FBA"/>
    <w:rsid w:val="003808A5"/>
    <w:rsid w:val="00380B56"/>
    <w:rsid w:val="003810C8"/>
    <w:rsid w:val="00381DB3"/>
    <w:rsid w:val="003825CE"/>
    <w:rsid w:val="00383A6B"/>
    <w:rsid w:val="00386E92"/>
    <w:rsid w:val="0038717D"/>
    <w:rsid w:val="003871C5"/>
    <w:rsid w:val="00387417"/>
    <w:rsid w:val="00390120"/>
    <w:rsid w:val="00390C94"/>
    <w:rsid w:val="00390F97"/>
    <w:rsid w:val="003914A3"/>
    <w:rsid w:val="00391C39"/>
    <w:rsid w:val="00391EEC"/>
    <w:rsid w:val="00393AAF"/>
    <w:rsid w:val="00395109"/>
    <w:rsid w:val="003957AA"/>
    <w:rsid w:val="00395C73"/>
    <w:rsid w:val="003961BD"/>
    <w:rsid w:val="00397259"/>
    <w:rsid w:val="00397359"/>
    <w:rsid w:val="003979A7"/>
    <w:rsid w:val="003A1024"/>
    <w:rsid w:val="003A221E"/>
    <w:rsid w:val="003A35AC"/>
    <w:rsid w:val="003A41E8"/>
    <w:rsid w:val="003A4465"/>
    <w:rsid w:val="003A4765"/>
    <w:rsid w:val="003A493D"/>
    <w:rsid w:val="003A5924"/>
    <w:rsid w:val="003A6572"/>
    <w:rsid w:val="003A6AE4"/>
    <w:rsid w:val="003A7458"/>
    <w:rsid w:val="003B009D"/>
    <w:rsid w:val="003B1AE6"/>
    <w:rsid w:val="003B2183"/>
    <w:rsid w:val="003B419D"/>
    <w:rsid w:val="003B654C"/>
    <w:rsid w:val="003B6F20"/>
    <w:rsid w:val="003C21A1"/>
    <w:rsid w:val="003C33C9"/>
    <w:rsid w:val="003C39CC"/>
    <w:rsid w:val="003C4551"/>
    <w:rsid w:val="003C5FB3"/>
    <w:rsid w:val="003C6791"/>
    <w:rsid w:val="003C6CBA"/>
    <w:rsid w:val="003C74B3"/>
    <w:rsid w:val="003C7A00"/>
    <w:rsid w:val="003D03DF"/>
    <w:rsid w:val="003D05AE"/>
    <w:rsid w:val="003D1516"/>
    <w:rsid w:val="003D2625"/>
    <w:rsid w:val="003D4627"/>
    <w:rsid w:val="003D486A"/>
    <w:rsid w:val="003D7B6D"/>
    <w:rsid w:val="003E054E"/>
    <w:rsid w:val="003E1F5B"/>
    <w:rsid w:val="003E2446"/>
    <w:rsid w:val="003E41FA"/>
    <w:rsid w:val="003E4857"/>
    <w:rsid w:val="003E4F4E"/>
    <w:rsid w:val="003E53E9"/>
    <w:rsid w:val="003E59A3"/>
    <w:rsid w:val="003E6325"/>
    <w:rsid w:val="003F1434"/>
    <w:rsid w:val="003F1603"/>
    <w:rsid w:val="003F1DF2"/>
    <w:rsid w:val="003F278A"/>
    <w:rsid w:val="003F38B0"/>
    <w:rsid w:val="003F4270"/>
    <w:rsid w:val="003F60B8"/>
    <w:rsid w:val="003F7C37"/>
    <w:rsid w:val="004000CE"/>
    <w:rsid w:val="00401355"/>
    <w:rsid w:val="00401434"/>
    <w:rsid w:val="004016E4"/>
    <w:rsid w:val="004028F6"/>
    <w:rsid w:val="00404242"/>
    <w:rsid w:val="004055EE"/>
    <w:rsid w:val="00405BE9"/>
    <w:rsid w:val="00406CC8"/>
    <w:rsid w:val="0041042A"/>
    <w:rsid w:val="0041096D"/>
    <w:rsid w:val="0041299C"/>
    <w:rsid w:val="004137C0"/>
    <w:rsid w:val="00414590"/>
    <w:rsid w:val="004151C8"/>
    <w:rsid w:val="00415206"/>
    <w:rsid w:val="00416567"/>
    <w:rsid w:val="00416611"/>
    <w:rsid w:val="00417068"/>
    <w:rsid w:val="004175B4"/>
    <w:rsid w:val="0042134C"/>
    <w:rsid w:val="0042227B"/>
    <w:rsid w:val="0042364E"/>
    <w:rsid w:val="00423B5F"/>
    <w:rsid w:val="00423EAF"/>
    <w:rsid w:val="00424CF4"/>
    <w:rsid w:val="004265DD"/>
    <w:rsid w:val="00427822"/>
    <w:rsid w:val="00427A6E"/>
    <w:rsid w:val="00427F8C"/>
    <w:rsid w:val="00430593"/>
    <w:rsid w:val="004308C3"/>
    <w:rsid w:val="004312C8"/>
    <w:rsid w:val="0043187C"/>
    <w:rsid w:val="00432093"/>
    <w:rsid w:val="004347FA"/>
    <w:rsid w:val="00435171"/>
    <w:rsid w:val="00435E89"/>
    <w:rsid w:val="0043666B"/>
    <w:rsid w:val="00436B0E"/>
    <w:rsid w:val="004373A4"/>
    <w:rsid w:val="0044052D"/>
    <w:rsid w:val="0044394B"/>
    <w:rsid w:val="0044395E"/>
    <w:rsid w:val="004442E8"/>
    <w:rsid w:val="00444BC2"/>
    <w:rsid w:val="0044527F"/>
    <w:rsid w:val="00445AE3"/>
    <w:rsid w:val="00445DC8"/>
    <w:rsid w:val="00446FC0"/>
    <w:rsid w:val="00447EC4"/>
    <w:rsid w:val="00450250"/>
    <w:rsid w:val="00450FD5"/>
    <w:rsid w:val="00451514"/>
    <w:rsid w:val="00451B45"/>
    <w:rsid w:val="00453E8A"/>
    <w:rsid w:val="004546FF"/>
    <w:rsid w:val="0046000D"/>
    <w:rsid w:val="00460DD9"/>
    <w:rsid w:val="00461E4F"/>
    <w:rsid w:val="004621AE"/>
    <w:rsid w:val="004630F1"/>
    <w:rsid w:val="00463DC9"/>
    <w:rsid w:val="00463FBB"/>
    <w:rsid w:val="00464CAE"/>
    <w:rsid w:val="00464DB5"/>
    <w:rsid w:val="0046520D"/>
    <w:rsid w:val="00466714"/>
    <w:rsid w:val="00466FBA"/>
    <w:rsid w:val="004702EE"/>
    <w:rsid w:val="0047107E"/>
    <w:rsid w:val="004711C7"/>
    <w:rsid w:val="00471D86"/>
    <w:rsid w:val="004727A7"/>
    <w:rsid w:val="004735A9"/>
    <w:rsid w:val="0047478C"/>
    <w:rsid w:val="00474F00"/>
    <w:rsid w:val="00475E45"/>
    <w:rsid w:val="004760A3"/>
    <w:rsid w:val="00476E7A"/>
    <w:rsid w:val="004775CB"/>
    <w:rsid w:val="00477B69"/>
    <w:rsid w:val="00480A4E"/>
    <w:rsid w:val="00482089"/>
    <w:rsid w:val="004820B7"/>
    <w:rsid w:val="004852D9"/>
    <w:rsid w:val="00485814"/>
    <w:rsid w:val="00485F16"/>
    <w:rsid w:val="00486755"/>
    <w:rsid w:val="00486D0C"/>
    <w:rsid w:val="00490A40"/>
    <w:rsid w:val="00491E46"/>
    <w:rsid w:val="00492192"/>
    <w:rsid w:val="004926A3"/>
    <w:rsid w:val="00494120"/>
    <w:rsid w:val="004948C1"/>
    <w:rsid w:val="0049582E"/>
    <w:rsid w:val="00495B5A"/>
    <w:rsid w:val="00495D21"/>
    <w:rsid w:val="00497015"/>
    <w:rsid w:val="004A0D86"/>
    <w:rsid w:val="004A31E9"/>
    <w:rsid w:val="004A6199"/>
    <w:rsid w:val="004B0B94"/>
    <w:rsid w:val="004B320F"/>
    <w:rsid w:val="004B3695"/>
    <w:rsid w:val="004B4782"/>
    <w:rsid w:val="004B61A7"/>
    <w:rsid w:val="004B6D38"/>
    <w:rsid w:val="004B6DA4"/>
    <w:rsid w:val="004B757E"/>
    <w:rsid w:val="004C0CA8"/>
    <w:rsid w:val="004C0E6B"/>
    <w:rsid w:val="004C2B52"/>
    <w:rsid w:val="004C461B"/>
    <w:rsid w:val="004C467D"/>
    <w:rsid w:val="004C51C8"/>
    <w:rsid w:val="004C51F8"/>
    <w:rsid w:val="004C56B8"/>
    <w:rsid w:val="004C604B"/>
    <w:rsid w:val="004C650D"/>
    <w:rsid w:val="004C6565"/>
    <w:rsid w:val="004D07C9"/>
    <w:rsid w:val="004D0F4C"/>
    <w:rsid w:val="004D2435"/>
    <w:rsid w:val="004D26C8"/>
    <w:rsid w:val="004D2777"/>
    <w:rsid w:val="004D372C"/>
    <w:rsid w:val="004D47B7"/>
    <w:rsid w:val="004D4F43"/>
    <w:rsid w:val="004D5A5D"/>
    <w:rsid w:val="004D69E8"/>
    <w:rsid w:val="004D6A36"/>
    <w:rsid w:val="004D6CA5"/>
    <w:rsid w:val="004E14EC"/>
    <w:rsid w:val="004E4C78"/>
    <w:rsid w:val="004E5886"/>
    <w:rsid w:val="004E719D"/>
    <w:rsid w:val="004E7598"/>
    <w:rsid w:val="004F17EC"/>
    <w:rsid w:val="004F1FC7"/>
    <w:rsid w:val="004F2E8A"/>
    <w:rsid w:val="004F5659"/>
    <w:rsid w:val="004F57FC"/>
    <w:rsid w:val="004F5A55"/>
    <w:rsid w:val="004F5E25"/>
    <w:rsid w:val="004F5EFB"/>
    <w:rsid w:val="004F6472"/>
    <w:rsid w:val="004F6524"/>
    <w:rsid w:val="004F69CB"/>
    <w:rsid w:val="00500089"/>
    <w:rsid w:val="005011F7"/>
    <w:rsid w:val="005036C2"/>
    <w:rsid w:val="00504769"/>
    <w:rsid w:val="00504E21"/>
    <w:rsid w:val="0050542A"/>
    <w:rsid w:val="00505682"/>
    <w:rsid w:val="00505782"/>
    <w:rsid w:val="00505925"/>
    <w:rsid w:val="00506BE8"/>
    <w:rsid w:val="00507D5B"/>
    <w:rsid w:val="0051028B"/>
    <w:rsid w:val="00510BA8"/>
    <w:rsid w:val="00511388"/>
    <w:rsid w:val="00511CFD"/>
    <w:rsid w:val="00512FAC"/>
    <w:rsid w:val="005131FF"/>
    <w:rsid w:val="005142EF"/>
    <w:rsid w:val="00514903"/>
    <w:rsid w:val="00514C04"/>
    <w:rsid w:val="00514C8D"/>
    <w:rsid w:val="005168E2"/>
    <w:rsid w:val="005179DF"/>
    <w:rsid w:val="00517CF6"/>
    <w:rsid w:val="005207BC"/>
    <w:rsid w:val="00520D29"/>
    <w:rsid w:val="005210A5"/>
    <w:rsid w:val="005220A8"/>
    <w:rsid w:val="00522702"/>
    <w:rsid w:val="00523491"/>
    <w:rsid w:val="00524C37"/>
    <w:rsid w:val="005306D4"/>
    <w:rsid w:val="005315F4"/>
    <w:rsid w:val="00534472"/>
    <w:rsid w:val="0053546F"/>
    <w:rsid w:val="005361AE"/>
    <w:rsid w:val="005375EC"/>
    <w:rsid w:val="005378DD"/>
    <w:rsid w:val="00537B4D"/>
    <w:rsid w:val="0054002F"/>
    <w:rsid w:val="00540D06"/>
    <w:rsid w:val="0054243B"/>
    <w:rsid w:val="005435AC"/>
    <w:rsid w:val="00544825"/>
    <w:rsid w:val="00544B8D"/>
    <w:rsid w:val="0054518F"/>
    <w:rsid w:val="00545583"/>
    <w:rsid w:val="005455F3"/>
    <w:rsid w:val="0054641A"/>
    <w:rsid w:val="00546F73"/>
    <w:rsid w:val="00550D48"/>
    <w:rsid w:val="00550F9B"/>
    <w:rsid w:val="00551E9A"/>
    <w:rsid w:val="00551F8C"/>
    <w:rsid w:val="00554285"/>
    <w:rsid w:val="00554599"/>
    <w:rsid w:val="00554D93"/>
    <w:rsid w:val="0055690D"/>
    <w:rsid w:val="0055719B"/>
    <w:rsid w:val="005579EA"/>
    <w:rsid w:val="00561BA1"/>
    <w:rsid w:val="005624F8"/>
    <w:rsid w:val="00564DD5"/>
    <w:rsid w:val="00564F46"/>
    <w:rsid w:val="00565080"/>
    <w:rsid w:val="0056712E"/>
    <w:rsid w:val="00567A32"/>
    <w:rsid w:val="00571D04"/>
    <w:rsid w:val="005740B8"/>
    <w:rsid w:val="005745A3"/>
    <w:rsid w:val="00574A14"/>
    <w:rsid w:val="005755BD"/>
    <w:rsid w:val="0057573F"/>
    <w:rsid w:val="00575B38"/>
    <w:rsid w:val="00576851"/>
    <w:rsid w:val="00577876"/>
    <w:rsid w:val="005779EE"/>
    <w:rsid w:val="00577A7F"/>
    <w:rsid w:val="00580973"/>
    <w:rsid w:val="00581837"/>
    <w:rsid w:val="00581866"/>
    <w:rsid w:val="0058239D"/>
    <w:rsid w:val="00585FF7"/>
    <w:rsid w:val="00586CF3"/>
    <w:rsid w:val="00587380"/>
    <w:rsid w:val="00590BC5"/>
    <w:rsid w:val="00591933"/>
    <w:rsid w:val="0059278B"/>
    <w:rsid w:val="00592C11"/>
    <w:rsid w:val="005947C8"/>
    <w:rsid w:val="0059518E"/>
    <w:rsid w:val="005961FB"/>
    <w:rsid w:val="0059754D"/>
    <w:rsid w:val="005A0995"/>
    <w:rsid w:val="005A1F68"/>
    <w:rsid w:val="005A23CB"/>
    <w:rsid w:val="005A2AC4"/>
    <w:rsid w:val="005A2D12"/>
    <w:rsid w:val="005A5762"/>
    <w:rsid w:val="005A5941"/>
    <w:rsid w:val="005A5A2C"/>
    <w:rsid w:val="005A5C7E"/>
    <w:rsid w:val="005A5DA8"/>
    <w:rsid w:val="005A66CC"/>
    <w:rsid w:val="005B01CA"/>
    <w:rsid w:val="005B3043"/>
    <w:rsid w:val="005B32A5"/>
    <w:rsid w:val="005B3EC6"/>
    <w:rsid w:val="005B540B"/>
    <w:rsid w:val="005B6490"/>
    <w:rsid w:val="005B7DC0"/>
    <w:rsid w:val="005C0666"/>
    <w:rsid w:val="005C0A3E"/>
    <w:rsid w:val="005C1A5D"/>
    <w:rsid w:val="005C25D2"/>
    <w:rsid w:val="005C3413"/>
    <w:rsid w:val="005C4341"/>
    <w:rsid w:val="005C468E"/>
    <w:rsid w:val="005C4F02"/>
    <w:rsid w:val="005C5E0B"/>
    <w:rsid w:val="005C6D75"/>
    <w:rsid w:val="005C7141"/>
    <w:rsid w:val="005C73BA"/>
    <w:rsid w:val="005C7D63"/>
    <w:rsid w:val="005D184B"/>
    <w:rsid w:val="005D2642"/>
    <w:rsid w:val="005D278B"/>
    <w:rsid w:val="005D29D0"/>
    <w:rsid w:val="005D3E32"/>
    <w:rsid w:val="005D4A0D"/>
    <w:rsid w:val="005D584E"/>
    <w:rsid w:val="005D5BE7"/>
    <w:rsid w:val="005D7B52"/>
    <w:rsid w:val="005D7EA6"/>
    <w:rsid w:val="005E0315"/>
    <w:rsid w:val="005E0A13"/>
    <w:rsid w:val="005E25E6"/>
    <w:rsid w:val="005E39E6"/>
    <w:rsid w:val="005E4280"/>
    <w:rsid w:val="005E4F16"/>
    <w:rsid w:val="005E5B25"/>
    <w:rsid w:val="005E682C"/>
    <w:rsid w:val="005E6D09"/>
    <w:rsid w:val="005E735C"/>
    <w:rsid w:val="005E74E9"/>
    <w:rsid w:val="005E7847"/>
    <w:rsid w:val="005E79E7"/>
    <w:rsid w:val="005F00EB"/>
    <w:rsid w:val="005F0570"/>
    <w:rsid w:val="005F147D"/>
    <w:rsid w:val="005F24A0"/>
    <w:rsid w:val="005F2858"/>
    <w:rsid w:val="005F288F"/>
    <w:rsid w:val="005F3B76"/>
    <w:rsid w:val="005F41E3"/>
    <w:rsid w:val="005F491D"/>
    <w:rsid w:val="005F530A"/>
    <w:rsid w:val="005F5A6D"/>
    <w:rsid w:val="005F5ED0"/>
    <w:rsid w:val="005F6A82"/>
    <w:rsid w:val="005F6C82"/>
    <w:rsid w:val="005F7895"/>
    <w:rsid w:val="005F7DCF"/>
    <w:rsid w:val="00600B9B"/>
    <w:rsid w:val="00601E19"/>
    <w:rsid w:val="00601E5B"/>
    <w:rsid w:val="0060435E"/>
    <w:rsid w:val="006050F0"/>
    <w:rsid w:val="00605191"/>
    <w:rsid w:val="00605523"/>
    <w:rsid w:val="00605769"/>
    <w:rsid w:val="006073B6"/>
    <w:rsid w:val="006100EC"/>
    <w:rsid w:val="006101B8"/>
    <w:rsid w:val="006107BC"/>
    <w:rsid w:val="006115AF"/>
    <w:rsid w:val="00611A7B"/>
    <w:rsid w:val="00612C27"/>
    <w:rsid w:val="006131AA"/>
    <w:rsid w:val="00613CCE"/>
    <w:rsid w:val="00614008"/>
    <w:rsid w:val="00614D4C"/>
    <w:rsid w:val="0061501B"/>
    <w:rsid w:val="00615E55"/>
    <w:rsid w:val="00616452"/>
    <w:rsid w:val="00620C0F"/>
    <w:rsid w:val="006221C4"/>
    <w:rsid w:val="006228C7"/>
    <w:rsid w:val="00622D9C"/>
    <w:rsid w:val="00622DD9"/>
    <w:rsid w:val="006231A6"/>
    <w:rsid w:val="006233FA"/>
    <w:rsid w:val="00623541"/>
    <w:rsid w:val="00623C8B"/>
    <w:rsid w:val="00623E17"/>
    <w:rsid w:val="00624697"/>
    <w:rsid w:val="0062681D"/>
    <w:rsid w:val="0062690E"/>
    <w:rsid w:val="00627E26"/>
    <w:rsid w:val="0063107D"/>
    <w:rsid w:val="00631D22"/>
    <w:rsid w:val="00631E45"/>
    <w:rsid w:val="00632193"/>
    <w:rsid w:val="00633734"/>
    <w:rsid w:val="00633CF6"/>
    <w:rsid w:val="00633F36"/>
    <w:rsid w:val="00635888"/>
    <w:rsid w:val="006359F1"/>
    <w:rsid w:val="00636F26"/>
    <w:rsid w:val="00637473"/>
    <w:rsid w:val="006378E2"/>
    <w:rsid w:val="00645050"/>
    <w:rsid w:val="0064522C"/>
    <w:rsid w:val="00645E1D"/>
    <w:rsid w:val="00646530"/>
    <w:rsid w:val="006473D6"/>
    <w:rsid w:val="00651E9A"/>
    <w:rsid w:val="00651EBF"/>
    <w:rsid w:val="00652BE1"/>
    <w:rsid w:val="00652DEE"/>
    <w:rsid w:val="00653135"/>
    <w:rsid w:val="0065408F"/>
    <w:rsid w:val="00655D43"/>
    <w:rsid w:val="00656712"/>
    <w:rsid w:val="00656EA5"/>
    <w:rsid w:val="00657BE8"/>
    <w:rsid w:val="00660898"/>
    <w:rsid w:val="00660A8F"/>
    <w:rsid w:val="00660EF4"/>
    <w:rsid w:val="006628F2"/>
    <w:rsid w:val="00663475"/>
    <w:rsid w:val="00664FE6"/>
    <w:rsid w:val="00665ECB"/>
    <w:rsid w:val="00666698"/>
    <w:rsid w:val="00666CEB"/>
    <w:rsid w:val="00671C11"/>
    <w:rsid w:val="006730B1"/>
    <w:rsid w:val="006736A3"/>
    <w:rsid w:val="006737E7"/>
    <w:rsid w:val="00674422"/>
    <w:rsid w:val="0067576D"/>
    <w:rsid w:val="006777A7"/>
    <w:rsid w:val="00677AA6"/>
    <w:rsid w:val="00680192"/>
    <w:rsid w:val="00680391"/>
    <w:rsid w:val="00680BF6"/>
    <w:rsid w:val="00681AD0"/>
    <w:rsid w:val="006834A4"/>
    <w:rsid w:val="0068384A"/>
    <w:rsid w:val="006856B6"/>
    <w:rsid w:val="00686700"/>
    <w:rsid w:val="00686CF5"/>
    <w:rsid w:val="00687566"/>
    <w:rsid w:val="006908BD"/>
    <w:rsid w:val="00691007"/>
    <w:rsid w:val="00692E68"/>
    <w:rsid w:val="006936B4"/>
    <w:rsid w:val="00694CCF"/>
    <w:rsid w:val="0069699B"/>
    <w:rsid w:val="00697366"/>
    <w:rsid w:val="006977AE"/>
    <w:rsid w:val="006A03F6"/>
    <w:rsid w:val="006A0567"/>
    <w:rsid w:val="006A17EE"/>
    <w:rsid w:val="006A22FD"/>
    <w:rsid w:val="006A23A3"/>
    <w:rsid w:val="006A2E82"/>
    <w:rsid w:val="006A3795"/>
    <w:rsid w:val="006A39D0"/>
    <w:rsid w:val="006A6B7C"/>
    <w:rsid w:val="006A73C3"/>
    <w:rsid w:val="006A79F5"/>
    <w:rsid w:val="006B120F"/>
    <w:rsid w:val="006B2525"/>
    <w:rsid w:val="006B2D59"/>
    <w:rsid w:val="006B2FE6"/>
    <w:rsid w:val="006B3223"/>
    <w:rsid w:val="006C15C8"/>
    <w:rsid w:val="006C17F5"/>
    <w:rsid w:val="006C196E"/>
    <w:rsid w:val="006C1C39"/>
    <w:rsid w:val="006C258D"/>
    <w:rsid w:val="006C33D0"/>
    <w:rsid w:val="006C340A"/>
    <w:rsid w:val="006C3579"/>
    <w:rsid w:val="006C3844"/>
    <w:rsid w:val="006C4971"/>
    <w:rsid w:val="006C6889"/>
    <w:rsid w:val="006C6C75"/>
    <w:rsid w:val="006D13C8"/>
    <w:rsid w:val="006D447A"/>
    <w:rsid w:val="006D6F15"/>
    <w:rsid w:val="006D76F1"/>
    <w:rsid w:val="006D7921"/>
    <w:rsid w:val="006E025E"/>
    <w:rsid w:val="006E0552"/>
    <w:rsid w:val="006E0AE2"/>
    <w:rsid w:val="006E116C"/>
    <w:rsid w:val="006E1267"/>
    <w:rsid w:val="006E2325"/>
    <w:rsid w:val="006E4089"/>
    <w:rsid w:val="006E4B8F"/>
    <w:rsid w:val="006E6641"/>
    <w:rsid w:val="006E7905"/>
    <w:rsid w:val="006F0228"/>
    <w:rsid w:val="006F02D9"/>
    <w:rsid w:val="006F157E"/>
    <w:rsid w:val="006F353A"/>
    <w:rsid w:val="006F37A8"/>
    <w:rsid w:val="006F3F6C"/>
    <w:rsid w:val="006F3FE7"/>
    <w:rsid w:val="006F402E"/>
    <w:rsid w:val="006F4355"/>
    <w:rsid w:val="006F5385"/>
    <w:rsid w:val="006F5524"/>
    <w:rsid w:val="006F5B53"/>
    <w:rsid w:val="00700230"/>
    <w:rsid w:val="0070064F"/>
    <w:rsid w:val="007019DB"/>
    <w:rsid w:val="00701AFA"/>
    <w:rsid w:val="00703152"/>
    <w:rsid w:val="007040EB"/>
    <w:rsid w:val="0070654D"/>
    <w:rsid w:val="00707AB0"/>
    <w:rsid w:val="00707CCC"/>
    <w:rsid w:val="00712BD1"/>
    <w:rsid w:val="00713020"/>
    <w:rsid w:val="00713A69"/>
    <w:rsid w:val="00713BBA"/>
    <w:rsid w:val="00713C53"/>
    <w:rsid w:val="00713ECE"/>
    <w:rsid w:val="00713FCD"/>
    <w:rsid w:val="007141CE"/>
    <w:rsid w:val="00714C7B"/>
    <w:rsid w:val="00715A96"/>
    <w:rsid w:val="00716987"/>
    <w:rsid w:val="00720156"/>
    <w:rsid w:val="00721A17"/>
    <w:rsid w:val="00722539"/>
    <w:rsid w:val="007228B0"/>
    <w:rsid w:val="00723443"/>
    <w:rsid w:val="00724C24"/>
    <w:rsid w:val="007256C6"/>
    <w:rsid w:val="00725C8A"/>
    <w:rsid w:val="007271FF"/>
    <w:rsid w:val="00730459"/>
    <w:rsid w:val="00731233"/>
    <w:rsid w:val="0073167B"/>
    <w:rsid w:val="00732423"/>
    <w:rsid w:val="00732699"/>
    <w:rsid w:val="007341D3"/>
    <w:rsid w:val="00734689"/>
    <w:rsid w:val="00734F99"/>
    <w:rsid w:val="00735E8E"/>
    <w:rsid w:val="00736265"/>
    <w:rsid w:val="00737207"/>
    <w:rsid w:val="0074149F"/>
    <w:rsid w:val="007416D6"/>
    <w:rsid w:val="007416F0"/>
    <w:rsid w:val="0074185F"/>
    <w:rsid w:val="00741C04"/>
    <w:rsid w:val="0074211C"/>
    <w:rsid w:val="007427A0"/>
    <w:rsid w:val="007429D6"/>
    <w:rsid w:val="00742A1F"/>
    <w:rsid w:val="007441D3"/>
    <w:rsid w:val="007457DB"/>
    <w:rsid w:val="00746539"/>
    <w:rsid w:val="00751480"/>
    <w:rsid w:val="00751F11"/>
    <w:rsid w:val="007522FC"/>
    <w:rsid w:val="007528A7"/>
    <w:rsid w:val="00753E3B"/>
    <w:rsid w:val="00754D68"/>
    <w:rsid w:val="0075645D"/>
    <w:rsid w:val="007575A3"/>
    <w:rsid w:val="00757B87"/>
    <w:rsid w:val="00757C22"/>
    <w:rsid w:val="007602F8"/>
    <w:rsid w:val="00760E92"/>
    <w:rsid w:val="00762C5D"/>
    <w:rsid w:val="00764D31"/>
    <w:rsid w:val="00766DC6"/>
    <w:rsid w:val="0076721A"/>
    <w:rsid w:val="007679D7"/>
    <w:rsid w:val="00767A61"/>
    <w:rsid w:val="00767C3D"/>
    <w:rsid w:val="00770299"/>
    <w:rsid w:val="00771DB2"/>
    <w:rsid w:val="00772369"/>
    <w:rsid w:val="00772855"/>
    <w:rsid w:val="00774B20"/>
    <w:rsid w:val="00775189"/>
    <w:rsid w:val="00775354"/>
    <w:rsid w:val="007755A4"/>
    <w:rsid w:val="0077567D"/>
    <w:rsid w:val="00780FEC"/>
    <w:rsid w:val="00781932"/>
    <w:rsid w:val="00781A63"/>
    <w:rsid w:val="007821FE"/>
    <w:rsid w:val="0078412C"/>
    <w:rsid w:val="00785992"/>
    <w:rsid w:val="0078632B"/>
    <w:rsid w:val="00790BF9"/>
    <w:rsid w:val="007911D9"/>
    <w:rsid w:val="0079231E"/>
    <w:rsid w:val="0079274C"/>
    <w:rsid w:val="00792C26"/>
    <w:rsid w:val="007936B5"/>
    <w:rsid w:val="007938E7"/>
    <w:rsid w:val="00793CA0"/>
    <w:rsid w:val="0079535E"/>
    <w:rsid w:val="007955B8"/>
    <w:rsid w:val="00797CEB"/>
    <w:rsid w:val="007A02BE"/>
    <w:rsid w:val="007A0B22"/>
    <w:rsid w:val="007A0D38"/>
    <w:rsid w:val="007A487F"/>
    <w:rsid w:val="007A48E7"/>
    <w:rsid w:val="007A50AC"/>
    <w:rsid w:val="007A5605"/>
    <w:rsid w:val="007A59B5"/>
    <w:rsid w:val="007A5DC8"/>
    <w:rsid w:val="007A606D"/>
    <w:rsid w:val="007A636D"/>
    <w:rsid w:val="007A6C4F"/>
    <w:rsid w:val="007A6DA3"/>
    <w:rsid w:val="007A78AB"/>
    <w:rsid w:val="007A7C3C"/>
    <w:rsid w:val="007B0CB6"/>
    <w:rsid w:val="007B1183"/>
    <w:rsid w:val="007B1ECB"/>
    <w:rsid w:val="007B3CC5"/>
    <w:rsid w:val="007B4CB4"/>
    <w:rsid w:val="007B58BC"/>
    <w:rsid w:val="007B59ED"/>
    <w:rsid w:val="007B73AC"/>
    <w:rsid w:val="007B7C4A"/>
    <w:rsid w:val="007C0E61"/>
    <w:rsid w:val="007C1B72"/>
    <w:rsid w:val="007C402D"/>
    <w:rsid w:val="007C406C"/>
    <w:rsid w:val="007C47A9"/>
    <w:rsid w:val="007C49E0"/>
    <w:rsid w:val="007C4F8D"/>
    <w:rsid w:val="007C5AEC"/>
    <w:rsid w:val="007C7512"/>
    <w:rsid w:val="007D2066"/>
    <w:rsid w:val="007D3063"/>
    <w:rsid w:val="007D3358"/>
    <w:rsid w:val="007D4A84"/>
    <w:rsid w:val="007D4DDF"/>
    <w:rsid w:val="007D6EBD"/>
    <w:rsid w:val="007D6FAC"/>
    <w:rsid w:val="007D77DF"/>
    <w:rsid w:val="007E04A2"/>
    <w:rsid w:val="007E0740"/>
    <w:rsid w:val="007E1901"/>
    <w:rsid w:val="007E3ABE"/>
    <w:rsid w:val="007E5847"/>
    <w:rsid w:val="007E606D"/>
    <w:rsid w:val="007E64ED"/>
    <w:rsid w:val="007E6D0E"/>
    <w:rsid w:val="007E6F40"/>
    <w:rsid w:val="007F07E8"/>
    <w:rsid w:val="007F1725"/>
    <w:rsid w:val="007F41D7"/>
    <w:rsid w:val="007F4692"/>
    <w:rsid w:val="007F4815"/>
    <w:rsid w:val="007F5A3B"/>
    <w:rsid w:val="007F611F"/>
    <w:rsid w:val="007F65C4"/>
    <w:rsid w:val="007F6968"/>
    <w:rsid w:val="00800EE0"/>
    <w:rsid w:val="0080120E"/>
    <w:rsid w:val="00801259"/>
    <w:rsid w:val="00803196"/>
    <w:rsid w:val="00805944"/>
    <w:rsid w:val="00805A4E"/>
    <w:rsid w:val="008072FD"/>
    <w:rsid w:val="008103A3"/>
    <w:rsid w:val="00810746"/>
    <w:rsid w:val="00810943"/>
    <w:rsid w:val="00812271"/>
    <w:rsid w:val="0081243E"/>
    <w:rsid w:val="00813B0A"/>
    <w:rsid w:val="0081532A"/>
    <w:rsid w:val="008153D2"/>
    <w:rsid w:val="0082031E"/>
    <w:rsid w:val="00820A73"/>
    <w:rsid w:val="00821B7C"/>
    <w:rsid w:val="008221D7"/>
    <w:rsid w:val="008231E6"/>
    <w:rsid w:val="00823272"/>
    <w:rsid w:val="00823FE8"/>
    <w:rsid w:val="0082417B"/>
    <w:rsid w:val="008258E0"/>
    <w:rsid w:val="008277DB"/>
    <w:rsid w:val="00827D55"/>
    <w:rsid w:val="00832868"/>
    <w:rsid w:val="00833D98"/>
    <w:rsid w:val="00833E88"/>
    <w:rsid w:val="008347A7"/>
    <w:rsid w:val="008348E9"/>
    <w:rsid w:val="008355A9"/>
    <w:rsid w:val="00835991"/>
    <w:rsid w:val="00835EFB"/>
    <w:rsid w:val="00836311"/>
    <w:rsid w:val="00836553"/>
    <w:rsid w:val="0083674F"/>
    <w:rsid w:val="00837350"/>
    <w:rsid w:val="00837F5B"/>
    <w:rsid w:val="00840C3D"/>
    <w:rsid w:val="008414F4"/>
    <w:rsid w:val="00843BDD"/>
    <w:rsid w:val="00844D34"/>
    <w:rsid w:val="00844DC5"/>
    <w:rsid w:val="00845D47"/>
    <w:rsid w:val="00846FA3"/>
    <w:rsid w:val="00850C18"/>
    <w:rsid w:val="00852038"/>
    <w:rsid w:val="00853D8F"/>
    <w:rsid w:val="008551AC"/>
    <w:rsid w:val="00855806"/>
    <w:rsid w:val="008579D8"/>
    <w:rsid w:val="00857F0B"/>
    <w:rsid w:val="00860FFF"/>
    <w:rsid w:val="0086218D"/>
    <w:rsid w:val="008621F3"/>
    <w:rsid w:val="008629C6"/>
    <w:rsid w:val="00863248"/>
    <w:rsid w:val="00866D8A"/>
    <w:rsid w:val="008721E0"/>
    <w:rsid w:val="00872E0F"/>
    <w:rsid w:val="00873661"/>
    <w:rsid w:val="00874EA6"/>
    <w:rsid w:val="008752AC"/>
    <w:rsid w:val="00876C60"/>
    <w:rsid w:val="00877CAA"/>
    <w:rsid w:val="00880101"/>
    <w:rsid w:val="008808DD"/>
    <w:rsid w:val="00881343"/>
    <w:rsid w:val="00881896"/>
    <w:rsid w:val="0088196E"/>
    <w:rsid w:val="00881F89"/>
    <w:rsid w:val="00883B22"/>
    <w:rsid w:val="00884362"/>
    <w:rsid w:val="00884D9E"/>
    <w:rsid w:val="00890045"/>
    <w:rsid w:val="00890A25"/>
    <w:rsid w:val="00891652"/>
    <w:rsid w:val="00891ED8"/>
    <w:rsid w:val="00892DB1"/>
    <w:rsid w:val="00894766"/>
    <w:rsid w:val="00895284"/>
    <w:rsid w:val="0089563A"/>
    <w:rsid w:val="00895AAD"/>
    <w:rsid w:val="00895EBC"/>
    <w:rsid w:val="00897370"/>
    <w:rsid w:val="008A3531"/>
    <w:rsid w:val="008A3EFD"/>
    <w:rsid w:val="008A5D20"/>
    <w:rsid w:val="008A647A"/>
    <w:rsid w:val="008A64F1"/>
    <w:rsid w:val="008A6852"/>
    <w:rsid w:val="008A6BA6"/>
    <w:rsid w:val="008B051F"/>
    <w:rsid w:val="008B3EB9"/>
    <w:rsid w:val="008B4703"/>
    <w:rsid w:val="008B4D33"/>
    <w:rsid w:val="008B4FF7"/>
    <w:rsid w:val="008B51C1"/>
    <w:rsid w:val="008B60BB"/>
    <w:rsid w:val="008B6D00"/>
    <w:rsid w:val="008C04F0"/>
    <w:rsid w:val="008C1A07"/>
    <w:rsid w:val="008C3B9C"/>
    <w:rsid w:val="008C4018"/>
    <w:rsid w:val="008C4232"/>
    <w:rsid w:val="008C4997"/>
    <w:rsid w:val="008C5606"/>
    <w:rsid w:val="008C5832"/>
    <w:rsid w:val="008C63DE"/>
    <w:rsid w:val="008C72C4"/>
    <w:rsid w:val="008D03EB"/>
    <w:rsid w:val="008D1D64"/>
    <w:rsid w:val="008D3F0C"/>
    <w:rsid w:val="008D63BF"/>
    <w:rsid w:val="008E05B4"/>
    <w:rsid w:val="008E0C4E"/>
    <w:rsid w:val="008E21A2"/>
    <w:rsid w:val="008E3E78"/>
    <w:rsid w:val="008E3F24"/>
    <w:rsid w:val="008E463D"/>
    <w:rsid w:val="008E4D0C"/>
    <w:rsid w:val="008E53F4"/>
    <w:rsid w:val="008E57E4"/>
    <w:rsid w:val="008E63BD"/>
    <w:rsid w:val="008E7ED1"/>
    <w:rsid w:val="008F0298"/>
    <w:rsid w:val="008F0EFC"/>
    <w:rsid w:val="008F319D"/>
    <w:rsid w:val="008F4515"/>
    <w:rsid w:val="008F64B6"/>
    <w:rsid w:val="008F68C1"/>
    <w:rsid w:val="009013FE"/>
    <w:rsid w:val="00901975"/>
    <w:rsid w:val="009045DF"/>
    <w:rsid w:val="00905124"/>
    <w:rsid w:val="009069C9"/>
    <w:rsid w:val="00907B59"/>
    <w:rsid w:val="00910DA5"/>
    <w:rsid w:val="0091237E"/>
    <w:rsid w:val="009127BA"/>
    <w:rsid w:val="00912E14"/>
    <w:rsid w:val="00913311"/>
    <w:rsid w:val="009133FE"/>
    <w:rsid w:val="009136EA"/>
    <w:rsid w:val="009142A9"/>
    <w:rsid w:val="0091667A"/>
    <w:rsid w:val="00916C14"/>
    <w:rsid w:val="009171A1"/>
    <w:rsid w:val="00920E0F"/>
    <w:rsid w:val="00922286"/>
    <w:rsid w:val="00926468"/>
    <w:rsid w:val="00930EDC"/>
    <w:rsid w:val="00930FFC"/>
    <w:rsid w:val="009323DE"/>
    <w:rsid w:val="00936B51"/>
    <w:rsid w:val="00937453"/>
    <w:rsid w:val="0094060F"/>
    <w:rsid w:val="00940E55"/>
    <w:rsid w:val="0094158F"/>
    <w:rsid w:val="00941DD4"/>
    <w:rsid w:val="009422AB"/>
    <w:rsid w:val="009428CC"/>
    <w:rsid w:val="00942EA6"/>
    <w:rsid w:val="00943DE3"/>
    <w:rsid w:val="00945369"/>
    <w:rsid w:val="00945C7D"/>
    <w:rsid w:val="009468FA"/>
    <w:rsid w:val="00947142"/>
    <w:rsid w:val="00950C24"/>
    <w:rsid w:val="00950EB0"/>
    <w:rsid w:val="0095232D"/>
    <w:rsid w:val="0095259D"/>
    <w:rsid w:val="00953CCC"/>
    <w:rsid w:val="00954228"/>
    <w:rsid w:val="009566FB"/>
    <w:rsid w:val="00960C61"/>
    <w:rsid w:val="00960DE9"/>
    <w:rsid w:val="00961B9E"/>
    <w:rsid w:val="0096249D"/>
    <w:rsid w:val="00962CEA"/>
    <w:rsid w:val="00963C8C"/>
    <w:rsid w:val="0096445E"/>
    <w:rsid w:val="00964795"/>
    <w:rsid w:val="00964ADF"/>
    <w:rsid w:val="0096518F"/>
    <w:rsid w:val="00965CE8"/>
    <w:rsid w:val="0097053C"/>
    <w:rsid w:val="0097104F"/>
    <w:rsid w:val="0097111E"/>
    <w:rsid w:val="00971471"/>
    <w:rsid w:val="00971D7B"/>
    <w:rsid w:val="00972AC8"/>
    <w:rsid w:val="00972E66"/>
    <w:rsid w:val="00973A58"/>
    <w:rsid w:val="00974109"/>
    <w:rsid w:val="009747C2"/>
    <w:rsid w:val="00974CEB"/>
    <w:rsid w:val="00975458"/>
    <w:rsid w:val="00975597"/>
    <w:rsid w:val="00977A84"/>
    <w:rsid w:val="00977BE4"/>
    <w:rsid w:val="009802EA"/>
    <w:rsid w:val="00980932"/>
    <w:rsid w:val="0098115C"/>
    <w:rsid w:val="00982A56"/>
    <w:rsid w:val="00982B07"/>
    <w:rsid w:val="00983608"/>
    <w:rsid w:val="00983BCE"/>
    <w:rsid w:val="009846C9"/>
    <w:rsid w:val="0098475B"/>
    <w:rsid w:val="00984E90"/>
    <w:rsid w:val="009852C4"/>
    <w:rsid w:val="009854FD"/>
    <w:rsid w:val="0098627C"/>
    <w:rsid w:val="00986559"/>
    <w:rsid w:val="009875DD"/>
    <w:rsid w:val="0098776F"/>
    <w:rsid w:val="00990E2C"/>
    <w:rsid w:val="00991601"/>
    <w:rsid w:val="0099576C"/>
    <w:rsid w:val="00996A23"/>
    <w:rsid w:val="00996CF4"/>
    <w:rsid w:val="009975E0"/>
    <w:rsid w:val="00997872"/>
    <w:rsid w:val="00997E54"/>
    <w:rsid w:val="009A1ABF"/>
    <w:rsid w:val="009A2912"/>
    <w:rsid w:val="009A32C2"/>
    <w:rsid w:val="009A58F1"/>
    <w:rsid w:val="009A5ADA"/>
    <w:rsid w:val="009A6263"/>
    <w:rsid w:val="009A7C7F"/>
    <w:rsid w:val="009A7E4A"/>
    <w:rsid w:val="009B1949"/>
    <w:rsid w:val="009B2843"/>
    <w:rsid w:val="009B2C17"/>
    <w:rsid w:val="009B3159"/>
    <w:rsid w:val="009B4337"/>
    <w:rsid w:val="009B4865"/>
    <w:rsid w:val="009B4E4E"/>
    <w:rsid w:val="009B53C8"/>
    <w:rsid w:val="009B5A6C"/>
    <w:rsid w:val="009B5C1E"/>
    <w:rsid w:val="009B6083"/>
    <w:rsid w:val="009B6376"/>
    <w:rsid w:val="009B663F"/>
    <w:rsid w:val="009C0414"/>
    <w:rsid w:val="009C055B"/>
    <w:rsid w:val="009C07C9"/>
    <w:rsid w:val="009C0E73"/>
    <w:rsid w:val="009C25B7"/>
    <w:rsid w:val="009C26ED"/>
    <w:rsid w:val="009C548F"/>
    <w:rsid w:val="009C598C"/>
    <w:rsid w:val="009C6113"/>
    <w:rsid w:val="009C723F"/>
    <w:rsid w:val="009C72CC"/>
    <w:rsid w:val="009C736C"/>
    <w:rsid w:val="009D0363"/>
    <w:rsid w:val="009D1C61"/>
    <w:rsid w:val="009D1E8D"/>
    <w:rsid w:val="009D3AB6"/>
    <w:rsid w:val="009D3B84"/>
    <w:rsid w:val="009D44BD"/>
    <w:rsid w:val="009D53F0"/>
    <w:rsid w:val="009D5745"/>
    <w:rsid w:val="009D64DF"/>
    <w:rsid w:val="009E0654"/>
    <w:rsid w:val="009E08DE"/>
    <w:rsid w:val="009E09A0"/>
    <w:rsid w:val="009E1564"/>
    <w:rsid w:val="009E19A3"/>
    <w:rsid w:val="009E1EA5"/>
    <w:rsid w:val="009E2740"/>
    <w:rsid w:val="009E3D39"/>
    <w:rsid w:val="009E689B"/>
    <w:rsid w:val="009E784B"/>
    <w:rsid w:val="009F0B29"/>
    <w:rsid w:val="009F20C8"/>
    <w:rsid w:val="009F2837"/>
    <w:rsid w:val="009F38FF"/>
    <w:rsid w:val="009F411A"/>
    <w:rsid w:val="009F427B"/>
    <w:rsid w:val="009F5139"/>
    <w:rsid w:val="009F5366"/>
    <w:rsid w:val="009F5EBC"/>
    <w:rsid w:val="009F67BA"/>
    <w:rsid w:val="009F7A84"/>
    <w:rsid w:val="009F7B17"/>
    <w:rsid w:val="00A0320C"/>
    <w:rsid w:val="00A0448B"/>
    <w:rsid w:val="00A048DB"/>
    <w:rsid w:val="00A04932"/>
    <w:rsid w:val="00A06073"/>
    <w:rsid w:val="00A061E0"/>
    <w:rsid w:val="00A06447"/>
    <w:rsid w:val="00A10365"/>
    <w:rsid w:val="00A10441"/>
    <w:rsid w:val="00A10B3B"/>
    <w:rsid w:val="00A110AC"/>
    <w:rsid w:val="00A11994"/>
    <w:rsid w:val="00A11B83"/>
    <w:rsid w:val="00A11F7F"/>
    <w:rsid w:val="00A11FE9"/>
    <w:rsid w:val="00A13344"/>
    <w:rsid w:val="00A16602"/>
    <w:rsid w:val="00A175FB"/>
    <w:rsid w:val="00A21D01"/>
    <w:rsid w:val="00A22A06"/>
    <w:rsid w:val="00A22BE7"/>
    <w:rsid w:val="00A22D7A"/>
    <w:rsid w:val="00A23771"/>
    <w:rsid w:val="00A250D6"/>
    <w:rsid w:val="00A251FC"/>
    <w:rsid w:val="00A25D1C"/>
    <w:rsid w:val="00A26C05"/>
    <w:rsid w:val="00A308AF"/>
    <w:rsid w:val="00A328CC"/>
    <w:rsid w:val="00A33068"/>
    <w:rsid w:val="00A33CEE"/>
    <w:rsid w:val="00A34ABE"/>
    <w:rsid w:val="00A34E67"/>
    <w:rsid w:val="00A352F7"/>
    <w:rsid w:val="00A35EA5"/>
    <w:rsid w:val="00A3764D"/>
    <w:rsid w:val="00A37BA7"/>
    <w:rsid w:val="00A37D51"/>
    <w:rsid w:val="00A40167"/>
    <w:rsid w:val="00A40C9B"/>
    <w:rsid w:val="00A42555"/>
    <w:rsid w:val="00A43717"/>
    <w:rsid w:val="00A442C7"/>
    <w:rsid w:val="00A45B79"/>
    <w:rsid w:val="00A45DE5"/>
    <w:rsid w:val="00A46CF0"/>
    <w:rsid w:val="00A46F74"/>
    <w:rsid w:val="00A502BF"/>
    <w:rsid w:val="00A5182A"/>
    <w:rsid w:val="00A545F5"/>
    <w:rsid w:val="00A54B88"/>
    <w:rsid w:val="00A54D74"/>
    <w:rsid w:val="00A5589C"/>
    <w:rsid w:val="00A55BB2"/>
    <w:rsid w:val="00A5608F"/>
    <w:rsid w:val="00A56373"/>
    <w:rsid w:val="00A56660"/>
    <w:rsid w:val="00A567B7"/>
    <w:rsid w:val="00A57621"/>
    <w:rsid w:val="00A576C8"/>
    <w:rsid w:val="00A61CA6"/>
    <w:rsid w:val="00A627C4"/>
    <w:rsid w:val="00A648AD"/>
    <w:rsid w:val="00A6504D"/>
    <w:rsid w:val="00A662C5"/>
    <w:rsid w:val="00A664B2"/>
    <w:rsid w:val="00A66E75"/>
    <w:rsid w:val="00A6719A"/>
    <w:rsid w:val="00A6774E"/>
    <w:rsid w:val="00A70B5B"/>
    <w:rsid w:val="00A72721"/>
    <w:rsid w:val="00A730AC"/>
    <w:rsid w:val="00A750DF"/>
    <w:rsid w:val="00A75B13"/>
    <w:rsid w:val="00A75F05"/>
    <w:rsid w:val="00A767FE"/>
    <w:rsid w:val="00A76807"/>
    <w:rsid w:val="00A77175"/>
    <w:rsid w:val="00A77DB1"/>
    <w:rsid w:val="00A81762"/>
    <w:rsid w:val="00A822DB"/>
    <w:rsid w:val="00A83E6A"/>
    <w:rsid w:val="00A8574C"/>
    <w:rsid w:val="00A86CF8"/>
    <w:rsid w:val="00A87764"/>
    <w:rsid w:val="00A87DEC"/>
    <w:rsid w:val="00A91CA7"/>
    <w:rsid w:val="00A920AF"/>
    <w:rsid w:val="00A92331"/>
    <w:rsid w:val="00A933B0"/>
    <w:rsid w:val="00A936DE"/>
    <w:rsid w:val="00A93FBC"/>
    <w:rsid w:val="00A948DB"/>
    <w:rsid w:val="00A94A7A"/>
    <w:rsid w:val="00A94B8B"/>
    <w:rsid w:val="00A95008"/>
    <w:rsid w:val="00A95357"/>
    <w:rsid w:val="00A96DD0"/>
    <w:rsid w:val="00A97723"/>
    <w:rsid w:val="00A97A20"/>
    <w:rsid w:val="00AA0090"/>
    <w:rsid w:val="00AA042F"/>
    <w:rsid w:val="00AA0A45"/>
    <w:rsid w:val="00AA0EE6"/>
    <w:rsid w:val="00AA1309"/>
    <w:rsid w:val="00AA31C4"/>
    <w:rsid w:val="00AA3544"/>
    <w:rsid w:val="00AA6205"/>
    <w:rsid w:val="00AA7875"/>
    <w:rsid w:val="00AA7896"/>
    <w:rsid w:val="00AA7F93"/>
    <w:rsid w:val="00AB1A83"/>
    <w:rsid w:val="00AB1C7C"/>
    <w:rsid w:val="00AB2083"/>
    <w:rsid w:val="00AB209A"/>
    <w:rsid w:val="00AB2E86"/>
    <w:rsid w:val="00AB4729"/>
    <w:rsid w:val="00AB49E2"/>
    <w:rsid w:val="00AB573B"/>
    <w:rsid w:val="00AB5BAC"/>
    <w:rsid w:val="00AB5C57"/>
    <w:rsid w:val="00AB600B"/>
    <w:rsid w:val="00AB65AB"/>
    <w:rsid w:val="00AB75FA"/>
    <w:rsid w:val="00AB779F"/>
    <w:rsid w:val="00AC03E0"/>
    <w:rsid w:val="00AC0656"/>
    <w:rsid w:val="00AC181C"/>
    <w:rsid w:val="00AC18AB"/>
    <w:rsid w:val="00AC2199"/>
    <w:rsid w:val="00AC3267"/>
    <w:rsid w:val="00AC4764"/>
    <w:rsid w:val="00AC629B"/>
    <w:rsid w:val="00AC67FA"/>
    <w:rsid w:val="00AC74DB"/>
    <w:rsid w:val="00AC76FF"/>
    <w:rsid w:val="00AD06F9"/>
    <w:rsid w:val="00AD1B3F"/>
    <w:rsid w:val="00AD1FB0"/>
    <w:rsid w:val="00AD307C"/>
    <w:rsid w:val="00AD5F75"/>
    <w:rsid w:val="00AD67A0"/>
    <w:rsid w:val="00AD6DF1"/>
    <w:rsid w:val="00AD7BF1"/>
    <w:rsid w:val="00AE08AD"/>
    <w:rsid w:val="00AE2BF0"/>
    <w:rsid w:val="00AE4624"/>
    <w:rsid w:val="00AE538E"/>
    <w:rsid w:val="00AE5AFD"/>
    <w:rsid w:val="00AE6342"/>
    <w:rsid w:val="00AF22B3"/>
    <w:rsid w:val="00AF5D2B"/>
    <w:rsid w:val="00AF656E"/>
    <w:rsid w:val="00AF78F2"/>
    <w:rsid w:val="00B01456"/>
    <w:rsid w:val="00B0232B"/>
    <w:rsid w:val="00B03669"/>
    <w:rsid w:val="00B04603"/>
    <w:rsid w:val="00B04758"/>
    <w:rsid w:val="00B05D8C"/>
    <w:rsid w:val="00B07BE9"/>
    <w:rsid w:val="00B103DD"/>
    <w:rsid w:val="00B106D5"/>
    <w:rsid w:val="00B11861"/>
    <w:rsid w:val="00B128F4"/>
    <w:rsid w:val="00B13311"/>
    <w:rsid w:val="00B13394"/>
    <w:rsid w:val="00B13460"/>
    <w:rsid w:val="00B1425C"/>
    <w:rsid w:val="00B14451"/>
    <w:rsid w:val="00B14B7F"/>
    <w:rsid w:val="00B171F1"/>
    <w:rsid w:val="00B210C2"/>
    <w:rsid w:val="00B211C6"/>
    <w:rsid w:val="00B22B77"/>
    <w:rsid w:val="00B23F8C"/>
    <w:rsid w:val="00B24165"/>
    <w:rsid w:val="00B24171"/>
    <w:rsid w:val="00B24390"/>
    <w:rsid w:val="00B25579"/>
    <w:rsid w:val="00B301C7"/>
    <w:rsid w:val="00B3363B"/>
    <w:rsid w:val="00B33F78"/>
    <w:rsid w:val="00B34049"/>
    <w:rsid w:val="00B348A6"/>
    <w:rsid w:val="00B34BB0"/>
    <w:rsid w:val="00B34D53"/>
    <w:rsid w:val="00B353A9"/>
    <w:rsid w:val="00B36C9D"/>
    <w:rsid w:val="00B37762"/>
    <w:rsid w:val="00B377B5"/>
    <w:rsid w:val="00B40692"/>
    <w:rsid w:val="00B40BB6"/>
    <w:rsid w:val="00B41E98"/>
    <w:rsid w:val="00B435E3"/>
    <w:rsid w:val="00B43733"/>
    <w:rsid w:val="00B43C83"/>
    <w:rsid w:val="00B4405C"/>
    <w:rsid w:val="00B44B51"/>
    <w:rsid w:val="00B45863"/>
    <w:rsid w:val="00B45FF9"/>
    <w:rsid w:val="00B466D0"/>
    <w:rsid w:val="00B47172"/>
    <w:rsid w:val="00B476E1"/>
    <w:rsid w:val="00B5029E"/>
    <w:rsid w:val="00B504B6"/>
    <w:rsid w:val="00B50A07"/>
    <w:rsid w:val="00B50CBE"/>
    <w:rsid w:val="00B51D4A"/>
    <w:rsid w:val="00B526C3"/>
    <w:rsid w:val="00B529B7"/>
    <w:rsid w:val="00B52CB6"/>
    <w:rsid w:val="00B53332"/>
    <w:rsid w:val="00B54617"/>
    <w:rsid w:val="00B5540F"/>
    <w:rsid w:val="00B55DB9"/>
    <w:rsid w:val="00B57156"/>
    <w:rsid w:val="00B577DB"/>
    <w:rsid w:val="00B6210C"/>
    <w:rsid w:val="00B63AB8"/>
    <w:rsid w:val="00B63FA2"/>
    <w:rsid w:val="00B64511"/>
    <w:rsid w:val="00B64CEA"/>
    <w:rsid w:val="00B64FB3"/>
    <w:rsid w:val="00B65E32"/>
    <w:rsid w:val="00B65E6E"/>
    <w:rsid w:val="00B67494"/>
    <w:rsid w:val="00B71433"/>
    <w:rsid w:val="00B714DA"/>
    <w:rsid w:val="00B716B1"/>
    <w:rsid w:val="00B7218A"/>
    <w:rsid w:val="00B7227B"/>
    <w:rsid w:val="00B7444A"/>
    <w:rsid w:val="00B75005"/>
    <w:rsid w:val="00B750B2"/>
    <w:rsid w:val="00B768D1"/>
    <w:rsid w:val="00B81B2D"/>
    <w:rsid w:val="00B83EAF"/>
    <w:rsid w:val="00B83EB7"/>
    <w:rsid w:val="00B85904"/>
    <w:rsid w:val="00B8718A"/>
    <w:rsid w:val="00B87AAD"/>
    <w:rsid w:val="00B90B4A"/>
    <w:rsid w:val="00B910FC"/>
    <w:rsid w:val="00B913FB"/>
    <w:rsid w:val="00B91AFB"/>
    <w:rsid w:val="00B91E81"/>
    <w:rsid w:val="00B92B6F"/>
    <w:rsid w:val="00B947A2"/>
    <w:rsid w:val="00B954CC"/>
    <w:rsid w:val="00B9551A"/>
    <w:rsid w:val="00B9693E"/>
    <w:rsid w:val="00B97C38"/>
    <w:rsid w:val="00B97FBB"/>
    <w:rsid w:val="00BA0513"/>
    <w:rsid w:val="00BA0D96"/>
    <w:rsid w:val="00BA1C63"/>
    <w:rsid w:val="00BA3812"/>
    <w:rsid w:val="00BA470F"/>
    <w:rsid w:val="00BA5F30"/>
    <w:rsid w:val="00BA7110"/>
    <w:rsid w:val="00BA78CA"/>
    <w:rsid w:val="00BA7C49"/>
    <w:rsid w:val="00BB200E"/>
    <w:rsid w:val="00BB2249"/>
    <w:rsid w:val="00BB226A"/>
    <w:rsid w:val="00BB3CC8"/>
    <w:rsid w:val="00BB471A"/>
    <w:rsid w:val="00BB5CF5"/>
    <w:rsid w:val="00BB690A"/>
    <w:rsid w:val="00BB6A65"/>
    <w:rsid w:val="00BB71EE"/>
    <w:rsid w:val="00BB7CC5"/>
    <w:rsid w:val="00BC23CC"/>
    <w:rsid w:val="00BC2861"/>
    <w:rsid w:val="00BC324A"/>
    <w:rsid w:val="00BC3DB1"/>
    <w:rsid w:val="00BC4873"/>
    <w:rsid w:val="00BC5B85"/>
    <w:rsid w:val="00BC5C42"/>
    <w:rsid w:val="00BC6569"/>
    <w:rsid w:val="00BD1B17"/>
    <w:rsid w:val="00BD24F7"/>
    <w:rsid w:val="00BD2A05"/>
    <w:rsid w:val="00BD3CC8"/>
    <w:rsid w:val="00BD4488"/>
    <w:rsid w:val="00BD525B"/>
    <w:rsid w:val="00BD5EFB"/>
    <w:rsid w:val="00BD62F8"/>
    <w:rsid w:val="00BD68E2"/>
    <w:rsid w:val="00BE0143"/>
    <w:rsid w:val="00BE0234"/>
    <w:rsid w:val="00BE09BC"/>
    <w:rsid w:val="00BE2E44"/>
    <w:rsid w:val="00BE3CDA"/>
    <w:rsid w:val="00BE501E"/>
    <w:rsid w:val="00BE55EC"/>
    <w:rsid w:val="00BE5D4C"/>
    <w:rsid w:val="00BE60B7"/>
    <w:rsid w:val="00BE6535"/>
    <w:rsid w:val="00BE6C28"/>
    <w:rsid w:val="00BE72FD"/>
    <w:rsid w:val="00BF107E"/>
    <w:rsid w:val="00BF2347"/>
    <w:rsid w:val="00BF4AEA"/>
    <w:rsid w:val="00BF4CF4"/>
    <w:rsid w:val="00BF5B6C"/>
    <w:rsid w:val="00BF6163"/>
    <w:rsid w:val="00BF72CE"/>
    <w:rsid w:val="00BF7524"/>
    <w:rsid w:val="00BF7C09"/>
    <w:rsid w:val="00C00B27"/>
    <w:rsid w:val="00C0491D"/>
    <w:rsid w:val="00C04A34"/>
    <w:rsid w:val="00C0685C"/>
    <w:rsid w:val="00C07106"/>
    <w:rsid w:val="00C078E7"/>
    <w:rsid w:val="00C11C03"/>
    <w:rsid w:val="00C11EAC"/>
    <w:rsid w:val="00C1283B"/>
    <w:rsid w:val="00C1292A"/>
    <w:rsid w:val="00C12D49"/>
    <w:rsid w:val="00C13411"/>
    <w:rsid w:val="00C1567C"/>
    <w:rsid w:val="00C15F58"/>
    <w:rsid w:val="00C16052"/>
    <w:rsid w:val="00C16A34"/>
    <w:rsid w:val="00C16E2A"/>
    <w:rsid w:val="00C17774"/>
    <w:rsid w:val="00C20737"/>
    <w:rsid w:val="00C20BC2"/>
    <w:rsid w:val="00C20D6D"/>
    <w:rsid w:val="00C21911"/>
    <w:rsid w:val="00C23594"/>
    <w:rsid w:val="00C23638"/>
    <w:rsid w:val="00C241DA"/>
    <w:rsid w:val="00C250D9"/>
    <w:rsid w:val="00C259DB"/>
    <w:rsid w:val="00C264B2"/>
    <w:rsid w:val="00C26A5D"/>
    <w:rsid w:val="00C3026E"/>
    <w:rsid w:val="00C32970"/>
    <w:rsid w:val="00C33710"/>
    <w:rsid w:val="00C3438B"/>
    <w:rsid w:val="00C34930"/>
    <w:rsid w:val="00C355CC"/>
    <w:rsid w:val="00C35906"/>
    <w:rsid w:val="00C35DD3"/>
    <w:rsid w:val="00C36AD9"/>
    <w:rsid w:val="00C36D15"/>
    <w:rsid w:val="00C37F55"/>
    <w:rsid w:val="00C40A15"/>
    <w:rsid w:val="00C40F42"/>
    <w:rsid w:val="00C42E5F"/>
    <w:rsid w:val="00C430F7"/>
    <w:rsid w:val="00C4568C"/>
    <w:rsid w:val="00C47730"/>
    <w:rsid w:val="00C50396"/>
    <w:rsid w:val="00C51A9E"/>
    <w:rsid w:val="00C52546"/>
    <w:rsid w:val="00C55300"/>
    <w:rsid w:val="00C55DC1"/>
    <w:rsid w:val="00C61B8B"/>
    <w:rsid w:val="00C61C2A"/>
    <w:rsid w:val="00C620D9"/>
    <w:rsid w:val="00C6415B"/>
    <w:rsid w:val="00C6549C"/>
    <w:rsid w:val="00C65967"/>
    <w:rsid w:val="00C66219"/>
    <w:rsid w:val="00C66928"/>
    <w:rsid w:val="00C67A1B"/>
    <w:rsid w:val="00C67F94"/>
    <w:rsid w:val="00C703FC"/>
    <w:rsid w:val="00C72194"/>
    <w:rsid w:val="00C72F38"/>
    <w:rsid w:val="00C73375"/>
    <w:rsid w:val="00C74555"/>
    <w:rsid w:val="00C7466A"/>
    <w:rsid w:val="00C74997"/>
    <w:rsid w:val="00C74E1A"/>
    <w:rsid w:val="00C7532B"/>
    <w:rsid w:val="00C75CCB"/>
    <w:rsid w:val="00C7643A"/>
    <w:rsid w:val="00C770BE"/>
    <w:rsid w:val="00C81040"/>
    <w:rsid w:val="00C811B7"/>
    <w:rsid w:val="00C82123"/>
    <w:rsid w:val="00C8268D"/>
    <w:rsid w:val="00C829CE"/>
    <w:rsid w:val="00C83062"/>
    <w:rsid w:val="00C837F2"/>
    <w:rsid w:val="00C83B4B"/>
    <w:rsid w:val="00C8405A"/>
    <w:rsid w:val="00C84D61"/>
    <w:rsid w:val="00C85031"/>
    <w:rsid w:val="00C85C2A"/>
    <w:rsid w:val="00C86CA6"/>
    <w:rsid w:val="00C87CAC"/>
    <w:rsid w:val="00C90E73"/>
    <w:rsid w:val="00C92F3A"/>
    <w:rsid w:val="00C93B5F"/>
    <w:rsid w:val="00C946AD"/>
    <w:rsid w:val="00C949C9"/>
    <w:rsid w:val="00C94A75"/>
    <w:rsid w:val="00C95762"/>
    <w:rsid w:val="00C957BF"/>
    <w:rsid w:val="00C96097"/>
    <w:rsid w:val="00C96CD7"/>
    <w:rsid w:val="00C970F8"/>
    <w:rsid w:val="00C971AD"/>
    <w:rsid w:val="00CA0031"/>
    <w:rsid w:val="00CA04C4"/>
    <w:rsid w:val="00CA10B1"/>
    <w:rsid w:val="00CA12EF"/>
    <w:rsid w:val="00CA34CE"/>
    <w:rsid w:val="00CA3715"/>
    <w:rsid w:val="00CA3D5B"/>
    <w:rsid w:val="00CA44F8"/>
    <w:rsid w:val="00CA55BE"/>
    <w:rsid w:val="00CA595F"/>
    <w:rsid w:val="00CA61E1"/>
    <w:rsid w:val="00CA642D"/>
    <w:rsid w:val="00CA645D"/>
    <w:rsid w:val="00CA6CE7"/>
    <w:rsid w:val="00CA7B5C"/>
    <w:rsid w:val="00CA7D82"/>
    <w:rsid w:val="00CB0DB5"/>
    <w:rsid w:val="00CB195B"/>
    <w:rsid w:val="00CB1D0B"/>
    <w:rsid w:val="00CB21BE"/>
    <w:rsid w:val="00CB487B"/>
    <w:rsid w:val="00CB4AD0"/>
    <w:rsid w:val="00CB57C2"/>
    <w:rsid w:val="00CB60AF"/>
    <w:rsid w:val="00CB6298"/>
    <w:rsid w:val="00CB6428"/>
    <w:rsid w:val="00CB7506"/>
    <w:rsid w:val="00CB7682"/>
    <w:rsid w:val="00CC1075"/>
    <w:rsid w:val="00CC14CE"/>
    <w:rsid w:val="00CC33A5"/>
    <w:rsid w:val="00CC349B"/>
    <w:rsid w:val="00CC7A1C"/>
    <w:rsid w:val="00CD08AE"/>
    <w:rsid w:val="00CD0C3F"/>
    <w:rsid w:val="00CD1E28"/>
    <w:rsid w:val="00CD2CF4"/>
    <w:rsid w:val="00CD3C25"/>
    <w:rsid w:val="00CE02B7"/>
    <w:rsid w:val="00CE0352"/>
    <w:rsid w:val="00CE048C"/>
    <w:rsid w:val="00CE076E"/>
    <w:rsid w:val="00CE0772"/>
    <w:rsid w:val="00CE18D5"/>
    <w:rsid w:val="00CE1ED3"/>
    <w:rsid w:val="00CE1EFB"/>
    <w:rsid w:val="00CE1F32"/>
    <w:rsid w:val="00CE238C"/>
    <w:rsid w:val="00CE2D25"/>
    <w:rsid w:val="00CE3530"/>
    <w:rsid w:val="00CE415C"/>
    <w:rsid w:val="00CE50BF"/>
    <w:rsid w:val="00CE5F50"/>
    <w:rsid w:val="00CE6D66"/>
    <w:rsid w:val="00CE7B4C"/>
    <w:rsid w:val="00CF016C"/>
    <w:rsid w:val="00CF033B"/>
    <w:rsid w:val="00CF1667"/>
    <w:rsid w:val="00CF3A67"/>
    <w:rsid w:val="00CF439C"/>
    <w:rsid w:val="00CF4B8E"/>
    <w:rsid w:val="00CF4C1D"/>
    <w:rsid w:val="00CF58C9"/>
    <w:rsid w:val="00CF5F7E"/>
    <w:rsid w:val="00CF65C2"/>
    <w:rsid w:val="00CF7055"/>
    <w:rsid w:val="00D003EB"/>
    <w:rsid w:val="00D00F4C"/>
    <w:rsid w:val="00D01132"/>
    <w:rsid w:val="00D012E8"/>
    <w:rsid w:val="00D02676"/>
    <w:rsid w:val="00D03275"/>
    <w:rsid w:val="00D0333F"/>
    <w:rsid w:val="00D045E5"/>
    <w:rsid w:val="00D06248"/>
    <w:rsid w:val="00D0780B"/>
    <w:rsid w:val="00D109C0"/>
    <w:rsid w:val="00D10A4A"/>
    <w:rsid w:val="00D12155"/>
    <w:rsid w:val="00D12500"/>
    <w:rsid w:val="00D16B06"/>
    <w:rsid w:val="00D20634"/>
    <w:rsid w:val="00D20F13"/>
    <w:rsid w:val="00D21517"/>
    <w:rsid w:val="00D220F9"/>
    <w:rsid w:val="00D23288"/>
    <w:rsid w:val="00D23F31"/>
    <w:rsid w:val="00D24047"/>
    <w:rsid w:val="00D26B93"/>
    <w:rsid w:val="00D27187"/>
    <w:rsid w:val="00D31BAF"/>
    <w:rsid w:val="00D32CEA"/>
    <w:rsid w:val="00D32E41"/>
    <w:rsid w:val="00D341DA"/>
    <w:rsid w:val="00D344D3"/>
    <w:rsid w:val="00D3469A"/>
    <w:rsid w:val="00D3674D"/>
    <w:rsid w:val="00D3679F"/>
    <w:rsid w:val="00D36EAF"/>
    <w:rsid w:val="00D37386"/>
    <w:rsid w:val="00D4022F"/>
    <w:rsid w:val="00D405D8"/>
    <w:rsid w:val="00D40799"/>
    <w:rsid w:val="00D40D30"/>
    <w:rsid w:val="00D429DA"/>
    <w:rsid w:val="00D43429"/>
    <w:rsid w:val="00D434FF"/>
    <w:rsid w:val="00D44E79"/>
    <w:rsid w:val="00D4515C"/>
    <w:rsid w:val="00D5070A"/>
    <w:rsid w:val="00D51991"/>
    <w:rsid w:val="00D51C86"/>
    <w:rsid w:val="00D51F80"/>
    <w:rsid w:val="00D5419F"/>
    <w:rsid w:val="00D54DEB"/>
    <w:rsid w:val="00D56F9A"/>
    <w:rsid w:val="00D57B91"/>
    <w:rsid w:val="00D600C2"/>
    <w:rsid w:val="00D6211C"/>
    <w:rsid w:val="00D633EE"/>
    <w:rsid w:val="00D63DB5"/>
    <w:rsid w:val="00D65464"/>
    <w:rsid w:val="00D66F0F"/>
    <w:rsid w:val="00D66FD0"/>
    <w:rsid w:val="00D67DFF"/>
    <w:rsid w:val="00D707F3"/>
    <w:rsid w:val="00D71472"/>
    <w:rsid w:val="00D715FF"/>
    <w:rsid w:val="00D71CA8"/>
    <w:rsid w:val="00D7267F"/>
    <w:rsid w:val="00D72BC6"/>
    <w:rsid w:val="00D740E6"/>
    <w:rsid w:val="00D74806"/>
    <w:rsid w:val="00D77690"/>
    <w:rsid w:val="00D77BAF"/>
    <w:rsid w:val="00D77DC8"/>
    <w:rsid w:val="00D80254"/>
    <w:rsid w:val="00D803FC"/>
    <w:rsid w:val="00D80853"/>
    <w:rsid w:val="00D81087"/>
    <w:rsid w:val="00D829D3"/>
    <w:rsid w:val="00D8453C"/>
    <w:rsid w:val="00D863D8"/>
    <w:rsid w:val="00D86BEB"/>
    <w:rsid w:val="00D86E66"/>
    <w:rsid w:val="00D87759"/>
    <w:rsid w:val="00D87A97"/>
    <w:rsid w:val="00D87F26"/>
    <w:rsid w:val="00D87F90"/>
    <w:rsid w:val="00D911C0"/>
    <w:rsid w:val="00D9130A"/>
    <w:rsid w:val="00D922A5"/>
    <w:rsid w:val="00D92455"/>
    <w:rsid w:val="00D933EC"/>
    <w:rsid w:val="00D947B6"/>
    <w:rsid w:val="00D95276"/>
    <w:rsid w:val="00D96416"/>
    <w:rsid w:val="00DA0E6F"/>
    <w:rsid w:val="00DA2B00"/>
    <w:rsid w:val="00DA3284"/>
    <w:rsid w:val="00DA347D"/>
    <w:rsid w:val="00DA56DD"/>
    <w:rsid w:val="00DA6052"/>
    <w:rsid w:val="00DA60E9"/>
    <w:rsid w:val="00DB0428"/>
    <w:rsid w:val="00DB06C7"/>
    <w:rsid w:val="00DB0D66"/>
    <w:rsid w:val="00DB1323"/>
    <w:rsid w:val="00DB1D06"/>
    <w:rsid w:val="00DB256D"/>
    <w:rsid w:val="00DB2EA0"/>
    <w:rsid w:val="00DB4002"/>
    <w:rsid w:val="00DB4655"/>
    <w:rsid w:val="00DB4854"/>
    <w:rsid w:val="00DB4A98"/>
    <w:rsid w:val="00DB6592"/>
    <w:rsid w:val="00DB6AC5"/>
    <w:rsid w:val="00DB73EE"/>
    <w:rsid w:val="00DB74F4"/>
    <w:rsid w:val="00DC14D1"/>
    <w:rsid w:val="00DC2048"/>
    <w:rsid w:val="00DC3000"/>
    <w:rsid w:val="00DC3BEE"/>
    <w:rsid w:val="00DC4C83"/>
    <w:rsid w:val="00DC60E0"/>
    <w:rsid w:val="00DC695D"/>
    <w:rsid w:val="00DC7E99"/>
    <w:rsid w:val="00DC7FC3"/>
    <w:rsid w:val="00DD02FE"/>
    <w:rsid w:val="00DD121B"/>
    <w:rsid w:val="00DD123D"/>
    <w:rsid w:val="00DD1252"/>
    <w:rsid w:val="00DD281F"/>
    <w:rsid w:val="00DD3B99"/>
    <w:rsid w:val="00DD481B"/>
    <w:rsid w:val="00DD5D62"/>
    <w:rsid w:val="00DD7E91"/>
    <w:rsid w:val="00DE04F5"/>
    <w:rsid w:val="00DE0ADB"/>
    <w:rsid w:val="00DE0C29"/>
    <w:rsid w:val="00DE2152"/>
    <w:rsid w:val="00DE4368"/>
    <w:rsid w:val="00DE63B4"/>
    <w:rsid w:val="00DE673E"/>
    <w:rsid w:val="00DE7A05"/>
    <w:rsid w:val="00DE7F26"/>
    <w:rsid w:val="00DF5AB9"/>
    <w:rsid w:val="00DF6C89"/>
    <w:rsid w:val="00E00477"/>
    <w:rsid w:val="00E00BDA"/>
    <w:rsid w:val="00E04197"/>
    <w:rsid w:val="00E05083"/>
    <w:rsid w:val="00E05306"/>
    <w:rsid w:val="00E05429"/>
    <w:rsid w:val="00E06634"/>
    <w:rsid w:val="00E103C5"/>
    <w:rsid w:val="00E11460"/>
    <w:rsid w:val="00E13658"/>
    <w:rsid w:val="00E13AF1"/>
    <w:rsid w:val="00E13D3B"/>
    <w:rsid w:val="00E156AA"/>
    <w:rsid w:val="00E15A52"/>
    <w:rsid w:val="00E16038"/>
    <w:rsid w:val="00E16AEF"/>
    <w:rsid w:val="00E17D61"/>
    <w:rsid w:val="00E20AC7"/>
    <w:rsid w:val="00E20E9D"/>
    <w:rsid w:val="00E217BF"/>
    <w:rsid w:val="00E258D8"/>
    <w:rsid w:val="00E319B5"/>
    <w:rsid w:val="00E32159"/>
    <w:rsid w:val="00E329B0"/>
    <w:rsid w:val="00E34103"/>
    <w:rsid w:val="00E342F5"/>
    <w:rsid w:val="00E353B7"/>
    <w:rsid w:val="00E36452"/>
    <w:rsid w:val="00E36996"/>
    <w:rsid w:val="00E3781C"/>
    <w:rsid w:val="00E416BD"/>
    <w:rsid w:val="00E423DD"/>
    <w:rsid w:val="00E43335"/>
    <w:rsid w:val="00E4408A"/>
    <w:rsid w:val="00E44993"/>
    <w:rsid w:val="00E44999"/>
    <w:rsid w:val="00E44AC4"/>
    <w:rsid w:val="00E450FA"/>
    <w:rsid w:val="00E45290"/>
    <w:rsid w:val="00E45D57"/>
    <w:rsid w:val="00E45DEE"/>
    <w:rsid w:val="00E4683F"/>
    <w:rsid w:val="00E47D91"/>
    <w:rsid w:val="00E50847"/>
    <w:rsid w:val="00E51045"/>
    <w:rsid w:val="00E51457"/>
    <w:rsid w:val="00E52793"/>
    <w:rsid w:val="00E53127"/>
    <w:rsid w:val="00E53A9A"/>
    <w:rsid w:val="00E53B2D"/>
    <w:rsid w:val="00E53D74"/>
    <w:rsid w:val="00E55D01"/>
    <w:rsid w:val="00E55F91"/>
    <w:rsid w:val="00E565BB"/>
    <w:rsid w:val="00E5665B"/>
    <w:rsid w:val="00E568C7"/>
    <w:rsid w:val="00E56F11"/>
    <w:rsid w:val="00E573D1"/>
    <w:rsid w:val="00E57769"/>
    <w:rsid w:val="00E610A1"/>
    <w:rsid w:val="00E61525"/>
    <w:rsid w:val="00E6163C"/>
    <w:rsid w:val="00E61D20"/>
    <w:rsid w:val="00E677B4"/>
    <w:rsid w:val="00E679FE"/>
    <w:rsid w:val="00E67F3C"/>
    <w:rsid w:val="00E70128"/>
    <w:rsid w:val="00E70F34"/>
    <w:rsid w:val="00E75282"/>
    <w:rsid w:val="00E75F0F"/>
    <w:rsid w:val="00E76AEB"/>
    <w:rsid w:val="00E776A6"/>
    <w:rsid w:val="00E81100"/>
    <w:rsid w:val="00E81D49"/>
    <w:rsid w:val="00E828B4"/>
    <w:rsid w:val="00E82BED"/>
    <w:rsid w:val="00E82FB7"/>
    <w:rsid w:val="00E83894"/>
    <w:rsid w:val="00E83A54"/>
    <w:rsid w:val="00E84829"/>
    <w:rsid w:val="00E84CAB"/>
    <w:rsid w:val="00E851D1"/>
    <w:rsid w:val="00E85D62"/>
    <w:rsid w:val="00E85EDE"/>
    <w:rsid w:val="00E86788"/>
    <w:rsid w:val="00E86E51"/>
    <w:rsid w:val="00E87E58"/>
    <w:rsid w:val="00E87EAE"/>
    <w:rsid w:val="00E91BBB"/>
    <w:rsid w:val="00E92039"/>
    <w:rsid w:val="00E92754"/>
    <w:rsid w:val="00E93785"/>
    <w:rsid w:val="00E959E1"/>
    <w:rsid w:val="00E95CA8"/>
    <w:rsid w:val="00E96273"/>
    <w:rsid w:val="00E97623"/>
    <w:rsid w:val="00EA0E4A"/>
    <w:rsid w:val="00EA1A4A"/>
    <w:rsid w:val="00EA3F27"/>
    <w:rsid w:val="00EA7374"/>
    <w:rsid w:val="00EA7C0C"/>
    <w:rsid w:val="00EA7D31"/>
    <w:rsid w:val="00EB126F"/>
    <w:rsid w:val="00EB166D"/>
    <w:rsid w:val="00EB1921"/>
    <w:rsid w:val="00EB2705"/>
    <w:rsid w:val="00EB2A9A"/>
    <w:rsid w:val="00EB368B"/>
    <w:rsid w:val="00EB46A6"/>
    <w:rsid w:val="00EB5E13"/>
    <w:rsid w:val="00EB71A2"/>
    <w:rsid w:val="00EB7311"/>
    <w:rsid w:val="00EC01EC"/>
    <w:rsid w:val="00EC0B2B"/>
    <w:rsid w:val="00EC4C53"/>
    <w:rsid w:val="00EC5C61"/>
    <w:rsid w:val="00EC5DF2"/>
    <w:rsid w:val="00EC69BC"/>
    <w:rsid w:val="00EC6C90"/>
    <w:rsid w:val="00EC75CE"/>
    <w:rsid w:val="00EC7A38"/>
    <w:rsid w:val="00ED033D"/>
    <w:rsid w:val="00ED0821"/>
    <w:rsid w:val="00ED12AA"/>
    <w:rsid w:val="00ED18EC"/>
    <w:rsid w:val="00ED1911"/>
    <w:rsid w:val="00ED2554"/>
    <w:rsid w:val="00ED5657"/>
    <w:rsid w:val="00ED7F40"/>
    <w:rsid w:val="00EE2083"/>
    <w:rsid w:val="00EE3027"/>
    <w:rsid w:val="00EE32FD"/>
    <w:rsid w:val="00EE415F"/>
    <w:rsid w:val="00EE5025"/>
    <w:rsid w:val="00EE5A21"/>
    <w:rsid w:val="00EE5C25"/>
    <w:rsid w:val="00EE5CB5"/>
    <w:rsid w:val="00EE62D6"/>
    <w:rsid w:val="00EE64AA"/>
    <w:rsid w:val="00EE7BFC"/>
    <w:rsid w:val="00EE7F0B"/>
    <w:rsid w:val="00EF011B"/>
    <w:rsid w:val="00EF0271"/>
    <w:rsid w:val="00EF0BC7"/>
    <w:rsid w:val="00EF13C7"/>
    <w:rsid w:val="00EF2913"/>
    <w:rsid w:val="00EF29FE"/>
    <w:rsid w:val="00EF30F1"/>
    <w:rsid w:val="00EF44D7"/>
    <w:rsid w:val="00EF4D8F"/>
    <w:rsid w:val="00EF50F1"/>
    <w:rsid w:val="00EF61FA"/>
    <w:rsid w:val="00EF7CFB"/>
    <w:rsid w:val="00F00628"/>
    <w:rsid w:val="00F019F4"/>
    <w:rsid w:val="00F01D4A"/>
    <w:rsid w:val="00F03577"/>
    <w:rsid w:val="00F040AD"/>
    <w:rsid w:val="00F04954"/>
    <w:rsid w:val="00F04A8B"/>
    <w:rsid w:val="00F06D74"/>
    <w:rsid w:val="00F07211"/>
    <w:rsid w:val="00F07984"/>
    <w:rsid w:val="00F10321"/>
    <w:rsid w:val="00F10A63"/>
    <w:rsid w:val="00F11A4D"/>
    <w:rsid w:val="00F11C1D"/>
    <w:rsid w:val="00F12A09"/>
    <w:rsid w:val="00F13327"/>
    <w:rsid w:val="00F13F06"/>
    <w:rsid w:val="00F14166"/>
    <w:rsid w:val="00F164D1"/>
    <w:rsid w:val="00F17516"/>
    <w:rsid w:val="00F204CE"/>
    <w:rsid w:val="00F21587"/>
    <w:rsid w:val="00F21A38"/>
    <w:rsid w:val="00F223B9"/>
    <w:rsid w:val="00F22E28"/>
    <w:rsid w:val="00F24599"/>
    <w:rsid w:val="00F24DCE"/>
    <w:rsid w:val="00F2708A"/>
    <w:rsid w:val="00F27261"/>
    <w:rsid w:val="00F304EF"/>
    <w:rsid w:val="00F30CE2"/>
    <w:rsid w:val="00F314AE"/>
    <w:rsid w:val="00F3193C"/>
    <w:rsid w:val="00F31CCD"/>
    <w:rsid w:val="00F31F25"/>
    <w:rsid w:val="00F327AC"/>
    <w:rsid w:val="00F32AE5"/>
    <w:rsid w:val="00F32C15"/>
    <w:rsid w:val="00F33107"/>
    <w:rsid w:val="00F33466"/>
    <w:rsid w:val="00F354CD"/>
    <w:rsid w:val="00F35B5F"/>
    <w:rsid w:val="00F360C4"/>
    <w:rsid w:val="00F371CD"/>
    <w:rsid w:val="00F37FC9"/>
    <w:rsid w:val="00F40353"/>
    <w:rsid w:val="00F403DD"/>
    <w:rsid w:val="00F406C4"/>
    <w:rsid w:val="00F42EBA"/>
    <w:rsid w:val="00F4319D"/>
    <w:rsid w:val="00F440ED"/>
    <w:rsid w:val="00F44C0C"/>
    <w:rsid w:val="00F45BB2"/>
    <w:rsid w:val="00F45F0B"/>
    <w:rsid w:val="00F46409"/>
    <w:rsid w:val="00F46A6F"/>
    <w:rsid w:val="00F475AE"/>
    <w:rsid w:val="00F50C91"/>
    <w:rsid w:val="00F53979"/>
    <w:rsid w:val="00F553E2"/>
    <w:rsid w:val="00F56B82"/>
    <w:rsid w:val="00F57511"/>
    <w:rsid w:val="00F605B5"/>
    <w:rsid w:val="00F6223E"/>
    <w:rsid w:val="00F63848"/>
    <w:rsid w:val="00F63967"/>
    <w:rsid w:val="00F6566F"/>
    <w:rsid w:val="00F658D3"/>
    <w:rsid w:val="00F6752A"/>
    <w:rsid w:val="00F70AAF"/>
    <w:rsid w:val="00F710D9"/>
    <w:rsid w:val="00F71B75"/>
    <w:rsid w:val="00F71D41"/>
    <w:rsid w:val="00F72063"/>
    <w:rsid w:val="00F72AF5"/>
    <w:rsid w:val="00F73C0F"/>
    <w:rsid w:val="00F74479"/>
    <w:rsid w:val="00F74C30"/>
    <w:rsid w:val="00F74E86"/>
    <w:rsid w:val="00F75215"/>
    <w:rsid w:val="00F7583E"/>
    <w:rsid w:val="00F75A4B"/>
    <w:rsid w:val="00F760FC"/>
    <w:rsid w:val="00F76222"/>
    <w:rsid w:val="00F766D6"/>
    <w:rsid w:val="00F76774"/>
    <w:rsid w:val="00F768EB"/>
    <w:rsid w:val="00F76B0B"/>
    <w:rsid w:val="00F77583"/>
    <w:rsid w:val="00F8092E"/>
    <w:rsid w:val="00F8167E"/>
    <w:rsid w:val="00F81FEB"/>
    <w:rsid w:val="00F82A8F"/>
    <w:rsid w:val="00F85513"/>
    <w:rsid w:val="00F85A0F"/>
    <w:rsid w:val="00F87949"/>
    <w:rsid w:val="00F87AF3"/>
    <w:rsid w:val="00F87BEA"/>
    <w:rsid w:val="00F87F31"/>
    <w:rsid w:val="00F91489"/>
    <w:rsid w:val="00F9158D"/>
    <w:rsid w:val="00F9212C"/>
    <w:rsid w:val="00F9470D"/>
    <w:rsid w:val="00F95058"/>
    <w:rsid w:val="00F969F9"/>
    <w:rsid w:val="00F96B71"/>
    <w:rsid w:val="00F97969"/>
    <w:rsid w:val="00F97B2C"/>
    <w:rsid w:val="00FA10B6"/>
    <w:rsid w:val="00FA134B"/>
    <w:rsid w:val="00FA2DEC"/>
    <w:rsid w:val="00FA33BB"/>
    <w:rsid w:val="00FA3A0B"/>
    <w:rsid w:val="00FA5797"/>
    <w:rsid w:val="00FB1725"/>
    <w:rsid w:val="00FB4F9D"/>
    <w:rsid w:val="00FB5DD4"/>
    <w:rsid w:val="00FB60AA"/>
    <w:rsid w:val="00FC0F8B"/>
    <w:rsid w:val="00FC1779"/>
    <w:rsid w:val="00FC238E"/>
    <w:rsid w:val="00FC2539"/>
    <w:rsid w:val="00FC2DFF"/>
    <w:rsid w:val="00FC3050"/>
    <w:rsid w:val="00FC39E5"/>
    <w:rsid w:val="00FC3ADB"/>
    <w:rsid w:val="00FC54B1"/>
    <w:rsid w:val="00FC5DC7"/>
    <w:rsid w:val="00FC5F99"/>
    <w:rsid w:val="00FC69D8"/>
    <w:rsid w:val="00FC7FED"/>
    <w:rsid w:val="00FD0379"/>
    <w:rsid w:val="00FD1747"/>
    <w:rsid w:val="00FD3D41"/>
    <w:rsid w:val="00FD47ED"/>
    <w:rsid w:val="00FD563F"/>
    <w:rsid w:val="00FD6239"/>
    <w:rsid w:val="00FD6D7A"/>
    <w:rsid w:val="00FD71B2"/>
    <w:rsid w:val="00FD7794"/>
    <w:rsid w:val="00FD79A7"/>
    <w:rsid w:val="00FD7ADF"/>
    <w:rsid w:val="00FE10E3"/>
    <w:rsid w:val="00FE1531"/>
    <w:rsid w:val="00FE23C3"/>
    <w:rsid w:val="00FE266E"/>
    <w:rsid w:val="00FE3D13"/>
    <w:rsid w:val="00FE612A"/>
    <w:rsid w:val="00FE671B"/>
    <w:rsid w:val="00FF08E4"/>
    <w:rsid w:val="00FF1411"/>
    <w:rsid w:val="00FF1F44"/>
    <w:rsid w:val="00FF2953"/>
    <w:rsid w:val="00FF3307"/>
    <w:rsid w:val="00FF49C8"/>
    <w:rsid w:val="00FF5586"/>
    <w:rsid w:val="00FF5CD9"/>
    <w:rsid w:val="00FF651D"/>
    <w:rsid w:val="00FF6980"/>
    <w:rsid w:val="00FF7CBA"/>
    <w:rsid w:val="00FF7C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8090F"/>
  <w15:docId w15:val="{6B5DAE36-EE58-4C70-9123-213E0EFB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C3"/>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A064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Cuerpo"/>
    <w:link w:val="Ttulo2Car"/>
    <w:uiPriority w:val="9"/>
    <w:rsid w:val="007F1725"/>
    <w:pPr>
      <w:keepNext/>
      <w:pBdr>
        <w:top w:val="none" w:sz="96" w:space="31" w:color="FFFFFF" w:frame="1"/>
        <w:left w:val="none" w:sz="96" w:space="31" w:color="FFFFFF" w:frame="1"/>
        <w:bottom w:val="none" w:sz="96" w:space="31" w:color="FFFFFF" w:frame="1"/>
        <w:right w:val="none" w:sz="96" w:space="31" w:color="FFFFFF" w:frame="1"/>
      </w:pBdr>
      <w:jc w:val="both"/>
      <w:outlineLvl w:val="1"/>
    </w:pPr>
    <w:rPr>
      <w:rFonts w:eastAsiaTheme="minorEastAsia" w:cs="Arial"/>
      <w:b/>
      <w:bCs/>
      <w:color w:val="000000"/>
      <w:sz w:val="22"/>
      <w:szCs w:val="22"/>
      <w:u w:color="000000"/>
      <w:lang w:val="es-ES_tradnl" w:eastAsia="es-CO"/>
    </w:rPr>
  </w:style>
  <w:style w:type="paragraph" w:styleId="Ttulo8">
    <w:name w:val="heading 8"/>
    <w:basedOn w:val="Normal"/>
    <w:next w:val="Normal"/>
    <w:link w:val="Ttulo8Car"/>
    <w:uiPriority w:val="9"/>
    <w:qFormat/>
    <w:rsid w:val="007F1725"/>
    <w:pPr>
      <w:spacing w:before="240" w:after="60"/>
      <w:jc w:val="both"/>
      <w:outlineLvl w:val="7"/>
    </w:pPr>
    <w:rPr>
      <w:rFonts w:ascii="Times New Roman" w:eastAsiaTheme="minorEastAsia" w:hAnsi="Times New Roman"/>
      <w:i/>
      <w:i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unhideWhenUsed/>
    <w:rsid w:val="001D500E"/>
    <w:rPr>
      <w:sz w:val="16"/>
      <w:szCs w:val="16"/>
    </w:rPr>
  </w:style>
  <w:style w:type="paragraph" w:styleId="Textocomentario">
    <w:name w:val="annotation text"/>
    <w:basedOn w:val="Normal"/>
    <w:link w:val="TextocomentarioCar"/>
    <w:uiPriority w:val="99"/>
    <w:unhideWhenUsed/>
    <w:qFormat/>
    <w:rsid w:val="001D500E"/>
    <w:rPr>
      <w:sz w:val="20"/>
      <w:szCs w:val="20"/>
    </w:rPr>
  </w:style>
  <w:style w:type="character" w:customStyle="1" w:styleId="TextocomentarioCar">
    <w:name w:val="Texto comentario Car"/>
    <w:basedOn w:val="Fuentedeprrafopredeter"/>
    <w:link w:val="Textocomentario"/>
    <w:uiPriority w:val="99"/>
    <w:rsid w:val="001D500E"/>
    <w:rPr>
      <w:sz w:val="20"/>
      <w:szCs w:val="20"/>
      <w:lang w:val="es-ES"/>
    </w:rPr>
  </w:style>
  <w:style w:type="paragraph" w:styleId="Textodeglobo">
    <w:name w:val="Balloon Text"/>
    <w:basedOn w:val="Normal"/>
    <w:link w:val="TextodegloboCar"/>
    <w:uiPriority w:val="99"/>
    <w:semiHidden/>
    <w:unhideWhenUsed/>
    <w:rsid w:val="001D50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500E"/>
    <w:rPr>
      <w:rFonts w:ascii="Segoe UI" w:hAnsi="Segoe UI" w:cs="Segoe UI"/>
      <w:sz w:val="18"/>
      <w:szCs w:val="18"/>
      <w:lang w:val="es-ES"/>
    </w:rPr>
  </w:style>
  <w:style w:type="paragraph" w:styleId="Prrafodelista">
    <w:name w:val="List Paragraph"/>
    <w:aliases w:val="List,Bolita,Párrafo de lista2,Párrafo de lista3,Párrafo de lista21,BOLA,BOLADEF,HOJA,Guión,Titulo 8,bolita,Párrafo de lista31,Párrafo de lista211,Párrafo de lista5,MIBEX B,titulo 3,Bullets,Fluvial1,Ha,Cuadrícula clara - Énfasis 31"/>
    <w:basedOn w:val="Normal"/>
    <w:link w:val="PrrafodelistaCar"/>
    <w:uiPriority w:val="34"/>
    <w:qFormat/>
    <w:rsid w:val="0054002F"/>
    <w:pPr>
      <w:ind w:left="720"/>
      <w:contextualSpacing/>
    </w:pPr>
  </w:style>
  <w:style w:type="paragraph" w:styleId="Asuntodelcomentario">
    <w:name w:val="annotation subject"/>
    <w:basedOn w:val="Textocomentario"/>
    <w:next w:val="Textocomentario"/>
    <w:link w:val="AsuntodelcomentarioCar"/>
    <w:uiPriority w:val="99"/>
    <w:semiHidden/>
    <w:unhideWhenUsed/>
    <w:rsid w:val="004735A9"/>
    <w:rPr>
      <w:b/>
      <w:bCs/>
    </w:rPr>
  </w:style>
  <w:style w:type="character" w:customStyle="1" w:styleId="AsuntodelcomentarioCar">
    <w:name w:val="Asunto del comentario Car"/>
    <w:basedOn w:val="TextocomentarioCar"/>
    <w:link w:val="Asuntodelcomentario"/>
    <w:uiPriority w:val="99"/>
    <w:semiHidden/>
    <w:rsid w:val="004735A9"/>
    <w:rPr>
      <w:b/>
      <w:bCs/>
      <w:sz w:val="20"/>
      <w:szCs w:val="20"/>
      <w:lang w:val="es-ES"/>
    </w:rPr>
  </w:style>
  <w:style w:type="paragraph" w:styleId="NormalWeb">
    <w:name w:val="Normal (Web)"/>
    <w:basedOn w:val="Normal"/>
    <w:uiPriority w:val="99"/>
    <w:unhideWhenUsed/>
    <w:rsid w:val="004735A9"/>
    <w:pPr>
      <w:spacing w:before="100" w:beforeAutospacing="1" w:after="100" w:afterAutospacing="1"/>
    </w:pPr>
    <w:rPr>
      <w:rFonts w:ascii="Times New Roman" w:hAnsi="Times New Roman"/>
      <w:lang w:val="es-CO" w:eastAsia="es-CO"/>
    </w:rPr>
  </w:style>
  <w:style w:type="character" w:customStyle="1" w:styleId="apple-converted-space">
    <w:name w:val="apple-converted-space"/>
    <w:basedOn w:val="Fuentedeprrafopredeter"/>
    <w:rsid w:val="004735A9"/>
  </w:style>
  <w:style w:type="character" w:customStyle="1" w:styleId="baj">
    <w:name w:val="b_aj"/>
    <w:basedOn w:val="Fuentedeprrafopredeter"/>
    <w:rsid w:val="009802EA"/>
  </w:style>
  <w:style w:type="character" w:styleId="Hipervnculo">
    <w:name w:val="Hyperlink"/>
    <w:basedOn w:val="Fuentedeprrafopredeter"/>
    <w:uiPriority w:val="99"/>
    <w:unhideWhenUsed/>
    <w:rsid w:val="009802EA"/>
    <w:rPr>
      <w:color w:val="0000FF"/>
      <w:u w:val="single"/>
    </w:rPr>
  </w:style>
  <w:style w:type="paragraph" w:styleId="Sinespaciado">
    <w:name w:val="No Spacing"/>
    <w:link w:val="SinespaciadoCar"/>
    <w:uiPriority w:val="1"/>
    <w:qFormat/>
    <w:rsid w:val="00354ADD"/>
    <w:pPr>
      <w:spacing w:after="0" w:line="240" w:lineRule="auto"/>
    </w:pPr>
    <w:rPr>
      <w:lang w:val="es-ES"/>
    </w:rPr>
  </w:style>
  <w:style w:type="paragraph" w:styleId="Encabezado">
    <w:name w:val="header"/>
    <w:basedOn w:val="Normal"/>
    <w:link w:val="EncabezadoCar"/>
    <w:uiPriority w:val="99"/>
    <w:unhideWhenUsed/>
    <w:rsid w:val="00BF2347"/>
    <w:pPr>
      <w:tabs>
        <w:tab w:val="center" w:pos="4419"/>
        <w:tab w:val="right" w:pos="8838"/>
      </w:tabs>
    </w:pPr>
  </w:style>
  <w:style w:type="character" w:customStyle="1" w:styleId="EncabezadoCar">
    <w:name w:val="Encabezado Car"/>
    <w:basedOn w:val="Fuentedeprrafopredeter"/>
    <w:link w:val="Encabezado"/>
    <w:uiPriority w:val="99"/>
    <w:rsid w:val="00BF2347"/>
    <w:rPr>
      <w:lang w:val="es-ES"/>
    </w:rPr>
  </w:style>
  <w:style w:type="paragraph" w:styleId="Piedepgina">
    <w:name w:val="footer"/>
    <w:basedOn w:val="Normal"/>
    <w:link w:val="PiedepginaCar"/>
    <w:uiPriority w:val="99"/>
    <w:unhideWhenUsed/>
    <w:rsid w:val="00BF2347"/>
    <w:pPr>
      <w:tabs>
        <w:tab w:val="center" w:pos="4419"/>
        <w:tab w:val="right" w:pos="8838"/>
      </w:tabs>
    </w:pPr>
  </w:style>
  <w:style w:type="character" w:customStyle="1" w:styleId="PiedepginaCar">
    <w:name w:val="Pie de página Car"/>
    <w:basedOn w:val="Fuentedeprrafopredeter"/>
    <w:link w:val="Piedepgina"/>
    <w:uiPriority w:val="99"/>
    <w:rsid w:val="00BF2347"/>
    <w:rPr>
      <w:lang w:val="es-ES"/>
    </w:rPr>
  </w:style>
  <w:style w:type="paragraph" w:customStyle="1" w:styleId="FreeForm">
    <w:name w:val="Free Form"/>
    <w:rsid w:val="00F45BB2"/>
    <w:pPr>
      <w:spacing w:after="0" w:line="240" w:lineRule="auto"/>
    </w:pPr>
    <w:rPr>
      <w:rFonts w:ascii="Times New Roman" w:eastAsia="ヒラギノ角ゴ Pro W3" w:hAnsi="Times New Roman" w:cs="Times New Roman"/>
      <w:color w:val="000000"/>
      <w:sz w:val="20"/>
      <w:szCs w:val="20"/>
      <w:lang w:val="es-ES_tradnl" w:eastAsia="es-CO"/>
    </w:rPr>
  </w:style>
  <w:style w:type="paragraph" w:customStyle="1" w:styleId="Encabezado1">
    <w:name w:val="Encabezado1"/>
    <w:rsid w:val="00F45BB2"/>
    <w:pPr>
      <w:tabs>
        <w:tab w:val="center" w:pos="4320"/>
        <w:tab w:val="right" w:pos="8640"/>
      </w:tabs>
      <w:spacing w:after="0" w:line="240" w:lineRule="auto"/>
      <w:jc w:val="both"/>
    </w:pPr>
    <w:rPr>
      <w:rFonts w:ascii="Arial" w:eastAsia="ヒラギノ角ゴ Pro W3" w:hAnsi="Arial" w:cs="Times New Roman"/>
      <w:color w:val="000000"/>
      <w:szCs w:val="20"/>
      <w:lang w:val="es-ES_tradnl" w:eastAsia="es-CO"/>
    </w:rPr>
  </w:style>
  <w:style w:type="character" w:customStyle="1" w:styleId="SinespaciadoCar">
    <w:name w:val="Sin espaciado Car"/>
    <w:basedOn w:val="Fuentedeprrafopredeter"/>
    <w:link w:val="Sinespaciado"/>
    <w:uiPriority w:val="1"/>
    <w:rsid w:val="00B714DA"/>
    <w:rPr>
      <w:lang w:val="es-ES"/>
    </w:rPr>
  </w:style>
  <w:style w:type="character" w:customStyle="1" w:styleId="Ttulo1Car">
    <w:name w:val="Título 1 Car"/>
    <w:basedOn w:val="Fuentedeprrafopredeter"/>
    <w:link w:val="Ttulo1"/>
    <w:uiPriority w:val="9"/>
    <w:rsid w:val="00A06447"/>
    <w:rPr>
      <w:rFonts w:asciiTheme="majorHAnsi" w:eastAsiaTheme="majorEastAsia" w:hAnsiTheme="majorHAnsi" w:cstheme="majorBidi"/>
      <w:color w:val="2E74B5" w:themeColor="accent1" w:themeShade="BF"/>
      <w:sz w:val="32"/>
      <w:szCs w:val="32"/>
      <w:lang w:val="es-ES"/>
    </w:rPr>
  </w:style>
  <w:style w:type="paragraph" w:styleId="TtuloTDC">
    <w:name w:val="TOC Heading"/>
    <w:basedOn w:val="Ttulo1"/>
    <w:next w:val="Normal"/>
    <w:uiPriority w:val="39"/>
    <w:unhideWhenUsed/>
    <w:qFormat/>
    <w:rsid w:val="00A06447"/>
    <w:pPr>
      <w:outlineLvl w:val="9"/>
    </w:pPr>
  </w:style>
  <w:style w:type="character" w:styleId="Textoennegrita">
    <w:name w:val="Strong"/>
    <w:basedOn w:val="Fuentedeprrafopredeter"/>
    <w:uiPriority w:val="22"/>
    <w:qFormat/>
    <w:rsid w:val="00507D5B"/>
    <w:rPr>
      <w:b/>
      <w:bCs/>
    </w:rPr>
  </w:style>
  <w:style w:type="paragraph" w:customStyle="1" w:styleId="xmsonormal">
    <w:name w:val="x_msonormal"/>
    <w:basedOn w:val="Normal"/>
    <w:rsid w:val="009E689B"/>
    <w:pPr>
      <w:spacing w:before="100" w:beforeAutospacing="1" w:after="100" w:afterAutospacing="1"/>
    </w:pPr>
    <w:rPr>
      <w:rFonts w:ascii="Times New Roman" w:hAnsi="Times New Roman"/>
      <w:lang w:val="es-CO" w:eastAsia="es-CO"/>
    </w:rPr>
  </w:style>
  <w:style w:type="paragraph" w:customStyle="1" w:styleId="BodyText21">
    <w:name w:val="Body Text 21"/>
    <w:basedOn w:val="Normal"/>
    <w:rsid w:val="00124943"/>
    <w:pPr>
      <w:widowControl w:val="0"/>
      <w:tabs>
        <w:tab w:val="left" w:pos="504"/>
        <w:tab w:val="left" w:pos="1020"/>
        <w:tab w:val="left" w:pos="1584"/>
        <w:tab w:val="left" w:pos="2148"/>
        <w:tab w:val="left" w:pos="2718"/>
        <w:tab w:val="left" w:pos="3282"/>
        <w:tab w:val="left" w:pos="3852"/>
        <w:tab w:val="left" w:pos="4416"/>
        <w:tab w:val="left" w:pos="4986"/>
        <w:tab w:val="left" w:pos="5610"/>
        <w:tab w:val="left" w:pos="6174"/>
        <w:tab w:val="left" w:pos="6744"/>
        <w:tab w:val="left" w:pos="7308"/>
        <w:tab w:val="left" w:pos="7818"/>
        <w:tab w:val="left" w:pos="8640"/>
        <w:tab w:val="left" w:pos="9360"/>
        <w:tab w:val="left" w:pos="10080"/>
        <w:tab w:val="left" w:pos="10800"/>
      </w:tabs>
      <w:snapToGrid w:val="0"/>
      <w:spacing w:line="-240" w:lineRule="auto"/>
      <w:jc w:val="both"/>
    </w:pPr>
    <w:rPr>
      <w:szCs w:val="20"/>
      <w:lang w:val="es-ES_tradnl"/>
    </w:rPr>
  </w:style>
  <w:style w:type="paragraph" w:customStyle="1" w:styleId="Default">
    <w:name w:val="Default"/>
    <w:rsid w:val="00C949C9"/>
    <w:pPr>
      <w:autoSpaceDE w:val="0"/>
      <w:autoSpaceDN w:val="0"/>
      <w:adjustRightInd w:val="0"/>
      <w:spacing w:after="0" w:line="240" w:lineRule="auto"/>
    </w:pPr>
    <w:rPr>
      <w:rFonts w:ascii="Arial" w:hAnsi="Arial" w:cs="Arial"/>
      <w:color w:val="000000"/>
      <w:sz w:val="24"/>
      <w:szCs w:val="24"/>
    </w:rPr>
  </w:style>
  <w:style w:type="paragraph" w:customStyle="1" w:styleId="CM67">
    <w:name w:val="CM67"/>
    <w:basedOn w:val="Default"/>
    <w:next w:val="Default"/>
    <w:uiPriority w:val="99"/>
    <w:rsid w:val="00C949C9"/>
    <w:rPr>
      <w:color w:val="auto"/>
    </w:rPr>
  </w:style>
  <w:style w:type="character" w:styleId="Nmerodepgina">
    <w:name w:val="page number"/>
    <w:uiPriority w:val="99"/>
    <w:rsid w:val="00506BE8"/>
    <w:rPr>
      <w:rFonts w:cs="Times New Roman"/>
    </w:rPr>
  </w:style>
  <w:style w:type="paragraph" w:styleId="Textoindependiente">
    <w:name w:val="Body Text"/>
    <w:basedOn w:val="Normal"/>
    <w:link w:val="TextoindependienteCar"/>
    <w:uiPriority w:val="1"/>
    <w:unhideWhenUsed/>
    <w:qFormat/>
    <w:rsid w:val="004308C3"/>
    <w:pPr>
      <w:jc w:val="center"/>
    </w:pPr>
    <w:rPr>
      <w:rFonts w:cs="Arial"/>
      <w:sz w:val="22"/>
      <w:szCs w:val="22"/>
      <w:lang w:val="es-CO"/>
    </w:rPr>
  </w:style>
  <w:style w:type="character" w:customStyle="1" w:styleId="TextoindependienteCar">
    <w:name w:val="Texto independiente Car"/>
    <w:basedOn w:val="Fuentedeprrafopredeter"/>
    <w:link w:val="Textoindependiente"/>
    <w:uiPriority w:val="1"/>
    <w:rsid w:val="004308C3"/>
    <w:rPr>
      <w:rFonts w:ascii="Arial" w:eastAsia="Times New Roman" w:hAnsi="Arial" w:cs="Arial"/>
      <w:lang w:eastAsia="es-ES"/>
    </w:rPr>
  </w:style>
  <w:style w:type="character" w:customStyle="1" w:styleId="Mencinsinresolver1">
    <w:name w:val="Mención sin resolver1"/>
    <w:basedOn w:val="Fuentedeprrafopredeter"/>
    <w:uiPriority w:val="99"/>
    <w:semiHidden/>
    <w:unhideWhenUsed/>
    <w:rsid w:val="008D03EB"/>
    <w:rPr>
      <w:color w:val="605E5C"/>
      <w:shd w:val="clear" w:color="auto" w:fill="E1DFDD"/>
    </w:rPr>
  </w:style>
  <w:style w:type="paragraph" w:styleId="Revisin">
    <w:name w:val="Revision"/>
    <w:hidden/>
    <w:uiPriority w:val="99"/>
    <w:semiHidden/>
    <w:rsid w:val="006233FA"/>
    <w:pPr>
      <w:spacing w:after="0" w:line="240" w:lineRule="auto"/>
    </w:pPr>
    <w:rPr>
      <w:rFonts w:ascii="Arial" w:eastAsia="Times New Roman" w:hAnsi="Arial" w:cs="Times New Roman"/>
      <w:sz w:val="24"/>
      <w:szCs w:val="24"/>
      <w:lang w:val="es-ES" w:eastAsia="es-ES"/>
    </w:rPr>
  </w:style>
  <w:style w:type="character" w:customStyle="1" w:styleId="Ttulo2Car">
    <w:name w:val="Título 2 Car"/>
    <w:basedOn w:val="Fuentedeprrafopredeter"/>
    <w:link w:val="Ttulo2"/>
    <w:uiPriority w:val="9"/>
    <w:rsid w:val="007F1725"/>
    <w:rPr>
      <w:rFonts w:ascii="Arial" w:eastAsiaTheme="minorEastAsia" w:hAnsi="Arial" w:cs="Arial"/>
      <w:b/>
      <w:bCs/>
      <w:color w:val="000000"/>
      <w:u w:color="000000"/>
      <w:lang w:val="es-ES_tradnl" w:eastAsia="es-CO"/>
    </w:rPr>
  </w:style>
  <w:style w:type="character" w:customStyle="1" w:styleId="Ttulo8Car">
    <w:name w:val="Título 8 Car"/>
    <w:basedOn w:val="Fuentedeprrafopredeter"/>
    <w:link w:val="Ttulo8"/>
    <w:uiPriority w:val="9"/>
    <w:rsid w:val="007F1725"/>
    <w:rPr>
      <w:rFonts w:ascii="Times New Roman" w:eastAsiaTheme="minorEastAsia" w:hAnsi="Times New Roman" w:cs="Times New Roman"/>
      <w:i/>
      <w:iCs/>
      <w:sz w:val="24"/>
      <w:szCs w:val="24"/>
      <w:lang w:val="es-ES_tradnl" w:eastAsia="es-ES"/>
    </w:rPr>
  </w:style>
  <w:style w:type="paragraph" w:customStyle="1" w:styleId="CarCarCarCar">
    <w:name w:val="Car Car Car Car"/>
    <w:basedOn w:val="Normal"/>
    <w:rsid w:val="007F1725"/>
    <w:pPr>
      <w:spacing w:after="80" w:line="240" w:lineRule="exact"/>
    </w:pPr>
    <w:rPr>
      <w:rFonts w:ascii="Verdana" w:eastAsiaTheme="minorEastAsia" w:hAnsi="Verdana"/>
      <w:sz w:val="20"/>
      <w:lang w:val="en-US" w:eastAsia="en-US"/>
    </w:rPr>
  </w:style>
  <w:style w:type="paragraph" w:customStyle="1" w:styleId="Cuerpo">
    <w:name w:val="Cuerpo"/>
    <w:rsid w:val="007F1725"/>
    <w:pPr>
      <w:pBdr>
        <w:top w:val="none" w:sz="96" w:space="31" w:color="FFFFFF" w:frame="1"/>
        <w:left w:val="none" w:sz="96" w:space="31" w:color="FFFFFF" w:frame="1"/>
        <w:bottom w:val="none" w:sz="96" w:space="31" w:color="FFFFFF" w:frame="1"/>
        <w:right w:val="none" w:sz="96" w:space="31" w:color="FFFFFF" w:frame="1"/>
      </w:pBdr>
      <w:spacing w:after="80" w:line="240" w:lineRule="auto"/>
      <w:jc w:val="both"/>
    </w:pPr>
    <w:rPr>
      <w:rFonts w:ascii="Arial" w:eastAsia="Times New Roman" w:hAnsi="Arial Unicode MS" w:cs="Arial Unicode MS"/>
      <w:color w:val="000000"/>
      <w:u w:color="000000"/>
      <w:lang w:val="es-ES_tradnl" w:eastAsia="es-CO"/>
    </w:rPr>
  </w:style>
  <w:style w:type="table" w:customStyle="1" w:styleId="TableNormal1">
    <w:name w:val="Table Normal1"/>
    <w:rsid w:val="007F1725"/>
    <w:pPr>
      <w:pBdr>
        <w:top w:val="none" w:sz="96" w:space="31" w:color="FFFFFF" w:frame="1"/>
        <w:left w:val="none" w:sz="96" w:space="31" w:color="FFFFFF" w:frame="1"/>
        <w:bottom w:val="none" w:sz="96" w:space="31" w:color="FFFFFF" w:frame="1"/>
        <w:right w:val="none" w:sz="96" w:space="31" w:color="FFFFFF" w:frame="1"/>
      </w:pBdr>
      <w:spacing w:after="80" w:line="240" w:lineRule="auto"/>
    </w:pPr>
    <w:rPr>
      <w:rFonts w:ascii="Times New Roman" w:eastAsiaTheme="minorEastAsia" w:hAnsi="Times New Roman" w:cs="Times New Roman"/>
      <w:sz w:val="20"/>
      <w:szCs w:val="20"/>
      <w:lang w:eastAsia="es-CO"/>
    </w:rPr>
    <w:tblPr>
      <w:tblInd w:w="0" w:type="dxa"/>
      <w:tblCellMar>
        <w:top w:w="0" w:type="dxa"/>
        <w:left w:w="0" w:type="dxa"/>
        <w:bottom w:w="0" w:type="dxa"/>
        <w:right w:w="0" w:type="dxa"/>
      </w:tblCellMar>
    </w:tblPr>
  </w:style>
  <w:style w:type="paragraph" w:customStyle="1" w:styleId="Poromisin">
    <w:name w:val="Por omisión"/>
    <w:rsid w:val="007F1725"/>
    <w:pPr>
      <w:pBdr>
        <w:top w:val="none" w:sz="96" w:space="31" w:color="FFFFFF" w:frame="1"/>
        <w:left w:val="none" w:sz="96" w:space="31" w:color="FFFFFF" w:frame="1"/>
        <w:bottom w:val="none" w:sz="96" w:space="31" w:color="FFFFFF" w:frame="1"/>
        <w:right w:val="none" w:sz="96" w:space="31" w:color="FFFFFF" w:frame="1"/>
      </w:pBdr>
      <w:spacing w:after="80" w:line="240" w:lineRule="auto"/>
    </w:pPr>
    <w:rPr>
      <w:rFonts w:ascii="Helvetica" w:eastAsiaTheme="minorEastAsia" w:hAnsi="Helvetica" w:cs="Helvetica"/>
      <w:color w:val="000000"/>
      <w:lang w:eastAsia="es-CO"/>
    </w:rPr>
  </w:style>
  <w:style w:type="character" w:customStyle="1" w:styleId="textonavy">
    <w:name w:val="texto_navy"/>
    <w:basedOn w:val="Fuentedeprrafopredeter"/>
    <w:rsid w:val="007F1725"/>
    <w:rPr>
      <w:rFonts w:cs="Times New Roman"/>
    </w:rPr>
  </w:style>
  <w:style w:type="paragraph" w:customStyle="1" w:styleId="estilo1">
    <w:name w:val="estilo1"/>
    <w:basedOn w:val="Normal"/>
    <w:rsid w:val="007F1725"/>
    <w:pPr>
      <w:spacing w:before="230" w:after="230" w:line="216" w:lineRule="atLeast"/>
      <w:ind w:left="230" w:right="230"/>
    </w:pPr>
    <w:rPr>
      <w:rFonts w:ascii="Verdana" w:eastAsiaTheme="minorEastAsia" w:hAnsi="Verdana"/>
      <w:color w:val="000000"/>
      <w:sz w:val="18"/>
      <w:szCs w:val="18"/>
      <w:lang w:val="es-MX" w:eastAsia="es-MX"/>
    </w:rPr>
  </w:style>
  <w:style w:type="character" w:styleId="Hipervnculovisitado">
    <w:name w:val="FollowedHyperlink"/>
    <w:basedOn w:val="Fuentedeprrafopredeter"/>
    <w:uiPriority w:val="99"/>
    <w:semiHidden/>
    <w:unhideWhenUsed/>
    <w:rsid w:val="007F1725"/>
    <w:rPr>
      <w:rFonts w:cs="Times New Roman"/>
      <w:color w:val="954F72" w:themeColor="followedHyperlink"/>
      <w:u w:val="single"/>
    </w:rPr>
  </w:style>
  <w:style w:type="paragraph" w:customStyle="1" w:styleId="CM27">
    <w:name w:val="CM27"/>
    <w:basedOn w:val="Default"/>
    <w:next w:val="Default"/>
    <w:uiPriority w:val="99"/>
    <w:rsid w:val="007F1725"/>
    <w:pPr>
      <w:spacing w:after="80"/>
    </w:pPr>
    <w:rPr>
      <w:rFonts w:eastAsiaTheme="minorEastAsia"/>
      <w:color w:val="auto"/>
      <w:u w:color="000000"/>
      <w:lang w:eastAsia="es-CO"/>
    </w:rPr>
  </w:style>
  <w:style w:type="paragraph" w:customStyle="1" w:styleId="CM28">
    <w:name w:val="CM28"/>
    <w:basedOn w:val="Default"/>
    <w:next w:val="Default"/>
    <w:uiPriority w:val="99"/>
    <w:rsid w:val="007F1725"/>
    <w:pPr>
      <w:spacing w:after="80"/>
    </w:pPr>
    <w:rPr>
      <w:rFonts w:eastAsiaTheme="minorEastAsia"/>
      <w:color w:val="auto"/>
      <w:u w:color="000000"/>
      <w:lang w:eastAsia="es-CO"/>
    </w:rPr>
  </w:style>
  <w:style w:type="paragraph" w:customStyle="1" w:styleId="CM111">
    <w:name w:val="CM111"/>
    <w:basedOn w:val="Default"/>
    <w:next w:val="Default"/>
    <w:uiPriority w:val="99"/>
    <w:rsid w:val="007F1725"/>
    <w:pPr>
      <w:spacing w:after="80"/>
    </w:pPr>
    <w:rPr>
      <w:rFonts w:eastAsiaTheme="minorEastAsia"/>
      <w:color w:val="auto"/>
      <w:u w:color="000000"/>
      <w:lang w:eastAsia="es-CO"/>
    </w:rPr>
  </w:style>
  <w:style w:type="paragraph" w:customStyle="1" w:styleId="CM6">
    <w:name w:val="CM6"/>
    <w:basedOn w:val="Default"/>
    <w:next w:val="Default"/>
    <w:uiPriority w:val="99"/>
    <w:rsid w:val="007F1725"/>
    <w:pPr>
      <w:spacing w:after="80" w:line="256" w:lineRule="atLeast"/>
    </w:pPr>
    <w:rPr>
      <w:rFonts w:eastAsiaTheme="minorEastAsia"/>
      <w:color w:val="auto"/>
      <w:u w:color="000000"/>
      <w:lang w:eastAsia="es-CO"/>
    </w:rPr>
  </w:style>
  <w:style w:type="paragraph" w:customStyle="1" w:styleId="CM115">
    <w:name w:val="CM115"/>
    <w:basedOn w:val="Default"/>
    <w:next w:val="Default"/>
    <w:uiPriority w:val="99"/>
    <w:rsid w:val="007F1725"/>
    <w:pPr>
      <w:spacing w:after="80"/>
    </w:pPr>
    <w:rPr>
      <w:rFonts w:eastAsiaTheme="minorEastAsia"/>
      <w:color w:val="auto"/>
      <w:u w:color="000000"/>
      <w:lang w:eastAsia="es-CO"/>
    </w:rPr>
  </w:style>
  <w:style w:type="paragraph" w:customStyle="1" w:styleId="CM116">
    <w:name w:val="CM116"/>
    <w:basedOn w:val="Default"/>
    <w:next w:val="Default"/>
    <w:uiPriority w:val="99"/>
    <w:rsid w:val="007F1725"/>
    <w:pPr>
      <w:spacing w:after="80"/>
    </w:pPr>
    <w:rPr>
      <w:rFonts w:eastAsiaTheme="minorEastAsia"/>
      <w:color w:val="auto"/>
      <w:u w:color="000000"/>
      <w:lang w:eastAsia="es-CO"/>
    </w:rPr>
  </w:style>
  <w:style w:type="paragraph" w:customStyle="1" w:styleId="CM110">
    <w:name w:val="CM110"/>
    <w:basedOn w:val="Default"/>
    <w:next w:val="Default"/>
    <w:uiPriority w:val="99"/>
    <w:rsid w:val="007F1725"/>
    <w:pPr>
      <w:spacing w:after="80"/>
    </w:pPr>
    <w:rPr>
      <w:rFonts w:eastAsiaTheme="minorEastAsia"/>
      <w:color w:val="auto"/>
      <w:u w:color="000000"/>
      <w:lang w:eastAsia="es-CO"/>
    </w:rPr>
  </w:style>
  <w:style w:type="paragraph" w:customStyle="1" w:styleId="CM1101">
    <w:name w:val="CM110+1"/>
    <w:basedOn w:val="Default"/>
    <w:next w:val="Default"/>
    <w:uiPriority w:val="99"/>
    <w:rsid w:val="007F1725"/>
    <w:pPr>
      <w:spacing w:after="80"/>
    </w:pPr>
    <w:rPr>
      <w:rFonts w:eastAsiaTheme="minorEastAsia"/>
      <w:color w:val="auto"/>
      <w:u w:color="000000"/>
      <w:lang w:eastAsia="es-CO"/>
    </w:rPr>
  </w:style>
  <w:style w:type="paragraph" w:customStyle="1" w:styleId="CUERPOTEXTO">
    <w:name w:val="CUERPO TEXTO"/>
    <w:rsid w:val="007F1725"/>
    <w:pPr>
      <w:widowControl w:val="0"/>
      <w:tabs>
        <w:tab w:val="center" w:pos="510"/>
        <w:tab w:val="left" w:pos="1134"/>
      </w:tabs>
      <w:autoSpaceDE w:val="0"/>
      <w:autoSpaceDN w:val="0"/>
      <w:adjustRightInd w:val="0"/>
      <w:spacing w:before="28" w:after="28" w:line="200" w:lineRule="atLeast"/>
      <w:ind w:left="720" w:firstLine="283"/>
      <w:jc w:val="both"/>
    </w:pPr>
    <w:rPr>
      <w:rFonts w:ascii="Times New Roman" w:eastAsiaTheme="minorEastAsia" w:hAnsi="Times New Roman" w:cs="Times New Roman"/>
      <w:color w:val="000000"/>
      <w:sz w:val="19"/>
      <w:szCs w:val="20"/>
      <w:lang w:val="es-ES" w:eastAsia="es-ES"/>
    </w:rPr>
  </w:style>
  <w:style w:type="paragraph" w:customStyle="1" w:styleId="CM1141">
    <w:name w:val="CM114+1"/>
    <w:basedOn w:val="Default"/>
    <w:next w:val="Default"/>
    <w:uiPriority w:val="99"/>
    <w:rsid w:val="007F1725"/>
    <w:pPr>
      <w:spacing w:after="80"/>
    </w:pPr>
    <w:rPr>
      <w:rFonts w:eastAsiaTheme="minorEastAsia"/>
      <w:color w:val="auto"/>
      <w:u w:color="000000"/>
      <w:lang w:eastAsia="es-CO"/>
    </w:rPr>
  </w:style>
  <w:style w:type="paragraph" w:styleId="Textonotapie">
    <w:name w:val="footnote text"/>
    <w:basedOn w:val="Normal"/>
    <w:link w:val="TextonotapieCar"/>
    <w:uiPriority w:val="99"/>
    <w:semiHidden/>
    <w:unhideWhenUsed/>
    <w:rsid w:val="007F1725"/>
    <w:pPr>
      <w:ind w:left="720" w:hanging="720"/>
      <w:jc w:val="both"/>
    </w:pPr>
    <w:rPr>
      <w:rFonts w:asciiTheme="minorHAnsi" w:eastAsiaTheme="minorEastAsia" w:hAnsiTheme="minorHAnsi"/>
      <w:sz w:val="20"/>
      <w:szCs w:val="20"/>
      <w:lang w:val="es-CO" w:eastAsia="en-US"/>
    </w:rPr>
  </w:style>
  <w:style w:type="character" w:customStyle="1" w:styleId="TextonotapieCar">
    <w:name w:val="Texto nota pie Car"/>
    <w:basedOn w:val="Fuentedeprrafopredeter"/>
    <w:link w:val="Textonotapie"/>
    <w:uiPriority w:val="99"/>
    <w:semiHidden/>
    <w:rsid w:val="007F1725"/>
    <w:rPr>
      <w:rFonts w:eastAsiaTheme="minorEastAsia" w:cs="Times New Roman"/>
      <w:sz w:val="20"/>
      <w:szCs w:val="20"/>
    </w:rPr>
  </w:style>
  <w:style w:type="paragraph" w:customStyle="1" w:styleId="CM102">
    <w:name w:val="CM102"/>
    <w:basedOn w:val="Normal"/>
    <w:uiPriority w:val="99"/>
    <w:rsid w:val="007F1725"/>
    <w:pPr>
      <w:autoSpaceDE w:val="0"/>
      <w:autoSpaceDN w:val="0"/>
    </w:pPr>
    <w:rPr>
      <w:rFonts w:eastAsiaTheme="minorEastAsia" w:cs="Arial"/>
      <w:lang w:val="es-CO" w:eastAsia="en-US"/>
    </w:rPr>
  </w:style>
  <w:style w:type="paragraph" w:styleId="Subttulo">
    <w:name w:val="Subtitle"/>
    <w:basedOn w:val="Normal"/>
    <w:next w:val="Normal"/>
    <w:link w:val="SubttuloCar"/>
    <w:uiPriority w:val="11"/>
    <w:qFormat/>
    <w:rsid w:val="007F1725"/>
    <w:pPr>
      <w:widowControl w:val="0"/>
      <w:numPr>
        <w:ilvl w:val="1"/>
      </w:numPr>
      <w:outlineLvl w:val="0"/>
    </w:pPr>
    <w:rPr>
      <w:rFonts w:eastAsiaTheme="minorEastAsia"/>
      <w:b/>
      <w:spacing w:val="15"/>
      <w:szCs w:val="22"/>
      <w:lang w:eastAsia="en-US"/>
    </w:rPr>
  </w:style>
  <w:style w:type="character" w:customStyle="1" w:styleId="SubttuloCar">
    <w:name w:val="Subtítulo Car"/>
    <w:basedOn w:val="Fuentedeprrafopredeter"/>
    <w:link w:val="Subttulo"/>
    <w:uiPriority w:val="11"/>
    <w:rsid w:val="007F1725"/>
    <w:rPr>
      <w:rFonts w:ascii="Arial" w:eastAsiaTheme="minorEastAsia" w:hAnsi="Arial" w:cs="Times New Roman"/>
      <w:b/>
      <w:spacing w:val="15"/>
      <w:sz w:val="24"/>
      <w:lang w:val="es-ES"/>
    </w:rPr>
  </w:style>
  <w:style w:type="paragraph" w:styleId="Ttulo">
    <w:name w:val="Title"/>
    <w:basedOn w:val="Normal"/>
    <w:next w:val="Normal"/>
    <w:link w:val="TtuloCar"/>
    <w:uiPriority w:val="10"/>
    <w:qFormat/>
    <w:rsid w:val="007F1725"/>
    <w:pPr>
      <w:contextualSpacing/>
    </w:pPr>
    <w:rPr>
      <w:rFonts w:asciiTheme="majorHAnsi" w:eastAsiaTheme="majorEastAsia" w:hAnsiTheme="majorHAnsi"/>
      <w:spacing w:val="-10"/>
      <w:kern w:val="28"/>
      <w:sz w:val="56"/>
      <w:szCs w:val="56"/>
      <w:lang w:eastAsia="en-US"/>
    </w:rPr>
  </w:style>
  <w:style w:type="character" w:customStyle="1" w:styleId="TtuloCar">
    <w:name w:val="Título Car"/>
    <w:basedOn w:val="Fuentedeprrafopredeter"/>
    <w:link w:val="Ttulo"/>
    <w:uiPriority w:val="10"/>
    <w:rsid w:val="007F1725"/>
    <w:rPr>
      <w:rFonts w:asciiTheme="majorHAnsi" w:eastAsiaTheme="majorEastAsia" w:hAnsiTheme="majorHAnsi" w:cs="Times New Roman"/>
      <w:spacing w:val="-10"/>
      <w:kern w:val="28"/>
      <w:sz w:val="56"/>
      <w:szCs w:val="56"/>
      <w:lang w:val="es-ES"/>
    </w:rPr>
  </w:style>
  <w:style w:type="character" w:styleId="Refdenotaalpie">
    <w:name w:val="footnote reference"/>
    <w:aliases w:val="Appel note de bas de page,referencia nota al pie,Texto de nota al pie,Nota de pie,Texto nota al pie,Ref. de nota al pie 2,Pie de Página,FC,Ref. de nota al pie2,BVI fnr,Ref,de nota al pie,Footnote symbol,Footnote,Pie de pagina,f"/>
    <w:basedOn w:val="Fuentedeprrafopredeter"/>
    <w:uiPriority w:val="99"/>
    <w:semiHidden/>
    <w:unhideWhenUsed/>
    <w:rsid w:val="007F1725"/>
    <w:rPr>
      <w:rFonts w:cs="Times New Roman"/>
      <w:vertAlign w:val="superscript"/>
    </w:rPr>
  </w:style>
  <w:style w:type="character" w:styleId="nfasis">
    <w:name w:val="Emphasis"/>
    <w:basedOn w:val="Fuentedeprrafopredeter"/>
    <w:uiPriority w:val="20"/>
    <w:qFormat/>
    <w:rsid w:val="007F1725"/>
    <w:rPr>
      <w:rFonts w:cs="Times New Roman"/>
      <w:i/>
      <w:iCs/>
    </w:rPr>
  </w:style>
  <w:style w:type="paragraph" w:customStyle="1" w:styleId="centrado">
    <w:name w:val="centrado"/>
    <w:basedOn w:val="Normal"/>
    <w:uiPriority w:val="99"/>
    <w:rsid w:val="007F1725"/>
    <w:pPr>
      <w:spacing w:before="100" w:beforeAutospacing="1" w:after="100" w:afterAutospacing="1"/>
    </w:pPr>
    <w:rPr>
      <w:rFonts w:ascii="Times New Roman" w:eastAsiaTheme="minorEastAsia" w:hAnsi="Times New Roman"/>
      <w:lang w:val="es-CO" w:eastAsia="es-CO"/>
    </w:rPr>
  </w:style>
  <w:style w:type="character" w:customStyle="1" w:styleId="fontstyle21">
    <w:name w:val="fontstyle21"/>
    <w:basedOn w:val="Fuentedeprrafopredeter"/>
    <w:rsid w:val="007F1725"/>
    <w:rPr>
      <w:rFonts w:ascii="Arial Narrow" w:hAnsi="Arial Narrow" w:cs="Times New Roman"/>
      <w:color w:val="000000"/>
      <w:sz w:val="24"/>
      <w:szCs w:val="24"/>
    </w:rPr>
  </w:style>
  <w:style w:type="paragraph" w:customStyle="1" w:styleId="xxxmsonospacing">
    <w:name w:val="x_x_xmsonospacing"/>
    <w:basedOn w:val="Normal"/>
    <w:uiPriority w:val="99"/>
    <w:rsid w:val="007F1725"/>
    <w:rPr>
      <w:rFonts w:ascii="Times New Roman" w:eastAsiaTheme="minorEastAsia" w:hAnsi="Times New Roman"/>
      <w:lang w:val="es-CO" w:eastAsia="es-CO"/>
    </w:rPr>
  </w:style>
  <w:style w:type="paragraph" w:customStyle="1" w:styleId="Sombreadomedio1-nfasis11">
    <w:name w:val="Sombreado medio 1 - Énfasis 11"/>
    <w:basedOn w:val="Normal"/>
    <w:uiPriority w:val="1"/>
    <w:qFormat/>
    <w:rsid w:val="007F1725"/>
    <w:rPr>
      <w:rFonts w:ascii="Calibri" w:eastAsiaTheme="minorEastAsia" w:hAnsi="Calibri"/>
      <w:sz w:val="22"/>
      <w:szCs w:val="22"/>
      <w:lang w:val="es-CO" w:eastAsia="es-CO"/>
    </w:rPr>
  </w:style>
  <w:style w:type="paragraph" w:customStyle="1" w:styleId="pa6">
    <w:name w:val="pa6"/>
    <w:basedOn w:val="Normal"/>
    <w:rsid w:val="007F1725"/>
    <w:pPr>
      <w:spacing w:before="100" w:beforeAutospacing="1" w:after="100" w:afterAutospacing="1"/>
    </w:pPr>
    <w:rPr>
      <w:rFonts w:ascii="Times New Roman" w:eastAsiaTheme="minorEastAsia" w:hAnsi="Times New Roman"/>
      <w:lang w:val="es-CO" w:eastAsia="es-CO"/>
    </w:rPr>
  </w:style>
  <w:style w:type="paragraph" w:customStyle="1" w:styleId="paragraph">
    <w:name w:val="paragraph"/>
    <w:basedOn w:val="Normal"/>
    <w:rsid w:val="007F1725"/>
    <w:pPr>
      <w:spacing w:before="100" w:beforeAutospacing="1" w:after="100" w:afterAutospacing="1"/>
    </w:pPr>
    <w:rPr>
      <w:rFonts w:ascii="Times New Roman" w:eastAsiaTheme="minorEastAsia" w:hAnsi="Times New Roman"/>
      <w:lang w:val="es-CO" w:eastAsia="es-CO"/>
    </w:rPr>
  </w:style>
  <w:style w:type="character" w:customStyle="1" w:styleId="eop">
    <w:name w:val="eop"/>
    <w:basedOn w:val="Fuentedeprrafopredeter"/>
    <w:rsid w:val="007F1725"/>
    <w:rPr>
      <w:rFonts w:cs="Times New Roman"/>
    </w:rPr>
  </w:style>
  <w:style w:type="paragraph" w:customStyle="1" w:styleId="TableParagraph">
    <w:name w:val="Table Paragraph"/>
    <w:basedOn w:val="Normal"/>
    <w:uiPriority w:val="1"/>
    <w:qFormat/>
    <w:rsid w:val="007F1725"/>
    <w:pPr>
      <w:widowControl w:val="0"/>
      <w:autoSpaceDE w:val="0"/>
      <w:autoSpaceDN w:val="0"/>
      <w:ind w:left="107"/>
    </w:pPr>
    <w:rPr>
      <w:rFonts w:ascii="Verdana" w:eastAsiaTheme="minorEastAsia" w:hAnsi="Verdana"/>
      <w:sz w:val="22"/>
      <w:szCs w:val="22"/>
      <w:lang w:val="gl" w:eastAsia="gl"/>
    </w:rPr>
  </w:style>
  <w:style w:type="character" w:customStyle="1" w:styleId="PrrafodelistaCar">
    <w:name w:val="Párrafo de lista Car"/>
    <w:aliases w:val="List Car,Bolita Car,Párrafo de lista2 Car,Párrafo de lista3 Car,Párrafo de lista21 Car,BOLA Car,BOLADEF Car,HOJA Car,Guión Car,Titulo 8 Car,bolita Car,Párrafo de lista31 Car,Párrafo de lista211 Car,Párrafo de lista5 Car,MIBEX B Car"/>
    <w:link w:val="Prrafodelista"/>
    <w:uiPriority w:val="34"/>
    <w:locked/>
    <w:rsid w:val="007F1725"/>
    <w:rPr>
      <w:rFonts w:ascii="Arial" w:eastAsia="Times New Roman" w:hAnsi="Arial" w:cs="Times New Roman"/>
      <w:sz w:val="24"/>
      <w:szCs w:val="24"/>
      <w:lang w:val="es-ES" w:eastAsia="es-ES"/>
    </w:rPr>
  </w:style>
  <w:style w:type="character" w:styleId="Mencinsinresolver">
    <w:name w:val="Unresolved Mention"/>
    <w:basedOn w:val="Fuentedeprrafopredeter"/>
    <w:uiPriority w:val="99"/>
    <w:semiHidden/>
    <w:unhideWhenUsed/>
    <w:rsid w:val="007F1725"/>
    <w:rPr>
      <w:rFonts w:cs="Times New Roman"/>
      <w:color w:val="605E5C"/>
      <w:shd w:val="clear" w:color="auto" w:fill="E1DFDD"/>
    </w:rPr>
  </w:style>
  <w:style w:type="paragraph" w:customStyle="1" w:styleId="pa8">
    <w:name w:val="pa8"/>
    <w:basedOn w:val="Normal"/>
    <w:rsid w:val="007F1725"/>
    <w:pPr>
      <w:spacing w:before="100" w:beforeAutospacing="1" w:after="100" w:afterAutospacing="1"/>
    </w:pPr>
    <w:rPr>
      <w:rFonts w:ascii="Times New Roman" w:eastAsiaTheme="minorEastAsia" w:hAnsi="Times New Roman"/>
      <w:lang w:val="es-CO" w:eastAsia="es-CO"/>
    </w:rPr>
  </w:style>
  <w:style w:type="character" w:customStyle="1" w:styleId="a5">
    <w:name w:val="a5"/>
    <w:basedOn w:val="Fuentedeprrafopredeter"/>
    <w:rsid w:val="007F1725"/>
    <w:rPr>
      <w:rFonts w:cs="Times New Roman"/>
    </w:rPr>
  </w:style>
  <w:style w:type="character" w:customStyle="1" w:styleId="Mencinsinresolver2">
    <w:name w:val="Mención sin resolver2"/>
    <w:basedOn w:val="Fuentedeprrafopredeter"/>
    <w:uiPriority w:val="99"/>
    <w:semiHidden/>
    <w:unhideWhenUsed/>
    <w:rsid w:val="007F1725"/>
    <w:rPr>
      <w:rFonts w:cs="Times New Roman"/>
      <w:color w:val="605E5C"/>
      <w:shd w:val="clear" w:color="auto" w:fill="E1DFDD"/>
    </w:rPr>
  </w:style>
  <w:style w:type="paragraph" w:customStyle="1" w:styleId="pa53">
    <w:name w:val="pa53"/>
    <w:basedOn w:val="Normal"/>
    <w:rsid w:val="007F1725"/>
    <w:pPr>
      <w:spacing w:before="100" w:beforeAutospacing="1" w:after="100" w:afterAutospacing="1"/>
    </w:pPr>
    <w:rPr>
      <w:rFonts w:ascii="Times New Roman" w:eastAsiaTheme="minorEastAsia" w:hAnsi="Times New Roman"/>
      <w:lang w:val="es-CO" w:eastAsia="es-CO"/>
    </w:rPr>
  </w:style>
  <w:style w:type="numbering" w:customStyle="1" w:styleId="List13">
    <w:name w:val="List 13"/>
    <w:rsid w:val="007F1725"/>
    <w:pPr>
      <w:numPr>
        <w:numId w:val="15"/>
      </w:numPr>
    </w:pPr>
  </w:style>
  <w:style w:type="numbering" w:customStyle="1" w:styleId="List11">
    <w:name w:val="List 11"/>
    <w:rsid w:val="007F1725"/>
    <w:pPr>
      <w:numPr>
        <w:numId w:val="12"/>
      </w:numPr>
    </w:pPr>
  </w:style>
  <w:style w:type="numbering" w:customStyle="1" w:styleId="List6">
    <w:name w:val="List 6"/>
    <w:rsid w:val="007F1725"/>
    <w:pPr>
      <w:numPr>
        <w:numId w:val="7"/>
      </w:numPr>
    </w:pPr>
  </w:style>
  <w:style w:type="numbering" w:customStyle="1" w:styleId="Lista31">
    <w:name w:val="Lista 31"/>
    <w:rsid w:val="007F1725"/>
    <w:pPr>
      <w:numPr>
        <w:numId w:val="3"/>
      </w:numPr>
    </w:pPr>
  </w:style>
  <w:style w:type="numbering" w:customStyle="1" w:styleId="List12">
    <w:name w:val="List 12"/>
    <w:rsid w:val="007F1725"/>
    <w:pPr>
      <w:numPr>
        <w:numId w:val="14"/>
      </w:numPr>
    </w:pPr>
  </w:style>
  <w:style w:type="numbering" w:customStyle="1" w:styleId="Nmero">
    <w:name w:val="Número"/>
    <w:rsid w:val="007F1725"/>
    <w:pPr>
      <w:numPr>
        <w:numId w:val="13"/>
      </w:numPr>
    </w:pPr>
  </w:style>
  <w:style w:type="numbering" w:customStyle="1" w:styleId="Lista21">
    <w:name w:val="Lista 21"/>
    <w:rsid w:val="007F1725"/>
    <w:pPr>
      <w:numPr>
        <w:numId w:val="2"/>
      </w:numPr>
    </w:pPr>
  </w:style>
  <w:style w:type="numbering" w:customStyle="1" w:styleId="List8">
    <w:name w:val="List 8"/>
    <w:rsid w:val="007F1725"/>
    <w:pPr>
      <w:numPr>
        <w:numId w:val="8"/>
      </w:numPr>
    </w:pPr>
  </w:style>
  <w:style w:type="numbering" w:customStyle="1" w:styleId="List9">
    <w:name w:val="List 9"/>
    <w:rsid w:val="007F1725"/>
    <w:pPr>
      <w:numPr>
        <w:numId w:val="10"/>
      </w:numPr>
    </w:pPr>
  </w:style>
  <w:style w:type="numbering" w:customStyle="1" w:styleId="List10">
    <w:name w:val="List 10"/>
    <w:rsid w:val="007F1725"/>
    <w:pPr>
      <w:numPr>
        <w:numId w:val="11"/>
      </w:numPr>
    </w:pPr>
  </w:style>
  <w:style w:type="numbering" w:customStyle="1" w:styleId="Lista51">
    <w:name w:val="Lista 51"/>
    <w:rsid w:val="007F1725"/>
    <w:pPr>
      <w:numPr>
        <w:numId w:val="6"/>
      </w:numPr>
    </w:pPr>
  </w:style>
  <w:style w:type="numbering" w:customStyle="1" w:styleId="List7">
    <w:name w:val="List 7"/>
    <w:rsid w:val="007F1725"/>
    <w:pPr>
      <w:numPr>
        <w:numId w:val="9"/>
      </w:numPr>
    </w:pPr>
  </w:style>
  <w:style w:type="numbering" w:customStyle="1" w:styleId="List0">
    <w:name w:val="List 0"/>
    <w:rsid w:val="007F1725"/>
    <w:pPr>
      <w:numPr>
        <w:numId w:val="1"/>
      </w:numPr>
    </w:pPr>
  </w:style>
  <w:style w:type="numbering" w:customStyle="1" w:styleId="List1">
    <w:name w:val="List 1"/>
    <w:rsid w:val="007F1725"/>
    <w:pPr>
      <w:numPr>
        <w:numId w:val="5"/>
      </w:numPr>
    </w:pPr>
  </w:style>
  <w:style w:type="numbering" w:customStyle="1" w:styleId="Lista41">
    <w:name w:val="Lista 41"/>
    <w:rsid w:val="007F1725"/>
    <w:pPr>
      <w:numPr>
        <w:numId w:val="4"/>
      </w:numPr>
    </w:pPr>
  </w:style>
  <w:style w:type="table" w:styleId="Tablaconcuadrcula">
    <w:name w:val="Table Grid"/>
    <w:basedOn w:val="Tablanormal"/>
    <w:uiPriority w:val="59"/>
    <w:rsid w:val="007F1725"/>
    <w:pPr>
      <w:spacing w:after="0" w:line="240" w:lineRule="auto"/>
    </w:pPr>
    <w:rPr>
      <w:rFonts w:eastAsiaTheme="minorEastAsia" w:cs="Times New Roman"/>
      <w:sz w:val="24"/>
      <w:szCs w:val="24"/>
      <w:lang w:val="es-ES_tradnl"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2">
    <w:name w:val="Table Normal2"/>
    <w:uiPriority w:val="2"/>
    <w:semiHidden/>
    <w:unhideWhenUsed/>
    <w:qFormat/>
    <w:rsid w:val="007F1725"/>
    <w:pPr>
      <w:widowControl w:val="0"/>
      <w:autoSpaceDE w:val="0"/>
      <w:autoSpaceDN w:val="0"/>
      <w:spacing w:after="8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Listavistosa-nfasis11">
    <w:name w:val="Lista vistosa - Énfasis 11"/>
    <w:basedOn w:val="Normal"/>
    <w:link w:val="Listavistosa-nfasis1Car"/>
    <w:uiPriority w:val="34"/>
    <w:qFormat/>
    <w:rsid w:val="007F1725"/>
    <w:pPr>
      <w:spacing w:after="200" w:line="276" w:lineRule="auto"/>
      <w:ind w:left="720"/>
      <w:contextualSpacing/>
    </w:pPr>
    <w:rPr>
      <w:rFonts w:ascii="Calibri" w:hAnsi="Calibri"/>
      <w:sz w:val="22"/>
      <w:szCs w:val="22"/>
      <w:lang w:val="es-CO" w:eastAsia="es-CO"/>
    </w:rPr>
  </w:style>
  <w:style w:type="character" w:customStyle="1" w:styleId="Listavistosa-nfasis1Car">
    <w:name w:val="Lista vistosa - Énfasis 1 Car"/>
    <w:basedOn w:val="Fuentedeprrafopredeter"/>
    <w:link w:val="Listavistosa-nfasis11"/>
    <w:uiPriority w:val="34"/>
    <w:rsid w:val="007F1725"/>
    <w:rPr>
      <w:rFonts w:ascii="Calibri" w:eastAsia="Times New Roman" w:hAnsi="Calibri" w:cs="Times New Roman"/>
      <w:lang w:eastAsia="es-CO"/>
    </w:rPr>
  </w:style>
  <w:style w:type="character" w:customStyle="1" w:styleId="normaltextrun">
    <w:name w:val="normaltextrun"/>
    <w:basedOn w:val="Fuentedeprrafopredeter"/>
    <w:rsid w:val="007F1725"/>
  </w:style>
  <w:style w:type="character" w:customStyle="1" w:styleId="cf01">
    <w:name w:val="cf01"/>
    <w:basedOn w:val="Fuentedeprrafopredeter"/>
    <w:rsid w:val="007F1725"/>
    <w:rPr>
      <w:rFonts w:ascii="Segoe UI" w:hAnsi="Segoe UI" w:cs="Segoe UI" w:hint="default"/>
      <w:sz w:val="18"/>
      <w:szCs w:val="18"/>
    </w:rPr>
  </w:style>
  <w:style w:type="paragraph" w:customStyle="1" w:styleId="pf0">
    <w:name w:val="pf0"/>
    <w:basedOn w:val="Normal"/>
    <w:rsid w:val="007F1725"/>
    <w:pPr>
      <w:spacing w:before="100" w:beforeAutospacing="1" w:after="100" w:afterAutospacing="1"/>
    </w:pPr>
    <w:rPr>
      <w:rFonts w:ascii="Times New Roman" w:hAnsi="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4463">
      <w:bodyDiv w:val="1"/>
      <w:marLeft w:val="0"/>
      <w:marRight w:val="0"/>
      <w:marTop w:val="0"/>
      <w:marBottom w:val="0"/>
      <w:divBdr>
        <w:top w:val="none" w:sz="0" w:space="0" w:color="auto"/>
        <w:left w:val="none" w:sz="0" w:space="0" w:color="auto"/>
        <w:bottom w:val="none" w:sz="0" w:space="0" w:color="auto"/>
        <w:right w:val="none" w:sz="0" w:space="0" w:color="auto"/>
      </w:divBdr>
    </w:div>
    <w:div w:id="280915901">
      <w:bodyDiv w:val="1"/>
      <w:marLeft w:val="0"/>
      <w:marRight w:val="0"/>
      <w:marTop w:val="0"/>
      <w:marBottom w:val="0"/>
      <w:divBdr>
        <w:top w:val="none" w:sz="0" w:space="0" w:color="auto"/>
        <w:left w:val="none" w:sz="0" w:space="0" w:color="auto"/>
        <w:bottom w:val="none" w:sz="0" w:space="0" w:color="auto"/>
        <w:right w:val="none" w:sz="0" w:space="0" w:color="auto"/>
      </w:divBdr>
    </w:div>
    <w:div w:id="313411390">
      <w:bodyDiv w:val="1"/>
      <w:marLeft w:val="0"/>
      <w:marRight w:val="0"/>
      <w:marTop w:val="0"/>
      <w:marBottom w:val="0"/>
      <w:divBdr>
        <w:top w:val="none" w:sz="0" w:space="0" w:color="auto"/>
        <w:left w:val="none" w:sz="0" w:space="0" w:color="auto"/>
        <w:bottom w:val="none" w:sz="0" w:space="0" w:color="auto"/>
        <w:right w:val="none" w:sz="0" w:space="0" w:color="auto"/>
      </w:divBdr>
    </w:div>
    <w:div w:id="459493237">
      <w:bodyDiv w:val="1"/>
      <w:marLeft w:val="0"/>
      <w:marRight w:val="0"/>
      <w:marTop w:val="0"/>
      <w:marBottom w:val="0"/>
      <w:divBdr>
        <w:top w:val="none" w:sz="0" w:space="0" w:color="auto"/>
        <w:left w:val="none" w:sz="0" w:space="0" w:color="auto"/>
        <w:bottom w:val="none" w:sz="0" w:space="0" w:color="auto"/>
        <w:right w:val="none" w:sz="0" w:space="0" w:color="auto"/>
      </w:divBdr>
    </w:div>
    <w:div w:id="500782002">
      <w:bodyDiv w:val="1"/>
      <w:marLeft w:val="0"/>
      <w:marRight w:val="0"/>
      <w:marTop w:val="0"/>
      <w:marBottom w:val="0"/>
      <w:divBdr>
        <w:top w:val="none" w:sz="0" w:space="0" w:color="auto"/>
        <w:left w:val="none" w:sz="0" w:space="0" w:color="auto"/>
        <w:bottom w:val="none" w:sz="0" w:space="0" w:color="auto"/>
        <w:right w:val="none" w:sz="0" w:space="0" w:color="auto"/>
      </w:divBdr>
    </w:div>
    <w:div w:id="556892063">
      <w:bodyDiv w:val="1"/>
      <w:marLeft w:val="0"/>
      <w:marRight w:val="0"/>
      <w:marTop w:val="0"/>
      <w:marBottom w:val="0"/>
      <w:divBdr>
        <w:top w:val="none" w:sz="0" w:space="0" w:color="auto"/>
        <w:left w:val="none" w:sz="0" w:space="0" w:color="auto"/>
        <w:bottom w:val="none" w:sz="0" w:space="0" w:color="auto"/>
        <w:right w:val="none" w:sz="0" w:space="0" w:color="auto"/>
      </w:divBdr>
    </w:div>
    <w:div w:id="652877848">
      <w:bodyDiv w:val="1"/>
      <w:marLeft w:val="0"/>
      <w:marRight w:val="0"/>
      <w:marTop w:val="0"/>
      <w:marBottom w:val="0"/>
      <w:divBdr>
        <w:top w:val="none" w:sz="0" w:space="0" w:color="auto"/>
        <w:left w:val="none" w:sz="0" w:space="0" w:color="auto"/>
        <w:bottom w:val="none" w:sz="0" w:space="0" w:color="auto"/>
        <w:right w:val="none" w:sz="0" w:space="0" w:color="auto"/>
      </w:divBdr>
      <w:divsChild>
        <w:div w:id="2112043437">
          <w:marLeft w:val="0"/>
          <w:marRight w:val="0"/>
          <w:marTop w:val="0"/>
          <w:marBottom w:val="0"/>
          <w:divBdr>
            <w:top w:val="none" w:sz="0" w:space="0" w:color="auto"/>
            <w:left w:val="none" w:sz="0" w:space="0" w:color="auto"/>
            <w:bottom w:val="none" w:sz="0" w:space="0" w:color="auto"/>
            <w:right w:val="none" w:sz="0" w:space="0" w:color="auto"/>
          </w:divBdr>
        </w:div>
        <w:div w:id="741634998">
          <w:marLeft w:val="0"/>
          <w:marRight w:val="0"/>
          <w:marTop w:val="0"/>
          <w:marBottom w:val="0"/>
          <w:divBdr>
            <w:top w:val="none" w:sz="0" w:space="0" w:color="auto"/>
            <w:left w:val="none" w:sz="0" w:space="0" w:color="auto"/>
            <w:bottom w:val="none" w:sz="0" w:space="0" w:color="auto"/>
            <w:right w:val="none" w:sz="0" w:space="0" w:color="auto"/>
          </w:divBdr>
        </w:div>
      </w:divsChild>
    </w:div>
    <w:div w:id="700519665">
      <w:bodyDiv w:val="1"/>
      <w:marLeft w:val="0"/>
      <w:marRight w:val="0"/>
      <w:marTop w:val="0"/>
      <w:marBottom w:val="0"/>
      <w:divBdr>
        <w:top w:val="none" w:sz="0" w:space="0" w:color="auto"/>
        <w:left w:val="none" w:sz="0" w:space="0" w:color="auto"/>
        <w:bottom w:val="none" w:sz="0" w:space="0" w:color="auto"/>
        <w:right w:val="none" w:sz="0" w:space="0" w:color="auto"/>
      </w:divBdr>
    </w:div>
    <w:div w:id="711341159">
      <w:bodyDiv w:val="1"/>
      <w:marLeft w:val="0"/>
      <w:marRight w:val="0"/>
      <w:marTop w:val="0"/>
      <w:marBottom w:val="0"/>
      <w:divBdr>
        <w:top w:val="none" w:sz="0" w:space="0" w:color="auto"/>
        <w:left w:val="none" w:sz="0" w:space="0" w:color="auto"/>
        <w:bottom w:val="none" w:sz="0" w:space="0" w:color="auto"/>
        <w:right w:val="none" w:sz="0" w:space="0" w:color="auto"/>
      </w:divBdr>
    </w:div>
    <w:div w:id="799034914">
      <w:bodyDiv w:val="1"/>
      <w:marLeft w:val="0"/>
      <w:marRight w:val="0"/>
      <w:marTop w:val="0"/>
      <w:marBottom w:val="0"/>
      <w:divBdr>
        <w:top w:val="none" w:sz="0" w:space="0" w:color="auto"/>
        <w:left w:val="none" w:sz="0" w:space="0" w:color="auto"/>
        <w:bottom w:val="none" w:sz="0" w:space="0" w:color="auto"/>
        <w:right w:val="none" w:sz="0" w:space="0" w:color="auto"/>
      </w:divBdr>
    </w:div>
    <w:div w:id="1205412846">
      <w:bodyDiv w:val="1"/>
      <w:marLeft w:val="0"/>
      <w:marRight w:val="0"/>
      <w:marTop w:val="0"/>
      <w:marBottom w:val="0"/>
      <w:divBdr>
        <w:top w:val="none" w:sz="0" w:space="0" w:color="auto"/>
        <w:left w:val="none" w:sz="0" w:space="0" w:color="auto"/>
        <w:bottom w:val="none" w:sz="0" w:space="0" w:color="auto"/>
        <w:right w:val="none" w:sz="0" w:space="0" w:color="auto"/>
      </w:divBdr>
    </w:div>
    <w:div w:id="1212885473">
      <w:bodyDiv w:val="1"/>
      <w:marLeft w:val="0"/>
      <w:marRight w:val="0"/>
      <w:marTop w:val="0"/>
      <w:marBottom w:val="0"/>
      <w:divBdr>
        <w:top w:val="none" w:sz="0" w:space="0" w:color="auto"/>
        <w:left w:val="none" w:sz="0" w:space="0" w:color="auto"/>
        <w:bottom w:val="none" w:sz="0" w:space="0" w:color="auto"/>
        <w:right w:val="none" w:sz="0" w:space="0" w:color="auto"/>
      </w:divBdr>
    </w:div>
    <w:div w:id="1246844103">
      <w:bodyDiv w:val="1"/>
      <w:marLeft w:val="0"/>
      <w:marRight w:val="0"/>
      <w:marTop w:val="0"/>
      <w:marBottom w:val="0"/>
      <w:divBdr>
        <w:top w:val="none" w:sz="0" w:space="0" w:color="auto"/>
        <w:left w:val="none" w:sz="0" w:space="0" w:color="auto"/>
        <w:bottom w:val="none" w:sz="0" w:space="0" w:color="auto"/>
        <w:right w:val="none" w:sz="0" w:space="0" w:color="auto"/>
      </w:divBdr>
    </w:div>
    <w:div w:id="1434322733">
      <w:bodyDiv w:val="1"/>
      <w:marLeft w:val="0"/>
      <w:marRight w:val="0"/>
      <w:marTop w:val="0"/>
      <w:marBottom w:val="0"/>
      <w:divBdr>
        <w:top w:val="none" w:sz="0" w:space="0" w:color="auto"/>
        <w:left w:val="none" w:sz="0" w:space="0" w:color="auto"/>
        <w:bottom w:val="none" w:sz="0" w:space="0" w:color="auto"/>
        <w:right w:val="none" w:sz="0" w:space="0" w:color="auto"/>
      </w:divBdr>
    </w:div>
    <w:div w:id="1508594376">
      <w:bodyDiv w:val="1"/>
      <w:marLeft w:val="0"/>
      <w:marRight w:val="0"/>
      <w:marTop w:val="0"/>
      <w:marBottom w:val="0"/>
      <w:divBdr>
        <w:top w:val="none" w:sz="0" w:space="0" w:color="auto"/>
        <w:left w:val="none" w:sz="0" w:space="0" w:color="auto"/>
        <w:bottom w:val="none" w:sz="0" w:space="0" w:color="auto"/>
        <w:right w:val="none" w:sz="0" w:space="0" w:color="auto"/>
      </w:divBdr>
    </w:div>
    <w:div w:id="1570647798">
      <w:bodyDiv w:val="1"/>
      <w:marLeft w:val="0"/>
      <w:marRight w:val="0"/>
      <w:marTop w:val="0"/>
      <w:marBottom w:val="0"/>
      <w:divBdr>
        <w:top w:val="none" w:sz="0" w:space="0" w:color="auto"/>
        <w:left w:val="none" w:sz="0" w:space="0" w:color="auto"/>
        <w:bottom w:val="none" w:sz="0" w:space="0" w:color="auto"/>
        <w:right w:val="none" w:sz="0" w:space="0" w:color="auto"/>
      </w:divBdr>
    </w:div>
    <w:div w:id="1601841302">
      <w:bodyDiv w:val="1"/>
      <w:marLeft w:val="0"/>
      <w:marRight w:val="0"/>
      <w:marTop w:val="0"/>
      <w:marBottom w:val="0"/>
      <w:divBdr>
        <w:top w:val="none" w:sz="0" w:space="0" w:color="auto"/>
        <w:left w:val="none" w:sz="0" w:space="0" w:color="auto"/>
        <w:bottom w:val="none" w:sz="0" w:space="0" w:color="auto"/>
        <w:right w:val="none" w:sz="0" w:space="0" w:color="auto"/>
      </w:divBdr>
    </w:div>
    <w:div w:id="1619599368">
      <w:bodyDiv w:val="1"/>
      <w:marLeft w:val="0"/>
      <w:marRight w:val="0"/>
      <w:marTop w:val="0"/>
      <w:marBottom w:val="0"/>
      <w:divBdr>
        <w:top w:val="none" w:sz="0" w:space="0" w:color="auto"/>
        <w:left w:val="none" w:sz="0" w:space="0" w:color="auto"/>
        <w:bottom w:val="none" w:sz="0" w:space="0" w:color="auto"/>
        <w:right w:val="none" w:sz="0" w:space="0" w:color="auto"/>
      </w:divBdr>
      <w:divsChild>
        <w:div w:id="1667442525">
          <w:marLeft w:val="0"/>
          <w:marRight w:val="0"/>
          <w:marTop w:val="0"/>
          <w:marBottom w:val="0"/>
          <w:divBdr>
            <w:top w:val="none" w:sz="0" w:space="0" w:color="auto"/>
            <w:left w:val="none" w:sz="0" w:space="0" w:color="auto"/>
            <w:bottom w:val="none" w:sz="0" w:space="0" w:color="auto"/>
            <w:right w:val="none" w:sz="0" w:space="0" w:color="auto"/>
          </w:divBdr>
        </w:div>
        <w:div w:id="1025980106">
          <w:marLeft w:val="0"/>
          <w:marRight w:val="0"/>
          <w:marTop w:val="0"/>
          <w:marBottom w:val="0"/>
          <w:divBdr>
            <w:top w:val="none" w:sz="0" w:space="0" w:color="auto"/>
            <w:left w:val="none" w:sz="0" w:space="0" w:color="auto"/>
            <w:bottom w:val="none" w:sz="0" w:space="0" w:color="auto"/>
            <w:right w:val="none" w:sz="0" w:space="0" w:color="auto"/>
          </w:divBdr>
        </w:div>
        <w:div w:id="1881898067">
          <w:marLeft w:val="0"/>
          <w:marRight w:val="0"/>
          <w:marTop w:val="0"/>
          <w:marBottom w:val="0"/>
          <w:divBdr>
            <w:top w:val="none" w:sz="0" w:space="0" w:color="auto"/>
            <w:left w:val="none" w:sz="0" w:space="0" w:color="auto"/>
            <w:bottom w:val="none" w:sz="0" w:space="0" w:color="auto"/>
            <w:right w:val="none" w:sz="0" w:space="0" w:color="auto"/>
          </w:divBdr>
        </w:div>
        <w:div w:id="925990734">
          <w:marLeft w:val="0"/>
          <w:marRight w:val="0"/>
          <w:marTop w:val="0"/>
          <w:marBottom w:val="0"/>
          <w:divBdr>
            <w:top w:val="none" w:sz="0" w:space="0" w:color="auto"/>
            <w:left w:val="none" w:sz="0" w:space="0" w:color="auto"/>
            <w:bottom w:val="none" w:sz="0" w:space="0" w:color="auto"/>
            <w:right w:val="none" w:sz="0" w:space="0" w:color="auto"/>
          </w:divBdr>
        </w:div>
        <w:div w:id="1949894465">
          <w:marLeft w:val="0"/>
          <w:marRight w:val="0"/>
          <w:marTop w:val="0"/>
          <w:marBottom w:val="0"/>
          <w:divBdr>
            <w:top w:val="none" w:sz="0" w:space="0" w:color="auto"/>
            <w:left w:val="none" w:sz="0" w:space="0" w:color="auto"/>
            <w:bottom w:val="none" w:sz="0" w:space="0" w:color="auto"/>
            <w:right w:val="none" w:sz="0" w:space="0" w:color="auto"/>
          </w:divBdr>
        </w:div>
        <w:div w:id="1565677128">
          <w:marLeft w:val="0"/>
          <w:marRight w:val="0"/>
          <w:marTop w:val="0"/>
          <w:marBottom w:val="0"/>
          <w:divBdr>
            <w:top w:val="none" w:sz="0" w:space="0" w:color="auto"/>
            <w:left w:val="none" w:sz="0" w:space="0" w:color="auto"/>
            <w:bottom w:val="none" w:sz="0" w:space="0" w:color="auto"/>
            <w:right w:val="none" w:sz="0" w:space="0" w:color="auto"/>
          </w:divBdr>
        </w:div>
        <w:div w:id="468279708">
          <w:marLeft w:val="0"/>
          <w:marRight w:val="0"/>
          <w:marTop w:val="0"/>
          <w:marBottom w:val="0"/>
          <w:divBdr>
            <w:top w:val="none" w:sz="0" w:space="0" w:color="auto"/>
            <w:left w:val="none" w:sz="0" w:space="0" w:color="auto"/>
            <w:bottom w:val="none" w:sz="0" w:space="0" w:color="auto"/>
            <w:right w:val="none" w:sz="0" w:space="0" w:color="auto"/>
          </w:divBdr>
        </w:div>
        <w:div w:id="913706067">
          <w:marLeft w:val="0"/>
          <w:marRight w:val="0"/>
          <w:marTop w:val="0"/>
          <w:marBottom w:val="0"/>
          <w:divBdr>
            <w:top w:val="none" w:sz="0" w:space="0" w:color="auto"/>
            <w:left w:val="none" w:sz="0" w:space="0" w:color="auto"/>
            <w:bottom w:val="none" w:sz="0" w:space="0" w:color="auto"/>
            <w:right w:val="none" w:sz="0" w:space="0" w:color="auto"/>
          </w:divBdr>
        </w:div>
      </w:divsChild>
    </w:div>
    <w:div w:id="1727757079">
      <w:bodyDiv w:val="1"/>
      <w:marLeft w:val="0"/>
      <w:marRight w:val="0"/>
      <w:marTop w:val="0"/>
      <w:marBottom w:val="0"/>
      <w:divBdr>
        <w:top w:val="none" w:sz="0" w:space="0" w:color="auto"/>
        <w:left w:val="none" w:sz="0" w:space="0" w:color="auto"/>
        <w:bottom w:val="none" w:sz="0" w:space="0" w:color="auto"/>
        <w:right w:val="none" w:sz="0" w:space="0" w:color="auto"/>
      </w:divBdr>
    </w:div>
    <w:div w:id="1748451829">
      <w:bodyDiv w:val="1"/>
      <w:marLeft w:val="0"/>
      <w:marRight w:val="0"/>
      <w:marTop w:val="0"/>
      <w:marBottom w:val="0"/>
      <w:divBdr>
        <w:top w:val="none" w:sz="0" w:space="0" w:color="auto"/>
        <w:left w:val="none" w:sz="0" w:space="0" w:color="auto"/>
        <w:bottom w:val="none" w:sz="0" w:space="0" w:color="auto"/>
        <w:right w:val="none" w:sz="0" w:space="0" w:color="auto"/>
      </w:divBdr>
    </w:div>
    <w:div w:id="1860048881">
      <w:bodyDiv w:val="1"/>
      <w:marLeft w:val="0"/>
      <w:marRight w:val="0"/>
      <w:marTop w:val="0"/>
      <w:marBottom w:val="0"/>
      <w:divBdr>
        <w:top w:val="none" w:sz="0" w:space="0" w:color="auto"/>
        <w:left w:val="none" w:sz="0" w:space="0" w:color="auto"/>
        <w:bottom w:val="none" w:sz="0" w:space="0" w:color="auto"/>
        <w:right w:val="none" w:sz="0" w:space="0" w:color="auto"/>
      </w:divBdr>
    </w:div>
    <w:div w:id="1875344783">
      <w:bodyDiv w:val="1"/>
      <w:marLeft w:val="0"/>
      <w:marRight w:val="0"/>
      <w:marTop w:val="0"/>
      <w:marBottom w:val="0"/>
      <w:divBdr>
        <w:top w:val="none" w:sz="0" w:space="0" w:color="auto"/>
        <w:left w:val="none" w:sz="0" w:space="0" w:color="auto"/>
        <w:bottom w:val="none" w:sz="0" w:space="0" w:color="auto"/>
        <w:right w:val="none" w:sz="0" w:space="0" w:color="auto"/>
      </w:divBdr>
    </w:div>
    <w:div w:id="1923490023">
      <w:bodyDiv w:val="1"/>
      <w:marLeft w:val="0"/>
      <w:marRight w:val="0"/>
      <w:marTop w:val="0"/>
      <w:marBottom w:val="0"/>
      <w:divBdr>
        <w:top w:val="none" w:sz="0" w:space="0" w:color="auto"/>
        <w:left w:val="none" w:sz="0" w:space="0" w:color="auto"/>
        <w:bottom w:val="none" w:sz="0" w:space="0" w:color="auto"/>
        <w:right w:val="none" w:sz="0" w:space="0" w:color="auto"/>
      </w:divBdr>
    </w:div>
    <w:div w:id="1969386146">
      <w:bodyDiv w:val="1"/>
      <w:marLeft w:val="0"/>
      <w:marRight w:val="0"/>
      <w:marTop w:val="0"/>
      <w:marBottom w:val="0"/>
      <w:divBdr>
        <w:top w:val="none" w:sz="0" w:space="0" w:color="auto"/>
        <w:left w:val="none" w:sz="0" w:space="0" w:color="auto"/>
        <w:bottom w:val="none" w:sz="0" w:space="0" w:color="auto"/>
        <w:right w:val="none" w:sz="0" w:space="0" w:color="auto"/>
      </w:divBdr>
      <w:divsChild>
        <w:div w:id="1916695961">
          <w:marLeft w:val="0"/>
          <w:marRight w:val="0"/>
          <w:marTop w:val="0"/>
          <w:marBottom w:val="0"/>
          <w:divBdr>
            <w:top w:val="none" w:sz="0" w:space="0" w:color="auto"/>
            <w:left w:val="none" w:sz="0" w:space="0" w:color="auto"/>
            <w:bottom w:val="none" w:sz="0" w:space="0" w:color="auto"/>
            <w:right w:val="none" w:sz="0" w:space="0" w:color="auto"/>
          </w:divBdr>
        </w:div>
        <w:div w:id="268902979">
          <w:marLeft w:val="0"/>
          <w:marRight w:val="0"/>
          <w:marTop w:val="0"/>
          <w:marBottom w:val="0"/>
          <w:divBdr>
            <w:top w:val="none" w:sz="0" w:space="0" w:color="auto"/>
            <w:left w:val="none" w:sz="0" w:space="0" w:color="auto"/>
            <w:bottom w:val="none" w:sz="0" w:space="0" w:color="auto"/>
            <w:right w:val="none" w:sz="0" w:space="0" w:color="auto"/>
          </w:divBdr>
        </w:div>
      </w:divsChild>
    </w:div>
    <w:div w:id="2028822197">
      <w:bodyDiv w:val="1"/>
      <w:marLeft w:val="0"/>
      <w:marRight w:val="0"/>
      <w:marTop w:val="0"/>
      <w:marBottom w:val="0"/>
      <w:divBdr>
        <w:top w:val="none" w:sz="0" w:space="0" w:color="auto"/>
        <w:left w:val="none" w:sz="0" w:space="0" w:color="auto"/>
        <w:bottom w:val="none" w:sz="0" w:space="0" w:color="auto"/>
        <w:right w:val="none" w:sz="0" w:space="0" w:color="auto"/>
      </w:divBdr>
    </w:div>
    <w:div w:id="2079673460">
      <w:bodyDiv w:val="1"/>
      <w:marLeft w:val="0"/>
      <w:marRight w:val="0"/>
      <w:marTop w:val="0"/>
      <w:marBottom w:val="0"/>
      <w:divBdr>
        <w:top w:val="none" w:sz="0" w:space="0" w:color="auto"/>
        <w:left w:val="none" w:sz="0" w:space="0" w:color="auto"/>
        <w:bottom w:val="none" w:sz="0" w:space="0" w:color="auto"/>
        <w:right w:val="none" w:sz="0" w:space="0" w:color="auto"/>
      </w:divBdr>
      <w:divsChild>
        <w:div w:id="792989394">
          <w:marLeft w:val="0"/>
          <w:marRight w:val="0"/>
          <w:marTop w:val="0"/>
          <w:marBottom w:val="0"/>
          <w:divBdr>
            <w:top w:val="none" w:sz="0" w:space="0" w:color="auto"/>
            <w:left w:val="none" w:sz="0" w:space="0" w:color="auto"/>
            <w:bottom w:val="none" w:sz="0" w:space="0" w:color="auto"/>
            <w:right w:val="none" w:sz="0" w:space="0" w:color="auto"/>
          </w:divBdr>
        </w:div>
        <w:div w:id="565847541">
          <w:marLeft w:val="0"/>
          <w:marRight w:val="0"/>
          <w:marTop w:val="0"/>
          <w:marBottom w:val="0"/>
          <w:divBdr>
            <w:top w:val="none" w:sz="0" w:space="0" w:color="auto"/>
            <w:left w:val="none" w:sz="0" w:space="0" w:color="auto"/>
            <w:bottom w:val="none" w:sz="0" w:space="0" w:color="auto"/>
            <w:right w:val="none" w:sz="0" w:space="0" w:color="auto"/>
          </w:divBdr>
        </w:div>
        <w:div w:id="1281374484">
          <w:marLeft w:val="0"/>
          <w:marRight w:val="0"/>
          <w:marTop w:val="0"/>
          <w:marBottom w:val="0"/>
          <w:divBdr>
            <w:top w:val="none" w:sz="0" w:space="0" w:color="auto"/>
            <w:left w:val="none" w:sz="0" w:space="0" w:color="auto"/>
            <w:bottom w:val="none" w:sz="0" w:space="0" w:color="auto"/>
            <w:right w:val="none" w:sz="0" w:space="0" w:color="auto"/>
          </w:divBdr>
        </w:div>
        <w:div w:id="1000232595">
          <w:marLeft w:val="0"/>
          <w:marRight w:val="0"/>
          <w:marTop w:val="0"/>
          <w:marBottom w:val="0"/>
          <w:divBdr>
            <w:top w:val="none" w:sz="0" w:space="0" w:color="auto"/>
            <w:left w:val="none" w:sz="0" w:space="0" w:color="auto"/>
            <w:bottom w:val="none" w:sz="0" w:space="0" w:color="auto"/>
            <w:right w:val="none" w:sz="0" w:space="0" w:color="auto"/>
          </w:divBdr>
        </w:div>
        <w:div w:id="2040858695">
          <w:marLeft w:val="0"/>
          <w:marRight w:val="0"/>
          <w:marTop w:val="0"/>
          <w:marBottom w:val="0"/>
          <w:divBdr>
            <w:top w:val="none" w:sz="0" w:space="0" w:color="auto"/>
            <w:left w:val="none" w:sz="0" w:space="0" w:color="auto"/>
            <w:bottom w:val="none" w:sz="0" w:space="0" w:color="auto"/>
            <w:right w:val="none" w:sz="0" w:space="0" w:color="auto"/>
          </w:divBdr>
        </w:div>
        <w:div w:id="565991038">
          <w:marLeft w:val="0"/>
          <w:marRight w:val="0"/>
          <w:marTop w:val="0"/>
          <w:marBottom w:val="0"/>
          <w:divBdr>
            <w:top w:val="none" w:sz="0" w:space="0" w:color="auto"/>
            <w:left w:val="none" w:sz="0" w:space="0" w:color="auto"/>
            <w:bottom w:val="none" w:sz="0" w:space="0" w:color="auto"/>
            <w:right w:val="none" w:sz="0" w:space="0" w:color="auto"/>
          </w:divBdr>
        </w:div>
        <w:div w:id="921523880">
          <w:marLeft w:val="0"/>
          <w:marRight w:val="0"/>
          <w:marTop w:val="0"/>
          <w:marBottom w:val="0"/>
          <w:divBdr>
            <w:top w:val="none" w:sz="0" w:space="0" w:color="auto"/>
            <w:left w:val="none" w:sz="0" w:space="0" w:color="auto"/>
            <w:bottom w:val="none" w:sz="0" w:space="0" w:color="auto"/>
            <w:right w:val="none" w:sz="0" w:space="0" w:color="auto"/>
          </w:divBdr>
        </w:div>
        <w:div w:id="268465730">
          <w:marLeft w:val="0"/>
          <w:marRight w:val="0"/>
          <w:marTop w:val="0"/>
          <w:marBottom w:val="0"/>
          <w:divBdr>
            <w:top w:val="none" w:sz="0" w:space="0" w:color="auto"/>
            <w:left w:val="none" w:sz="0" w:space="0" w:color="auto"/>
            <w:bottom w:val="none" w:sz="0" w:space="0" w:color="auto"/>
            <w:right w:val="none" w:sz="0" w:space="0" w:color="auto"/>
          </w:divBdr>
        </w:div>
      </w:divsChild>
    </w:div>
    <w:div w:id="2123109613">
      <w:bodyDiv w:val="1"/>
      <w:marLeft w:val="0"/>
      <w:marRight w:val="0"/>
      <w:marTop w:val="0"/>
      <w:marBottom w:val="0"/>
      <w:divBdr>
        <w:top w:val="none" w:sz="0" w:space="0" w:color="auto"/>
        <w:left w:val="none" w:sz="0" w:space="0" w:color="auto"/>
        <w:bottom w:val="none" w:sz="0" w:space="0" w:color="auto"/>
        <w:right w:val="none" w:sz="0" w:space="0" w:color="auto"/>
      </w:divBdr>
    </w:div>
    <w:div w:id="21278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caldiabogota.gov.co/sisjur/normas/Norma1.jsp?i=412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C10345BC612724BA228726BDCE23F12" ma:contentTypeVersion="14" ma:contentTypeDescription="Crear nuevo documento." ma:contentTypeScope="" ma:versionID="3beba55a91a29dabe20b1f84f53a70cd">
  <xsd:schema xmlns:xsd="http://www.w3.org/2001/XMLSchema" xmlns:xs="http://www.w3.org/2001/XMLSchema" xmlns:p="http://schemas.microsoft.com/office/2006/metadata/properties" xmlns:ns3="d0ec89a7-108e-4acf-8019-c8cbe8f3e403" xmlns:ns4="dbecbb65-40fe-4f12-be53-881436d74bc6" targetNamespace="http://schemas.microsoft.com/office/2006/metadata/properties" ma:root="true" ma:fieldsID="fcddb0a914db8a0cae15b649e465fd92" ns3:_="" ns4:_="">
    <xsd:import namespace="d0ec89a7-108e-4acf-8019-c8cbe8f3e403"/>
    <xsd:import namespace="dbecbb65-40fe-4f12-be53-881436d74b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c89a7-108e-4acf-8019-c8cbe8f3e403"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ecbb65-40fe-4f12-be53-881436d74bc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1FE09-4BC9-4A79-A47B-0F97B8CD6863}">
  <ds:schemaRefs>
    <ds:schemaRef ds:uri="http://schemas.microsoft.com/sharepoint/v3/contenttype/forms"/>
  </ds:schemaRefs>
</ds:datastoreItem>
</file>

<file path=customXml/itemProps2.xml><?xml version="1.0" encoding="utf-8"?>
<ds:datastoreItem xmlns:ds="http://schemas.openxmlformats.org/officeDocument/2006/customXml" ds:itemID="{DD27E50B-F8BF-4C6F-AC0E-0A24A111E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c89a7-108e-4acf-8019-c8cbe8f3e403"/>
    <ds:schemaRef ds:uri="dbecbb65-40fe-4f12-be53-881436d74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9AEF92-353A-47C3-BDEB-CA0C9F0678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DA3975-D375-41AB-994E-95DD5C0AF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19</Pages>
  <Words>8867</Words>
  <Characters>48773</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Thatian Ibanez Pinto</dc:creator>
  <cp:lastModifiedBy>Viceministerio de Conectividad</cp:lastModifiedBy>
  <cp:revision>98</cp:revision>
  <cp:lastPrinted>2022-06-21T16:19:00Z</cp:lastPrinted>
  <dcterms:created xsi:type="dcterms:W3CDTF">2022-05-17T14:41:00Z</dcterms:created>
  <dcterms:modified xsi:type="dcterms:W3CDTF">2022-06-21T20:31:00Z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0x0101006C10345BC612724BA228726BDCE23F12</vt:lpwstr>
  </property>
</Properties>
</file>