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9BA6"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4FC904B9"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6DC709B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07CDA461"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7727D582" w14:textId="3D0E264E"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DE</w:t>
      </w:r>
      <w:r w:rsidR="00964900">
        <w:rPr>
          <w:rFonts w:ascii="Arial" w:hAnsi="Arial" w:cs="Arial"/>
          <w:bCs/>
          <w:sz w:val="24"/>
          <w:szCs w:val="24"/>
        </w:rPr>
        <w:t xml:space="preserve"> </w:t>
      </w:r>
      <w:r w:rsidR="00964900" w:rsidRPr="00964900">
        <w:rPr>
          <w:rFonts w:ascii="Arial" w:hAnsi="Arial" w:cs="Arial"/>
          <w:b/>
          <w:sz w:val="24"/>
          <w:szCs w:val="24"/>
        </w:rPr>
        <w:t>CIRCULAR EXTERNA</w:t>
      </w:r>
      <w:r>
        <w:rPr>
          <w:rFonts w:ascii="Arial" w:hAnsi="Arial" w:cs="Arial"/>
          <w:b/>
          <w:bCs/>
          <w:sz w:val="24"/>
          <w:szCs w:val="24"/>
        </w:rPr>
        <w:t>:</w:t>
      </w:r>
      <w:r w:rsidRPr="006B29A5">
        <w:rPr>
          <w:rFonts w:ascii="Arial" w:hAnsi="Arial" w:cs="Arial"/>
          <w:b/>
          <w:bCs/>
          <w:sz w:val="24"/>
          <w:szCs w:val="24"/>
        </w:rPr>
        <w:t xml:space="preserve"> </w:t>
      </w:r>
      <w:r w:rsidR="00B70094">
        <w:rPr>
          <w:rFonts w:ascii="Arial" w:hAnsi="Arial" w:cs="Arial"/>
          <w:bCs/>
          <w:sz w:val="24"/>
          <w:szCs w:val="24"/>
        </w:rPr>
        <w:t>I</w:t>
      </w:r>
      <w:r w:rsidR="00966903" w:rsidRPr="00966903">
        <w:rPr>
          <w:rFonts w:ascii="Arial" w:hAnsi="Arial" w:cs="Arial"/>
          <w:bCs/>
          <w:sz w:val="24"/>
          <w:szCs w:val="24"/>
        </w:rPr>
        <w:t xml:space="preserve">nstrucciones </w:t>
      </w:r>
      <w:r w:rsidR="00A634DA" w:rsidRPr="00A634DA">
        <w:rPr>
          <w:rFonts w:ascii="Arial" w:hAnsi="Arial" w:cs="Arial"/>
          <w:bCs/>
          <w:sz w:val="24"/>
          <w:szCs w:val="24"/>
        </w:rPr>
        <w:t>relativas a los mecanismos de revelación de información de los Fondos de Inversión Colectiva</w:t>
      </w:r>
      <w:r w:rsidR="00A634DA">
        <w:rPr>
          <w:rFonts w:ascii="Arial" w:hAnsi="Arial" w:cs="Arial"/>
          <w:bCs/>
          <w:sz w:val="24"/>
          <w:szCs w:val="24"/>
        </w:rPr>
        <w:t xml:space="preserve"> (FIC).</w:t>
      </w:r>
    </w:p>
    <w:p w14:paraId="4E36C5E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265200B6"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2F213E5" w14:textId="77777777" w:rsidR="00B51F39" w:rsidRPr="00964900"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lang w:val="es-CO"/>
        </w:rPr>
      </w:pPr>
      <w:r>
        <w:rPr>
          <w:rFonts w:ascii="Arial" w:hAnsi="Arial" w:cs="Arial"/>
          <w:b/>
          <w:bCs/>
          <w:sz w:val="24"/>
          <w:szCs w:val="24"/>
        </w:rPr>
        <w:t xml:space="preserve">PROPÓSITO: </w:t>
      </w:r>
      <w:r w:rsidR="00A634DA">
        <w:rPr>
          <w:rFonts w:ascii="Arial" w:hAnsi="Arial" w:cs="Arial"/>
          <w:sz w:val="24"/>
          <w:szCs w:val="24"/>
        </w:rPr>
        <w:t>Modificar las instrucciones aplicables a los mecanismos de revelación de información en los FIC</w:t>
      </w:r>
      <w:r w:rsidR="00964900" w:rsidRPr="00964900">
        <w:rPr>
          <w:rFonts w:ascii="Arial" w:hAnsi="Arial" w:cs="Arial"/>
          <w:sz w:val="24"/>
          <w:szCs w:val="24"/>
        </w:rPr>
        <w:t>.</w:t>
      </w:r>
    </w:p>
    <w:p w14:paraId="0BF2008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E09ECD7"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DCFD2BE" w14:textId="6043C546" w:rsidR="00964900"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PLAZO PARA COMENTARIOS:</w:t>
      </w:r>
      <w:r w:rsidR="00964900">
        <w:rPr>
          <w:rFonts w:ascii="Arial" w:hAnsi="Arial" w:cs="Arial"/>
          <w:b/>
          <w:bCs/>
          <w:sz w:val="24"/>
          <w:szCs w:val="24"/>
        </w:rPr>
        <w:t xml:space="preserve"> </w:t>
      </w:r>
      <w:r w:rsidR="00964900" w:rsidRPr="00964900">
        <w:rPr>
          <w:rFonts w:ascii="Arial" w:hAnsi="Arial" w:cs="Arial"/>
          <w:sz w:val="24"/>
          <w:szCs w:val="24"/>
        </w:rPr>
        <w:t xml:space="preserve">Hasta </w:t>
      </w:r>
      <w:r w:rsidR="00172C51">
        <w:rPr>
          <w:rFonts w:ascii="Arial" w:hAnsi="Arial" w:cs="Arial"/>
          <w:sz w:val="24"/>
          <w:szCs w:val="24"/>
        </w:rPr>
        <w:t xml:space="preserve">finalizar el </w:t>
      </w:r>
      <w:r w:rsidR="00382C29">
        <w:rPr>
          <w:rFonts w:ascii="Arial" w:hAnsi="Arial" w:cs="Arial"/>
          <w:sz w:val="24"/>
          <w:szCs w:val="24"/>
        </w:rPr>
        <w:t>martes</w:t>
      </w:r>
      <w:r w:rsidR="00966903">
        <w:rPr>
          <w:rFonts w:ascii="Arial" w:hAnsi="Arial" w:cs="Arial"/>
          <w:sz w:val="24"/>
          <w:szCs w:val="24"/>
        </w:rPr>
        <w:t xml:space="preserve"> 0</w:t>
      </w:r>
      <w:r w:rsidR="00382C29">
        <w:rPr>
          <w:rFonts w:ascii="Arial" w:hAnsi="Arial" w:cs="Arial"/>
          <w:sz w:val="24"/>
          <w:szCs w:val="24"/>
        </w:rPr>
        <w:t>2</w:t>
      </w:r>
      <w:r w:rsidR="00964900">
        <w:rPr>
          <w:rFonts w:ascii="Arial" w:hAnsi="Arial" w:cs="Arial"/>
          <w:sz w:val="24"/>
          <w:szCs w:val="24"/>
        </w:rPr>
        <w:t xml:space="preserve"> de </w:t>
      </w:r>
      <w:r w:rsidR="00A634DA">
        <w:rPr>
          <w:rFonts w:ascii="Arial" w:hAnsi="Arial" w:cs="Arial"/>
          <w:sz w:val="24"/>
          <w:szCs w:val="24"/>
        </w:rPr>
        <w:t>agosto</w:t>
      </w:r>
      <w:r w:rsidR="00964900">
        <w:rPr>
          <w:rFonts w:ascii="Arial" w:hAnsi="Arial" w:cs="Arial"/>
          <w:sz w:val="24"/>
          <w:szCs w:val="24"/>
        </w:rPr>
        <w:t xml:space="preserve"> de 2022. </w:t>
      </w:r>
    </w:p>
    <w:p w14:paraId="68D4864F" w14:textId="77777777" w:rsidR="00964900" w:rsidRDefault="00964900"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p>
    <w:p w14:paraId="3C3162E2"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DAB5E4E"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424DA6E2"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3808100F"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285CCEC4"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0B74FB57"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21DAECAF" w14:textId="77777777" w:rsidR="00B51F39" w:rsidRDefault="006F70A6"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A634DA" w:rsidRPr="00A634DA">
        <w:rPr>
          <w:rFonts w:ascii="Arial" w:hAnsi="Arial" w:cs="Arial"/>
          <w:b/>
          <w:bCs/>
          <w:sz w:val="24"/>
          <w:szCs w:val="24"/>
          <w:lang w:val="es-ES"/>
        </w:rPr>
        <w:t>2021235298</w:t>
      </w:r>
    </w:p>
    <w:p w14:paraId="66B6B244" w14:textId="77777777" w:rsidR="00964900" w:rsidRPr="00E77E01" w:rsidRDefault="00964900"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09E1B97E" w14:textId="7777777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r w:rsidR="00824B7C">
        <w:rPr>
          <w:rFonts w:ascii="Arial" w:hAnsi="Arial" w:cs="Arial"/>
          <w:b/>
          <w:bCs/>
          <w:sz w:val="24"/>
          <w:szCs w:val="24"/>
        </w:rPr>
        <w:t>Subdirector</w:t>
      </w:r>
      <w:r w:rsidR="00964900">
        <w:rPr>
          <w:rFonts w:ascii="Arial" w:hAnsi="Arial" w:cs="Arial"/>
          <w:b/>
          <w:bCs/>
          <w:sz w:val="24"/>
          <w:szCs w:val="24"/>
        </w:rPr>
        <w:t>a</w:t>
      </w:r>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p>
    <w:p w14:paraId="3395C1A2"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133239CC"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08E007B4"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15942789"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6FBD6D8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11F240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2B576C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69BB65E"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EB025D0"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6A78B8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4A0BA9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552433E9"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8E85CDD"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353F87B7"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614653DE"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20C4410"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0B9C008B" w14:textId="77777777" w:rsidR="00964900" w:rsidRDefault="00964900">
      <w:pPr>
        <w:jc w:val="center"/>
        <w:rPr>
          <w:rFonts w:cs="Arial"/>
          <w:b/>
          <w:bCs/>
          <w:sz w:val="22"/>
          <w:szCs w:val="22"/>
        </w:rPr>
        <w:sectPr w:rsidR="00964900" w:rsidSect="00EE3537">
          <w:headerReference w:type="default" r:id="rId12"/>
          <w:footerReference w:type="default" r:id="rId13"/>
          <w:headerReference w:type="first" r:id="rId14"/>
          <w:footerReference w:type="first" r:id="rId15"/>
          <w:pgSz w:w="12242" w:h="18722" w:code="14"/>
          <w:pgMar w:top="2977" w:right="1701" w:bottom="1701" w:left="2268" w:header="709" w:footer="709" w:gutter="0"/>
          <w:paperSrc w:first="2" w:other="2"/>
          <w:cols w:space="708"/>
          <w:titlePg/>
          <w:docGrid w:linePitch="360"/>
        </w:sectPr>
      </w:pPr>
    </w:p>
    <w:p w14:paraId="7ACD8918" w14:textId="0741F6CA" w:rsidR="00966903" w:rsidRPr="00966903" w:rsidRDefault="00966903" w:rsidP="00966903">
      <w:pPr>
        <w:jc w:val="center"/>
        <w:rPr>
          <w:rFonts w:ascii="Arial" w:eastAsia="Arial" w:hAnsi="Arial" w:cs="Arial"/>
          <w:b/>
          <w:bCs/>
          <w:color w:val="000000"/>
          <w:sz w:val="24"/>
          <w:szCs w:val="24"/>
          <w:lang w:val="es-CO"/>
        </w:rPr>
      </w:pPr>
      <w:r w:rsidRPr="00966903">
        <w:rPr>
          <w:rFonts w:ascii="Arial" w:eastAsia="Arial" w:hAnsi="Arial" w:cs="Arial"/>
          <w:b/>
          <w:bCs/>
          <w:color w:val="000000"/>
          <w:sz w:val="24"/>
          <w:szCs w:val="24"/>
          <w:lang w:val="es-CO"/>
        </w:rPr>
        <w:lastRenderedPageBreak/>
        <w:t xml:space="preserve">CIRCULAR EXTERNA </w:t>
      </w:r>
      <w:r w:rsidR="00827567">
        <w:rPr>
          <w:rFonts w:ascii="Arial" w:eastAsia="Arial" w:hAnsi="Arial" w:cs="Arial"/>
          <w:b/>
          <w:bCs/>
          <w:color w:val="000000"/>
          <w:sz w:val="24"/>
          <w:szCs w:val="24"/>
          <w:lang w:val="es-CO"/>
        </w:rPr>
        <w:t xml:space="preserve">         </w:t>
      </w:r>
      <w:r w:rsidRPr="00966903">
        <w:rPr>
          <w:rFonts w:ascii="Arial" w:eastAsia="Arial" w:hAnsi="Arial" w:cs="Arial"/>
          <w:b/>
          <w:bCs/>
          <w:color w:val="000000"/>
          <w:sz w:val="24"/>
          <w:szCs w:val="24"/>
          <w:lang w:val="es-CO"/>
        </w:rPr>
        <w:t>DE 2022</w:t>
      </w:r>
    </w:p>
    <w:p w14:paraId="3A114B31" w14:textId="77777777" w:rsidR="00966903" w:rsidRPr="00966903" w:rsidRDefault="00966903" w:rsidP="00966903">
      <w:pPr>
        <w:jc w:val="center"/>
        <w:rPr>
          <w:rFonts w:ascii="Arial" w:eastAsia="Arial" w:hAnsi="Arial" w:cs="Arial"/>
          <w:b/>
          <w:bCs/>
          <w:color w:val="000000"/>
          <w:sz w:val="24"/>
          <w:szCs w:val="24"/>
          <w:lang w:val="es-CO"/>
        </w:rPr>
      </w:pPr>
    </w:p>
    <w:p w14:paraId="447E58D0" w14:textId="77777777" w:rsidR="00966903" w:rsidRPr="00966903" w:rsidRDefault="00966903" w:rsidP="00966903">
      <w:pPr>
        <w:jc w:val="center"/>
        <w:rPr>
          <w:rFonts w:ascii="Arial" w:eastAsia="Arial" w:hAnsi="Arial" w:cs="Arial"/>
          <w:b/>
          <w:bCs/>
          <w:color w:val="000000"/>
          <w:sz w:val="24"/>
          <w:szCs w:val="24"/>
          <w:lang w:val="es-CO"/>
        </w:rPr>
      </w:pPr>
      <w:r w:rsidRPr="00966903">
        <w:rPr>
          <w:rFonts w:ascii="Arial" w:eastAsia="Arial" w:hAnsi="Arial" w:cs="Arial"/>
          <w:b/>
          <w:bCs/>
          <w:color w:val="000000"/>
          <w:sz w:val="24"/>
          <w:szCs w:val="24"/>
          <w:lang w:val="es-CO"/>
        </w:rPr>
        <w:t>(…………………………….)</w:t>
      </w:r>
    </w:p>
    <w:p w14:paraId="3E21FE60" w14:textId="77777777" w:rsidR="00966903" w:rsidRPr="00966903" w:rsidRDefault="00966903" w:rsidP="00966903">
      <w:pPr>
        <w:jc w:val="both"/>
        <w:rPr>
          <w:rFonts w:ascii="Arial" w:eastAsia="Arial" w:hAnsi="Arial" w:cs="Arial"/>
          <w:b/>
          <w:bCs/>
          <w:color w:val="000000"/>
          <w:sz w:val="24"/>
          <w:szCs w:val="24"/>
          <w:lang w:val="es-CO"/>
        </w:rPr>
      </w:pPr>
    </w:p>
    <w:p w14:paraId="39288869" w14:textId="77777777" w:rsidR="00A634DA" w:rsidRPr="00A634DA" w:rsidRDefault="00A634DA" w:rsidP="00A634DA">
      <w:pPr>
        <w:jc w:val="both"/>
        <w:rPr>
          <w:rFonts w:ascii="Arial" w:hAnsi="Arial" w:cs="Arial"/>
          <w:b/>
          <w:iCs/>
          <w:sz w:val="24"/>
          <w:szCs w:val="24"/>
          <w:lang w:val="es-ES"/>
        </w:rPr>
      </w:pPr>
      <w:r w:rsidRPr="00A634DA">
        <w:rPr>
          <w:rFonts w:ascii="Arial" w:hAnsi="Arial" w:cs="Arial"/>
          <w:b/>
          <w:iCs/>
          <w:sz w:val="24"/>
          <w:szCs w:val="24"/>
          <w:lang w:val="es-ES"/>
        </w:rPr>
        <w:t>Señores</w:t>
      </w:r>
    </w:p>
    <w:p w14:paraId="3035CEC7" w14:textId="77777777" w:rsidR="00382C29" w:rsidRPr="00382C29" w:rsidRDefault="00382C29" w:rsidP="00382C29">
      <w:pPr>
        <w:jc w:val="both"/>
      </w:pPr>
      <w:r w:rsidRPr="00382C29">
        <w:rPr>
          <w:rFonts w:ascii="Arial" w:hAnsi="Arial" w:cs="Arial"/>
          <w:sz w:val="24"/>
          <w:szCs w:val="24"/>
          <w:lang w:val="es-ES"/>
        </w:rPr>
        <w:t>REPRESENTANTES LEGALES Y REVISORES FISCALES DE LAS SOCIEDADES ADMINISTRADORAS DE FONDOS DE INVERSIÓN COLECTIVA</w:t>
      </w:r>
    </w:p>
    <w:p w14:paraId="34D37A12" w14:textId="77777777" w:rsidR="00382C29" w:rsidRPr="00382C29" w:rsidRDefault="00382C29" w:rsidP="00382C29">
      <w:pPr>
        <w:jc w:val="both"/>
        <w:rPr>
          <w:rFonts w:ascii="Arial" w:hAnsi="Arial" w:cs="Arial"/>
          <w:b/>
          <w:iCs/>
          <w:sz w:val="24"/>
          <w:szCs w:val="24"/>
          <w:lang w:val="es-ES"/>
        </w:rPr>
      </w:pPr>
    </w:p>
    <w:p w14:paraId="2FFED3BD" w14:textId="77777777" w:rsidR="00382C29" w:rsidRPr="00382C29" w:rsidRDefault="00382C29" w:rsidP="00382C29">
      <w:pPr>
        <w:jc w:val="both"/>
        <w:rPr>
          <w:rFonts w:ascii="Arial" w:hAnsi="Arial" w:cs="Arial"/>
          <w:iCs/>
          <w:sz w:val="24"/>
          <w:szCs w:val="24"/>
        </w:rPr>
      </w:pPr>
      <w:r w:rsidRPr="00382C29">
        <w:rPr>
          <w:rFonts w:ascii="Arial" w:hAnsi="Arial" w:cs="Arial"/>
          <w:b/>
          <w:iCs/>
          <w:sz w:val="24"/>
          <w:szCs w:val="24"/>
          <w:lang w:val="es-ES"/>
        </w:rPr>
        <w:t xml:space="preserve">Referencia: Instrucciones relativas a los mecanismos de revelación de información de los Fondos de Inversión Colectiva </w:t>
      </w:r>
    </w:p>
    <w:p w14:paraId="6581DEB3" w14:textId="77777777" w:rsidR="00382C29" w:rsidRPr="00382C29" w:rsidRDefault="00382C29" w:rsidP="00382C29">
      <w:pPr>
        <w:jc w:val="both"/>
        <w:rPr>
          <w:rFonts w:ascii="Arial" w:hAnsi="Arial" w:cs="Arial"/>
          <w:iCs/>
          <w:sz w:val="24"/>
          <w:szCs w:val="24"/>
        </w:rPr>
      </w:pPr>
    </w:p>
    <w:p w14:paraId="42496C7E" w14:textId="77777777" w:rsidR="00382C29" w:rsidRPr="00382C29" w:rsidRDefault="00382C29" w:rsidP="00382C29">
      <w:pPr>
        <w:jc w:val="both"/>
        <w:rPr>
          <w:rFonts w:ascii="Arial" w:hAnsi="Arial" w:cs="Arial"/>
          <w:iCs/>
          <w:sz w:val="24"/>
          <w:szCs w:val="24"/>
          <w:lang w:val="es-ES"/>
        </w:rPr>
      </w:pPr>
      <w:r w:rsidRPr="00382C29">
        <w:rPr>
          <w:rFonts w:ascii="Arial" w:hAnsi="Arial" w:cs="Arial"/>
          <w:iCs/>
          <w:sz w:val="24"/>
          <w:szCs w:val="24"/>
          <w:lang w:val="es-ES"/>
        </w:rPr>
        <w:t>Apreciados señores:</w:t>
      </w:r>
    </w:p>
    <w:p w14:paraId="15D3F418" w14:textId="77777777" w:rsidR="00382C29" w:rsidRPr="00382C29" w:rsidRDefault="00382C29" w:rsidP="00382C29">
      <w:pPr>
        <w:jc w:val="both"/>
        <w:rPr>
          <w:rFonts w:ascii="Arial" w:hAnsi="Arial" w:cs="Arial"/>
          <w:iCs/>
          <w:sz w:val="24"/>
          <w:szCs w:val="24"/>
        </w:rPr>
      </w:pPr>
    </w:p>
    <w:p w14:paraId="7F47F9C8" w14:textId="77777777" w:rsidR="00382C29" w:rsidRPr="00382C29" w:rsidRDefault="00382C29" w:rsidP="00382C29">
      <w:pPr>
        <w:jc w:val="both"/>
        <w:rPr>
          <w:rFonts w:ascii="Arial" w:hAnsi="Arial" w:cs="Arial"/>
          <w:iCs/>
          <w:sz w:val="24"/>
          <w:szCs w:val="24"/>
        </w:rPr>
      </w:pPr>
      <w:r w:rsidRPr="00382C29">
        <w:rPr>
          <w:rFonts w:ascii="Arial" w:hAnsi="Arial" w:cs="Arial"/>
          <w:iCs/>
          <w:sz w:val="24"/>
          <w:szCs w:val="24"/>
        </w:rPr>
        <w:t>Esta Superintendencia reconoce que la industria de Fondos de Inversión Colectiva (FIC) en Colombia ha evolucionado para convertirse en uno de los más importantes segmentos del mercado de capitales, en tanto ha permitido ampliar las alternativas de inversión, democratizar el acceso al mercado, diversificar los riesgos y fomentar la participación de nuevos agentes e inversionistas.</w:t>
      </w:r>
    </w:p>
    <w:p w14:paraId="07466F49" w14:textId="77777777" w:rsidR="00382C29" w:rsidRPr="00382C29" w:rsidRDefault="00382C29" w:rsidP="00382C29">
      <w:pPr>
        <w:jc w:val="both"/>
        <w:rPr>
          <w:rFonts w:ascii="Arial" w:hAnsi="Arial" w:cs="Arial"/>
          <w:iCs/>
          <w:sz w:val="24"/>
          <w:szCs w:val="24"/>
        </w:rPr>
      </w:pPr>
    </w:p>
    <w:p w14:paraId="3428004A" w14:textId="77777777" w:rsidR="00382C29" w:rsidRPr="00382C29" w:rsidRDefault="00382C29" w:rsidP="00382C29">
      <w:pPr>
        <w:jc w:val="both"/>
        <w:rPr>
          <w:rFonts w:ascii="Arial" w:hAnsi="Arial" w:cs="Arial"/>
          <w:iCs/>
          <w:sz w:val="24"/>
          <w:szCs w:val="24"/>
        </w:rPr>
      </w:pPr>
      <w:r w:rsidRPr="00382C29">
        <w:rPr>
          <w:rFonts w:ascii="Arial" w:hAnsi="Arial" w:cs="Arial"/>
          <w:iCs/>
          <w:sz w:val="24"/>
          <w:szCs w:val="24"/>
        </w:rPr>
        <w:t xml:space="preserve">Esta evolución requiere acompañarse de la adopción de nuevos estándares que fortalezcan la revelación de información como herramienta de protección a los inversionistas para la toma de decisiones conscientes de inversión. </w:t>
      </w:r>
    </w:p>
    <w:p w14:paraId="7D9FD645" w14:textId="77777777" w:rsidR="00382C29" w:rsidRPr="00382C29" w:rsidRDefault="00382C29" w:rsidP="00382C29">
      <w:pPr>
        <w:jc w:val="both"/>
        <w:rPr>
          <w:rFonts w:ascii="Arial" w:hAnsi="Arial" w:cs="Arial"/>
          <w:iCs/>
          <w:sz w:val="24"/>
          <w:szCs w:val="24"/>
        </w:rPr>
      </w:pPr>
    </w:p>
    <w:p w14:paraId="77EC0887" w14:textId="77777777" w:rsidR="00382C29" w:rsidRPr="00382C29" w:rsidRDefault="00382C29" w:rsidP="00382C29">
      <w:pPr>
        <w:jc w:val="both"/>
        <w:rPr>
          <w:rFonts w:ascii="Arial" w:hAnsi="Arial" w:cs="Arial"/>
          <w:iCs/>
          <w:sz w:val="24"/>
          <w:szCs w:val="24"/>
        </w:rPr>
      </w:pPr>
      <w:r w:rsidRPr="00382C29">
        <w:rPr>
          <w:rFonts w:ascii="Arial" w:hAnsi="Arial" w:cs="Arial"/>
          <w:iCs/>
          <w:sz w:val="24"/>
          <w:szCs w:val="24"/>
        </w:rPr>
        <w:t>En desarrollo de lo anterior, esta Superintendencia considera necesario actualizar las instrucciones aplicables a los mecanismos de revelación de información (MRI) de los FIC, teniendo en cuenta la evidencia de supervisión y la dinámica de los estándares internacionales.</w:t>
      </w:r>
    </w:p>
    <w:p w14:paraId="35101FCD" w14:textId="77777777" w:rsidR="00382C29" w:rsidRPr="00382C29" w:rsidRDefault="00382C29" w:rsidP="00382C29">
      <w:pPr>
        <w:jc w:val="both"/>
        <w:rPr>
          <w:rFonts w:ascii="Arial" w:hAnsi="Arial" w:cs="Arial"/>
          <w:iCs/>
          <w:sz w:val="24"/>
          <w:szCs w:val="24"/>
        </w:rPr>
      </w:pPr>
    </w:p>
    <w:p w14:paraId="46A0BF95" w14:textId="77777777" w:rsidR="00382C29" w:rsidRPr="00382C29" w:rsidRDefault="00382C29" w:rsidP="00382C29">
      <w:pPr>
        <w:jc w:val="both"/>
        <w:rPr>
          <w:rFonts w:ascii="Arial" w:hAnsi="Arial" w:cs="Arial"/>
          <w:sz w:val="24"/>
          <w:szCs w:val="24"/>
        </w:rPr>
      </w:pPr>
      <w:r w:rsidRPr="00382C29">
        <w:rPr>
          <w:rFonts w:ascii="Arial" w:hAnsi="Arial" w:cs="Arial"/>
          <w:iCs/>
          <w:sz w:val="24"/>
          <w:szCs w:val="24"/>
        </w:rPr>
        <w:t xml:space="preserve">En consecuencia, este Despacho, en ejercicio de lo dispuesto en los artículos 3.1.1.9.2, 3.1.1.9.4, 3.1.1.9.5, 3.1.1.9.7, 3.1.1.9.8, 3.1.1.9.9, 3.1.1.9.10 del Decreto 2555 de 2010, las facultades conferidas en el numeral 4 del artículo 11.2.1.4.2 del citado Decreto y lo dispuesto </w:t>
      </w:r>
      <w:r w:rsidRPr="00382C29">
        <w:rPr>
          <w:rFonts w:ascii="Arial" w:hAnsi="Arial" w:cs="Arial"/>
          <w:sz w:val="24"/>
          <w:szCs w:val="24"/>
        </w:rPr>
        <w:t>en el literal a) del numeral 3 del artículo 326 del Estatuto Orgánico del Sistema Financiero,</w:t>
      </w:r>
      <w:r w:rsidRPr="00382C29">
        <w:rPr>
          <w:rFonts w:ascii="Arial" w:hAnsi="Arial" w:cs="Arial"/>
          <w:iCs/>
          <w:sz w:val="24"/>
          <w:szCs w:val="24"/>
        </w:rPr>
        <w:t xml:space="preserve"> imparte las siguientes instrucciones:</w:t>
      </w:r>
    </w:p>
    <w:p w14:paraId="1FE2953E" w14:textId="77777777" w:rsidR="00382C29" w:rsidRPr="00382C29" w:rsidRDefault="00382C29" w:rsidP="00382C29">
      <w:pPr>
        <w:jc w:val="both"/>
        <w:rPr>
          <w:rFonts w:ascii="Arial" w:hAnsi="Arial" w:cs="Arial"/>
          <w:sz w:val="24"/>
          <w:szCs w:val="24"/>
        </w:rPr>
      </w:pPr>
    </w:p>
    <w:p w14:paraId="52842465" w14:textId="77777777" w:rsidR="00382C29" w:rsidRPr="00382C29" w:rsidRDefault="00382C29" w:rsidP="00382C29">
      <w:pPr>
        <w:adjustRightInd w:val="0"/>
        <w:jc w:val="both"/>
        <w:rPr>
          <w:rFonts w:ascii="Arial" w:hAnsi="Arial" w:cs="Arial"/>
          <w:i/>
          <w:iCs/>
          <w:sz w:val="24"/>
          <w:szCs w:val="24"/>
        </w:rPr>
      </w:pPr>
      <w:r w:rsidRPr="00382C29">
        <w:rPr>
          <w:rFonts w:ascii="Arial" w:hAnsi="Arial" w:cs="Arial"/>
          <w:b/>
          <w:sz w:val="24"/>
          <w:szCs w:val="24"/>
        </w:rPr>
        <w:t xml:space="preserve">PRIMERA: </w:t>
      </w:r>
      <w:r w:rsidRPr="00382C29">
        <w:rPr>
          <w:rFonts w:ascii="Arial" w:hAnsi="Arial" w:cs="Arial"/>
          <w:iCs/>
          <w:sz w:val="24"/>
          <w:szCs w:val="24"/>
        </w:rPr>
        <w:t>Modificar el numeral 3 del Capítulo III del Título VI de la Parte III de la Circular Básica Jurídica</w:t>
      </w:r>
      <w:r w:rsidRPr="00382C29">
        <w:rPr>
          <w:rFonts w:ascii="Arial" w:hAnsi="Arial" w:cs="Arial"/>
          <w:sz w:val="24"/>
          <w:szCs w:val="24"/>
        </w:rPr>
        <w:t xml:space="preserve"> «</w:t>
      </w:r>
      <w:r w:rsidRPr="00382C29">
        <w:rPr>
          <w:rFonts w:ascii="Arial" w:hAnsi="Arial" w:cs="Arial"/>
          <w:i/>
          <w:iCs/>
          <w:sz w:val="24"/>
          <w:szCs w:val="24"/>
        </w:rPr>
        <w:t>Instrucciones relativas a la constitución, administración, gestión y distribución de fondos de inversión colectiva – FICS</w:t>
      </w:r>
      <w:r w:rsidRPr="00382C29">
        <w:rPr>
          <w:rFonts w:ascii="Arial" w:hAnsi="Arial" w:cs="Arial"/>
          <w:sz w:val="24"/>
          <w:szCs w:val="24"/>
        </w:rPr>
        <w:t>», para definir las instrucciones sobre los mecanismos de revelación de información de los FIC.</w:t>
      </w:r>
    </w:p>
    <w:p w14:paraId="32750B5D" w14:textId="77777777" w:rsidR="00382C29" w:rsidRPr="00382C29" w:rsidRDefault="00382C29" w:rsidP="00382C29">
      <w:pPr>
        <w:adjustRightInd w:val="0"/>
        <w:jc w:val="both"/>
        <w:rPr>
          <w:rFonts w:ascii="Arial" w:hAnsi="Arial" w:cs="Arial"/>
          <w:i/>
          <w:iCs/>
          <w:sz w:val="24"/>
          <w:szCs w:val="24"/>
        </w:rPr>
      </w:pPr>
    </w:p>
    <w:p w14:paraId="4F41AC00" w14:textId="77777777" w:rsidR="00382C29" w:rsidRPr="00382C29" w:rsidRDefault="00382C29" w:rsidP="00382C29">
      <w:pPr>
        <w:adjustRightInd w:val="0"/>
        <w:jc w:val="both"/>
        <w:rPr>
          <w:rFonts w:ascii="Arial" w:hAnsi="Arial" w:cs="Arial"/>
          <w:i/>
          <w:iCs/>
          <w:sz w:val="24"/>
          <w:szCs w:val="24"/>
        </w:rPr>
      </w:pPr>
      <w:r w:rsidRPr="00382C29">
        <w:rPr>
          <w:rFonts w:ascii="Arial" w:hAnsi="Arial" w:cs="Arial"/>
          <w:b/>
          <w:bCs/>
          <w:sz w:val="24"/>
          <w:szCs w:val="24"/>
        </w:rPr>
        <w:t xml:space="preserve">SEGUNDA: </w:t>
      </w:r>
      <w:r w:rsidRPr="00382C29">
        <w:rPr>
          <w:rFonts w:ascii="Arial" w:hAnsi="Arial" w:cs="Arial"/>
          <w:sz w:val="24"/>
          <w:szCs w:val="24"/>
        </w:rPr>
        <w:t>Crear el Anexo 1: Ficha Técnica – Fondos de Inversión Colectiva</w:t>
      </w:r>
      <w:r w:rsidRPr="00382C29">
        <w:rPr>
          <w:rFonts w:ascii="Arial" w:hAnsi="Arial" w:cs="Arial"/>
          <w:b/>
          <w:bCs/>
          <w:sz w:val="24"/>
          <w:szCs w:val="24"/>
        </w:rPr>
        <w:t xml:space="preserve"> </w:t>
      </w:r>
      <w:r w:rsidRPr="00382C29">
        <w:rPr>
          <w:rFonts w:ascii="Arial" w:hAnsi="Arial" w:cs="Arial"/>
          <w:sz w:val="24"/>
          <w:szCs w:val="24"/>
        </w:rPr>
        <w:t>en el</w:t>
      </w:r>
      <w:r w:rsidRPr="00382C29">
        <w:rPr>
          <w:rFonts w:ascii="Arial" w:hAnsi="Arial" w:cs="Arial"/>
          <w:b/>
          <w:bCs/>
          <w:sz w:val="24"/>
          <w:szCs w:val="24"/>
        </w:rPr>
        <w:t xml:space="preserve"> </w:t>
      </w:r>
      <w:r w:rsidRPr="00382C29">
        <w:rPr>
          <w:rFonts w:ascii="Arial" w:hAnsi="Arial" w:cs="Arial"/>
          <w:iCs/>
          <w:sz w:val="24"/>
          <w:szCs w:val="24"/>
        </w:rPr>
        <w:t>Capítulo III del Título VI de la Parte III de la Circular Básica Jurídica</w:t>
      </w:r>
      <w:r w:rsidRPr="00382C29">
        <w:rPr>
          <w:rFonts w:ascii="Arial" w:hAnsi="Arial" w:cs="Arial"/>
          <w:sz w:val="24"/>
          <w:szCs w:val="24"/>
        </w:rPr>
        <w:t xml:space="preserve"> «</w:t>
      </w:r>
      <w:r w:rsidRPr="00382C29">
        <w:rPr>
          <w:rFonts w:ascii="Arial" w:hAnsi="Arial" w:cs="Arial"/>
          <w:i/>
          <w:iCs/>
          <w:sz w:val="24"/>
          <w:szCs w:val="24"/>
        </w:rPr>
        <w:t>Instrucciones relativas a la constitución, administración, gestión y distribución de fondos de inversión colectiva – FICS</w:t>
      </w:r>
      <w:r w:rsidRPr="00382C29">
        <w:rPr>
          <w:rFonts w:ascii="Arial" w:hAnsi="Arial" w:cs="Arial"/>
          <w:sz w:val="24"/>
          <w:szCs w:val="24"/>
        </w:rPr>
        <w:t>» para definir el nuevo contenido de la ficha técnica para la revelación de información de los FIC.</w:t>
      </w:r>
    </w:p>
    <w:p w14:paraId="25706534" w14:textId="77777777" w:rsidR="00382C29" w:rsidRPr="00382C29" w:rsidRDefault="00382C29" w:rsidP="00382C29">
      <w:pPr>
        <w:adjustRightInd w:val="0"/>
        <w:jc w:val="both"/>
        <w:rPr>
          <w:rFonts w:ascii="Arial" w:hAnsi="Arial" w:cs="Arial"/>
          <w:b/>
          <w:bCs/>
          <w:sz w:val="24"/>
          <w:szCs w:val="24"/>
        </w:rPr>
      </w:pPr>
    </w:p>
    <w:p w14:paraId="63E73043" w14:textId="77777777" w:rsidR="00382C29" w:rsidRPr="00382C29" w:rsidRDefault="00382C29" w:rsidP="00382C29">
      <w:pPr>
        <w:jc w:val="both"/>
        <w:rPr>
          <w:rFonts w:ascii="Arial" w:hAnsi="Arial" w:cs="Arial"/>
          <w:b/>
          <w:bCs/>
          <w:sz w:val="24"/>
          <w:szCs w:val="24"/>
        </w:rPr>
      </w:pPr>
      <w:r w:rsidRPr="00382C29">
        <w:rPr>
          <w:rFonts w:ascii="Arial" w:hAnsi="Arial" w:cs="Arial"/>
          <w:b/>
          <w:bCs/>
          <w:sz w:val="24"/>
          <w:szCs w:val="24"/>
        </w:rPr>
        <w:t xml:space="preserve">TERCERA. Régimen de transición: </w:t>
      </w:r>
      <w:r w:rsidRPr="00382C29">
        <w:rPr>
          <w:rFonts w:ascii="Arial" w:hAnsi="Arial" w:cs="Arial"/>
          <w:sz w:val="24"/>
          <w:szCs w:val="24"/>
        </w:rPr>
        <w:t>Las sociedades administradoras de FIC deberán ajustar los MRI de los FIC que administran dentro de los 9 meses siguientes a la fecha de publicación de la presente Circular.</w:t>
      </w:r>
    </w:p>
    <w:p w14:paraId="37337945" w14:textId="77777777" w:rsidR="00382C29" w:rsidRPr="00382C29" w:rsidRDefault="00382C29" w:rsidP="00382C29">
      <w:pPr>
        <w:adjustRightInd w:val="0"/>
        <w:jc w:val="both"/>
        <w:rPr>
          <w:rFonts w:ascii="Arial" w:hAnsi="Arial" w:cs="Arial"/>
          <w:b/>
          <w:bCs/>
          <w:sz w:val="24"/>
          <w:szCs w:val="24"/>
        </w:rPr>
      </w:pPr>
    </w:p>
    <w:p w14:paraId="4CC01A5E" w14:textId="722361E3" w:rsidR="00382C29" w:rsidRPr="00382C29" w:rsidRDefault="00382C29" w:rsidP="00382C29">
      <w:pPr>
        <w:adjustRightInd w:val="0"/>
        <w:jc w:val="both"/>
        <w:rPr>
          <w:rFonts w:ascii="Arial" w:hAnsi="Arial" w:cs="Arial"/>
          <w:b/>
          <w:bCs/>
          <w:sz w:val="24"/>
          <w:szCs w:val="24"/>
        </w:rPr>
      </w:pPr>
      <w:r w:rsidRPr="00382C29">
        <w:rPr>
          <w:rFonts w:ascii="Arial" w:hAnsi="Arial" w:cs="Arial"/>
          <w:b/>
          <w:bCs/>
          <w:sz w:val="24"/>
          <w:szCs w:val="24"/>
        </w:rPr>
        <w:t xml:space="preserve">CUARTA. Plan de implementación: </w:t>
      </w:r>
      <w:r w:rsidRPr="00382C29">
        <w:rPr>
          <w:rFonts w:ascii="Arial" w:hAnsi="Arial" w:cs="Arial"/>
          <w:iCs/>
          <w:sz w:val="24"/>
          <w:szCs w:val="24"/>
        </w:rPr>
        <w:t xml:space="preserve">Las sociedades administradoras de FIC deberán presentar a esta Superintendencia, dentro de los 3 meses siguientes a la fecha de publicación de la presente Circular, un plan de implementación que contenga, por lo menos, las actividades, plazos y responsabilidades para adecuar los MRI de los FIC que administran a las disposiciones contenidas en </w:t>
      </w:r>
      <w:r w:rsidR="002C13C6">
        <w:rPr>
          <w:rFonts w:ascii="Arial" w:hAnsi="Arial" w:cs="Arial"/>
          <w:iCs/>
          <w:sz w:val="24"/>
          <w:szCs w:val="24"/>
        </w:rPr>
        <w:t>la</w:t>
      </w:r>
      <w:r w:rsidRPr="00382C29">
        <w:rPr>
          <w:rFonts w:ascii="Arial" w:hAnsi="Arial" w:cs="Arial"/>
          <w:iCs/>
          <w:sz w:val="24"/>
          <w:szCs w:val="24"/>
        </w:rPr>
        <w:t xml:space="preserve"> presente Circular.</w:t>
      </w:r>
    </w:p>
    <w:p w14:paraId="00C05AE0" w14:textId="77777777" w:rsidR="00382C29" w:rsidRPr="00382C29" w:rsidRDefault="00382C29" w:rsidP="00382C29">
      <w:pPr>
        <w:adjustRightInd w:val="0"/>
        <w:jc w:val="both"/>
        <w:rPr>
          <w:rFonts w:ascii="Arial" w:hAnsi="Arial" w:cs="Arial"/>
          <w:b/>
          <w:bCs/>
          <w:sz w:val="24"/>
          <w:szCs w:val="24"/>
        </w:rPr>
      </w:pPr>
    </w:p>
    <w:p w14:paraId="6E6AE4DE" w14:textId="77777777" w:rsidR="00382C29" w:rsidRPr="00382C29" w:rsidRDefault="00382C29" w:rsidP="00382C29">
      <w:pPr>
        <w:adjustRightInd w:val="0"/>
        <w:jc w:val="both"/>
        <w:rPr>
          <w:rFonts w:ascii="Arial" w:hAnsi="Arial" w:cs="Arial"/>
          <w:iCs/>
          <w:sz w:val="24"/>
          <w:szCs w:val="24"/>
        </w:rPr>
      </w:pPr>
      <w:r w:rsidRPr="00382C29">
        <w:rPr>
          <w:rFonts w:ascii="Arial" w:hAnsi="Arial" w:cs="Arial"/>
          <w:iCs/>
          <w:sz w:val="24"/>
          <w:szCs w:val="24"/>
        </w:rPr>
        <w:lastRenderedPageBreak/>
        <w:t>En concordancia con lo dispuesto en el numeral 7.3 del Capítulo III del Título VI de la Parte III de la Circular Básica Jurídica, es responsabilidad de cada sociedad administradora de FIC evaluar si los ajustes realizados impactan los derechos económicos de los inversionistas, y proceder según lo establece el artículo 3.1.1.9.6 del Decreto 2555 de 2010.</w:t>
      </w:r>
    </w:p>
    <w:p w14:paraId="15DAF9E9" w14:textId="77777777" w:rsidR="00382C29" w:rsidRPr="00382C29" w:rsidRDefault="00382C29" w:rsidP="00382C29">
      <w:pPr>
        <w:adjustRightInd w:val="0"/>
        <w:jc w:val="both"/>
        <w:rPr>
          <w:rFonts w:ascii="Arial" w:hAnsi="Arial" w:cs="Arial"/>
          <w:b/>
          <w:bCs/>
          <w:sz w:val="24"/>
          <w:szCs w:val="24"/>
        </w:rPr>
      </w:pPr>
    </w:p>
    <w:p w14:paraId="0CB215D2" w14:textId="77777777" w:rsidR="00382C29" w:rsidRPr="00382C29" w:rsidRDefault="00382C29" w:rsidP="00382C29">
      <w:pPr>
        <w:adjustRightInd w:val="0"/>
        <w:jc w:val="both"/>
        <w:rPr>
          <w:rFonts w:ascii="Arial" w:hAnsi="Arial" w:cs="Arial"/>
          <w:b/>
          <w:bCs/>
          <w:sz w:val="24"/>
          <w:szCs w:val="24"/>
        </w:rPr>
      </w:pPr>
      <w:r w:rsidRPr="00382C29">
        <w:rPr>
          <w:rFonts w:ascii="Arial" w:hAnsi="Arial" w:cs="Arial"/>
          <w:b/>
          <w:bCs/>
          <w:sz w:val="24"/>
          <w:szCs w:val="24"/>
        </w:rPr>
        <w:t xml:space="preserve">QUINTA: </w:t>
      </w:r>
      <w:r w:rsidRPr="00382C29">
        <w:rPr>
          <w:rFonts w:ascii="Arial" w:hAnsi="Arial" w:cs="Arial"/>
          <w:sz w:val="24"/>
          <w:szCs w:val="24"/>
        </w:rPr>
        <w:t xml:space="preserve">Derogar los numerales 2.1, 2.2, 2.3, 2.4, 2.5, 2.6, 2.7, 4, 4.1, 4.2, 4.3, 4.4, 4.5, 4.6 y 4.7 </w:t>
      </w:r>
      <w:r w:rsidRPr="00382C29">
        <w:rPr>
          <w:rFonts w:ascii="Arial" w:hAnsi="Arial" w:cs="Arial"/>
          <w:iCs/>
          <w:sz w:val="24"/>
          <w:szCs w:val="24"/>
        </w:rPr>
        <w:t>del Capítulo III del Título VI de la Parte III de la Circular Básica Jurídica</w:t>
      </w:r>
      <w:r w:rsidRPr="00382C29">
        <w:rPr>
          <w:rFonts w:ascii="Arial" w:hAnsi="Arial" w:cs="Arial"/>
          <w:sz w:val="24"/>
          <w:szCs w:val="24"/>
        </w:rPr>
        <w:t xml:space="preserve"> “</w:t>
      </w:r>
      <w:r w:rsidRPr="00382C29">
        <w:rPr>
          <w:rFonts w:ascii="Arial" w:hAnsi="Arial" w:cs="Arial"/>
          <w:i/>
          <w:iCs/>
          <w:sz w:val="24"/>
          <w:szCs w:val="24"/>
        </w:rPr>
        <w:t>Instrucciones relativas a la constitución, administración, gestión y distribución de fondos de inversión colectiva -FICS</w:t>
      </w:r>
      <w:r w:rsidRPr="00382C29">
        <w:rPr>
          <w:rFonts w:ascii="Arial" w:hAnsi="Arial" w:cs="Arial"/>
          <w:sz w:val="24"/>
          <w:szCs w:val="24"/>
        </w:rPr>
        <w:t xml:space="preserve">” y los anexos 1, 2, 3, 4, 5 y 6 </w:t>
      </w:r>
      <w:r w:rsidRPr="00382C29">
        <w:rPr>
          <w:rFonts w:ascii="Arial" w:hAnsi="Arial" w:cs="Arial"/>
          <w:iCs/>
          <w:sz w:val="24"/>
          <w:szCs w:val="24"/>
        </w:rPr>
        <w:t>del Título VI de la Parte III de la Circular Básica Jurídica una vez finalice el régimen de transición previsto en la instrucción tercera de la presente Circular.</w:t>
      </w:r>
    </w:p>
    <w:p w14:paraId="26FBD948" w14:textId="77777777" w:rsidR="00382C29" w:rsidRPr="00382C29" w:rsidRDefault="00382C29" w:rsidP="00382C29">
      <w:pPr>
        <w:adjustRightInd w:val="0"/>
        <w:jc w:val="both"/>
        <w:rPr>
          <w:rFonts w:ascii="Arial" w:hAnsi="Arial" w:cs="Arial"/>
          <w:b/>
          <w:bCs/>
          <w:sz w:val="24"/>
          <w:szCs w:val="24"/>
        </w:rPr>
      </w:pPr>
    </w:p>
    <w:p w14:paraId="109F9C64" w14:textId="77777777" w:rsidR="00E36297" w:rsidRPr="00382C29" w:rsidRDefault="00E36297" w:rsidP="00E36297">
      <w:pPr>
        <w:autoSpaceDN w:val="0"/>
        <w:jc w:val="both"/>
        <w:rPr>
          <w:rFonts w:ascii="Arial" w:hAnsi="Arial" w:cs="Arial"/>
          <w:color w:val="000000"/>
          <w:sz w:val="24"/>
          <w:szCs w:val="24"/>
          <w:lang w:val="es-CO"/>
        </w:rPr>
      </w:pPr>
      <w:r w:rsidRPr="00382C29">
        <w:rPr>
          <w:rFonts w:ascii="Arial" w:hAnsi="Arial" w:cs="Arial"/>
          <w:color w:val="000000"/>
          <w:sz w:val="24"/>
          <w:szCs w:val="24"/>
          <w:lang w:val="es-CO"/>
        </w:rPr>
        <w:t>Se anexan las páginas objeto de modificación.</w:t>
      </w:r>
    </w:p>
    <w:p w14:paraId="36FFDBCA" w14:textId="77777777" w:rsidR="00E36297" w:rsidRDefault="00E36297" w:rsidP="00382C29">
      <w:pPr>
        <w:autoSpaceDN w:val="0"/>
        <w:jc w:val="both"/>
        <w:rPr>
          <w:rFonts w:ascii="Arial" w:hAnsi="Arial" w:cs="Arial"/>
          <w:color w:val="000000"/>
          <w:sz w:val="24"/>
          <w:szCs w:val="24"/>
          <w:lang w:val="es-CO"/>
        </w:rPr>
      </w:pPr>
    </w:p>
    <w:p w14:paraId="26CB5748" w14:textId="4FB03C23" w:rsidR="00382C29" w:rsidRPr="00382C29" w:rsidRDefault="00382C29" w:rsidP="00382C29">
      <w:pPr>
        <w:autoSpaceDN w:val="0"/>
        <w:jc w:val="both"/>
        <w:rPr>
          <w:rFonts w:ascii="Arial" w:hAnsi="Arial" w:cs="Arial"/>
          <w:color w:val="000000"/>
          <w:sz w:val="24"/>
          <w:szCs w:val="24"/>
          <w:lang w:val="es-CO"/>
        </w:rPr>
      </w:pPr>
      <w:r w:rsidRPr="00382C29">
        <w:rPr>
          <w:rFonts w:ascii="Arial" w:hAnsi="Arial" w:cs="Arial"/>
          <w:color w:val="000000"/>
          <w:sz w:val="24"/>
          <w:szCs w:val="24"/>
          <w:lang w:val="es-CO"/>
        </w:rPr>
        <w:t>La presente Circular rige a partir de su publicación.</w:t>
      </w:r>
    </w:p>
    <w:p w14:paraId="70B5D555" w14:textId="77777777" w:rsidR="00382C29" w:rsidRPr="00382C29" w:rsidRDefault="00382C29" w:rsidP="00382C29">
      <w:pPr>
        <w:autoSpaceDN w:val="0"/>
        <w:jc w:val="both"/>
        <w:rPr>
          <w:rFonts w:ascii="Arial" w:hAnsi="Arial" w:cs="Arial"/>
          <w:color w:val="000000"/>
          <w:sz w:val="24"/>
          <w:szCs w:val="24"/>
          <w:lang w:val="es-CO"/>
        </w:rPr>
      </w:pPr>
    </w:p>
    <w:p w14:paraId="0AC61BFD" w14:textId="77777777" w:rsidR="00382C29" w:rsidRPr="00382C29" w:rsidRDefault="00382C29" w:rsidP="00382C29">
      <w:pPr>
        <w:autoSpaceDN w:val="0"/>
        <w:jc w:val="both"/>
        <w:rPr>
          <w:rFonts w:ascii="Arial" w:hAnsi="Arial" w:cs="Arial"/>
          <w:color w:val="000000"/>
          <w:sz w:val="24"/>
          <w:szCs w:val="24"/>
          <w:lang w:val="es-CO"/>
        </w:rPr>
      </w:pPr>
      <w:r w:rsidRPr="00382C29">
        <w:rPr>
          <w:rFonts w:ascii="Arial" w:hAnsi="Arial" w:cs="Arial"/>
          <w:color w:val="000000"/>
          <w:sz w:val="24"/>
          <w:szCs w:val="24"/>
          <w:lang w:val="es-CO"/>
        </w:rPr>
        <w:t>Cordialmente,</w:t>
      </w:r>
    </w:p>
    <w:p w14:paraId="6D2C60FF" w14:textId="77777777" w:rsidR="00382C29" w:rsidRPr="00382C29" w:rsidRDefault="00382C29" w:rsidP="00382C29">
      <w:pPr>
        <w:jc w:val="both"/>
        <w:rPr>
          <w:rFonts w:ascii="Arial" w:hAnsi="Arial" w:cs="Arial"/>
          <w:b/>
          <w:bCs/>
          <w:sz w:val="24"/>
          <w:szCs w:val="24"/>
        </w:rPr>
      </w:pPr>
    </w:p>
    <w:p w14:paraId="5A91F74B" w14:textId="77777777" w:rsidR="00382C29" w:rsidRPr="00382C29" w:rsidRDefault="00382C29" w:rsidP="00382C29">
      <w:pPr>
        <w:jc w:val="both"/>
        <w:rPr>
          <w:rFonts w:ascii="Arial" w:hAnsi="Arial" w:cs="Arial"/>
          <w:b/>
          <w:bCs/>
          <w:sz w:val="24"/>
          <w:szCs w:val="24"/>
        </w:rPr>
      </w:pPr>
    </w:p>
    <w:p w14:paraId="2CC8DE60" w14:textId="77777777" w:rsidR="00382C29" w:rsidRPr="00382C29" w:rsidRDefault="00382C29" w:rsidP="00382C29">
      <w:pPr>
        <w:jc w:val="both"/>
        <w:rPr>
          <w:rFonts w:ascii="Arial" w:hAnsi="Arial" w:cs="Arial"/>
          <w:b/>
          <w:bCs/>
          <w:sz w:val="24"/>
          <w:szCs w:val="24"/>
        </w:rPr>
      </w:pPr>
    </w:p>
    <w:p w14:paraId="3107D275" w14:textId="77777777" w:rsidR="00382C29" w:rsidRPr="00382C29" w:rsidRDefault="00382C29" w:rsidP="00382C29">
      <w:pPr>
        <w:jc w:val="both"/>
        <w:rPr>
          <w:rFonts w:ascii="Arial" w:hAnsi="Arial" w:cs="Arial"/>
          <w:b/>
          <w:bCs/>
          <w:sz w:val="24"/>
          <w:szCs w:val="24"/>
        </w:rPr>
      </w:pPr>
    </w:p>
    <w:p w14:paraId="14219438" w14:textId="77777777" w:rsidR="00382C29" w:rsidRPr="00382C29" w:rsidRDefault="00382C29" w:rsidP="00382C29">
      <w:pPr>
        <w:jc w:val="both"/>
        <w:rPr>
          <w:rFonts w:ascii="Arial" w:hAnsi="Arial" w:cs="Arial"/>
          <w:b/>
          <w:iCs/>
          <w:sz w:val="24"/>
          <w:szCs w:val="24"/>
        </w:rPr>
      </w:pPr>
      <w:r w:rsidRPr="00382C29">
        <w:rPr>
          <w:rFonts w:ascii="Arial" w:hAnsi="Arial" w:cs="Arial"/>
          <w:b/>
          <w:iCs/>
          <w:sz w:val="24"/>
          <w:szCs w:val="24"/>
        </w:rPr>
        <w:t>JORGE CASTAÑO GUTIÉRREZ</w:t>
      </w:r>
    </w:p>
    <w:p w14:paraId="673FE748" w14:textId="77777777" w:rsidR="00382C29" w:rsidRPr="00382C29" w:rsidRDefault="00382C29" w:rsidP="00382C29">
      <w:pPr>
        <w:ind w:right="-160"/>
        <w:outlineLvl w:val="0"/>
        <w:rPr>
          <w:bCs/>
          <w:lang w:val="es-ES"/>
        </w:rPr>
      </w:pPr>
      <w:r w:rsidRPr="00382C29">
        <w:rPr>
          <w:rFonts w:ascii="Arial" w:hAnsi="Arial" w:cs="Arial"/>
          <w:bCs/>
          <w:sz w:val="24"/>
          <w:szCs w:val="24"/>
          <w:lang w:val="es-ES"/>
        </w:rPr>
        <w:t>Superintendente Financiero</w:t>
      </w:r>
    </w:p>
    <w:p w14:paraId="1998A52D" w14:textId="77777777" w:rsidR="00382C29" w:rsidRPr="00382C29" w:rsidRDefault="00382C29" w:rsidP="00382C29">
      <w:pPr>
        <w:ind w:right="-160"/>
        <w:rPr>
          <w:rFonts w:ascii="Arial" w:hAnsi="Arial" w:cs="Arial"/>
          <w:szCs w:val="24"/>
          <w:lang w:val="es-ES"/>
        </w:rPr>
      </w:pPr>
      <w:r w:rsidRPr="00382C29">
        <w:rPr>
          <w:rFonts w:ascii="Arial" w:hAnsi="Arial" w:cs="Arial"/>
          <w:szCs w:val="24"/>
          <w:lang w:val="es-ES"/>
        </w:rPr>
        <w:t>050000</w:t>
      </w:r>
    </w:p>
    <w:p w14:paraId="15F2AA28" w14:textId="77777777" w:rsidR="00B51F39" w:rsidRDefault="00B51F39">
      <w:pPr>
        <w:jc w:val="center"/>
        <w:rPr>
          <w:rFonts w:cs="Arial"/>
          <w:b/>
          <w:bCs/>
          <w:sz w:val="22"/>
          <w:szCs w:val="22"/>
        </w:rPr>
      </w:pPr>
    </w:p>
    <w:sectPr w:rsidR="00B51F39" w:rsidSect="00DD342D">
      <w:headerReference w:type="default" r:id="rId16"/>
      <w:footerReference w:type="default" r:id="rId17"/>
      <w:headerReference w:type="first" r:id="rId18"/>
      <w:footerReference w:type="first" r:id="rId19"/>
      <w:pgSz w:w="12240" w:h="18720" w:code="120"/>
      <w:pgMar w:top="1417" w:right="1701" w:bottom="1417" w:left="170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A8D9" w14:textId="77777777" w:rsidR="00A04BFD" w:rsidRDefault="00A04BFD">
      <w:r>
        <w:separator/>
      </w:r>
    </w:p>
  </w:endnote>
  <w:endnote w:type="continuationSeparator" w:id="0">
    <w:p w14:paraId="2F667AC7" w14:textId="77777777" w:rsidR="00A04BFD" w:rsidRDefault="00A0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4B50" w14:textId="77777777" w:rsidR="00564B20" w:rsidRDefault="00564B20">
    <w:pPr>
      <w:widowControl w:val="0"/>
      <w:autoSpaceDE w:val="0"/>
      <w:autoSpaceDN w:val="0"/>
      <w:adjustRightInd w:val="0"/>
      <w:jc w:val="both"/>
      <w:rPr>
        <w:rFonts w:ascii="Arial" w:hAnsi="Arial" w:cs="Arial"/>
        <w:sz w:val="22"/>
        <w:szCs w:val="22"/>
      </w:rPr>
    </w:pPr>
  </w:p>
  <w:p w14:paraId="6C4DEE90"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A02" w14:textId="77777777" w:rsidR="00564B20" w:rsidRDefault="00564B20">
    <w:pPr>
      <w:widowControl w:val="0"/>
      <w:autoSpaceDE w:val="0"/>
      <w:autoSpaceDN w:val="0"/>
      <w:adjustRightInd w:val="0"/>
      <w:jc w:val="both"/>
      <w:rPr>
        <w:rFonts w:ascii="Arial" w:hAnsi="Arial" w:cs="Arial"/>
        <w:sz w:val="22"/>
        <w:szCs w:val="22"/>
      </w:rPr>
    </w:pPr>
  </w:p>
  <w:p w14:paraId="460AF320"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71CD7C55" w14:textId="77777777" w:rsidTr="00DD342D">
      <w:tc>
        <w:tcPr>
          <w:tcW w:w="2946" w:type="dxa"/>
        </w:tcPr>
        <w:p w14:paraId="65A686DE" w14:textId="77777777" w:rsidR="00DD342D" w:rsidRDefault="00DD342D" w:rsidP="00DD342D">
          <w:pPr>
            <w:pStyle w:val="Encabezado"/>
            <w:ind w:left="-115"/>
          </w:pPr>
        </w:p>
      </w:tc>
      <w:tc>
        <w:tcPr>
          <w:tcW w:w="2946" w:type="dxa"/>
        </w:tcPr>
        <w:p w14:paraId="4090F147" w14:textId="77777777" w:rsidR="00DD342D" w:rsidRDefault="00DD342D" w:rsidP="00DD342D">
          <w:pPr>
            <w:pStyle w:val="Encabezado"/>
            <w:jc w:val="center"/>
          </w:pPr>
        </w:p>
      </w:tc>
      <w:tc>
        <w:tcPr>
          <w:tcW w:w="2946" w:type="dxa"/>
        </w:tcPr>
        <w:p w14:paraId="13850996" w14:textId="77777777" w:rsidR="00DD342D" w:rsidRDefault="00DD342D" w:rsidP="00DD342D">
          <w:pPr>
            <w:pStyle w:val="Encabezado"/>
            <w:ind w:right="-115"/>
            <w:jc w:val="right"/>
          </w:pPr>
        </w:p>
      </w:tc>
    </w:tr>
  </w:tbl>
  <w:p w14:paraId="7327B599" w14:textId="77777777" w:rsidR="00DD342D" w:rsidRDefault="00DD342D" w:rsidP="00DD342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7096FF92" w14:textId="77777777" w:rsidTr="00DD342D">
      <w:tc>
        <w:tcPr>
          <w:tcW w:w="2946" w:type="dxa"/>
        </w:tcPr>
        <w:p w14:paraId="010EEA00" w14:textId="77777777" w:rsidR="00DD342D" w:rsidRDefault="00DD342D" w:rsidP="00DD342D">
          <w:pPr>
            <w:pStyle w:val="Encabezado"/>
            <w:tabs>
              <w:tab w:val="clear" w:pos="8838"/>
              <w:tab w:val="right" w:pos="2723"/>
            </w:tabs>
            <w:ind w:left="-115"/>
          </w:pPr>
        </w:p>
      </w:tc>
      <w:tc>
        <w:tcPr>
          <w:tcW w:w="2946" w:type="dxa"/>
        </w:tcPr>
        <w:p w14:paraId="3433BD6B" w14:textId="77777777" w:rsidR="00DD342D" w:rsidRDefault="00DD342D" w:rsidP="00DD342D">
          <w:pPr>
            <w:pStyle w:val="Encabezado"/>
            <w:jc w:val="center"/>
          </w:pPr>
        </w:p>
      </w:tc>
      <w:tc>
        <w:tcPr>
          <w:tcW w:w="2946" w:type="dxa"/>
        </w:tcPr>
        <w:p w14:paraId="3FF68D49" w14:textId="77777777" w:rsidR="00DD342D" w:rsidRDefault="00DD342D" w:rsidP="00DD342D">
          <w:pPr>
            <w:pStyle w:val="Encabezado"/>
            <w:ind w:right="-115"/>
            <w:jc w:val="right"/>
          </w:pPr>
        </w:p>
      </w:tc>
    </w:tr>
  </w:tbl>
  <w:p w14:paraId="6BD788A9" w14:textId="77777777" w:rsidR="00DD342D" w:rsidRDefault="00DD342D" w:rsidP="00DD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B4CC" w14:textId="77777777" w:rsidR="00A04BFD" w:rsidRDefault="00A04BFD">
      <w:r>
        <w:separator/>
      </w:r>
    </w:p>
  </w:footnote>
  <w:footnote w:type="continuationSeparator" w:id="0">
    <w:p w14:paraId="14C88901" w14:textId="77777777" w:rsidR="00A04BFD" w:rsidRDefault="00A04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E7D" w14:textId="77777777" w:rsidR="00564B20" w:rsidRDefault="00564B20">
    <w:pPr>
      <w:pStyle w:val="Encabezado"/>
      <w:jc w:val="center"/>
      <w:rPr>
        <w:rFonts w:ascii="Arial" w:hAnsi="Arial" w:cs="Arial"/>
        <w:b/>
        <w:sz w:val="24"/>
        <w:szCs w:val="24"/>
      </w:rPr>
    </w:pPr>
  </w:p>
  <w:p w14:paraId="5A92E170" w14:textId="77777777" w:rsidR="00564B20" w:rsidRDefault="00564B20">
    <w:pPr>
      <w:pStyle w:val="Encabezado"/>
      <w:jc w:val="center"/>
      <w:rPr>
        <w:rFonts w:ascii="Arial" w:hAnsi="Arial" w:cs="Arial"/>
        <w:b/>
        <w:sz w:val="24"/>
        <w:szCs w:val="24"/>
      </w:rPr>
    </w:pPr>
  </w:p>
  <w:p w14:paraId="4FDF7016" w14:textId="77777777" w:rsidR="00564B20" w:rsidRDefault="00564B20">
    <w:pPr>
      <w:pStyle w:val="Encabezado"/>
      <w:jc w:val="center"/>
      <w:rPr>
        <w:rFonts w:ascii="Arial" w:hAnsi="Arial" w:cs="Arial"/>
        <w:b/>
        <w:sz w:val="24"/>
        <w:szCs w:val="24"/>
      </w:rPr>
    </w:pPr>
  </w:p>
  <w:p w14:paraId="49DBD322"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113FA2B6" w14:textId="77777777" w:rsidR="00564B20" w:rsidRDefault="00564B20">
    <w:pPr>
      <w:pStyle w:val="Encabezado"/>
      <w:jc w:val="center"/>
      <w:rPr>
        <w:rFonts w:ascii="Arial" w:hAnsi="Arial" w:cs="Arial"/>
        <w:b/>
        <w:bCs/>
        <w:sz w:val="24"/>
        <w:szCs w:val="24"/>
        <w:lang w:val="es-CO"/>
      </w:rPr>
    </w:pPr>
  </w:p>
  <w:p w14:paraId="5151CE0C"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5"/>
      <w:gridCol w:w="4399"/>
      <w:gridCol w:w="2052"/>
    </w:tblGrid>
    <w:tr w:rsidR="00564B20" w14:paraId="7BBA85CC" w14:textId="77777777" w:rsidTr="0044428D">
      <w:trPr>
        <w:cantSplit/>
        <w:trHeight w:val="699"/>
      </w:trPr>
      <w:tc>
        <w:tcPr>
          <w:tcW w:w="2055" w:type="dxa"/>
          <w:vMerge w:val="restart"/>
          <w:noWrap/>
          <w:vAlign w:val="bottom"/>
        </w:tcPr>
        <w:p w14:paraId="394121B9" w14:textId="5C4FB6D7" w:rsidR="00564B20" w:rsidRDefault="00564B20" w:rsidP="000F6CB5">
          <w:pPr>
            <w:rPr>
              <w:rFonts w:cs="Arial"/>
              <w:sz w:val="2"/>
              <w:szCs w:val="2"/>
              <w:lang w:val="es-CO"/>
            </w:rPr>
          </w:pPr>
        </w:p>
        <w:p w14:paraId="12B78689" w14:textId="77777777" w:rsidR="00564B20" w:rsidRDefault="00564B20" w:rsidP="000F6CB5">
          <w:pPr>
            <w:rPr>
              <w:rFonts w:cs="Arial"/>
              <w:sz w:val="2"/>
              <w:szCs w:val="2"/>
              <w:lang w:val="es-CO"/>
            </w:rPr>
          </w:pPr>
        </w:p>
        <w:p w14:paraId="25B0DE75" w14:textId="77777777" w:rsidR="00564B20" w:rsidRDefault="00564B20" w:rsidP="000F6CB5">
          <w:pPr>
            <w:rPr>
              <w:rFonts w:cs="Arial"/>
              <w:sz w:val="2"/>
              <w:szCs w:val="2"/>
              <w:lang w:val="es-CO"/>
            </w:rPr>
          </w:pPr>
        </w:p>
        <w:p w14:paraId="0D52FA2F" w14:textId="77777777" w:rsidR="00564B20" w:rsidRDefault="00564B20" w:rsidP="000F6CB5">
          <w:pPr>
            <w:rPr>
              <w:rFonts w:cs="Arial"/>
              <w:sz w:val="2"/>
              <w:szCs w:val="2"/>
              <w:lang w:val="es-CO"/>
            </w:rPr>
          </w:pPr>
        </w:p>
        <w:p w14:paraId="4354A215" w14:textId="0D335288" w:rsidR="00564B20" w:rsidRDefault="00F42DD9" w:rsidP="000F6CB5">
          <w:pPr>
            <w:rPr>
              <w:rFonts w:cs="Arial"/>
              <w:sz w:val="2"/>
              <w:szCs w:val="2"/>
              <w:lang w:val="es-CO"/>
            </w:rPr>
          </w:pPr>
          <w:r>
            <w:rPr>
              <w:rFonts w:ascii="Arial" w:hAnsi="Arial" w:cs="Arial"/>
              <w:noProof/>
              <w:color w:val="000000"/>
              <w:lang w:eastAsia="es-CO"/>
            </w:rPr>
            <w:drawing>
              <wp:inline distT="0" distB="0" distL="0" distR="0" wp14:anchorId="4957C518" wp14:editId="418B045E">
                <wp:extent cx="1343025" cy="48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85775"/>
                        </a:xfrm>
                        <a:prstGeom prst="rect">
                          <a:avLst/>
                        </a:prstGeom>
                        <a:noFill/>
                        <a:ln>
                          <a:noFill/>
                        </a:ln>
                      </pic:spPr>
                    </pic:pic>
                  </a:graphicData>
                </a:graphic>
              </wp:inline>
            </w:drawing>
          </w:r>
        </w:p>
      </w:tc>
      <w:tc>
        <w:tcPr>
          <w:tcW w:w="4399" w:type="dxa"/>
          <w:shd w:val="clear" w:color="auto" w:fill="FFFFFF"/>
          <w:noWrap/>
          <w:vAlign w:val="center"/>
        </w:tcPr>
        <w:p w14:paraId="20DAE4A2"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0881EF00" w14:textId="77777777" w:rsidR="00564B20" w:rsidRDefault="00564B20" w:rsidP="000F6CB5">
          <w:pPr>
            <w:jc w:val="center"/>
            <w:rPr>
              <w:rFonts w:ascii="Arial" w:hAnsi="Arial" w:cs="Arial"/>
              <w:lang w:val="es-CO"/>
            </w:rPr>
          </w:pPr>
          <w:r>
            <w:rPr>
              <w:rFonts w:ascii="Arial" w:hAnsi="Arial" w:cs="Arial"/>
              <w:bCs/>
            </w:rPr>
            <w:t>E-PI-DDS-002</w:t>
          </w:r>
        </w:p>
      </w:tc>
    </w:tr>
    <w:tr w:rsidR="00564B20" w14:paraId="5E9605DE" w14:textId="77777777" w:rsidTr="00043B3D">
      <w:trPr>
        <w:cantSplit/>
        <w:trHeight w:val="378"/>
      </w:trPr>
      <w:tc>
        <w:tcPr>
          <w:tcW w:w="2055" w:type="dxa"/>
          <w:vMerge/>
          <w:noWrap/>
          <w:vAlign w:val="bottom"/>
        </w:tcPr>
        <w:p w14:paraId="3DABE928" w14:textId="77777777" w:rsidR="00564B20" w:rsidRDefault="00564B20" w:rsidP="000F6CB5">
          <w:pPr>
            <w:rPr>
              <w:rFonts w:cs="Arial"/>
              <w:color w:val="FFFFFF"/>
              <w:lang w:val="es-CO"/>
            </w:rPr>
          </w:pPr>
        </w:p>
      </w:tc>
      <w:tc>
        <w:tcPr>
          <w:tcW w:w="4399" w:type="dxa"/>
          <w:vAlign w:val="center"/>
        </w:tcPr>
        <w:p w14:paraId="071C7BBA"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6AC33A07"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C6C01FF"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E57C" w14:textId="77777777" w:rsidR="00DD342D" w:rsidRPr="00966903" w:rsidRDefault="00DD342D" w:rsidP="00DD342D">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7C2FCB7E" w14:textId="77777777" w:rsidR="00DD342D" w:rsidRDefault="00DD342D" w:rsidP="00DD342D">
    <w:pPr>
      <w:pStyle w:val="Encabezado"/>
      <w:jc w:val="center"/>
      <w:rPr>
        <w:rFonts w:cs="Arial"/>
        <w:b/>
        <w:bCs/>
        <w:sz w:val="22"/>
        <w:szCs w:val="22"/>
        <w:lang w:val="es-ES"/>
      </w:rPr>
    </w:pPr>
  </w:p>
  <w:p w14:paraId="509E8DF1" w14:textId="63704E9D" w:rsidR="00DD342D" w:rsidRPr="00966903" w:rsidRDefault="00DD342D" w:rsidP="00DD342D">
    <w:pPr>
      <w:pStyle w:val="Piedepgina"/>
      <w:rPr>
        <w:rFonts w:ascii="Arial" w:hAnsi="Arial" w:cs="Arial"/>
        <w:b/>
        <w:bCs/>
        <w:sz w:val="24"/>
        <w:szCs w:val="24"/>
      </w:rPr>
    </w:pPr>
    <w:r w:rsidRPr="00966903">
      <w:rPr>
        <w:rFonts w:ascii="Arial" w:hAnsi="Arial" w:cs="Arial"/>
        <w:b/>
        <w:bCs/>
        <w:sz w:val="24"/>
        <w:szCs w:val="24"/>
      </w:rPr>
      <w:t xml:space="preserve">Circular Externa </w:t>
    </w:r>
    <w:r w:rsidR="00A74FE2">
      <w:rPr>
        <w:rFonts w:ascii="Arial" w:hAnsi="Arial" w:cs="Arial"/>
        <w:b/>
        <w:bCs/>
        <w:sz w:val="24"/>
        <w:szCs w:val="24"/>
      </w:rPr>
      <w:t xml:space="preserve">      </w:t>
    </w:r>
    <w:r w:rsidRPr="00966903">
      <w:rPr>
        <w:rFonts w:ascii="Arial" w:hAnsi="Arial" w:cs="Arial"/>
        <w:b/>
        <w:bCs/>
        <w:sz w:val="24"/>
        <w:szCs w:val="24"/>
      </w:rPr>
      <w:t xml:space="preserve"> de 202</w:t>
    </w:r>
    <w:r w:rsidR="00966903">
      <w:rPr>
        <w:rFonts w:ascii="Arial" w:hAnsi="Arial" w:cs="Arial"/>
        <w:b/>
        <w:bCs/>
        <w:sz w:val="24"/>
        <w:szCs w:val="24"/>
      </w:rPr>
      <w:t>2</w:t>
    </w:r>
    <w:r w:rsidRPr="00966903">
      <w:rPr>
        <w:rFonts w:ascii="Arial" w:hAnsi="Arial" w:cs="Arial"/>
        <w:b/>
        <w:bCs/>
        <w:sz w:val="24"/>
        <w:szCs w:val="24"/>
      </w:rPr>
      <w:t xml:space="preserve">                                                                Página </w:t>
    </w:r>
    <w:r w:rsidR="00A634DA">
      <w:rPr>
        <w:rFonts w:ascii="Arial" w:eastAsia="Arial" w:hAnsi="Arial" w:cs="Arial"/>
        <w:b/>
        <w:bCs/>
        <w:sz w:val="24"/>
        <w:szCs w:val="24"/>
      </w:rPr>
      <w:t>2</w:t>
    </w:r>
  </w:p>
  <w:p w14:paraId="6DB8496A" w14:textId="77777777" w:rsidR="00DD342D" w:rsidRPr="00F83A3A" w:rsidRDefault="00DD342D" w:rsidP="00DD342D">
    <w:pPr>
      <w:pStyle w:val="Encabezado"/>
      <w:jc w:val="center"/>
      <w:rPr>
        <w:rFonts w:cs="Arial"/>
        <w:b/>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43BD" w14:textId="77777777" w:rsidR="00DD342D" w:rsidRPr="00964900" w:rsidRDefault="00DD342D" w:rsidP="00DD342D">
    <w:pPr>
      <w:pStyle w:val="Encabezado"/>
      <w:jc w:val="center"/>
      <w:rPr>
        <w:rFonts w:ascii="Arial" w:hAnsi="Arial" w:cs="Arial"/>
        <w:b/>
        <w:bCs/>
        <w:sz w:val="24"/>
        <w:szCs w:val="24"/>
        <w:lang w:val="es-ES"/>
      </w:rPr>
    </w:pPr>
    <w:bookmarkStart w:id="0" w:name="_Hlk96325164"/>
    <w:bookmarkStart w:id="1" w:name="_Hlk96325165"/>
    <w:bookmarkStart w:id="2" w:name="_Hlk96325166"/>
    <w:bookmarkStart w:id="3" w:name="_Hlk96325167"/>
    <w:bookmarkStart w:id="4" w:name="_Hlk96325168"/>
    <w:bookmarkStart w:id="5" w:name="_Hlk96325169"/>
    <w:bookmarkStart w:id="6" w:name="_Hlk96325170"/>
    <w:bookmarkStart w:id="7" w:name="_Hlk96325171"/>
    <w:bookmarkStart w:id="8" w:name="_Hlk96325172"/>
    <w:bookmarkStart w:id="9" w:name="_Hlk96325173"/>
    <w:bookmarkStart w:id="10" w:name="_Hlk96325174"/>
    <w:bookmarkStart w:id="11" w:name="_Hlk96325175"/>
    <w:bookmarkStart w:id="12" w:name="_Hlk96325176"/>
    <w:bookmarkStart w:id="13" w:name="_Hlk96325177"/>
    <w:r w:rsidRPr="00964900">
      <w:rPr>
        <w:rFonts w:ascii="Arial" w:hAnsi="Arial" w:cs="Arial"/>
        <w:b/>
        <w:bCs/>
        <w:sz w:val="24"/>
        <w:szCs w:val="24"/>
        <w:lang w:val="es-ES"/>
      </w:rPr>
      <w:t>SUPERINTENDENCIA FINANCIERA DE COLOMBIA</w:t>
    </w:r>
    <w:bookmarkEnd w:id="0"/>
    <w:bookmarkEnd w:id="1"/>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0"/>
  </w:num>
  <w:num w:numId="2">
    <w:abstractNumId w:val="42"/>
  </w:num>
  <w:num w:numId="3">
    <w:abstractNumId w:val="27"/>
  </w:num>
  <w:num w:numId="4">
    <w:abstractNumId w:val="2"/>
  </w:num>
  <w:num w:numId="5">
    <w:abstractNumId w:val="1"/>
  </w:num>
  <w:num w:numId="6">
    <w:abstractNumId w:val="0"/>
  </w:num>
  <w:num w:numId="7">
    <w:abstractNumId w:val="43"/>
  </w:num>
  <w:num w:numId="8">
    <w:abstractNumId w:val="12"/>
  </w:num>
  <w:num w:numId="9">
    <w:abstractNumId w:val="36"/>
  </w:num>
  <w:num w:numId="10">
    <w:abstractNumId w:val="14"/>
  </w:num>
  <w:num w:numId="11">
    <w:abstractNumId w:val="26"/>
  </w:num>
  <w:num w:numId="12">
    <w:abstractNumId w:val="5"/>
  </w:num>
  <w:num w:numId="13">
    <w:abstractNumId w:val="18"/>
  </w:num>
  <w:num w:numId="14">
    <w:abstractNumId w:val="25"/>
  </w:num>
  <w:num w:numId="15">
    <w:abstractNumId w:val="11"/>
  </w:num>
  <w:num w:numId="16">
    <w:abstractNumId w:val="13"/>
  </w:num>
  <w:num w:numId="17">
    <w:abstractNumId w:val="8"/>
  </w:num>
  <w:num w:numId="18">
    <w:abstractNumId w:val="45"/>
  </w:num>
  <w:num w:numId="19">
    <w:abstractNumId w:val="38"/>
  </w:num>
  <w:num w:numId="20">
    <w:abstractNumId w:val="20"/>
  </w:num>
  <w:num w:numId="21">
    <w:abstractNumId w:val="15"/>
  </w:num>
  <w:num w:numId="22">
    <w:abstractNumId w:val="16"/>
  </w:num>
  <w:num w:numId="23">
    <w:abstractNumId w:val="7"/>
  </w:num>
  <w:num w:numId="24">
    <w:abstractNumId w:val="24"/>
  </w:num>
  <w:num w:numId="25">
    <w:abstractNumId w:val="37"/>
  </w:num>
  <w:num w:numId="26">
    <w:abstractNumId w:val="23"/>
  </w:num>
  <w:num w:numId="27">
    <w:abstractNumId w:val="44"/>
  </w:num>
  <w:num w:numId="28">
    <w:abstractNumId w:val="6"/>
  </w:num>
  <w:num w:numId="29">
    <w:abstractNumId w:val="21"/>
  </w:num>
  <w:num w:numId="30">
    <w:abstractNumId w:val="19"/>
  </w:num>
  <w:num w:numId="31">
    <w:abstractNumId w:val="39"/>
  </w:num>
  <w:num w:numId="32">
    <w:abstractNumId w:val="32"/>
  </w:num>
  <w:num w:numId="33">
    <w:abstractNumId w:val="4"/>
  </w:num>
  <w:num w:numId="34">
    <w:abstractNumId w:val="29"/>
  </w:num>
  <w:num w:numId="35">
    <w:abstractNumId w:val="9"/>
  </w:num>
  <w:num w:numId="36">
    <w:abstractNumId w:val="28"/>
  </w:num>
  <w:num w:numId="37">
    <w:abstractNumId w:val="34"/>
  </w:num>
  <w:num w:numId="38">
    <w:abstractNumId w:val="22"/>
  </w:num>
  <w:num w:numId="39">
    <w:abstractNumId w:val="31"/>
  </w:num>
  <w:num w:numId="40">
    <w:abstractNumId w:val="41"/>
  </w:num>
  <w:num w:numId="41">
    <w:abstractNumId w:val="17"/>
  </w:num>
  <w:num w:numId="42">
    <w:abstractNumId w:val="30"/>
  </w:num>
  <w:num w:numId="43">
    <w:abstractNumId w:val="3"/>
  </w:num>
  <w:num w:numId="44">
    <w:abstractNumId w:val="35"/>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B3D"/>
    <w:rsid w:val="00047316"/>
    <w:rsid w:val="000779CA"/>
    <w:rsid w:val="000D147B"/>
    <w:rsid w:val="000F6CB5"/>
    <w:rsid w:val="00120DA4"/>
    <w:rsid w:val="001258E1"/>
    <w:rsid w:val="001543F0"/>
    <w:rsid w:val="00164D9E"/>
    <w:rsid w:val="00172C51"/>
    <w:rsid w:val="00190EE7"/>
    <w:rsid w:val="001922C8"/>
    <w:rsid w:val="001A6B7D"/>
    <w:rsid w:val="002B6E99"/>
    <w:rsid w:val="002C13C6"/>
    <w:rsid w:val="002F4A2A"/>
    <w:rsid w:val="00316E05"/>
    <w:rsid w:val="003738F8"/>
    <w:rsid w:val="0037411F"/>
    <w:rsid w:val="00374F5A"/>
    <w:rsid w:val="003760B7"/>
    <w:rsid w:val="00382C29"/>
    <w:rsid w:val="003918C3"/>
    <w:rsid w:val="003C4357"/>
    <w:rsid w:val="003E3CC3"/>
    <w:rsid w:val="003F7BBD"/>
    <w:rsid w:val="00404235"/>
    <w:rsid w:val="004043B0"/>
    <w:rsid w:val="0040661C"/>
    <w:rsid w:val="00410CAB"/>
    <w:rsid w:val="00431FCF"/>
    <w:rsid w:val="0044428D"/>
    <w:rsid w:val="00451E47"/>
    <w:rsid w:val="004C2087"/>
    <w:rsid w:val="004D5BBF"/>
    <w:rsid w:val="004D662A"/>
    <w:rsid w:val="004F111A"/>
    <w:rsid w:val="00513233"/>
    <w:rsid w:val="00564B20"/>
    <w:rsid w:val="00581497"/>
    <w:rsid w:val="005D51F0"/>
    <w:rsid w:val="00621A24"/>
    <w:rsid w:val="0064423D"/>
    <w:rsid w:val="00655C9D"/>
    <w:rsid w:val="00664B83"/>
    <w:rsid w:val="006B29A5"/>
    <w:rsid w:val="006B56BB"/>
    <w:rsid w:val="006C2208"/>
    <w:rsid w:val="006D2615"/>
    <w:rsid w:val="006F70A6"/>
    <w:rsid w:val="006F7746"/>
    <w:rsid w:val="0075215C"/>
    <w:rsid w:val="007A55C7"/>
    <w:rsid w:val="007C0F8A"/>
    <w:rsid w:val="007E4209"/>
    <w:rsid w:val="008078CF"/>
    <w:rsid w:val="00824B7C"/>
    <w:rsid w:val="00827567"/>
    <w:rsid w:val="00836A72"/>
    <w:rsid w:val="0084010C"/>
    <w:rsid w:val="008B697F"/>
    <w:rsid w:val="008C78C6"/>
    <w:rsid w:val="008D1DF6"/>
    <w:rsid w:val="008D2B55"/>
    <w:rsid w:val="008E4990"/>
    <w:rsid w:val="00903F36"/>
    <w:rsid w:val="00904A52"/>
    <w:rsid w:val="00964900"/>
    <w:rsid w:val="00966903"/>
    <w:rsid w:val="00997CB7"/>
    <w:rsid w:val="009A55F6"/>
    <w:rsid w:val="00A04BFD"/>
    <w:rsid w:val="00A164B8"/>
    <w:rsid w:val="00A56544"/>
    <w:rsid w:val="00A57330"/>
    <w:rsid w:val="00A61CAF"/>
    <w:rsid w:val="00A634DA"/>
    <w:rsid w:val="00A74FE2"/>
    <w:rsid w:val="00AC0FDE"/>
    <w:rsid w:val="00B05C8F"/>
    <w:rsid w:val="00B43F5A"/>
    <w:rsid w:val="00B51F39"/>
    <w:rsid w:val="00B6670D"/>
    <w:rsid w:val="00B70094"/>
    <w:rsid w:val="00BA5C18"/>
    <w:rsid w:val="00BB3603"/>
    <w:rsid w:val="00BB37DA"/>
    <w:rsid w:val="00BC13D7"/>
    <w:rsid w:val="00C340E1"/>
    <w:rsid w:val="00C8742D"/>
    <w:rsid w:val="00CD33D4"/>
    <w:rsid w:val="00D071C4"/>
    <w:rsid w:val="00D42D4C"/>
    <w:rsid w:val="00DD342D"/>
    <w:rsid w:val="00DF3624"/>
    <w:rsid w:val="00E36297"/>
    <w:rsid w:val="00E416CF"/>
    <w:rsid w:val="00E435E8"/>
    <w:rsid w:val="00E47C9B"/>
    <w:rsid w:val="00E530A0"/>
    <w:rsid w:val="00E66DC8"/>
    <w:rsid w:val="00E77E01"/>
    <w:rsid w:val="00E9386A"/>
    <w:rsid w:val="00E93C1D"/>
    <w:rsid w:val="00E979D9"/>
    <w:rsid w:val="00EA1049"/>
    <w:rsid w:val="00EB26B9"/>
    <w:rsid w:val="00EC6395"/>
    <w:rsid w:val="00ED37AC"/>
    <w:rsid w:val="00EE3537"/>
    <w:rsid w:val="00F32DEC"/>
    <w:rsid w:val="00F42DD9"/>
    <w:rsid w:val="00F6044F"/>
    <w:rsid w:val="00F70A31"/>
    <w:rsid w:val="00F822C8"/>
    <w:rsid w:val="00F9082E"/>
    <w:rsid w:val="00FC3F04"/>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F898"/>
  <w15:chartTrackingRefBased/>
  <w15:docId w15:val="{A5DF7B5C-8C75-4F72-9344-D18A359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paragraph" w:styleId="Sinespaciado">
    <w:name w:val="No Spacing"/>
    <w:uiPriority w:val="1"/>
    <w:qFormat/>
    <w:rsid w:val="00966903"/>
    <w:rPr>
      <w:rFonts w:ascii="Arial" w:hAnsi="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A8537-7B25-4AC5-B5E6-26E3F9DC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6507E-0E8B-4AA0-84AC-10FEE69EC8FD}">
  <ds:schemaRefs>
    <ds:schemaRef ds:uri="http://schemas.openxmlformats.org/officeDocument/2006/bibliography"/>
  </ds:schemaRefs>
</ds:datastoreItem>
</file>

<file path=customXml/itemProps3.xml><?xml version="1.0" encoding="utf-8"?>
<ds:datastoreItem xmlns:ds="http://schemas.openxmlformats.org/officeDocument/2006/customXml" ds:itemID="{5B8239F8-015D-4E57-8664-9DD424582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CF6663-72E4-42B4-9423-67A28A5E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5038</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Oscar Andres Alvarez Torres</cp:lastModifiedBy>
  <cp:revision>2</cp:revision>
  <cp:lastPrinted>2016-09-26T16:13:00Z</cp:lastPrinted>
  <dcterms:created xsi:type="dcterms:W3CDTF">2022-07-13T21:10:00Z</dcterms:created>
  <dcterms:modified xsi:type="dcterms:W3CDTF">2022-07-13T21:10:00Z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