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9BA6" w14:textId="77777777" w:rsidR="00B51F39" w:rsidRDefault="00B51F39">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p>
    <w:p w14:paraId="4FC904B9" w14:textId="77777777" w:rsidR="00B51F39" w:rsidRDefault="00B51F39" w:rsidP="00404235">
      <w:pPr>
        <w:pBdr>
          <w:top w:val="single" w:sz="4" w:space="0" w:color="auto"/>
          <w:left w:val="single" w:sz="4" w:space="4" w:color="auto"/>
          <w:bottom w:val="single" w:sz="4" w:space="1" w:color="auto"/>
          <w:right w:val="single" w:sz="4" w:space="4" w:color="auto"/>
        </w:pBdr>
        <w:jc w:val="center"/>
        <w:outlineLvl w:val="0"/>
        <w:rPr>
          <w:rFonts w:ascii="Arial" w:hAnsi="Arial" w:cs="Arial"/>
          <w:b/>
          <w:sz w:val="28"/>
          <w:szCs w:val="28"/>
        </w:rPr>
      </w:pPr>
      <w:r>
        <w:rPr>
          <w:rFonts w:ascii="Arial" w:hAnsi="Arial" w:cs="Arial"/>
          <w:b/>
          <w:sz w:val="28"/>
          <w:szCs w:val="28"/>
        </w:rPr>
        <w:t>Se publica para comentarios del público el siguiente:</w:t>
      </w:r>
    </w:p>
    <w:p w14:paraId="6DC709BE" w14:textId="77777777" w:rsidR="00B51F39" w:rsidRDefault="00B51F39">
      <w:pPr>
        <w:pBdr>
          <w:top w:val="single" w:sz="4" w:space="0" w:color="auto"/>
          <w:left w:val="single" w:sz="4" w:space="4" w:color="auto"/>
          <w:bottom w:val="single" w:sz="4" w:space="1" w:color="auto"/>
          <w:right w:val="single" w:sz="4" w:space="4" w:color="auto"/>
        </w:pBdr>
        <w:rPr>
          <w:rFonts w:ascii="Arial" w:hAnsi="Arial" w:cs="Arial"/>
          <w:szCs w:val="24"/>
        </w:rPr>
      </w:pPr>
    </w:p>
    <w:p w14:paraId="07CDA461" w14:textId="77777777" w:rsidR="00B51F39" w:rsidRDefault="00B51F39">
      <w:pPr>
        <w:pBdr>
          <w:top w:val="single" w:sz="4" w:space="0" w:color="auto"/>
          <w:left w:val="single" w:sz="4" w:space="4" w:color="auto"/>
          <w:bottom w:val="single" w:sz="4" w:space="1" w:color="auto"/>
          <w:right w:val="single" w:sz="4" w:space="4" w:color="auto"/>
        </w:pBdr>
        <w:rPr>
          <w:rFonts w:ascii="Arial" w:hAnsi="Arial" w:cs="Arial"/>
          <w:b/>
          <w:bCs/>
        </w:rPr>
      </w:pPr>
    </w:p>
    <w:p w14:paraId="7727D582" w14:textId="65A8F6A6" w:rsidR="00B51F39" w:rsidRDefault="00B51F39">
      <w:pPr>
        <w:pBdr>
          <w:top w:val="single" w:sz="4" w:space="0" w:color="auto"/>
          <w:left w:val="single" w:sz="4" w:space="4" w:color="auto"/>
          <w:bottom w:val="single" w:sz="4" w:space="1" w:color="auto"/>
          <w:right w:val="single" w:sz="4" w:space="4" w:color="auto"/>
        </w:pBdr>
        <w:jc w:val="both"/>
        <w:rPr>
          <w:rFonts w:ascii="Arial" w:hAnsi="Arial" w:cs="Arial"/>
          <w:bCs/>
          <w:sz w:val="24"/>
          <w:szCs w:val="24"/>
        </w:rPr>
      </w:pPr>
      <w:r>
        <w:rPr>
          <w:rFonts w:ascii="Arial" w:hAnsi="Arial" w:cs="Arial"/>
          <w:b/>
          <w:bCs/>
          <w:sz w:val="24"/>
          <w:szCs w:val="24"/>
        </w:rPr>
        <w:t>PROYECTO DE</w:t>
      </w:r>
      <w:r w:rsidR="00964900">
        <w:rPr>
          <w:rFonts w:ascii="Arial" w:hAnsi="Arial" w:cs="Arial"/>
          <w:bCs/>
          <w:sz w:val="24"/>
          <w:szCs w:val="24"/>
        </w:rPr>
        <w:t xml:space="preserve"> </w:t>
      </w:r>
      <w:r w:rsidR="00964900" w:rsidRPr="00964900">
        <w:rPr>
          <w:rFonts w:ascii="Arial" w:hAnsi="Arial" w:cs="Arial"/>
          <w:b/>
          <w:sz w:val="24"/>
          <w:szCs w:val="24"/>
        </w:rPr>
        <w:t>CIRCULAR EXTERNA</w:t>
      </w:r>
      <w:r>
        <w:rPr>
          <w:rFonts w:ascii="Arial" w:hAnsi="Arial" w:cs="Arial"/>
          <w:b/>
          <w:bCs/>
          <w:sz w:val="24"/>
          <w:szCs w:val="24"/>
        </w:rPr>
        <w:t>:</w:t>
      </w:r>
      <w:r w:rsidRPr="006B29A5">
        <w:rPr>
          <w:rFonts w:ascii="Arial" w:hAnsi="Arial" w:cs="Arial"/>
          <w:b/>
          <w:bCs/>
          <w:sz w:val="24"/>
          <w:szCs w:val="24"/>
        </w:rPr>
        <w:t xml:space="preserve"> </w:t>
      </w:r>
      <w:bookmarkStart w:id="0" w:name="_Hlk97024383"/>
      <w:r w:rsidR="00342400" w:rsidRPr="00342400">
        <w:rPr>
          <w:rFonts w:ascii="Arial" w:hAnsi="Arial" w:cs="Arial"/>
          <w:sz w:val="22"/>
          <w:szCs w:val="22"/>
        </w:rPr>
        <w:t xml:space="preserve">Instrucciones relativas a la </w:t>
      </w:r>
      <w:bookmarkEnd w:id="0"/>
      <w:r w:rsidR="00342400" w:rsidRPr="00342400">
        <w:rPr>
          <w:rFonts w:ascii="Arial" w:hAnsi="Arial" w:cs="Arial"/>
          <w:sz w:val="22"/>
          <w:szCs w:val="22"/>
        </w:rPr>
        <w:t>vinculación y prestación de servicios a Proveedores de Servicios de Activos Virtuales y derogatoria parcial de las Cartas Circulares</w:t>
      </w:r>
      <w:r w:rsidR="00342400" w:rsidRPr="00342400">
        <w:rPr>
          <w:rFonts w:ascii="Arial" w:hAnsi="Arial" w:cs="Arial"/>
          <w:sz w:val="22"/>
          <w:szCs w:val="22"/>
          <w:lang w:val="es-ES"/>
        </w:rPr>
        <w:t xml:space="preserve"> 029 de 2014, 078 de 2016 y 052 de 2017</w:t>
      </w:r>
      <w:r w:rsidR="00342400">
        <w:rPr>
          <w:rFonts w:ascii="Arial" w:hAnsi="Arial" w:cs="Arial"/>
          <w:sz w:val="22"/>
          <w:szCs w:val="22"/>
          <w:lang w:val="es-ES"/>
        </w:rPr>
        <w:t>.</w:t>
      </w:r>
    </w:p>
    <w:p w14:paraId="4E36C5E0" w14:textId="77777777" w:rsidR="00B51F39" w:rsidRDefault="00B51F39">
      <w:pPr>
        <w:pBdr>
          <w:top w:val="single" w:sz="4" w:space="0" w:color="auto"/>
          <w:left w:val="single" w:sz="4" w:space="4" w:color="auto"/>
          <w:bottom w:val="single" w:sz="4" w:space="1" w:color="auto"/>
          <w:right w:val="single" w:sz="4" w:space="4" w:color="auto"/>
        </w:pBdr>
        <w:jc w:val="both"/>
        <w:rPr>
          <w:rFonts w:ascii="Arial" w:hAnsi="Arial" w:cs="Arial"/>
          <w:bCs/>
          <w:sz w:val="24"/>
          <w:szCs w:val="24"/>
        </w:rPr>
      </w:pPr>
    </w:p>
    <w:p w14:paraId="265200B6" w14:textId="77777777" w:rsidR="006F70A6" w:rsidRDefault="006F70A6">
      <w:pPr>
        <w:pBdr>
          <w:top w:val="single" w:sz="4" w:space="0" w:color="auto"/>
          <w:left w:val="single" w:sz="4" w:space="4" w:color="auto"/>
          <w:bottom w:val="single" w:sz="4" w:space="1" w:color="auto"/>
          <w:right w:val="single" w:sz="4" w:space="4" w:color="auto"/>
        </w:pBdr>
        <w:jc w:val="both"/>
        <w:rPr>
          <w:rFonts w:ascii="Arial" w:hAnsi="Arial" w:cs="Arial"/>
          <w:b/>
          <w:bCs/>
          <w:sz w:val="24"/>
          <w:szCs w:val="24"/>
        </w:rPr>
      </w:pPr>
    </w:p>
    <w:p w14:paraId="32F213E5" w14:textId="22FD2120" w:rsidR="00B51F39" w:rsidRPr="00342400" w:rsidRDefault="00B51F39">
      <w:pPr>
        <w:pBdr>
          <w:top w:val="single" w:sz="4" w:space="0" w:color="auto"/>
          <w:left w:val="single" w:sz="4" w:space="4" w:color="auto"/>
          <w:bottom w:val="single" w:sz="4" w:space="1" w:color="auto"/>
          <w:right w:val="single" w:sz="4" w:space="4" w:color="auto"/>
        </w:pBdr>
        <w:jc w:val="both"/>
        <w:rPr>
          <w:rFonts w:ascii="Arial" w:hAnsi="Arial" w:cs="Arial"/>
          <w:b/>
          <w:bCs/>
          <w:sz w:val="24"/>
          <w:szCs w:val="24"/>
        </w:rPr>
      </w:pPr>
      <w:r>
        <w:rPr>
          <w:rFonts w:ascii="Arial" w:hAnsi="Arial" w:cs="Arial"/>
          <w:b/>
          <w:bCs/>
          <w:sz w:val="24"/>
          <w:szCs w:val="24"/>
        </w:rPr>
        <w:t>PROPÓSITO:</w:t>
      </w:r>
      <w:r w:rsidR="00342400">
        <w:rPr>
          <w:rFonts w:ascii="Arial" w:hAnsi="Arial" w:cs="Arial"/>
          <w:b/>
          <w:bCs/>
          <w:sz w:val="24"/>
          <w:szCs w:val="24"/>
        </w:rPr>
        <w:t xml:space="preserve"> </w:t>
      </w:r>
      <w:r w:rsidR="00342400" w:rsidRPr="00342400">
        <w:rPr>
          <w:rFonts w:ascii="Arial" w:hAnsi="Arial" w:cs="Arial"/>
          <w:sz w:val="24"/>
          <w:szCs w:val="24"/>
        </w:rPr>
        <w:t>Impartir instrucciones relativas a la vinculación y prestación de servicios a Proveedores de Servicios de Activos Virtuales y deroga</w:t>
      </w:r>
      <w:r w:rsidR="00342400">
        <w:rPr>
          <w:rFonts w:ascii="Arial" w:hAnsi="Arial" w:cs="Arial"/>
          <w:sz w:val="24"/>
          <w:szCs w:val="24"/>
        </w:rPr>
        <w:t>r</w:t>
      </w:r>
      <w:r w:rsidR="00342400" w:rsidRPr="00342400">
        <w:rPr>
          <w:rFonts w:ascii="Arial" w:hAnsi="Arial" w:cs="Arial"/>
          <w:sz w:val="24"/>
          <w:szCs w:val="24"/>
        </w:rPr>
        <w:t xml:space="preserve"> parcial</w:t>
      </w:r>
      <w:r w:rsidR="00342400">
        <w:rPr>
          <w:rFonts w:ascii="Arial" w:hAnsi="Arial" w:cs="Arial"/>
          <w:sz w:val="24"/>
          <w:szCs w:val="24"/>
        </w:rPr>
        <w:t>mente</w:t>
      </w:r>
      <w:r w:rsidR="00342400" w:rsidRPr="00342400">
        <w:rPr>
          <w:rFonts w:ascii="Arial" w:hAnsi="Arial" w:cs="Arial"/>
          <w:sz w:val="24"/>
          <w:szCs w:val="24"/>
        </w:rPr>
        <w:t xml:space="preserve"> las Cartas Circulares</w:t>
      </w:r>
      <w:r w:rsidR="00342400" w:rsidRPr="00342400">
        <w:rPr>
          <w:rFonts w:ascii="Arial" w:hAnsi="Arial" w:cs="Arial"/>
          <w:sz w:val="24"/>
          <w:szCs w:val="24"/>
          <w:lang w:val="es-ES"/>
        </w:rPr>
        <w:t xml:space="preserve"> 029 de 2014, 078 de 2016 y 052 de 2017</w:t>
      </w:r>
      <w:r w:rsidR="00964900" w:rsidRPr="00342400">
        <w:rPr>
          <w:rFonts w:ascii="Arial" w:hAnsi="Arial" w:cs="Arial"/>
          <w:sz w:val="24"/>
          <w:szCs w:val="24"/>
        </w:rPr>
        <w:t>.</w:t>
      </w:r>
    </w:p>
    <w:p w14:paraId="0BF20080" w14:textId="77777777" w:rsidR="00B51F39" w:rsidRDefault="00B51F39">
      <w:pPr>
        <w:pBdr>
          <w:top w:val="single" w:sz="4" w:space="0" w:color="auto"/>
          <w:left w:val="single" w:sz="4" w:space="4" w:color="auto"/>
          <w:bottom w:val="single" w:sz="4" w:space="1" w:color="auto"/>
          <w:right w:val="single" w:sz="4" w:space="4" w:color="auto"/>
        </w:pBdr>
        <w:jc w:val="both"/>
        <w:rPr>
          <w:rFonts w:ascii="Arial" w:hAnsi="Arial" w:cs="Arial"/>
          <w:b/>
          <w:bCs/>
          <w:sz w:val="24"/>
          <w:szCs w:val="24"/>
        </w:rPr>
      </w:pPr>
    </w:p>
    <w:p w14:paraId="5E09ECD7" w14:textId="77777777" w:rsidR="00564B20" w:rsidRDefault="00564B20">
      <w:pPr>
        <w:pBdr>
          <w:top w:val="single" w:sz="4" w:space="0" w:color="auto"/>
          <w:left w:val="single" w:sz="4" w:space="4" w:color="auto"/>
          <w:bottom w:val="single" w:sz="4" w:space="1" w:color="auto"/>
          <w:right w:val="single" w:sz="4" w:space="4" w:color="auto"/>
        </w:pBdr>
        <w:jc w:val="both"/>
        <w:rPr>
          <w:rFonts w:ascii="Arial" w:hAnsi="Arial" w:cs="Arial"/>
          <w:b/>
          <w:bCs/>
          <w:sz w:val="24"/>
          <w:szCs w:val="24"/>
        </w:rPr>
      </w:pPr>
    </w:p>
    <w:p w14:paraId="3DCFD2BE" w14:textId="3591CB95" w:rsidR="00964900" w:rsidRDefault="00B51F39" w:rsidP="00404235">
      <w:pPr>
        <w:pBdr>
          <w:top w:val="single" w:sz="4" w:space="0" w:color="auto"/>
          <w:left w:val="single" w:sz="4" w:space="4" w:color="auto"/>
          <w:bottom w:val="single" w:sz="4" w:space="1" w:color="auto"/>
          <w:right w:val="single" w:sz="4" w:space="4" w:color="auto"/>
        </w:pBdr>
        <w:jc w:val="both"/>
        <w:outlineLvl w:val="0"/>
        <w:rPr>
          <w:rFonts w:ascii="Arial" w:hAnsi="Arial" w:cs="Arial"/>
          <w:b/>
          <w:bCs/>
          <w:sz w:val="24"/>
          <w:szCs w:val="24"/>
        </w:rPr>
      </w:pPr>
      <w:r>
        <w:rPr>
          <w:rFonts w:ascii="Arial" w:hAnsi="Arial" w:cs="Arial"/>
          <w:b/>
          <w:bCs/>
          <w:sz w:val="24"/>
          <w:szCs w:val="24"/>
        </w:rPr>
        <w:t>PLAZO PARA COMENTARIOS:</w:t>
      </w:r>
      <w:r w:rsidR="00964900">
        <w:rPr>
          <w:rFonts w:ascii="Arial" w:hAnsi="Arial" w:cs="Arial"/>
          <w:b/>
          <w:bCs/>
          <w:sz w:val="24"/>
          <w:szCs w:val="24"/>
        </w:rPr>
        <w:t xml:space="preserve"> </w:t>
      </w:r>
      <w:r w:rsidR="00964900" w:rsidRPr="00964900">
        <w:rPr>
          <w:rFonts w:ascii="Arial" w:hAnsi="Arial" w:cs="Arial"/>
          <w:sz w:val="24"/>
          <w:szCs w:val="24"/>
        </w:rPr>
        <w:t xml:space="preserve">Hasta </w:t>
      </w:r>
      <w:r w:rsidR="00172C51">
        <w:rPr>
          <w:rFonts w:ascii="Arial" w:hAnsi="Arial" w:cs="Arial"/>
          <w:sz w:val="24"/>
          <w:szCs w:val="24"/>
        </w:rPr>
        <w:t xml:space="preserve">finalizar el </w:t>
      </w:r>
      <w:r w:rsidR="00342400">
        <w:rPr>
          <w:rFonts w:ascii="Arial" w:hAnsi="Arial" w:cs="Arial"/>
          <w:sz w:val="24"/>
          <w:szCs w:val="24"/>
        </w:rPr>
        <w:t>viern</w:t>
      </w:r>
      <w:r w:rsidR="00382C29">
        <w:rPr>
          <w:rFonts w:ascii="Arial" w:hAnsi="Arial" w:cs="Arial"/>
          <w:sz w:val="24"/>
          <w:szCs w:val="24"/>
        </w:rPr>
        <w:t>es</w:t>
      </w:r>
      <w:r w:rsidR="00966903">
        <w:rPr>
          <w:rFonts w:ascii="Arial" w:hAnsi="Arial" w:cs="Arial"/>
          <w:sz w:val="24"/>
          <w:szCs w:val="24"/>
        </w:rPr>
        <w:t xml:space="preserve"> </w:t>
      </w:r>
      <w:r w:rsidR="00342400">
        <w:rPr>
          <w:rFonts w:ascii="Arial" w:hAnsi="Arial" w:cs="Arial"/>
          <w:sz w:val="24"/>
          <w:szCs w:val="24"/>
        </w:rPr>
        <w:t>1</w:t>
      </w:r>
      <w:r w:rsidR="00382C29">
        <w:rPr>
          <w:rFonts w:ascii="Arial" w:hAnsi="Arial" w:cs="Arial"/>
          <w:sz w:val="24"/>
          <w:szCs w:val="24"/>
        </w:rPr>
        <w:t>2</w:t>
      </w:r>
      <w:r w:rsidR="00964900">
        <w:rPr>
          <w:rFonts w:ascii="Arial" w:hAnsi="Arial" w:cs="Arial"/>
          <w:sz w:val="24"/>
          <w:szCs w:val="24"/>
        </w:rPr>
        <w:t xml:space="preserve"> de </w:t>
      </w:r>
      <w:r w:rsidR="00A634DA">
        <w:rPr>
          <w:rFonts w:ascii="Arial" w:hAnsi="Arial" w:cs="Arial"/>
          <w:sz w:val="24"/>
          <w:szCs w:val="24"/>
        </w:rPr>
        <w:t>agosto</w:t>
      </w:r>
      <w:r w:rsidR="00964900">
        <w:rPr>
          <w:rFonts w:ascii="Arial" w:hAnsi="Arial" w:cs="Arial"/>
          <w:sz w:val="24"/>
          <w:szCs w:val="24"/>
        </w:rPr>
        <w:t xml:space="preserve"> de 2022. </w:t>
      </w:r>
    </w:p>
    <w:p w14:paraId="68D4864F" w14:textId="77777777" w:rsidR="00964900" w:rsidRDefault="00964900" w:rsidP="00404235">
      <w:pPr>
        <w:pBdr>
          <w:top w:val="single" w:sz="4" w:space="0" w:color="auto"/>
          <w:left w:val="single" w:sz="4" w:space="4" w:color="auto"/>
          <w:bottom w:val="single" w:sz="4" w:space="1" w:color="auto"/>
          <w:right w:val="single" w:sz="4" w:space="4" w:color="auto"/>
        </w:pBdr>
        <w:jc w:val="both"/>
        <w:outlineLvl w:val="0"/>
        <w:rPr>
          <w:rFonts w:ascii="Arial" w:hAnsi="Arial" w:cs="Arial"/>
          <w:b/>
          <w:bCs/>
          <w:sz w:val="24"/>
          <w:szCs w:val="24"/>
        </w:rPr>
      </w:pPr>
    </w:p>
    <w:p w14:paraId="3C3162E2" w14:textId="77777777" w:rsidR="006F7746" w:rsidRDefault="006F7746" w:rsidP="006F7746">
      <w:pPr>
        <w:pBdr>
          <w:top w:val="single" w:sz="4" w:space="0" w:color="auto"/>
          <w:left w:val="single" w:sz="4" w:space="4" w:color="auto"/>
          <w:bottom w:val="single" w:sz="4" w:space="1" w:color="auto"/>
          <w:right w:val="single" w:sz="4" w:space="4" w:color="auto"/>
        </w:pBdr>
        <w:jc w:val="both"/>
        <w:rPr>
          <w:rFonts w:ascii="Arial" w:hAnsi="Arial" w:cs="Arial"/>
          <w:b/>
          <w:bCs/>
          <w:sz w:val="24"/>
          <w:szCs w:val="24"/>
        </w:rPr>
      </w:pPr>
    </w:p>
    <w:p w14:paraId="4DAB5E4E" w14:textId="77777777" w:rsidR="006F7746" w:rsidRDefault="006F7746" w:rsidP="006F7746">
      <w:pPr>
        <w:pBdr>
          <w:top w:val="single" w:sz="4" w:space="0" w:color="auto"/>
          <w:left w:val="single" w:sz="4" w:space="4" w:color="auto"/>
          <w:bottom w:val="single" w:sz="4" w:space="1" w:color="auto"/>
          <w:right w:val="single" w:sz="4" w:space="4" w:color="auto"/>
        </w:pBdr>
        <w:jc w:val="both"/>
        <w:outlineLvl w:val="0"/>
        <w:rPr>
          <w:rFonts w:ascii="Arial" w:hAnsi="Arial" w:cs="Arial"/>
          <w:bCs/>
          <w:sz w:val="24"/>
          <w:szCs w:val="24"/>
        </w:rPr>
      </w:pPr>
      <w:r>
        <w:rPr>
          <w:rFonts w:ascii="Arial" w:hAnsi="Arial" w:cs="Arial"/>
          <w:b/>
          <w:bCs/>
          <w:sz w:val="24"/>
          <w:szCs w:val="24"/>
        </w:rPr>
        <w:t xml:space="preserve">REMISIÓN DE COMENTARIOS: </w:t>
      </w:r>
      <w:r>
        <w:rPr>
          <w:rFonts w:ascii="Arial" w:hAnsi="Arial" w:cs="Arial"/>
          <w:bCs/>
          <w:sz w:val="24"/>
          <w:szCs w:val="24"/>
        </w:rPr>
        <w:t>Por favor diligenciar la proforma adjunta “</w:t>
      </w:r>
      <w:r w:rsidRPr="00903B73">
        <w:rPr>
          <w:rFonts w:ascii="Arial" w:hAnsi="Arial" w:cs="Arial"/>
          <w:bCs/>
          <w:sz w:val="24"/>
          <w:szCs w:val="24"/>
        </w:rPr>
        <w:t>MATRIZ PARA COMENTARIOS EXTERNOS - PUBLICACION WEB</w:t>
      </w:r>
      <w:r>
        <w:rPr>
          <w:rFonts w:ascii="Arial" w:hAnsi="Arial" w:cs="Arial"/>
          <w:bCs/>
          <w:sz w:val="24"/>
          <w:szCs w:val="24"/>
        </w:rPr>
        <w:t xml:space="preserve">”. </w:t>
      </w:r>
    </w:p>
    <w:p w14:paraId="424DA6E2" w14:textId="77777777" w:rsidR="006F7746" w:rsidRDefault="006F7746" w:rsidP="006F7746">
      <w:pPr>
        <w:pBdr>
          <w:top w:val="single" w:sz="4" w:space="0" w:color="auto"/>
          <w:left w:val="single" w:sz="4" w:space="4" w:color="auto"/>
          <w:bottom w:val="single" w:sz="4" w:space="1" w:color="auto"/>
          <w:right w:val="single" w:sz="4" w:space="4" w:color="auto"/>
        </w:pBdr>
        <w:jc w:val="both"/>
        <w:outlineLvl w:val="0"/>
        <w:rPr>
          <w:rFonts w:ascii="Arial" w:hAnsi="Arial" w:cs="Arial"/>
          <w:bCs/>
          <w:sz w:val="24"/>
          <w:szCs w:val="24"/>
        </w:rPr>
      </w:pPr>
      <w:r>
        <w:rPr>
          <w:rFonts w:ascii="Arial" w:hAnsi="Arial" w:cs="Arial"/>
          <w:bCs/>
          <w:sz w:val="24"/>
          <w:szCs w:val="24"/>
        </w:rPr>
        <w:t xml:space="preserve"> </w:t>
      </w:r>
    </w:p>
    <w:p w14:paraId="3808100F" w14:textId="77777777" w:rsidR="006F7746" w:rsidRDefault="006F7746" w:rsidP="006F7746">
      <w:pPr>
        <w:pBdr>
          <w:top w:val="single" w:sz="4" w:space="0" w:color="auto"/>
          <w:left w:val="single" w:sz="4" w:space="4" w:color="auto"/>
          <w:bottom w:val="single" w:sz="4" w:space="1" w:color="auto"/>
          <w:right w:val="single" w:sz="4" w:space="4" w:color="auto"/>
        </w:pBdr>
        <w:jc w:val="both"/>
        <w:outlineLvl w:val="0"/>
        <w:rPr>
          <w:rFonts w:ascii="Arial" w:hAnsi="Arial" w:cs="Arial"/>
          <w:b/>
          <w:bCs/>
          <w:sz w:val="24"/>
          <w:szCs w:val="24"/>
          <w:lang w:val="es-ES"/>
        </w:rPr>
      </w:pPr>
      <w:r>
        <w:rPr>
          <w:rFonts w:ascii="Arial" w:hAnsi="Arial" w:cs="Arial"/>
          <w:bCs/>
          <w:sz w:val="24"/>
          <w:szCs w:val="24"/>
        </w:rPr>
        <w:t xml:space="preserve">La proforma en formato Word puede ser radicada vía e-mail por medio del correo electrónico </w:t>
      </w:r>
      <w:hyperlink r:id="rId11" w:history="1">
        <w:r w:rsidRPr="00663E3A">
          <w:rPr>
            <w:rStyle w:val="Hipervnculo"/>
            <w:rFonts w:ascii="Arial" w:hAnsi="Arial" w:cs="Arial"/>
            <w:bCs/>
            <w:sz w:val="24"/>
            <w:szCs w:val="24"/>
            <w:lang w:val="es-ES"/>
          </w:rPr>
          <w:t>normativa@superfinanciera.gov.co</w:t>
        </w:r>
      </w:hyperlink>
      <w:r>
        <w:rPr>
          <w:rFonts w:ascii="Arial" w:hAnsi="Arial" w:cs="Arial"/>
          <w:bCs/>
          <w:sz w:val="24"/>
          <w:szCs w:val="24"/>
          <w:lang w:val="es-ES"/>
        </w:rPr>
        <w:t xml:space="preserve">. En el asunto </w:t>
      </w:r>
      <w:r w:rsidRPr="00BC13D7">
        <w:rPr>
          <w:rFonts w:ascii="Arial" w:hAnsi="Arial" w:cs="Arial"/>
          <w:b/>
          <w:bCs/>
          <w:sz w:val="24"/>
          <w:szCs w:val="24"/>
          <w:lang w:val="es-ES"/>
        </w:rPr>
        <w:t>únicamente</w:t>
      </w:r>
      <w:r>
        <w:rPr>
          <w:rFonts w:ascii="Arial" w:hAnsi="Arial" w:cs="Arial"/>
          <w:bCs/>
          <w:sz w:val="24"/>
          <w:szCs w:val="24"/>
          <w:lang w:val="es-ES"/>
        </w:rPr>
        <w:t xml:space="preserve"> incluir el siguiente número de radicación: </w:t>
      </w:r>
      <w:r w:rsidRPr="00E77E01">
        <w:rPr>
          <w:rFonts w:ascii="Arial" w:hAnsi="Arial" w:cs="Arial"/>
          <w:b/>
          <w:bCs/>
          <w:sz w:val="24"/>
          <w:szCs w:val="24"/>
          <w:lang w:val="es-ES"/>
        </w:rPr>
        <w:tab/>
        <w:t xml:space="preserve"> </w:t>
      </w:r>
    </w:p>
    <w:p w14:paraId="285CCEC4" w14:textId="77777777" w:rsidR="00B51F39" w:rsidRDefault="00B51F39">
      <w:pPr>
        <w:pBdr>
          <w:top w:val="single" w:sz="4" w:space="0" w:color="auto"/>
          <w:left w:val="single" w:sz="4" w:space="4" w:color="auto"/>
          <w:bottom w:val="single" w:sz="4" w:space="1" w:color="auto"/>
          <w:right w:val="single" w:sz="4" w:space="4" w:color="auto"/>
        </w:pBdr>
        <w:jc w:val="both"/>
        <w:rPr>
          <w:rFonts w:ascii="Arial" w:hAnsi="Arial" w:cs="Arial"/>
          <w:b/>
          <w:bCs/>
          <w:sz w:val="24"/>
          <w:szCs w:val="24"/>
          <w:lang w:val="es-ES"/>
        </w:rPr>
      </w:pPr>
      <w:r w:rsidRPr="00E77E01">
        <w:rPr>
          <w:rFonts w:ascii="Arial" w:hAnsi="Arial" w:cs="Arial"/>
          <w:b/>
          <w:bCs/>
          <w:sz w:val="24"/>
          <w:szCs w:val="24"/>
          <w:lang w:val="es-ES"/>
        </w:rPr>
        <w:tab/>
      </w:r>
      <w:r w:rsidR="0064423D" w:rsidRPr="00E77E01">
        <w:rPr>
          <w:rFonts w:ascii="Arial" w:hAnsi="Arial" w:cs="Arial"/>
          <w:b/>
          <w:bCs/>
          <w:sz w:val="24"/>
          <w:szCs w:val="24"/>
          <w:lang w:val="es-ES"/>
        </w:rPr>
        <w:t xml:space="preserve"> </w:t>
      </w:r>
    </w:p>
    <w:p w14:paraId="0B74FB57" w14:textId="77777777" w:rsidR="006F70A6" w:rsidRPr="00A164B8" w:rsidRDefault="006F70A6">
      <w:pPr>
        <w:pBdr>
          <w:top w:val="single" w:sz="4" w:space="0" w:color="auto"/>
          <w:left w:val="single" w:sz="4" w:space="4" w:color="auto"/>
          <w:bottom w:val="single" w:sz="4" w:space="1" w:color="auto"/>
          <w:right w:val="single" w:sz="4" w:space="4" w:color="auto"/>
        </w:pBdr>
        <w:jc w:val="both"/>
        <w:rPr>
          <w:rFonts w:ascii="Arial" w:hAnsi="Arial" w:cs="Arial"/>
          <w:b/>
          <w:bCs/>
          <w:sz w:val="36"/>
          <w:szCs w:val="24"/>
          <w:lang w:val="es-ES"/>
        </w:rPr>
      </w:pPr>
    </w:p>
    <w:p w14:paraId="21DAECAF" w14:textId="22006F2C" w:rsidR="00B51F39" w:rsidRPr="00342400" w:rsidRDefault="006F70A6" w:rsidP="00964900">
      <w:pPr>
        <w:pBdr>
          <w:top w:val="single" w:sz="4" w:space="0" w:color="auto"/>
          <w:left w:val="single" w:sz="4" w:space="4" w:color="auto"/>
          <w:bottom w:val="single" w:sz="4" w:space="1" w:color="auto"/>
          <w:right w:val="single" w:sz="4" w:space="4" w:color="auto"/>
        </w:pBdr>
        <w:jc w:val="center"/>
        <w:rPr>
          <w:rFonts w:ascii="Arial" w:hAnsi="Arial" w:cs="Arial"/>
          <w:b/>
          <w:bCs/>
          <w:sz w:val="24"/>
          <w:szCs w:val="24"/>
          <w:lang w:val="es-ES"/>
        </w:rPr>
      </w:pPr>
      <w:r>
        <w:rPr>
          <w:rFonts w:ascii="Arial" w:hAnsi="Arial" w:cs="Arial"/>
          <w:b/>
          <w:bCs/>
          <w:sz w:val="24"/>
          <w:szCs w:val="24"/>
          <w:lang w:val="es-ES"/>
        </w:rPr>
        <w:t xml:space="preserve">RADICADO No. </w:t>
      </w:r>
      <w:r w:rsidR="00342400" w:rsidRPr="00342400">
        <w:rPr>
          <w:rFonts w:ascii="Arial" w:hAnsi="Arial" w:cs="Arial"/>
          <w:b/>
          <w:bCs/>
          <w:sz w:val="24"/>
          <w:szCs w:val="24"/>
        </w:rPr>
        <w:t>2022070993</w:t>
      </w:r>
    </w:p>
    <w:p w14:paraId="66B6B244" w14:textId="77777777" w:rsidR="00964900" w:rsidRPr="00E77E01" w:rsidRDefault="00964900" w:rsidP="00964900">
      <w:pPr>
        <w:pBdr>
          <w:top w:val="single" w:sz="4" w:space="0" w:color="auto"/>
          <w:left w:val="single" w:sz="4" w:space="4" w:color="auto"/>
          <w:bottom w:val="single" w:sz="4" w:space="1" w:color="auto"/>
          <w:right w:val="single" w:sz="4" w:space="4" w:color="auto"/>
        </w:pBdr>
        <w:jc w:val="center"/>
        <w:rPr>
          <w:rFonts w:ascii="Arial" w:hAnsi="Arial" w:cs="Arial"/>
          <w:b/>
          <w:bCs/>
          <w:sz w:val="24"/>
          <w:szCs w:val="24"/>
          <w:lang w:val="es-ES"/>
        </w:rPr>
      </w:pPr>
    </w:p>
    <w:p w14:paraId="09E1B97E" w14:textId="31992787" w:rsidR="00B51F39" w:rsidRDefault="00E77E01" w:rsidP="0037411F">
      <w:pPr>
        <w:pBdr>
          <w:top w:val="single" w:sz="4" w:space="0" w:color="auto"/>
          <w:left w:val="single" w:sz="4" w:space="4" w:color="auto"/>
          <w:bottom w:val="single" w:sz="4" w:space="1" w:color="auto"/>
          <w:right w:val="single" w:sz="4" w:space="4" w:color="auto"/>
        </w:pBdr>
        <w:tabs>
          <w:tab w:val="left" w:pos="2109"/>
        </w:tabs>
        <w:jc w:val="both"/>
        <w:rPr>
          <w:rFonts w:ascii="Arial" w:hAnsi="Arial" w:cs="Arial"/>
          <w:bCs/>
          <w:sz w:val="24"/>
          <w:szCs w:val="24"/>
        </w:rPr>
      </w:pPr>
      <w:r>
        <w:rPr>
          <w:rFonts w:ascii="Arial" w:hAnsi="Arial" w:cs="Arial"/>
          <w:b/>
          <w:bCs/>
          <w:sz w:val="24"/>
          <w:szCs w:val="24"/>
        </w:rPr>
        <w:t>POR ESCRITO A:</w:t>
      </w:r>
      <w:r>
        <w:rPr>
          <w:rFonts w:ascii="Arial" w:hAnsi="Arial" w:cs="Arial"/>
          <w:b/>
          <w:bCs/>
          <w:sz w:val="24"/>
          <w:szCs w:val="24"/>
        </w:rPr>
        <w:tab/>
      </w:r>
      <w:r w:rsidR="00824B7C">
        <w:rPr>
          <w:rFonts w:ascii="Arial" w:hAnsi="Arial" w:cs="Arial"/>
          <w:b/>
          <w:bCs/>
          <w:sz w:val="24"/>
          <w:szCs w:val="24"/>
        </w:rPr>
        <w:t>Subdirector</w:t>
      </w:r>
      <w:r w:rsidR="00964900">
        <w:rPr>
          <w:rFonts w:ascii="Arial" w:hAnsi="Arial" w:cs="Arial"/>
          <w:b/>
          <w:bCs/>
          <w:sz w:val="24"/>
          <w:szCs w:val="24"/>
        </w:rPr>
        <w:t>a</w:t>
      </w:r>
      <w:r w:rsidR="00824B7C">
        <w:rPr>
          <w:rFonts w:ascii="Arial" w:hAnsi="Arial" w:cs="Arial"/>
          <w:b/>
          <w:bCs/>
          <w:sz w:val="24"/>
          <w:szCs w:val="24"/>
        </w:rPr>
        <w:t xml:space="preserve"> de </w:t>
      </w:r>
      <w:r w:rsidR="00AC0FDE">
        <w:rPr>
          <w:rFonts w:ascii="Arial" w:hAnsi="Arial" w:cs="Arial"/>
          <w:b/>
          <w:bCs/>
          <w:sz w:val="24"/>
          <w:szCs w:val="24"/>
        </w:rPr>
        <w:t>Regulación</w:t>
      </w:r>
      <w:r w:rsidR="00A164B8">
        <w:rPr>
          <w:rFonts w:ascii="Arial" w:hAnsi="Arial" w:cs="Arial"/>
          <w:bCs/>
          <w:sz w:val="24"/>
          <w:szCs w:val="24"/>
        </w:rPr>
        <w:t xml:space="preserve"> con el número de radicación.</w:t>
      </w:r>
    </w:p>
    <w:p w14:paraId="3395C1A2" w14:textId="77777777" w:rsidR="00043B3D" w:rsidRPr="00E77E01" w:rsidRDefault="00043B3D" w:rsidP="0037411F">
      <w:pPr>
        <w:pBdr>
          <w:top w:val="single" w:sz="4" w:space="0" w:color="auto"/>
          <w:left w:val="single" w:sz="4" w:space="4" w:color="auto"/>
          <w:bottom w:val="single" w:sz="4" w:space="1" w:color="auto"/>
          <w:right w:val="single" w:sz="4" w:space="4" w:color="auto"/>
        </w:pBdr>
        <w:tabs>
          <w:tab w:val="left" w:pos="2109"/>
        </w:tabs>
        <w:jc w:val="both"/>
        <w:rPr>
          <w:rFonts w:ascii="Arial" w:hAnsi="Arial" w:cs="Arial"/>
          <w:bCs/>
          <w:sz w:val="24"/>
          <w:szCs w:val="24"/>
        </w:rPr>
      </w:pPr>
    </w:p>
    <w:p w14:paraId="133239CC" w14:textId="77777777" w:rsidR="00B51F39" w:rsidRPr="00E77E01" w:rsidRDefault="00B51F39" w:rsidP="0037411F">
      <w:pPr>
        <w:pBdr>
          <w:top w:val="single" w:sz="4" w:space="0" w:color="auto"/>
          <w:left w:val="single" w:sz="4" w:space="4" w:color="auto"/>
          <w:bottom w:val="single" w:sz="4" w:space="1" w:color="auto"/>
          <w:right w:val="single" w:sz="4" w:space="4" w:color="auto"/>
        </w:pBdr>
        <w:tabs>
          <w:tab w:val="left" w:pos="2109"/>
        </w:tabs>
        <w:jc w:val="both"/>
        <w:outlineLvl w:val="0"/>
        <w:rPr>
          <w:rFonts w:ascii="Arial" w:hAnsi="Arial" w:cs="Arial"/>
          <w:bCs/>
          <w:sz w:val="24"/>
          <w:szCs w:val="24"/>
        </w:rPr>
      </w:pPr>
      <w:r w:rsidRPr="00E77E01">
        <w:rPr>
          <w:rFonts w:ascii="Arial" w:hAnsi="Arial" w:cs="Arial"/>
          <w:bCs/>
          <w:sz w:val="24"/>
          <w:szCs w:val="24"/>
        </w:rPr>
        <w:tab/>
      </w:r>
      <w:r w:rsidRPr="00E77E01">
        <w:rPr>
          <w:rFonts w:ascii="Arial" w:hAnsi="Arial" w:cs="Arial"/>
          <w:bCs/>
          <w:sz w:val="24"/>
          <w:szCs w:val="24"/>
        </w:rPr>
        <w:tab/>
        <w:t xml:space="preserve"> </w:t>
      </w:r>
    </w:p>
    <w:p w14:paraId="08E007B4" w14:textId="77777777" w:rsidR="00B51F39" w:rsidRDefault="00B51F39">
      <w:pPr>
        <w:pBdr>
          <w:top w:val="single" w:sz="4" w:space="0" w:color="auto"/>
          <w:left w:val="single" w:sz="4" w:space="4" w:color="auto"/>
          <w:bottom w:val="single" w:sz="4" w:space="1" w:color="auto"/>
          <w:right w:val="single" w:sz="4" w:space="4" w:color="auto"/>
        </w:pBdr>
        <w:rPr>
          <w:rFonts w:ascii="Arial" w:hAnsi="Arial" w:cs="Arial"/>
          <w:b/>
          <w:bCs/>
          <w:szCs w:val="24"/>
        </w:rPr>
      </w:pPr>
    </w:p>
    <w:p w14:paraId="15942789" w14:textId="77777777" w:rsidR="00564B20" w:rsidRPr="00043B3D" w:rsidRDefault="00043B3D">
      <w:pPr>
        <w:pBdr>
          <w:top w:val="single" w:sz="4" w:space="0" w:color="auto"/>
          <w:left w:val="single" w:sz="4" w:space="4" w:color="auto"/>
          <w:bottom w:val="single" w:sz="4" w:space="1" w:color="auto"/>
          <w:right w:val="single" w:sz="4" w:space="4" w:color="auto"/>
        </w:pBdr>
        <w:rPr>
          <w:rFonts w:ascii="Arial" w:hAnsi="Arial" w:cs="Arial"/>
          <w:bCs/>
          <w:sz w:val="24"/>
          <w:szCs w:val="24"/>
        </w:rPr>
      </w:pPr>
      <w:r w:rsidRPr="00043B3D">
        <w:rPr>
          <w:rFonts w:ascii="Arial" w:hAnsi="Arial" w:cs="Arial"/>
          <w:b/>
          <w:bCs/>
          <w:sz w:val="24"/>
          <w:szCs w:val="24"/>
        </w:rPr>
        <w:t xml:space="preserve">Nota: </w:t>
      </w:r>
      <w:r w:rsidRPr="00043B3D">
        <w:rPr>
          <w:rFonts w:ascii="Arial" w:hAnsi="Arial" w:cs="Arial"/>
          <w:bCs/>
          <w:sz w:val="24"/>
          <w:szCs w:val="24"/>
        </w:rPr>
        <w:t>Para la remisión de los comentarios por favor citar en el asunto del correo electrónico</w:t>
      </w:r>
      <w:r>
        <w:rPr>
          <w:rFonts w:ascii="Arial" w:hAnsi="Arial" w:cs="Arial"/>
          <w:bCs/>
          <w:sz w:val="24"/>
          <w:szCs w:val="24"/>
        </w:rPr>
        <w:t>,</w:t>
      </w:r>
      <w:r w:rsidRPr="00043B3D">
        <w:rPr>
          <w:rFonts w:ascii="Arial" w:hAnsi="Arial" w:cs="Arial"/>
          <w:bCs/>
          <w:sz w:val="24"/>
          <w:szCs w:val="24"/>
        </w:rPr>
        <w:t xml:space="preserve"> la referencia señalada, así como por escrito.</w:t>
      </w:r>
    </w:p>
    <w:p w14:paraId="6FBD6D83"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511F2403"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32B576CF"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769BB65E"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4EB025D0"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56A78B88"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74A0BA9E" w14:textId="77777777" w:rsidR="00B51F39" w:rsidRDefault="00B51F39">
      <w:pPr>
        <w:pBdr>
          <w:top w:val="single" w:sz="4" w:space="0" w:color="auto"/>
          <w:left w:val="single" w:sz="4" w:space="4" w:color="auto"/>
          <w:bottom w:val="single" w:sz="4" w:space="1" w:color="auto"/>
          <w:right w:val="single" w:sz="4" w:space="4" w:color="auto"/>
        </w:pBdr>
        <w:rPr>
          <w:rFonts w:ascii="Arial" w:hAnsi="Arial" w:cs="Arial"/>
          <w:b/>
          <w:bCs/>
          <w:szCs w:val="24"/>
        </w:rPr>
      </w:pPr>
    </w:p>
    <w:p w14:paraId="552433E9" w14:textId="77777777" w:rsidR="00B51F39" w:rsidRDefault="00B51F39">
      <w:pPr>
        <w:pBdr>
          <w:top w:val="single" w:sz="4" w:space="0" w:color="auto"/>
          <w:left w:val="single" w:sz="4" w:space="4" w:color="auto"/>
          <w:bottom w:val="single" w:sz="4" w:space="1" w:color="auto"/>
          <w:right w:val="single" w:sz="4" w:space="4" w:color="auto"/>
        </w:pBdr>
        <w:rPr>
          <w:rFonts w:ascii="Arial" w:hAnsi="Arial" w:cs="Arial"/>
          <w:b/>
          <w:bCs/>
        </w:rPr>
      </w:pPr>
    </w:p>
    <w:p w14:paraId="68E85CDD" w14:textId="77777777" w:rsidR="00E77E01" w:rsidRDefault="00B51F39">
      <w:pPr>
        <w:pBdr>
          <w:top w:val="single" w:sz="4" w:space="0" w:color="auto"/>
          <w:left w:val="single" w:sz="4" w:space="4" w:color="auto"/>
          <w:bottom w:val="single" w:sz="4" w:space="1" w:color="auto"/>
          <w:right w:val="single" w:sz="4" w:space="4" w:color="auto"/>
        </w:pBdr>
        <w:jc w:val="center"/>
        <w:rPr>
          <w:rFonts w:ascii="Arial" w:hAnsi="Arial" w:cs="Arial"/>
          <w:b/>
          <w:bCs/>
          <w:sz w:val="28"/>
          <w:szCs w:val="28"/>
        </w:rPr>
      </w:pPr>
      <w:r>
        <w:rPr>
          <w:rFonts w:ascii="Arial" w:hAnsi="Arial" w:cs="Arial"/>
          <w:b/>
          <w:bCs/>
          <w:sz w:val="28"/>
          <w:szCs w:val="28"/>
        </w:rPr>
        <w:t xml:space="preserve">* Consulte en este archivo el texto del proyecto de </w:t>
      </w:r>
    </w:p>
    <w:p w14:paraId="353F87B7" w14:textId="77777777" w:rsidR="00B51F39" w:rsidRDefault="00E77E01" w:rsidP="00E77E01">
      <w:pPr>
        <w:pBdr>
          <w:top w:val="single" w:sz="4" w:space="0" w:color="auto"/>
          <w:left w:val="single" w:sz="4" w:space="4" w:color="auto"/>
          <w:bottom w:val="single" w:sz="4" w:space="1" w:color="auto"/>
          <w:right w:val="single" w:sz="4" w:space="4" w:color="auto"/>
        </w:pBdr>
        <w:jc w:val="center"/>
        <w:rPr>
          <w:rFonts w:ascii="Arial" w:hAnsi="Arial" w:cs="Arial"/>
          <w:b/>
          <w:bCs/>
          <w:sz w:val="28"/>
          <w:szCs w:val="28"/>
        </w:rPr>
      </w:pPr>
      <w:r>
        <w:rPr>
          <w:rFonts w:ascii="Arial" w:hAnsi="Arial" w:cs="Arial"/>
          <w:b/>
          <w:bCs/>
          <w:sz w:val="28"/>
          <w:szCs w:val="28"/>
        </w:rPr>
        <w:t>__________________</w:t>
      </w:r>
    </w:p>
    <w:p w14:paraId="614653DE" w14:textId="77777777" w:rsidR="00E77E01" w:rsidRDefault="00E77E01" w:rsidP="00E77E01">
      <w:pPr>
        <w:pBdr>
          <w:top w:val="single" w:sz="4" w:space="0" w:color="auto"/>
          <w:left w:val="single" w:sz="4" w:space="4" w:color="auto"/>
          <w:bottom w:val="single" w:sz="4" w:space="1" w:color="auto"/>
          <w:right w:val="single" w:sz="4" w:space="4" w:color="auto"/>
        </w:pBdr>
        <w:jc w:val="center"/>
        <w:rPr>
          <w:rFonts w:ascii="Arial" w:hAnsi="Arial" w:cs="Arial"/>
          <w:b/>
          <w:bCs/>
          <w:szCs w:val="24"/>
        </w:rPr>
      </w:pPr>
    </w:p>
    <w:p w14:paraId="620C4410" w14:textId="77777777" w:rsidR="00E77E01" w:rsidRDefault="00E77E01" w:rsidP="00E77E01">
      <w:pPr>
        <w:pBdr>
          <w:top w:val="single" w:sz="4" w:space="0" w:color="auto"/>
          <w:left w:val="single" w:sz="4" w:space="4" w:color="auto"/>
          <w:bottom w:val="single" w:sz="4" w:space="1" w:color="auto"/>
          <w:right w:val="single" w:sz="4" w:space="4" w:color="auto"/>
        </w:pBdr>
        <w:jc w:val="center"/>
        <w:rPr>
          <w:rFonts w:ascii="Arial" w:hAnsi="Arial" w:cs="Arial"/>
          <w:b/>
          <w:bCs/>
          <w:szCs w:val="24"/>
        </w:rPr>
      </w:pPr>
    </w:p>
    <w:p w14:paraId="6B988B2C" w14:textId="77777777" w:rsidR="00964900" w:rsidRDefault="00964900">
      <w:pPr>
        <w:jc w:val="center"/>
        <w:rPr>
          <w:rFonts w:ascii="Arial" w:hAnsi="Arial" w:cs="Arial"/>
          <w:b/>
          <w:bCs/>
          <w:szCs w:val="24"/>
        </w:rPr>
      </w:pPr>
    </w:p>
    <w:p w14:paraId="74A17C27" w14:textId="0B994ADA" w:rsidR="00D93B2E" w:rsidRDefault="00D93B2E" w:rsidP="00D93B2E">
      <w:pPr>
        <w:tabs>
          <w:tab w:val="left" w:pos="1816"/>
        </w:tabs>
        <w:rPr>
          <w:rFonts w:ascii="Arial" w:hAnsi="Arial" w:cs="Arial"/>
          <w:b/>
          <w:bCs/>
          <w:szCs w:val="24"/>
        </w:rPr>
      </w:pPr>
    </w:p>
    <w:p w14:paraId="0B9C008B" w14:textId="7224DF59" w:rsidR="00D93B2E" w:rsidRPr="00D93B2E" w:rsidRDefault="00D93B2E" w:rsidP="00D93B2E">
      <w:pPr>
        <w:tabs>
          <w:tab w:val="left" w:pos="1816"/>
        </w:tabs>
        <w:rPr>
          <w:rFonts w:cs="Arial"/>
          <w:sz w:val="22"/>
          <w:szCs w:val="22"/>
        </w:rPr>
        <w:sectPr w:rsidR="00D93B2E" w:rsidRPr="00D93B2E" w:rsidSect="00EE3537">
          <w:headerReference w:type="even" r:id="rId12"/>
          <w:headerReference w:type="default" r:id="rId13"/>
          <w:footerReference w:type="default" r:id="rId14"/>
          <w:headerReference w:type="first" r:id="rId15"/>
          <w:footerReference w:type="first" r:id="rId16"/>
          <w:pgSz w:w="12242" w:h="18722" w:code="14"/>
          <w:pgMar w:top="2977" w:right="1701" w:bottom="1701" w:left="2268" w:header="709" w:footer="709" w:gutter="0"/>
          <w:paperSrc w:first="2" w:other="2"/>
          <w:cols w:space="708"/>
          <w:titlePg/>
          <w:docGrid w:linePitch="360"/>
        </w:sectPr>
      </w:pPr>
      <w:r>
        <w:rPr>
          <w:rFonts w:cs="Arial"/>
          <w:sz w:val="22"/>
          <w:szCs w:val="22"/>
        </w:rPr>
        <w:tab/>
      </w:r>
    </w:p>
    <w:p w14:paraId="7ACD8918" w14:textId="0741F6CA" w:rsidR="00966903" w:rsidRPr="00342400" w:rsidRDefault="00966903" w:rsidP="00966903">
      <w:pPr>
        <w:jc w:val="center"/>
        <w:rPr>
          <w:rFonts w:ascii="Arial" w:eastAsia="Arial" w:hAnsi="Arial" w:cs="Arial"/>
          <w:b/>
          <w:bCs/>
          <w:color w:val="000000"/>
          <w:sz w:val="24"/>
          <w:szCs w:val="24"/>
          <w:lang w:val="es-CO"/>
        </w:rPr>
      </w:pPr>
      <w:r w:rsidRPr="00342400">
        <w:rPr>
          <w:rFonts w:ascii="Arial" w:eastAsia="Arial" w:hAnsi="Arial" w:cs="Arial"/>
          <w:b/>
          <w:bCs/>
          <w:color w:val="000000"/>
          <w:sz w:val="24"/>
          <w:szCs w:val="24"/>
          <w:lang w:val="es-CO"/>
        </w:rPr>
        <w:lastRenderedPageBreak/>
        <w:t xml:space="preserve">CIRCULAR EXTERNA </w:t>
      </w:r>
      <w:r w:rsidR="00827567" w:rsidRPr="00342400">
        <w:rPr>
          <w:rFonts w:ascii="Arial" w:eastAsia="Arial" w:hAnsi="Arial" w:cs="Arial"/>
          <w:b/>
          <w:bCs/>
          <w:color w:val="000000"/>
          <w:sz w:val="24"/>
          <w:szCs w:val="24"/>
          <w:lang w:val="es-CO"/>
        </w:rPr>
        <w:t xml:space="preserve">         </w:t>
      </w:r>
      <w:r w:rsidRPr="00342400">
        <w:rPr>
          <w:rFonts w:ascii="Arial" w:eastAsia="Arial" w:hAnsi="Arial" w:cs="Arial"/>
          <w:b/>
          <w:bCs/>
          <w:color w:val="000000"/>
          <w:sz w:val="24"/>
          <w:szCs w:val="24"/>
          <w:lang w:val="es-CO"/>
        </w:rPr>
        <w:t>DE 2022</w:t>
      </w:r>
    </w:p>
    <w:p w14:paraId="3A114B31" w14:textId="77777777" w:rsidR="00966903" w:rsidRPr="00342400" w:rsidRDefault="00966903" w:rsidP="00966903">
      <w:pPr>
        <w:jc w:val="center"/>
        <w:rPr>
          <w:rFonts w:ascii="Arial" w:eastAsia="Arial" w:hAnsi="Arial" w:cs="Arial"/>
          <w:b/>
          <w:bCs/>
          <w:color w:val="000000"/>
          <w:sz w:val="24"/>
          <w:szCs w:val="24"/>
          <w:lang w:val="es-CO"/>
        </w:rPr>
      </w:pPr>
    </w:p>
    <w:p w14:paraId="447E58D0" w14:textId="77777777" w:rsidR="00966903" w:rsidRPr="00342400" w:rsidRDefault="00966903" w:rsidP="00966903">
      <w:pPr>
        <w:jc w:val="center"/>
        <w:rPr>
          <w:rFonts w:ascii="Arial" w:eastAsia="Arial" w:hAnsi="Arial" w:cs="Arial"/>
          <w:b/>
          <w:bCs/>
          <w:color w:val="000000"/>
          <w:sz w:val="24"/>
          <w:szCs w:val="24"/>
          <w:lang w:val="es-CO"/>
        </w:rPr>
      </w:pPr>
      <w:r w:rsidRPr="00342400">
        <w:rPr>
          <w:rFonts w:ascii="Arial" w:eastAsia="Arial" w:hAnsi="Arial" w:cs="Arial"/>
          <w:b/>
          <w:bCs/>
          <w:color w:val="000000"/>
          <w:sz w:val="24"/>
          <w:szCs w:val="24"/>
          <w:lang w:val="es-CO"/>
        </w:rPr>
        <w:t>(…………………………….)</w:t>
      </w:r>
    </w:p>
    <w:p w14:paraId="3E21FE60" w14:textId="77777777" w:rsidR="00966903" w:rsidRPr="00342400" w:rsidRDefault="00966903" w:rsidP="00966903">
      <w:pPr>
        <w:jc w:val="both"/>
        <w:rPr>
          <w:rFonts w:ascii="Arial" w:eastAsia="Arial" w:hAnsi="Arial" w:cs="Arial"/>
          <w:b/>
          <w:bCs/>
          <w:color w:val="000000"/>
          <w:sz w:val="24"/>
          <w:szCs w:val="24"/>
          <w:lang w:val="es-CO"/>
        </w:rPr>
      </w:pPr>
    </w:p>
    <w:p w14:paraId="39288869" w14:textId="77777777" w:rsidR="00A634DA" w:rsidRPr="00342400" w:rsidRDefault="00A634DA" w:rsidP="00A634DA">
      <w:pPr>
        <w:jc w:val="both"/>
        <w:rPr>
          <w:rFonts w:ascii="Arial" w:hAnsi="Arial" w:cs="Arial"/>
          <w:b/>
          <w:iCs/>
          <w:sz w:val="24"/>
          <w:szCs w:val="24"/>
          <w:lang w:val="es-ES"/>
        </w:rPr>
      </w:pPr>
      <w:r w:rsidRPr="00342400">
        <w:rPr>
          <w:rFonts w:ascii="Arial" w:hAnsi="Arial" w:cs="Arial"/>
          <w:b/>
          <w:iCs/>
          <w:sz w:val="24"/>
          <w:szCs w:val="24"/>
          <w:lang w:val="es-ES"/>
        </w:rPr>
        <w:t>Señores</w:t>
      </w:r>
    </w:p>
    <w:p w14:paraId="7DF91628" w14:textId="77777777" w:rsidR="00342400" w:rsidRPr="00342400" w:rsidRDefault="00342400" w:rsidP="00342400">
      <w:pPr>
        <w:jc w:val="both"/>
        <w:rPr>
          <w:rFonts w:ascii="Arial" w:hAnsi="Arial" w:cs="Arial"/>
          <w:sz w:val="24"/>
          <w:szCs w:val="24"/>
        </w:rPr>
      </w:pPr>
      <w:r w:rsidRPr="00342400">
        <w:rPr>
          <w:rFonts w:ascii="Arial" w:hAnsi="Arial" w:cs="Arial"/>
          <w:sz w:val="24"/>
          <w:szCs w:val="24"/>
        </w:rPr>
        <w:t xml:space="preserve">REPRESENTANTES LEGALES Y OFICIALES DE CUMPLIMIENTO DE LAS ENTIDADES VIGILADAS </w:t>
      </w:r>
    </w:p>
    <w:p w14:paraId="34D37A12" w14:textId="77777777" w:rsidR="00382C29" w:rsidRPr="00342400" w:rsidRDefault="00382C29" w:rsidP="00382C29">
      <w:pPr>
        <w:jc w:val="both"/>
        <w:rPr>
          <w:rFonts w:ascii="Arial" w:hAnsi="Arial" w:cs="Arial"/>
          <w:b/>
          <w:iCs/>
          <w:sz w:val="24"/>
          <w:szCs w:val="24"/>
          <w:lang w:val="es-ES"/>
        </w:rPr>
      </w:pPr>
    </w:p>
    <w:p w14:paraId="2A4C93ED" w14:textId="77777777" w:rsidR="00342400" w:rsidRPr="00342400" w:rsidRDefault="00382C29" w:rsidP="00342400">
      <w:pPr>
        <w:pStyle w:val="Piedepgina"/>
        <w:tabs>
          <w:tab w:val="right" w:pos="8789"/>
        </w:tabs>
        <w:jc w:val="both"/>
        <w:rPr>
          <w:rFonts w:ascii="Arial" w:hAnsi="Arial" w:cs="Arial"/>
          <w:b/>
          <w:bCs/>
          <w:sz w:val="24"/>
          <w:szCs w:val="24"/>
        </w:rPr>
      </w:pPr>
      <w:r w:rsidRPr="00342400">
        <w:rPr>
          <w:rFonts w:ascii="Arial" w:hAnsi="Arial" w:cs="Arial"/>
          <w:b/>
          <w:iCs/>
          <w:sz w:val="24"/>
          <w:szCs w:val="24"/>
          <w:lang w:val="es-ES"/>
        </w:rPr>
        <w:t xml:space="preserve">Referencia: </w:t>
      </w:r>
      <w:r w:rsidR="00342400" w:rsidRPr="00342400">
        <w:rPr>
          <w:rFonts w:ascii="Arial" w:hAnsi="Arial" w:cs="Arial"/>
          <w:b/>
          <w:bCs/>
          <w:sz w:val="24"/>
          <w:szCs w:val="24"/>
        </w:rPr>
        <w:t>Instrucciones relativas a la vinculación y prestación de servicios a Proveedores de Servicios de Activos Virtuales y derogatoria parcial de las Cartas Circulares</w:t>
      </w:r>
      <w:r w:rsidR="00342400" w:rsidRPr="00342400">
        <w:rPr>
          <w:rFonts w:ascii="Arial" w:hAnsi="Arial" w:cs="Arial"/>
          <w:sz w:val="24"/>
          <w:szCs w:val="24"/>
          <w:lang w:val="es-ES"/>
        </w:rPr>
        <w:t xml:space="preserve"> </w:t>
      </w:r>
      <w:r w:rsidR="00342400" w:rsidRPr="00342400">
        <w:rPr>
          <w:rFonts w:ascii="Arial" w:hAnsi="Arial" w:cs="Arial"/>
          <w:b/>
          <w:bCs/>
          <w:sz w:val="24"/>
          <w:szCs w:val="24"/>
          <w:lang w:val="es-ES"/>
        </w:rPr>
        <w:t>029 de 2014,</w:t>
      </w:r>
      <w:r w:rsidR="00342400" w:rsidRPr="00342400">
        <w:rPr>
          <w:rFonts w:ascii="Arial" w:hAnsi="Arial" w:cs="Arial"/>
          <w:sz w:val="24"/>
          <w:szCs w:val="24"/>
          <w:lang w:val="es-ES"/>
        </w:rPr>
        <w:t xml:space="preserve"> </w:t>
      </w:r>
      <w:r w:rsidR="00342400" w:rsidRPr="00342400">
        <w:rPr>
          <w:rFonts w:ascii="Arial" w:hAnsi="Arial" w:cs="Arial"/>
          <w:b/>
          <w:sz w:val="24"/>
          <w:szCs w:val="24"/>
          <w:lang w:val="es-ES"/>
        </w:rPr>
        <w:t>078 de 2016 y 052 de 2017</w:t>
      </w:r>
    </w:p>
    <w:p w14:paraId="2FFED3BD" w14:textId="56D3C443" w:rsidR="00382C29" w:rsidRPr="00342400" w:rsidRDefault="00382C29" w:rsidP="00382C29">
      <w:pPr>
        <w:jc w:val="both"/>
        <w:rPr>
          <w:rFonts w:ascii="Arial" w:hAnsi="Arial" w:cs="Arial"/>
          <w:iCs/>
          <w:sz w:val="24"/>
          <w:szCs w:val="24"/>
        </w:rPr>
      </w:pPr>
    </w:p>
    <w:p w14:paraId="6581DEB3" w14:textId="77777777" w:rsidR="00382C29" w:rsidRPr="00342400" w:rsidRDefault="00382C29" w:rsidP="00382C29">
      <w:pPr>
        <w:jc w:val="both"/>
        <w:rPr>
          <w:rFonts w:ascii="Arial" w:hAnsi="Arial" w:cs="Arial"/>
          <w:iCs/>
          <w:sz w:val="24"/>
          <w:szCs w:val="24"/>
        </w:rPr>
      </w:pPr>
    </w:p>
    <w:p w14:paraId="12BB0805" w14:textId="77777777" w:rsidR="00342400" w:rsidRPr="00342400" w:rsidRDefault="00342400" w:rsidP="00342400">
      <w:pPr>
        <w:jc w:val="both"/>
        <w:rPr>
          <w:rFonts w:ascii="Arial" w:hAnsi="Arial" w:cs="Arial"/>
          <w:sz w:val="24"/>
          <w:szCs w:val="24"/>
        </w:rPr>
      </w:pPr>
      <w:r w:rsidRPr="00342400">
        <w:rPr>
          <w:rFonts w:ascii="Arial" w:hAnsi="Arial" w:cs="Arial"/>
          <w:sz w:val="24"/>
          <w:szCs w:val="24"/>
        </w:rPr>
        <w:t>Apreciados señores:</w:t>
      </w:r>
    </w:p>
    <w:p w14:paraId="2C2F5107" w14:textId="77777777" w:rsidR="00342400" w:rsidRPr="00342400" w:rsidRDefault="00342400" w:rsidP="00342400">
      <w:pPr>
        <w:jc w:val="both"/>
        <w:rPr>
          <w:rFonts w:ascii="Arial" w:hAnsi="Arial" w:cs="Arial"/>
          <w:sz w:val="24"/>
          <w:szCs w:val="24"/>
        </w:rPr>
      </w:pPr>
    </w:p>
    <w:p w14:paraId="2E444FA3" w14:textId="77777777" w:rsidR="00342400" w:rsidRPr="00342400" w:rsidRDefault="00342400" w:rsidP="00342400">
      <w:pPr>
        <w:jc w:val="both"/>
        <w:rPr>
          <w:rFonts w:ascii="Arial" w:hAnsi="Arial" w:cs="Arial"/>
          <w:sz w:val="24"/>
          <w:szCs w:val="24"/>
          <w:lang w:val="es-BO"/>
        </w:rPr>
      </w:pPr>
      <w:r w:rsidRPr="00342400">
        <w:rPr>
          <w:rFonts w:ascii="Arial" w:hAnsi="Arial" w:cs="Arial"/>
          <w:sz w:val="24"/>
          <w:szCs w:val="24"/>
          <w:lang w:val="es-BO"/>
        </w:rPr>
        <w:t xml:space="preserve">La evolución en los avances tecnológicos, la definición de estándares internacionales y el marco normativo local generaron un entorno adecuado para que </w:t>
      </w:r>
      <w:r w:rsidRPr="00342400">
        <w:rPr>
          <w:rFonts w:ascii="Arial" w:hAnsi="Arial" w:cs="Arial"/>
          <w:sz w:val="24"/>
          <w:szCs w:val="24"/>
        </w:rPr>
        <w:t>la Superintendencia Financiera de Colombia (SFC)</w:t>
      </w:r>
      <w:r w:rsidRPr="00342400">
        <w:rPr>
          <w:rFonts w:ascii="Arial" w:hAnsi="Arial" w:cs="Arial"/>
          <w:sz w:val="24"/>
          <w:szCs w:val="24"/>
          <w:lang w:val="es-BO"/>
        </w:rPr>
        <w:t xml:space="preserve"> evaluara en </w:t>
      </w:r>
      <w:r w:rsidRPr="00342400">
        <w:rPr>
          <w:rFonts w:ascii="Arial" w:hAnsi="Arial" w:cs="Arial"/>
          <w:sz w:val="24"/>
          <w:szCs w:val="24"/>
        </w:rPr>
        <w:t>laArenera (sandbox)</w:t>
      </w:r>
      <w:r w:rsidRPr="00342400">
        <w:rPr>
          <w:rFonts w:ascii="Arial" w:hAnsi="Arial" w:cs="Arial"/>
          <w:sz w:val="24"/>
          <w:szCs w:val="24"/>
          <w:lang w:val="es-BO"/>
        </w:rPr>
        <w:t xml:space="preserve"> un proyecto piloto en materia de operaciones de depósito y retiro con plataformas de intercambio de criptoactivos (exchanges) mediante productos de depósito de entidades vigiladas. </w:t>
      </w:r>
    </w:p>
    <w:p w14:paraId="0DAFEEBE" w14:textId="77777777" w:rsidR="00342400" w:rsidRPr="00342400" w:rsidRDefault="00342400" w:rsidP="00342400">
      <w:pPr>
        <w:jc w:val="both"/>
        <w:rPr>
          <w:rFonts w:ascii="Arial" w:hAnsi="Arial" w:cs="Arial"/>
          <w:sz w:val="24"/>
          <w:szCs w:val="24"/>
          <w:lang w:val="es-BO"/>
        </w:rPr>
      </w:pPr>
    </w:p>
    <w:p w14:paraId="3166B04A" w14:textId="77777777" w:rsidR="00342400" w:rsidRPr="00342400" w:rsidRDefault="00342400" w:rsidP="00342400">
      <w:pPr>
        <w:jc w:val="both"/>
        <w:rPr>
          <w:rFonts w:ascii="Arial" w:hAnsi="Arial" w:cs="Arial"/>
          <w:sz w:val="24"/>
          <w:szCs w:val="24"/>
          <w:lang w:val="es-BO"/>
        </w:rPr>
      </w:pPr>
      <w:r w:rsidRPr="00342400">
        <w:rPr>
          <w:rFonts w:ascii="Arial" w:hAnsi="Arial" w:cs="Arial"/>
          <w:sz w:val="24"/>
          <w:szCs w:val="24"/>
          <w:lang w:val="es-BO"/>
        </w:rPr>
        <w:t xml:space="preserve">Este proyecto se adelantó en coordinación con la Consejería Presidencial para Asuntos Económicos y de Transformación Digital, el Ministerio de Hacienda y Crédito Público, el Ministerio de Tecnologías de la Información y Comunicaciones, el Banco de la República, la Unidad de Regulación Financiera (URF), la Superintendencia de Sociedades, la Superintendencia de Industria y Comercio, la </w:t>
      </w:r>
      <w:r w:rsidRPr="00342400">
        <w:rPr>
          <w:rFonts w:ascii="Arial" w:hAnsi="Arial" w:cs="Arial"/>
          <w:iCs/>
          <w:sz w:val="24"/>
          <w:szCs w:val="24"/>
          <w:lang w:val="es-BO"/>
        </w:rPr>
        <w:t>Unidad Administrativa Especial</w:t>
      </w:r>
      <w:r w:rsidRPr="00342400">
        <w:rPr>
          <w:rFonts w:ascii="Arial" w:hAnsi="Arial" w:cs="Arial"/>
          <w:sz w:val="24"/>
          <w:szCs w:val="24"/>
          <w:lang w:val="es-BO"/>
        </w:rPr>
        <w:t xml:space="preserve"> Dirección de Impuestos y Aduanas Nacionales (DIAN) y la Unidad de Información y Análisis Financiero (UIAF).</w:t>
      </w:r>
    </w:p>
    <w:p w14:paraId="4B85C260" w14:textId="77777777" w:rsidR="00342400" w:rsidRPr="00342400" w:rsidRDefault="00342400" w:rsidP="00342400">
      <w:pPr>
        <w:jc w:val="both"/>
        <w:rPr>
          <w:rFonts w:ascii="Arial" w:hAnsi="Arial" w:cs="Arial"/>
          <w:sz w:val="24"/>
          <w:szCs w:val="24"/>
          <w:lang w:val="es-BO"/>
        </w:rPr>
      </w:pPr>
    </w:p>
    <w:p w14:paraId="657EBF41" w14:textId="59E9848E" w:rsidR="00342400" w:rsidRPr="00342400" w:rsidRDefault="00342400" w:rsidP="00342400">
      <w:pPr>
        <w:jc w:val="both"/>
        <w:rPr>
          <w:rFonts w:ascii="Arial" w:hAnsi="Arial" w:cs="Arial"/>
          <w:sz w:val="24"/>
          <w:szCs w:val="24"/>
          <w:lang w:val="es-BO"/>
        </w:rPr>
      </w:pPr>
      <w:r w:rsidRPr="00342400">
        <w:rPr>
          <w:rFonts w:ascii="Arial" w:hAnsi="Arial" w:cs="Arial"/>
          <w:sz w:val="24"/>
          <w:szCs w:val="24"/>
          <w:lang w:val="es-BO"/>
        </w:rPr>
        <w:t>Los resultados del piloto han demostrado que las entidades vigiladas pueden vincular y prestar sus servicios a clientes que ofrezcan servicios con activos virtuales, gestionando de forma adecuada los riesgos inherentes en el proceso de vinculación. En tal virtud, esta Superintendencia, reconociendo las dinámicas cambiantes de los mercados y en consonancia con los lineamientos del Grupo de Acción Financiera Internacional (GAFI) sobre activos virtuales y Proveedores de Servicios de Activos Virtuales (PSAV), imparte instrucciones con el fin de señalar los elementos adicionales de evaluación que las entidades vigiladas deberán atender cuando presten servicios financieros a los PSAV.</w:t>
      </w:r>
    </w:p>
    <w:p w14:paraId="4A7C0D69" w14:textId="77777777" w:rsidR="00342400" w:rsidRPr="00342400" w:rsidRDefault="00342400" w:rsidP="00342400">
      <w:pPr>
        <w:jc w:val="both"/>
        <w:rPr>
          <w:rFonts w:ascii="Arial" w:hAnsi="Arial" w:cs="Arial"/>
          <w:sz w:val="24"/>
          <w:szCs w:val="24"/>
          <w:lang w:val="es-BO"/>
        </w:rPr>
      </w:pPr>
    </w:p>
    <w:p w14:paraId="141B4519" w14:textId="77777777" w:rsidR="00342400" w:rsidRPr="00342400" w:rsidRDefault="00342400" w:rsidP="00342400">
      <w:pPr>
        <w:jc w:val="both"/>
        <w:rPr>
          <w:rFonts w:ascii="Arial" w:hAnsi="Arial" w:cs="Arial"/>
          <w:sz w:val="24"/>
          <w:szCs w:val="24"/>
          <w:lang w:val="es-BO"/>
        </w:rPr>
      </w:pPr>
      <w:r w:rsidRPr="00342400">
        <w:rPr>
          <w:rFonts w:ascii="Arial" w:hAnsi="Arial" w:cs="Arial"/>
          <w:sz w:val="24"/>
          <w:szCs w:val="24"/>
          <w:lang w:val="es-BO"/>
        </w:rPr>
        <w:t xml:space="preserve">En línea con lo anterior, es procedente señalar que las instrucciones aquí contenidas no modifican la condición de los PSAV como entidades no vigiladas por la SFC en atención a su naturaleza jurídica, objeto social y a las actividades que adelantan, ni </w:t>
      </w:r>
      <w:bookmarkStart w:id="1" w:name="_Hlk106867715"/>
      <w:r w:rsidRPr="00342400">
        <w:rPr>
          <w:rFonts w:ascii="Arial" w:hAnsi="Arial" w:cs="Arial"/>
          <w:sz w:val="24"/>
          <w:szCs w:val="24"/>
          <w:lang w:val="es-BO"/>
        </w:rPr>
        <w:t>limitan la posibilidad de que las entidades vigiladas desarrollen operaciones con representaciones digitales de activos financieros, siempre que no se altere su naturaleza jurídica y que la regulación aplicable lo permita.</w:t>
      </w:r>
    </w:p>
    <w:p w14:paraId="75367C49" w14:textId="77777777" w:rsidR="00342400" w:rsidRPr="00342400" w:rsidRDefault="00342400" w:rsidP="00342400">
      <w:pPr>
        <w:jc w:val="both"/>
        <w:rPr>
          <w:rFonts w:ascii="Arial" w:hAnsi="Arial" w:cs="Arial"/>
          <w:sz w:val="24"/>
          <w:szCs w:val="24"/>
          <w:lang w:val="es-BO"/>
        </w:rPr>
      </w:pPr>
    </w:p>
    <w:bookmarkEnd w:id="1"/>
    <w:p w14:paraId="464B032A" w14:textId="77777777" w:rsidR="00342400" w:rsidRPr="00342400" w:rsidRDefault="00342400" w:rsidP="00342400">
      <w:pPr>
        <w:jc w:val="both"/>
        <w:rPr>
          <w:rFonts w:ascii="Arial" w:hAnsi="Arial" w:cs="Arial"/>
          <w:sz w:val="24"/>
          <w:szCs w:val="24"/>
          <w:lang w:val="es-BO"/>
        </w:rPr>
      </w:pPr>
      <w:r w:rsidRPr="00342400">
        <w:rPr>
          <w:rFonts w:ascii="Arial" w:hAnsi="Arial" w:cs="Arial"/>
          <w:sz w:val="24"/>
          <w:szCs w:val="24"/>
          <w:lang w:val="es-BO"/>
        </w:rPr>
        <w:t>En desarrollo de lo expuesto y en virtud de las facultades previstas en el literal a. del numeral 3° del artículo 326 del Estatuto Orgánico del Sistema Financiero y el numeral 4° del artículo 11.2.1.4.2. del Decreto 2555 de 2010, este Despacho imparte las siguientes instrucciones:</w:t>
      </w:r>
    </w:p>
    <w:p w14:paraId="46C54BD5" w14:textId="77777777" w:rsidR="00342400" w:rsidRPr="00342400" w:rsidRDefault="00342400" w:rsidP="00342400">
      <w:pPr>
        <w:jc w:val="both"/>
        <w:rPr>
          <w:rFonts w:ascii="Arial" w:hAnsi="Arial" w:cs="Arial"/>
          <w:sz w:val="24"/>
          <w:szCs w:val="24"/>
          <w:lang w:val="es-BO"/>
        </w:rPr>
      </w:pPr>
    </w:p>
    <w:p w14:paraId="19FB0199" w14:textId="77777777" w:rsidR="00342400" w:rsidRPr="00342400" w:rsidRDefault="00342400" w:rsidP="00342400">
      <w:pPr>
        <w:jc w:val="both"/>
        <w:rPr>
          <w:rFonts w:ascii="Arial" w:hAnsi="Arial" w:cs="Arial"/>
          <w:sz w:val="24"/>
          <w:szCs w:val="24"/>
        </w:rPr>
      </w:pPr>
      <w:r w:rsidRPr="00342400">
        <w:rPr>
          <w:rFonts w:ascii="Arial" w:hAnsi="Arial" w:cs="Arial"/>
          <w:b/>
          <w:sz w:val="24"/>
          <w:szCs w:val="24"/>
        </w:rPr>
        <w:t xml:space="preserve">PRIMERA. </w:t>
      </w:r>
      <w:r w:rsidRPr="00342400">
        <w:rPr>
          <w:rFonts w:ascii="Arial" w:hAnsi="Arial" w:cs="Arial"/>
          <w:sz w:val="24"/>
          <w:szCs w:val="24"/>
        </w:rPr>
        <w:t>Crear el Capítulo VI del Título II de la Parte I de la Circular Básica Jurídica denominado “</w:t>
      </w:r>
      <w:r w:rsidRPr="00342400">
        <w:rPr>
          <w:rFonts w:ascii="Arial" w:hAnsi="Arial" w:cs="Arial"/>
          <w:sz w:val="24"/>
          <w:szCs w:val="24"/>
          <w:lang w:val="es-CO"/>
        </w:rPr>
        <w:t>Reglas relativas a la vinculación y prestación de servicios a Proveedores de Servicios de Activos Virtuales”.</w:t>
      </w:r>
    </w:p>
    <w:p w14:paraId="4D790E8B" w14:textId="77777777" w:rsidR="00342400" w:rsidRPr="00342400" w:rsidRDefault="00342400" w:rsidP="00342400">
      <w:pPr>
        <w:jc w:val="both"/>
        <w:rPr>
          <w:rFonts w:ascii="Arial" w:hAnsi="Arial" w:cs="Arial"/>
          <w:b/>
          <w:bCs/>
          <w:sz w:val="24"/>
          <w:szCs w:val="24"/>
        </w:rPr>
      </w:pPr>
    </w:p>
    <w:p w14:paraId="382FBAAC" w14:textId="77777777" w:rsidR="00342400" w:rsidRPr="00342400" w:rsidRDefault="00342400" w:rsidP="00342400">
      <w:pPr>
        <w:jc w:val="both"/>
        <w:rPr>
          <w:rFonts w:ascii="Arial" w:hAnsi="Arial" w:cs="Arial"/>
          <w:sz w:val="24"/>
          <w:szCs w:val="24"/>
        </w:rPr>
      </w:pPr>
      <w:r w:rsidRPr="00342400">
        <w:rPr>
          <w:rFonts w:ascii="Arial" w:hAnsi="Arial" w:cs="Arial"/>
          <w:b/>
          <w:bCs/>
          <w:sz w:val="24"/>
          <w:szCs w:val="24"/>
        </w:rPr>
        <w:lastRenderedPageBreak/>
        <w:t>Régimen de transición:</w:t>
      </w:r>
      <w:r w:rsidRPr="00342400">
        <w:rPr>
          <w:rFonts w:ascii="Arial" w:hAnsi="Arial" w:cs="Arial"/>
          <w:sz w:val="24"/>
          <w:szCs w:val="24"/>
        </w:rPr>
        <w:t xml:space="preserve"> Las entidades que se encuentren desarrollando estas actividades dentro de laArenera (sandbox), tendrán a más tardar 2 meses contados a partir de la fecha de finalización de su prueba temporal para implementar las instrucciones aquí establecidas, respecto de los clientes que participan en dicho piloto. En todo caso, las entidades vigiladas podrán solicitar a la SFC la terminación anticipada de la prueba temporal de acuerdo con lo previsto en las condiciones de dicho piloto.</w:t>
      </w:r>
    </w:p>
    <w:p w14:paraId="1A19199A" w14:textId="77777777" w:rsidR="00342400" w:rsidRPr="00342400" w:rsidRDefault="00342400" w:rsidP="00342400">
      <w:pPr>
        <w:spacing w:line="259" w:lineRule="auto"/>
        <w:jc w:val="both"/>
        <w:rPr>
          <w:rFonts w:ascii="Arial" w:hAnsi="Arial" w:cs="Arial"/>
          <w:sz w:val="24"/>
          <w:szCs w:val="24"/>
        </w:rPr>
      </w:pPr>
    </w:p>
    <w:p w14:paraId="4FF7D680" w14:textId="77777777" w:rsidR="00342400" w:rsidRPr="00342400" w:rsidRDefault="00342400" w:rsidP="00342400">
      <w:pPr>
        <w:spacing w:line="259" w:lineRule="auto"/>
        <w:jc w:val="both"/>
        <w:rPr>
          <w:rFonts w:ascii="Arial" w:hAnsi="Arial" w:cs="Arial"/>
          <w:sz w:val="24"/>
          <w:szCs w:val="24"/>
        </w:rPr>
      </w:pPr>
      <w:r w:rsidRPr="00342400">
        <w:rPr>
          <w:rFonts w:ascii="Arial" w:hAnsi="Arial" w:cs="Arial"/>
          <w:sz w:val="24"/>
          <w:szCs w:val="24"/>
        </w:rPr>
        <w:t>En los demás casos, las entidades vigiladas deberán dar cumplimiento a las instrucciones de la presente Circular a partir de su entrada en vigencia.</w:t>
      </w:r>
    </w:p>
    <w:p w14:paraId="71ECD71F" w14:textId="77777777" w:rsidR="00342400" w:rsidRPr="00342400" w:rsidRDefault="00342400" w:rsidP="00342400">
      <w:pPr>
        <w:jc w:val="both"/>
        <w:rPr>
          <w:rFonts w:ascii="Arial" w:hAnsi="Arial" w:cs="Arial"/>
          <w:sz w:val="24"/>
          <w:szCs w:val="24"/>
        </w:rPr>
      </w:pPr>
    </w:p>
    <w:p w14:paraId="2605AC4F" w14:textId="77777777" w:rsidR="00342400" w:rsidRPr="00342400" w:rsidRDefault="00342400" w:rsidP="00342400">
      <w:pPr>
        <w:jc w:val="both"/>
        <w:rPr>
          <w:rFonts w:ascii="Arial" w:hAnsi="Arial" w:cs="Arial"/>
          <w:b/>
          <w:bCs/>
          <w:sz w:val="24"/>
          <w:szCs w:val="24"/>
        </w:rPr>
      </w:pPr>
      <w:r w:rsidRPr="00342400">
        <w:rPr>
          <w:rFonts w:ascii="Arial" w:hAnsi="Arial" w:cs="Arial"/>
          <w:b/>
          <w:bCs/>
          <w:sz w:val="24"/>
          <w:szCs w:val="24"/>
        </w:rPr>
        <w:t xml:space="preserve">SEGUNDA. </w:t>
      </w:r>
      <w:r w:rsidRPr="00342400">
        <w:rPr>
          <w:rFonts w:ascii="Arial" w:hAnsi="Arial" w:cs="Arial"/>
          <w:sz w:val="24"/>
          <w:szCs w:val="24"/>
        </w:rPr>
        <w:t xml:space="preserve">De conformidad con los </w:t>
      </w:r>
      <w:r w:rsidRPr="00342400">
        <w:rPr>
          <w:rFonts w:ascii="Arial" w:hAnsi="Arial" w:cs="Arial"/>
          <w:sz w:val="24"/>
          <w:szCs w:val="24"/>
          <w:lang w:val="es-ES"/>
        </w:rPr>
        <w:t xml:space="preserve">lineamientos expedidos por la DIAN a través de los cuales se han reconocido los activos virtuales para efectos tributarios; las consideraciones del Consejo Técnico de la Contaduría Pública donde se aclara que los activos virtuales no deben ser considerados efectivo ni activos financieros para efectos contables; y atendiendo la definición del GAFI según la cual es activo virtual  toda </w:t>
      </w:r>
      <w:r w:rsidRPr="00342400">
        <w:rPr>
          <w:rFonts w:ascii="Arial" w:hAnsi="Arial" w:cs="Arial"/>
          <w:sz w:val="24"/>
          <w:szCs w:val="24"/>
        </w:rPr>
        <w:t>representación digital de un activo que se puede comercializar o transferir digitalmente y se puede utilizar para pagos o inversiones, sin incluir representaciones digitales de moneda de curso legal, valores y otros activos financieros relacionados con las actividades propias de las entidades vigiladas por la SFC</w:t>
      </w:r>
      <w:r w:rsidRPr="00342400">
        <w:rPr>
          <w:rFonts w:ascii="Arial" w:hAnsi="Arial" w:cs="Arial"/>
          <w:sz w:val="24"/>
          <w:szCs w:val="24"/>
          <w:lang w:val="es-ES"/>
        </w:rPr>
        <w:t>; esta Superintendencia considera necesario hacer las siguientes precisiones respecto de las operaciones que pueden celebrar las entidades vigiladas, atendiendo el régimen legal de su actividad:</w:t>
      </w:r>
    </w:p>
    <w:p w14:paraId="42B029D7" w14:textId="77777777" w:rsidR="00342400" w:rsidRPr="00342400" w:rsidRDefault="00342400" w:rsidP="00342400">
      <w:pPr>
        <w:jc w:val="both"/>
        <w:rPr>
          <w:rFonts w:ascii="Arial" w:hAnsi="Arial" w:cs="Arial"/>
          <w:b/>
          <w:bCs/>
          <w:sz w:val="24"/>
          <w:szCs w:val="24"/>
        </w:rPr>
      </w:pPr>
    </w:p>
    <w:p w14:paraId="7B420075" w14:textId="00537106" w:rsidR="00342400" w:rsidRPr="00342400" w:rsidRDefault="00342400" w:rsidP="00342400">
      <w:pPr>
        <w:jc w:val="both"/>
        <w:rPr>
          <w:rFonts w:ascii="Arial" w:hAnsi="Arial" w:cs="Arial"/>
          <w:sz w:val="24"/>
          <w:szCs w:val="24"/>
        </w:rPr>
      </w:pPr>
      <w:r w:rsidRPr="00342400">
        <w:rPr>
          <w:rFonts w:ascii="Arial" w:hAnsi="Arial" w:cs="Arial"/>
          <w:b/>
          <w:bCs/>
          <w:sz w:val="24"/>
          <w:szCs w:val="24"/>
        </w:rPr>
        <w:t xml:space="preserve">2.1. </w:t>
      </w:r>
      <w:r w:rsidRPr="00342400">
        <w:rPr>
          <w:rFonts w:ascii="Arial" w:hAnsi="Arial" w:cs="Arial"/>
          <w:sz w:val="24"/>
          <w:szCs w:val="24"/>
        </w:rPr>
        <w:t xml:space="preserve">Los administradores </w:t>
      </w:r>
      <w:bookmarkStart w:id="2" w:name="_Hlk104295836"/>
      <w:r w:rsidRPr="00342400">
        <w:rPr>
          <w:rFonts w:ascii="Arial" w:hAnsi="Arial" w:cs="Arial"/>
          <w:sz w:val="24"/>
          <w:szCs w:val="24"/>
        </w:rPr>
        <w:t>de fondos de inversión colectiva que</w:t>
      </w:r>
      <w:r w:rsidR="00FF7DB9">
        <w:rPr>
          <w:rFonts w:ascii="Arial" w:hAnsi="Arial" w:cs="Arial"/>
          <w:sz w:val="24"/>
          <w:szCs w:val="24"/>
        </w:rPr>
        <w:t>,</w:t>
      </w:r>
      <w:r w:rsidRPr="00342400">
        <w:rPr>
          <w:rFonts w:ascii="Arial" w:hAnsi="Arial" w:cs="Arial"/>
          <w:sz w:val="24"/>
          <w:szCs w:val="24"/>
        </w:rPr>
        <w:t xml:space="preserve"> en desarrollo de</w:t>
      </w:r>
      <w:r w:rsidR="00374109">
        <w:rPr>
          <w:rFonts w:ascii="Arial" w:hAnsi="Arial" w:cs="Arial"/>
          <w:sz w:val="24"/>
          <w:szCs w:val="24"/>
        </w:rPr>
        <w:t>l</w:t>
      </w:r>
      <w:r w:rsidRPr="00342400">
        <w:rPr>
          <w:rFonts w:ascii="Arial" w:hAnsi="Arial" w:cs="Arial"/>
          <w:sz w:val="24"/>
          <w:szCs w:val="24"/>
        </w:rPr>
        <w:t xml:space="preserve"> artículo</w:t>
      </w:r>
      <w:r w:rsidR="00374109">
        <w:rPr>
          <w:rFonts w:ascii="Arial" w:hAnsi="Arial" w:cs="Arial"/>
          <w:sz w:val="24"/>
          <w:szCs w:val="24"/>
        </w:rPr>
        <w:t xml:space="preserve"> </w:t>
      </w:r>
      <w:r w:rsidRPr="00342400">
        <w:rPr>
          <w:rFonts w:ascii="Arial" w:hAnsi="Arial" w:cs="Arial"/>
          <w:sz w:val="24"/>
          <w:szCs w:val="24"/>
        </w:rPr>
        <w:t>3.1.1.4.4. del Decreto 2555 de 2010, contemplen en sus políticas de inversión, la posibilidad de que tales vehículos inviertan en fondos de inversión extranjeros cuyos subyacentes sean activos virtuales</w:t>
      </w:r>
      <w:bookmarkEnd w:id="2"/>
      <w:r w:rsidRPr="00342400">
        <w:rPr>
          <w:rFonts w:ascii="Arial" w:hAnsi="Arial" w:cs="Arial"/>
          <w:sz w:val="24"/>
          <w:szCs w:val="24"/>
        </w:rPr>
        <w:t xml:space="preserve">, deben informar de manera clara y oportuna a los potenciales inversionistas las características de dichos activos y sus riesgos inherentes, en particular los riesgos de mercado y liquidez con el fin de que </w:t>
      </w:r>
      <w:r w:rsidR="00C61C73">
        <w:rPr>
          <w:rFonts w:ascii="Arial" w:hAnsi="Arial" w:cs="Arial"/>
          <w:sz w:val="24"/>
          <w:szCs w:val="24"/>
        </w:rPr>
        <w:t>e</w:t>
      </w:r>
      <w:r w:rsidRPr="00342400">
        <w:rPr>
          <w:rFonts w:ascii="Arial" w:hAnsi="Arial" w:cs="Arial"/>
          <w:sz w:val="24"/>
          <w:szCs w:val="24"/>
        </w:rPr>
        <w:t>stos cuenten con información adecuada para decidir sobre su inversión. Lo anterior sin perjuicio de lo contemplado en la regulación vigente frente a los deberes, obligaciones y responsabilidades de los administradores de activos.</w:t>
      </w:r>
    </w:p>
    <w:p w14:paraId="2E18832A" w14:textId="77777777" w:rsidR="00342400" w:rsidRPr="00342400" w:rsidRDefault="00342400" w:rsidP="00342400">
      <w:pPr>
        <w:jc w:val="both"/>
        <w:rPr>
          <w:rFonts w:ascii="Arial" w:hAnsi="Arial" w:cs="Arial"/>
          <w:sz w:val="24"/>
          <w:szCs w:val="24"/>
        </w:rPr>
      </w:pPr>
    </w:p>
    <w:p w14:paraId="7D6CA311" w14:textId="06FFC211" w:rsidR="00342400" w:rsidRPr="00342400" w:rsidRDefault="00342400" w:rsidP="00342400">
      <w:pPr>
        <w:jc w:val="both"/>
        <w:rPr>
          <w:rFonts w:ascii="Arial" w:hAnsi="Arial" w:cs="Arial"/>
          <w:sz w:val="24"/>
          <w:szCs w:val="24"/>
        </w:rPr>
      </w:pPr>
      <w:r w:rsidRPr="00342400">
        <w:rPr>
          <w:rFonts w:ascii="Arial" w:hAnsi="Arial" w:cs="Arial"/>
          <w:b/>
          <w:bCs/>
          <w:sz w:val="24"/>
          <w:szCs w:val="24"/>
        </w:rPr>
        <w:t xml:space="preserve">2.2. </w:t>
      </w:r>
      <w:r w:rsidRPr="00342400">
        <w:rPr>
          <w:rFonts w:ascii="Arial" w:hAnsi="Arial" w:cs="Arial"/>
          <w:sz w:val="24"/>
          <w:szCs w:val="24"/>
        </w:rPr>
        <w:t xml:space="preserve">Los administradores de fondos de capital privado que, en desarrollo del artículo 3.3.2.1.1. del Decreto 2555 de 2010, contemplen en sus políticas de inversión, la posibilidad de invertir en activos virtuales, fondos de inversión extranjeros cuyos subyacentes sean activos virtuales o realizar operaciones cuyos subyacentes sean activos virtuales, deben informar de manera clara y oportuna a los potenciales inversionistas las características de dichos activos y sus riesgos inherentes, en particular los riesgos de mercado y liquidez con el fin de que </w:t>
      </w:r>
      <w:r w:rsidR="00C61C73">
        <w:rPr>
          <w:rFonts w:ascii="Arial" w:hAnsi="Arial" w:cs="Arial"/>
          <w:sz w:val="24"/>
          <w:szCs w:val="24"/>
        </w:rPr>
        <w:t>e</w:t>
      </w:r>
      <w:r w:rsidRPr="00342400">
        <w:rPr>
          <w:rFonts w:ascii="Arial" w:hAnsi="Arial" w:cs="Arial"/>
          <w:sz w:val="24"/>
          <w:szCs w:val="24"/>
        </w:rPr>
        <w:t>stos cuenten con información adecuada para decidir sobre su inversión. Lo anterior sin perjuicio de lo contemplado en la regulación vigente frente a los deberes, obligaciones y responsabilidades de los administradores de fondos de capital privado.</w:t>
      </w:r>
    </w:p>
    <w:p w14:paraId="4BB8C7F3" w14:textId="77777777" w:rsidR="00342400" w:rsidRPr="00342400" w:rsidRDefault="00342400" w:rsidP="00342400">
      <w:pPr>
        <w:jc w:val="both"/>
        <w:rPr>
          <w:rFonts w:ascii="Arial" w:hAnsi="Arial" w:cs="Arial"/>
          <w:sz w:val="24"/>
          <w:szCs w:val="24"/>
        </w:rPr>
      </w:pPr>
    </w:p>
    <w:p w14:paraId="0ADB8A06" w14:textId="77777777" w:rsidR="00342400" w:rsidRPr="00342400" w:rsidRDefault="00342400" w:rsidP="00342400">
      <w:pPr>
        <w:jc w:val="both"/>
        <w:rPr>
          <w:rFonts w:ascii="Arial" w:hAnsi="Arial" w:cs="Arial"/>
          <w:sz w:val="24"/>
          <w:szCs w:val="24"/>
        </w:rPr>
      </w:pPr>
      <w:r w:rsidRPr="00342400">
        <w:rPr>
          <w:rFonts w:ascii="Arial" w:hAnsi="Arial" w:cs="Arial"/>
          <w:b/>
          <w:bCs/>
          <w:sz w:val="24"/>
          <w:szCs w:val="24"/>
        </w:rPr>
        <w:t xml:space="preserve">2.3. </w:t>
      </w:r>
      <w:r w:rsidRPr="00342400">
        <w:rPr>
          <w:rFonts w:ascii="Arial" w:hAnsi="Arial" w:cs="Arial"/>
          <w:sz w:val="24"/>
          <w:szCs w:val="24"/>
        </w:rPr>
        <w:t>Las sociedades fiduciarias que celebren negocios fiduciarios cuyos bienes fideicomitidos sean activos virtuales o negocios fiduciarios que contemplen la realización de operaciones cuyos subyacentes sean activos virtuales, deben informar de manera clara y oportuna las características de dichos activos y sus riesgos inherentes, en particular los riesgos de mercado y liquidez. Lo anterior sin perjuicio de lo contemplado en la regulación vigente frente a los deberes, obligaciones y responsabilidades de las sociedades fiduciarias.</w:t>
      </w:r>
    </w:p>
    <w:p w14:paraId="234ACC5E" w14:textId="77777777" w:rsidR="00342400" w:rsidRPr="00342400" w:rsidRDefault="00342400" w:rsidP="00342400">
      <w:pPr>
        <w:jc w:val="both"/>
        <w:rPr>
          <w:rFonts w:ascii="Arial" w:hAnsi="Arial" w:cs="Arial"/>
          <w:sz w:val="24"/>
          <w:szCs w:val="24"/>
        </w:rPr>
      </w:pPr>
    </w:p>
    <w:p w14:paraId="078EF0DE" w14:textId="77777777" w:rsidR="00342400" w:rsidRPr="00342400" w:rsidRDefault="00342400" w:rsidP="00342400">
      <w:pPr>
        <w:jc w:val="both"/>
        <w:rPr>
          <w:rFonts w:ascii="Arial" w:hAnsi="Arial" w:cs="Arial"/>
          <w:b/>
          <w:bCs/>
          <w:sz w:val="24"/>
          <w:szCs w:val="24"/>
        </w:rPr>
      </w:pPr>
      <w:r w:rsidRPr="00342400">
        <w:rPr>
          <w:rFonts w:ascii="Arial" w:hAnsi="Arial" w:cs="Arial"/>
          <w:b/>
          <w:bCs/>
          <w:sz w:val="24"/>
          <w:szCs w:val="24"/>
        </w:rPr>
        <w:t xml:space="preserve">2.4. </w:t>
      </w:r>
      <w:r w:rsidRPr="00342400">
        <w:rPr>
          <w:rFonts w:ascii="Arial" w:hAnsi="Arial" w:cs="Arial"/>
          <w:sz w:val="24"/>
          <w:szCs w:val="24"/>
        </w:rPr>
        <w:t xml:space="preserve">Las entidades vigiladas que realicen la actividad de distribución de fondos del exterior </w:t>
      </w:r>
      <w:r w:rsidRPr="00342400">
        <w:rPr>
          <w:rFonts w:ascii="Arial" w:hAnsi="Arial" w:cs="Arial"/>
          <w:sz w:val="24"/>
          <w:szCs w:val="24"/>
          <w:lang w:val="es-ES"/>
        </w:rPr>
        <w:t xml:space="preserve">que contemplen </w:t>
      </w:r>
      <w:r w:rsidRPr="00342400">
        <w:rPr>
          <w:rFonts w:ascii="Arial" w:hAnsi="Arial" w:cs="Arial"/>
          <w:sz w:val="24"/>
          <w:szCs w:val="24"/>
        </w:rPr>
        <w:t xml:space="preserve">la posibilidad de invertir en activos virtuales o realizar operaciones cuyos subyacentes sean activos virtuales, deben informar de manera </w:t>
      </w:r>
      <w:r w:rsidRPr="00342400">
        <w:rPr>
          <w:rFonts w:ascii="Arial" w:hAnsi="Arial" w:cs="Arial"/>
          <w:sz w:val="24"/>
          <w:szCs w:val="24"/>
        </w:rPr>
        <w:lastRenderedPageBreak/>
        <w:t>clara y oportuna las características de dichos activos y sus riesgos inherentes, en particular los riesgos de mercado y liquidez.</w:t>
      </w:r>
    </w:p>
    <w:p w14:paraId="11BB2967" w14:textId="77777777" w:rsidR="00342400" w:rsidRPr="00342400" w:rsidRDefault="00342400" w:rsidP="00342400">
      <w:pPr>
        <w:jc w:val="both"/>
        <w:rPr>
          <w:rFonts w:ascii="Arial" w:hAnsi="Arial" w:cs="Arial"/>
          <w:sz w:val="24"/>
          <w:szCs w:val="24"/>
        </w:rPr>
      </w:pPr>
    </w:p>
    <w:p w14:paraId="54300319" w14:textId="77777777" w:rsidR="00342400" w:rsidRPr="00342400" w:rsidRDefault="00342400" w:rsidP="00342400">
      <w:pPr>
        <w:jc w:val="both"/>
        <w:rPr>
          <w:rFonts w:ascii="Arial" w:hAnsi="Arial" w:cs="Arial"/>
          <w:sz w:val="24"/>
          <w:szCs w:val="24"/>
        </w:rPr>
      </w:pPr>
      <w:r w:rsidRPr="00342400">
        <w:rPr>
          <w:rFonts w:ascii="Arial" w:hAnsi="Arial" w:cs="Arial"/>
          <w:b/>
          <w:bCs/>
          <w:sz w:val="24"/>
          <w:szCs w:val="24"/>
        </w:rPr>
        <w:t xml:space="preserve">2.5. </w:t>
      </w:r>
      <w:r w:rsidRPr="00342400">
        <w:rPr>
          <w:rFonts w:ascii="Arial" w:hAnsi="Arial" w:cs="Arial"/>
          <w:sz w:val="24"/>
          <w:szCs w:val="24"/>
        </w:rPr>
        <w:t>Las oficinas de representación de instituciones financieras y del mercado de valores del exterior y las entidades vigiladas</w:t>
      </w:r>
      <w:r w:rsidRPr="00342400">
        <w:rPr>
          <w:rFonts w:ascii="Arial" w:hAnsi="Arial" w:cs="Arial"/>
          <w:b/>
          <w:bCs/>
          <w:sz w:val="24"/>
          <w:szCs w:val="24"/>
        </w:rPr>
        <w:t xml:space="preserve"> </w:t>
      </w:r>
      <w:r w:rsidRPr="00342400">
        <w:rPr>
          <w:rFonts w:ascii="Arial" w:hAnsi="Arial" w:cs="Arial"/>
          <w:sz w:val="24"/>
          <w:szCs w:val="24"/>
        </w:rPr>
        <w:t>que en desarrollo de los contratos de corresponsalía celebrados con entidades del exterior, promuevan y publiciten productos cuyos subyacentes sean activos virtuales, deben informar de manera clara y oportuna las características de dichos activos y sus riesgos inherentes, en particular los riesgos de mercado y liquidez.</w:t>
      </w:r>
    </w:p>
    <w:p w14:paraId="50F3B624" w14:textId="77777777" w:rsidR="00342400" w:rsidRPr="00342400" w:rsidRDefault="00342400" w:rsidP="00342400">
      <w:pPr>
        <w:jc w:val="both"/>
        <w:rPr>
          <w:rFonts w:ascii="Arial" w:hAnsi="Arial" w:cs="Arial"/>
          <w:sz w:val="24"/>
          <w:szCs w:val="24"/>
        </w:rPr>
      </w:pPr>
    </w:p>
    <w:p w14:paraId="309F57AC" w14:textId="77777777" w:rsidR="00342400" w:rsidRPr="00342400" w:rsidRDefault="00342400" w:rsidP="00342400">
      <w:pPr>
        <w:jc w:val="both"/>
        <w:rPr>
          <w:rFonts w:ascii="Arial" w:hAnsi="Arial" w:cs="Arial"/>
          <w:sz w:val="24"/>
          <w:szCs w:val="24"/>
        </w:rPr>
      </w:pPr>
      <w:r w:rsidRPr="00342400">
        <w:rPr>
          <w:rFonts w:ascii="Arial" w:hAnsi="Arial" w:cs="Arial"/>
          <w:b/>
          <w:bCs/>
          <w:sz w:val="24"/>
          <w:szCs w:val="24"/>
        </w:rPr>
        <w:t>2.6</w:t>
      </w:r>
      <w:r w:rsidRPr="00342400">
        <w:rPr>
          <w:rFonts w:ascii="Arial" w:hAnsi="Arial" w:cs="Arial"/>
          <w:sz w:val="24"/>
          <w:szCs w:val="24"/>
        </w:rPr>
        <w:t xml:space="preserve"> Las entidades vigiladas que </w:t>
      </w:r>
      <w:bookmarkStart w:id="3" w:name="_Hlk106866300"/>
      <w:r w:rsidRPr="00342400">
        <w:rPr>
          <w:rFonts w:ascii="Arial" w:hAnsi="Arial" w:cs="Arial"/>
          <w:sz w:val="24"/>
          <w:szCs w:val="24"/>
        </w:rPr>
        <w:t>permitan el uso de sus plataformas para que se realicen operaciones con PSAV</w:t>
      </w:r>
      <w:bookmarkEnd w:id="3"/>
      <w:r w:rsidRPr="00342400">
        <w:rPr>
          <w:rFonts w:ascii="Arial" w:hAnsi="Arial" w:cs="Arial"/>
          <w:sz w:val="24"/>
          <w:szCs w:val="24"/>
        </w:rPr>
        <w:t xml:space="preserve">, deben dar cumplimiento a los criterios de seguridad y calidad para la realización de operaciones, así como realizar una </w:t>
      </w:r>
      <w:bookmarkStart w:id="4" w:name="_Hlk106866442"/>
      <w:r w:rsidRPr="00342400">
        <w:rPr>
          <w:rFonts w:ascii="Arial" w:hAnsi="Arial" w:cs="Arial"/>
          <w:sz w:val="24"/>
          <w:szCs w:val="24"/>
        </w:rPr>
        <w:t>adecuada gestión de los riesgos inherentes asociados al uso de sus canales, en particular los riesgos operacionales, de ciberseguridad, de lavado de activos y financiación del terrorismo</w:t>
      </w:r>
      <w:bookmarkEnd w:id="4"/>
      <w:r w:rsidRPr="00342400">
        <w:rPr>
          <w:rFonts w:ascii="Arial" w:hAnsi="Arial" w:cs="Arial"/>
          <w:sz w:val="24"/>
          <w:szCs w:val="24"/>
        </w:rPr>
        <w:t>.</w:t>
      </w:r>
    </w:p>
    <w:p w14:paraId="6BF33E18" w14:textId="77777777" w:rsidR="00342400" w:rsidRPr="00342400" w:rsidRDefault="00342400" w:rsidP="00342400">
      <w:pPr>
        <w:jc w:val="both"/>
        <w:rPr>
          <w:rFonts w:ascii="Arial" w:hAnsi="Arial" w:cs="Arial"/>
          <w:sz w:val="24"/>
          <w:szCs w:val="24"/>
        </w:rPr>
      </w:pPr>
    </w:p>
    <w:p w14:paraId="6DA20C09" w14:textId="77777777" w:rsidR="00342400" w:rsidRPr="00342400" w:rsidRDefault="00342400" w:rsidP="00342400">
      <w:pPr>
        <w:jc w:val="both"/>
        <w:rPr>
          <w:rFonts w:ascii="Arial" w:hAnsi="Arial" w:cs="Arial"/>
          <w:sz w:val="24"/>
          <w:szCs w:val="24"/>
        </w:rPr>
      </w:pPr>
      <w:r w:rsidRPr="00342400">
        <w:rPr>
          <w:rFonts w:ascii="Arial" w:hAnsi="Arial" w:cs="Arial"/>
          <w:sz w:val="24"/>
          <w:szCs w:val="24"/>
        </w:rPr>
        <w:t>Para efectos de lo dispuesto en los numerales 2.1., 2.2. y 2.3., la valoración de las inversiones relacionadas con activos virtuales se realizará de conformidad con lo previsto en el subnumeral 3.2. del Capítulo XI de la Circular Básica Contable y Financiera, en lo que resulte aplicable.</w:t>
      </w:r>
    </w:p>
    <w:p w14:paraId="7CB4B611" w14:textId="77777777" w:rsidR="00342400" w:rsidRPr="00342400" w:rsidRDefault="00342400" w:rsidP="00342400">
      <w:pPr>
        <w:jc w:val="both"/>
        <w:rPr>
          <w:rFonts w:ascii="Arial" w:hAnsi="Arial" w:cs="Arial"/>
          <w:b/>
          <w:bCs/>
          <w:sz w:val="24"/>
          <w:szCs w:val="24"/>
        </w:rPr>
      </w:pPr>
    </w:p>
    <w:p w14:paraId="3BB9B3AB" w14:textId="77777777" w:rsidR="00342400" w:rsidRPr="00342400" w:rsidRDefault="00342400" w:rsidP="00342400">
      <w:pPr>
        <w:jc w:val="both"/>
        <w:rPr>
          <w:rFonts w:ascii="Arial" w:hAnsi="Arial" w:cs="Arial"/>
          <w:sz w:val="24"/>
          <w:szCs w:val="24"/>
          <w:lang w:val="es-ES"/>
        </w:rPr>
      </w:pPr>
      <w:r w:rsidRPr="00342400">
        <w:rPr>
          <w:rFonts w:ascii="Arial" w:hAnsi="Arial" w:cs="Arial"/>
          <w:sz w:val="24"/>
          <w:szCs w:val="24"/>
        </w:rPr>
        <w:t xml:space="preserve">En tal virtud, se derogan parcialmente las </w:t>
      </w:r>
      <w:r w:rsidRPr="00342400">
        <w:rPr>
          <w:rFonts w:ascii="Arial" w:hAnsi="Arial" w:cs="Arial"/>
          <w:sz w:val="24"/>
          <w:szCs w:val="24"/>
          <w:lang w:val="es-ES"/>
        </w:rPr>
        <w:t>Cartas Circulares 029 de 2014, 078 de 2016 y 052 de 2017, en lo que resulte contrario con la presente Circular.</w:t>
      </w:r>
    </w:p>
    <w:p w14:paraId="5E2E8CF2" w14:textId="77777777" w:rsidR="00342400" w:rsidRPr="00342400" w:rsidRDefault="00342400" w:rsidP="00342400">
      <w:pPr>
        <w:pStyle w:val="Prrafodelista"/>
        <w:tabs>
          <w:tab w:val="left" w:pos="189"/>
        </w:tabs>
        <w:ind w:left="0"/>
        <w:jc w:val="both"/>
        <w:rPr>
          <w:rFonts w:ascii="Arial" w:hAnsi="Arial" w:cs="Arial"/>
          <w:sz w:val="24"/>
          <w:szCs w:val="24"/>
          <w:lang w:val="es-ES"/>
        </w:rPr>
      </w:pPr>
    </w:p>
    <w:p w14:paraId="3AE21A59" w14:textId="77777777" w:rsidR="00342400" w:rsidRPr="00342400" w:rsidRDefault="00342400" w:rsidP="00342400">
      <w:pPr>
        <w:jc w:val="both"/>
        <w:rPr>
          <w:rFonts w:ascii="Arial" w:hAnsi="Arial" w:cs="Arial"/>
          <w:b/>
          <w:bCs/>
          <w:sz w:val="24"/>
          <w:szCs w:val="24"/>
        </w:rPr>
      </w:pPr>
    </w:p>
    <w:p w14:paraId="0F199A88" w14:textId="77777777" w:rsidR="00342400" w:rsidRPr="00342400" w:rsidRDefault="00342400" w:rsidP="00342400">
      <w:pPr>
        <w:jc w:val="both"/>
        <w:rPr>
          <w:rFonts w:ascii="Arial" w:hAnsi="Arial" w:cs="Arial"/>
          <w:sz w:val="24"/>
          <w:szCs w:val="24"/>
        </w:rPr>
      </w:pPr>
      <w:r w:rsidRPr="00342400">
        <w:rPr>
          <w:rFonts w:ascii="Arial" w:hAnsi="Arial" w:cs="Arial"/>
          <w:sz w:val="24"/>
          <w:szCs w:val="24"/>
        </w:rPr>
        <w:t>La presente circular rige a partir de su publicación.</w:t>
      </w:r>
    </w:p>
    <w:p w14:paraId="644A10D8" w14:textId="77777777" w:rsidR="00342400" w:rsidRPr="00342400" w:rsidRDefault="00342400" w:rsidP="00342400">
      <w:pPr>
        <w:jc w:val="both"/>
        <w:rPr>
          <w:rFonts w:ascii="Arial" w:hAnsi="Arial" w:cs="Arial"/>
          <w:sz w:val="24"/>
          <w:szCs w:val="24"/>
        </w:rPr>
      </w:pPr>
    </w:p>
    <w:p w14:paraId="08752C94" w14:textId="77777777" w:rsidR="00342400" w:rsidRPr="00342400" w:rsidRDefault="00342400" w:rsidP="00342400">
      <w:pPr>
        <w:jc w:val="both"/>
        <w:rPr>
          <w:rFonts w:ascii="Arial" w:hAnsi="Arial" w:cs="Arial"/>
          <w:sz w:val="24"/>
          <w:szCs w:val="24"/>
        </w:rPr>
      </w:pPr>
      <w:r w:rsidRPr="00342400">
        <w:rPr>
          <w:rFonts w:ascii="Arial" w:hAnsi="Arial" w:cs="Arial"/>
          <w:sz w:val="24"/>
          <w:szCs w:val="24"/>
        </w:rPr>
        <w:t>Se adjuntan las páginas objeto de modificación.</w:t>
      </w:r>
    </w:p>
    <w:p w14:paraId="123BD1C8" w14:textId="77777777" w:rsidR="00342400" w:rsidRPr="00342400" w:rsidRDefault="00342400" w:rsidP="00342400">
      <w:pPr>
        <w:jc w:val="both"/>
        <w:rPr>
          <w:rFonts w:ascii="Arial" w:hAnsi="Arial" w:cs="Arial"/>
          <w:sz w:val="24"/>
          <w:szCs w:val="24"/>
        </w:rPr>
      </w:pPr>
    </w:p>
    <w:p w14:paraId="1BEB98FC" w14:textId="77777777" w:rsidR="00342400" w:rsidRPr="00342400" w:rsidRDefault="00342400" w:rsidP="00342400">
      <w:pPr>
        <w:jc w:val="both"/>
        <w:rPr>
          <w:rFonts w:ascii="Arial" w:hAnsi="Arial" w:cs="Arial"/>
          <w:sz w:val="24"/>
          <w:szCs w:val="24"/>
        </w:rPr>
      </w:pPr>
    </w:p>
    <w:p w14:paraId="3858BF48" w14:textId="77777777" w:rsidR="00342400" w:rsidRPr="00342400" w:rsidRDefault="00342400" w:rsidP="00342400">
      <w:pPr>
        <w:jc w:val="both"/>
        <w:rPr>
          <w:rFonts w:ascii="Arial" w:hAnsi="Arial" w:cs="Arial"/>
          <w:sz w:val="24"/>
          <w:szCs w:val="24"/>
        </w:rPr>
      </w:pPr>
      <w:r w:rsidRPr="00342400">
        <w:rPr>
          <w:rFonts w:ascii="Arial" w:hAnsi="Arial" w:cs="Arial"/>
          <w:sz w:val="24"/>
          <w:szCs w:val="24"/>
        </w:rPr>
        <w:t>Cordialmente,</w:t>
      </w:r>
    </w:p>
    <w:p w14:paraId="3FAF0ECA" w14:textId="77777777" w:rsidR="00342400" w:rsidRPr="00342400" w:rsidRDefault="00342400" w:rsidP="00342400">
      <w:pPr>
        <w:jc w:val="both"/>
        <w:rPr>
          <w:rFonts w:ascii="Arial" w:hAnsi="Arial" w:cs="Arial"/>
          <w:sz w:val="24"/>
          <w:szCs w:val="24"/>
        </w:rPr>
      </w:pPr>
    </w:p>
    <w:p w14:paraId="39D728DC" w14:textId="77777777" w:rsidR="00342400" w:rsidRPr="00342400" w:rsidRDefault="00342400" w:rsidP="00342400">
      <w:pPr>
        <w:jc w:val="both"/>
        <w:rPr>
          <w:rFonts w:ascii="Arial" w:hAnsi="Arial" w:cs="Arial"/>
          <w:sz w:val="24"/>
          <w:szCs w:val="24"/>
        </w:rPr>
      </w:pPr>
    </w:p>
    <w:p w14:paraId="0E4752B9" w14:textId="77777777" w:rsidR="00342400" w:rsidRPr="00342400" w:rsidRDefault="00342400" w:rsidP="00342400">
      <w:pPr>
        <w:jc w:val="both"/>
        <w:rPr>
          <w:rFonts w:ascii="Arial" w:hAnsi="Arial" w:cs="Arial"/>
          <w:sz w:val="24"/>
          <w:szCs w:val="24"/>
        </w:rPr>
      </w:pPr>
    </w:p>
    <w:p w14:paraId="613D2BAB" w14:textId="77777777" w:rsidR="00342400" w:rsidRPr="00342400" w:rsidRDefault="00342400" w:rsidP="00342400">
      <w:pPr>
        <w:widowControl w:val="0"/>
        <w:autoSpaceDE w:val="0"/>
        <w:autoSpaceDN w:val="0"/>
        <w:adjustRightInd w:val="0"/>
        <w:jc w:val="both"/>
        <w:rPr>
          <w:rFonts w:ascii="Arial" w:hAnsi="Arial" w:cs="Arial"/>
          <w:b/>
          <w:bCs/>
          <w:sz w:val="24"/>
          <w:szCs w:val="24"/>
          <w:lang w:val="es-ES"/>
        </w:rPr>
      </w:pPr>
      <w:r w:rsidRPr="00342400">
        <w:rPr>
          <w:rFonts w:ascii="Arial" w:hAnsi="Arial" w:cs="Arial"/>
          <w:b/>
          <w:bCs/>
          <w:sz w:val="24"/>
          <w:szCs w:val="24"/>
          <w:lang w:val="es-ES"/>
        </w:rPr>
        <w:t>JORGE CASTAÑO GUTIÉRREZ</w:t>
      </w:r>
    </w:p>
    <w:p w14:paraId="02C11C43" w14:textId="77777777" w:rsidR="00342400" w:rsidRPr="00342400" w:rsidRDefault="00342400" w:rsidP="00342400">
      <w:pPr>
        <w:widowControl w:val="0"/>
        <w:autoSpaceDE w:val="0"/>
        <w:autoSpaceDN w:val="0"/>
        <w:adjustRightInd w:val="0"/>
        <w:jc w:val="both"/>
        <w:rPr>
          <w:rFonts w:ascii="Arial" w:hAnsi="Arial" w:cs="Arial"/>
          <w:bCs/>
          <w:sz w:val="24"/>
          <w:szCs w:val="24"/>
          <w:lang w:val="es-ES"/>
        </w:rPr>
      </w:pPr>
      <w:r w:rsidRPr="00342400">
        <w:rPr>
          <w:rFonts w:ascii="Arial" w:hAnsi="Arial" w:cs="Arial"/>
          <w:bCs/>
          <w:sz w:val="24"/>
          <w:szCs w:val="24"/>
          <w:lang w:val="es-ES"/>
        </w:rPr>
        <w:t>Superintendente Financiero</w:t>
      </w:r>
    </w:p>
    <w:p w14:paraId="4565E159" w14:textId="77777777" w:rsidR="00342400" w:rsidRPr="00342400" w:rsidRDefault="00342400" w:rsidP="00342400">
      <w:pPr>
        <w:widowControl w:val="0"/>
        <w:autoSpaceDE w:val="0"/>
        <w:autoSpaceDN w:val="0"/>
        <w:adjustRightInd w:val="0"/>
        <w:jc w:val="both"/>
        <w:rPr>
          <w:rFonts w:ascii="Arial" w:hAnsi="Arial" w:cs="Arial"/>
          <w:sz w:val="24"/>
          <w:szCs w:val="24"/>
        </w:rPr>
      </w:pPr>
      <w:r w:rsidRPr="00342400">
        <w:rPr>
          <w:rFonts w:ascii="Arial" w:hAnsi="Arial" w:cs="Arial"/>
          <w:sz w:val="24"/>
          <w:szCs w:val="24"/>
        </w:rPr>
        <w:t>50000</w:t>
      </w:r>
    </w:p>
    <w:p w14:paraId="15F2AA28" w14:textId="77777777" w:rsidR="00B51F39" w:rsidRDefault="00B51F39">
      <w:pPr>
        <w:jc w:val="center"/>
        <w:rPr>
          <w:rFonts w:cs="Arial"/>
          <w:b/>
          <w:bCs/>
          <w:sz w:val="22"/>
          <w:szCs w:val="22"/>
        </w:rPr>
      </w:pPr>
    </w:p>
    <w:sectPr w:rsidR="00B51F39" w:rsidSect="00D93B2E">
      <w:headerReference w:type="even" r:id="rId17"/>
      <w:headerReference w:type="default" r:id="rId18"/>
      <w:footerReference w:type="default" r:id="rId19"/>
      <w:headerReference w:type="first" r:id="rId20"/>
      <w:footerReference w:type="first" r:id="rId21"/>
      <w:pgSz w:w="12240" w:h="18720" w:code="120"/>
      <w:pgMar w:top="1417" w:right="1701" w:bottom="1417" w:left="1701" w:header="62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90D5" w14:textId="77777777" w:rsidR="007A5287" w:rsidRDefault="007A5287">
      <w:r>
        <w:separator/>
      </w:r>
    </w:p>
  </w:endnote>
  <w:endnote w:type="continuationSeparator" w:id="0">
    <w:p w14:paraId="6453EDC6" w14:textId="77777777" w:rsidR="007A5287" w:rsidRDefault="007A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4B50" w14:textId="77777777" w:rsidR="00564B20" w:rsidRDefault="00564B20">
    <w:pPr>
      <w:widowControl w:val="0"/>
      <w:autoSpaceDE w:val="0"/>
      <w:autoSpaceDN w:val="0"/>
      <w:adjustRightInd w:val="0"/>
      <w:jc w:val="both"/>
      <w:rPr>
        <w:rFonts w:ascii="Arial" w:hAnsi="Arial" w:cs="Arial"/>
        <w:sz w:val="22"/>
        <w:szCs w:val="22"/>
      </w:rPr>
    </w:pPr>
  </w:p>
  <w:p w14:paraId="6C4DEE90" w14:textId="77777777" w:rsidR="00564B20" w:rsidRDefault="00564B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0A02" w14:textId="77777777" w:rsidR="00564B20" w:rsidRDefault="00564B20">
    <w:pPr>
      <w:widowControl w:val="0"/>
      <w:autoSpaceDE w:val="0"/>
      <w:autoSpaceDN w:val="0"/>
      <w:adjustRightInd w:val="0"/>
      <w:jc w:val="both"/>
      <w:rPr>
        <w:rFonts w:ascii="Arial" w:hAnsi="Arial" w:cs="Arial"/>
        <w:sz w:val="22"/>
        <w:szCs w:val="22"/>
      </w:rPr>
    </w:pPr>
  </w:p>
  <w:p w14:paraId="460AF320" w14:textId="77777777" w:rsidR="00564B20" w:rsidRDefault="00564B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6"/>
      <w:gridCol w:w="2946"/>
      <w:gridCol w:w="2946"/>
    </w:tblGrid>
    <w:tr w:rsidR="00DD342D" w14:paraId="71CD7C55" w14:textId="77777777" w:rsidTr="00DD342D">
      <w:tc>
        <w:tcPr>
          <w:tcW w:w="2946" w:type="dxa"/>
        </w:tcPr>
        <w:p w14:paraId="65A686DE" w14:textId="77777777" w:rsidR="00DD342D" w:rsidRDefault="00DD342D" w:rsidP="00DD342D">
          <w:pPr>
            <w:pStyle w:val="Encabezado"/>
            <w:ind w:left="-115"/>
          </w:pPr>
        </w:p>
      </w:tc>
      <w:tc>
        <w:tcPr>
          <w:tcW w:w="2946" w:type="dxa"/>
        </w:tcPr>
        <w:p w14:paraId="4090F147" w14:textId="77777777" w:rsidR="00DD342D" w:rsidRDefault="00DD342D" w:rsidP="00DD342D">
          <w:pPr>
            <w:pStyle w:val="Encabezado"/>
            <w:jc w:val="center"/>
          </w:pPr>
        </w:p>
      </w:tc>
      <w:tc>
        <w:tcPr>
          <w:tcW w:w="2946" w:type="dxa"/>
        </w:tcPr>
        <w:p w14:paraId="13850996" w14:textId="77777777" w:rsidR="00DD342D" w:rsidRDefault="00DD342D" w:rsidP="00DD342D">
          <w:pPr>
            <w:pStyle w:val="Encabezado"/>
            <w:ind w:right="-115"/>
            <w:jc w:val="right"/>
          </w:pPr>
        </w:p>
      </w:tc>
    </w:tr>
  </w:tbl>
  <w:p w14:paraId="7327B599" w14:textId="77777777" w:rsidR="00DD342D" w:rsidRDefault="00DD342D" w:rsidP="00DD342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6"/>
      <w:gridCol w:w="2946"/>
      <w:gridCol w:w="2946"/>
    </w:tblGrid>
    <w:tr w:rsidR="00DD342D" w14:paraId="7096FF92" w14:textId="77777777" w:rsidTr="00DD342D">
      <w:tc>
        <w:tcPr>
          <w:tcW w:w="2946" w:type="dxa"/>
        </w:tcPr>
        <w:p w14:paraId="010EEA00" w14:textId="77777777" w:rsidR="00DD342D" w:rsidRDefault="00DD342D" w:rsidP="00DD342D">
          <w:pPr>
            <w:pStyle w:val="Encabezado"/>
            <w:tabs>
              <w:tab w:val="clear" w:pos="8838"/>
              <w:tab w:val="right" w:pos="2723"/>
            </w:tabs>
            <w:ind w:left="-115"/>
          </w:pPr>
        </w:p>
      </w:tc>
      <w:tc>
        <w:tcPr>
          <w:tcW w:w="2946" w:type="dxa"/>
        </w:tcPr>
        <w:p w14:paraId="3433BD6B" w14:textId="77777777" w:rsidR="00DD342D" w:rsidRDefault="00DD342D" w:rsidP="00DD342D">
          <w:pPr>
            <w:pStyle w:val="Encabezado"/>
            <w:jc w:val="center"/>
          </w:pPr>
        </w:p>
      </w:tc>
      <w:tc>
        <w:tcPr>
          <w:tcW w:w="2946" w:type="dxa"/>
        </w:tcPr>
        <w:p w14:paraId="3FF68D49" w14:textId="77777777" w:rsidR="00DD342D" w:rsidRDefault="00DD342D" w:rsidP="00DD342D">
          <w:pPr>
            <w:pStyle w:val="Encabezado"/>
            <w:ind w:right="-115"/>
            <w:jc w:val="right"/>
          </w:pPr>
        </w:p>
      </w:tc>
    </w:tr>
  </w:tbl>
  <w:p w14:paraId="6BD788A9" w14:textId="77777777" w:rsidR="00DD342D" w:rsidRDefault="00DD342D" w:rsidP="00DD34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F96F" w14:textId="77777777" w:rsidR="007A5287" w:rsidRDefault="007A5287">
      <w:r>
        <w:separator/>
      </w:r>
    </w:p>
  </w:footnote>
  <w:footnote w:type="continuationSeparator" w:id="0">
    <w:p w14:paraId="5C412019" w14:textId="77777777" w:rsidR="007A5287" w:rsidRDefault="007A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F00C" w14:textId="77777777" w:rsidR="00D93B2E" w:rsidRPr="00966903" w:rsidRDefault="00D93B2E" w:rsidP="00D93B2E">
    <w:pPr>
      <w:pStyle w:val="Encabezado"/>
      <w:jc w:val="center"/>
      <w:rPr>
        <w:rFonts w:ascii="Arial" w:hAnsi="Arial" w:cs="Arial"/>
        <w:b/>
        <w:bCs/>
        <w:sz w:val="24"/>
        <w:szCs w:val="24"/>
        <w:lang w:val="es-ES"/>
      </w:rPr>
    </w:pPr>
    <w:r w:rsidRPr="00966903">
      <w:rPr>
        <w:rFonts w:ascii="Arial" w:hAnsi="Arial" w:cs="Arial"/>
        <w:b/>
        <w:bCs/>
        <w:sz w:val="24"/>
        <w:szCs w:val="24"/>
        <w:lang w:val="es-ES"/>
      </w:rPr>
      <w:t>SUPERINTENDENCIA FINANCIERA DE COLOMBIA</w:t>
    </w:r>
  </w:p>
  <w:p w14:paraId="193EA772" w14:textId="77777777" w:rsidR="00D93B2E" w:rsidRDefault="00D93B2E" w:rsidP="00D93B2E">
    <w:pPr>
      <w:pStyle w:val="Encabezado"/>
      <w:jc w:val="center"/>
      <w:rPr>
        <w:rFonts w:cs="Arial"/>
        <w:b/>
        <w:bCs/>
        <w:sz w:val="22"/>
        <w:szCs w:val="22"/>
        <w:lang w:val="es-ES"/>
      </w:rPr>
    </w:pPr>
  </w:p>
  <w:p w14:paraId="13AA84E7" w14:textId="37E32239" w:rsidR="00D93B2E" w:rsidRPr="00966903" w:rsidRDefault="00D93B2E" w:rsidP="00D93B2E">
    <w:pPr>
      <w:pStyle w:val="Piedepgina"/>
      <w:rPr>
        <w:rFonts w:ascii="Arial" w:hAnsi="Arial" w:cs="Arial"/>
        <w:b/>
        <w:bCs/>
        <w:sz w:val="24"/>
        <w:szCs w:val="24"/>
      </w:rPr>
    </w:pPr>
    <w:r w:rsidRPr="00966903">
      <w:rPr>
        <w:rFonts w:ascii="Arial" w:hAnsi="Arial" w:cs="Arial"/>
        <w:b/>
        <w:bCs/>
        <w:sz w:val="24"/>
        <w:szCs w:val="24"/>
      </w:rPr>
      <w:t xml:space="preserve">Circular Externa </w:t>
    </w:r>
    <w:r>
      <w:rPr>
        <w:rFonts w:ascii="Arial" w:hAnsi="Arial" w:cs="Arial"/>
        <w:b/>
        <w:bCs/>
        <w:sz w:val="24"/>
        <w:szCs w:val="24"/>
      </w:rPr>
      <w:t xml:space="preserve">      </w:t>
    </w:r>
    <w:r w:rsidRPr="00966903">
      <w:rPr>
        <w:rFonts w:ascii="Arial" w:hAnsi="Arial" w:cs="Arial"/>
        <w:b/>
        <w:bCs/>
        <w:sz w:val="24"/>
        <w:szCs w:val="24"/>
      </w:rPr>
      <w:t xml:space="preserve"> de 202</w:t>
    </w:r>
    <w:r>
      <w:rPr>
        <w:rFonts w:ascii="Arial" w:hAnsi="Arial" w:cs="Arial"/>
        <w:b/>
        <w:bCs/>
        <w:sz w:val="24"/>
        <w:szCs w:val="24"/>
      </w:rPr>
      <w:t>2</w:t>
    </w:r>
    <w:r w:rsidRPr="00966903">
      <w:rPr>
        <w:rFonts w:ascii="Arial" w:hAnsi="Arial" w:cs="Arial"/>
        <w:b/>
        <w:bCs/>
        <w:sz w:val="24"/>
        <w:szCs w:val="24"/>
      </w:rPr>
      <w:t xml:space="preserve">                                                                Página </w:t>
    </w:r>
    <w:r>
      <w:rPr>
        <w:rFonts w:ascii="Arial" w:hAnsi="Arial" w:cs="Arial"/>
        <w:b/>
        <w:bCs/>
        <w:sz w:val="24"/>
        <w:szCs w:val="24"/>
      </w:rPr>
      <w:t>3</w:t>
    </w:r>
  </w:p>
  <w:p w14:paraId="1A44E3EB" w14:textId="77777777" w:rsidR="00D93B2E" w:rsidRDefault="00D93B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E7D" w14:textId="77777777" w:rsidR="00564B20" w:rsidRDefault="00564B20">
    <w:pPr>
      <w:pStyle w:val="Encabezado"/>
      <w:jc w:val="center"/>
      <w:rPr>
        <w:rFonts w:ascii="Arial" w:hAnsi="Arial" w:cs="Arial"/>
        <w:b/>
        <w:sz w:val="24"/>
        <w:szCs w:val="24"/>
      </w:rPr>
    </w:pPr>
  </w:p>
  <w:p w14:paraId="5A92E170" w14:textId="77777777" w:rsidR="00564B20" w:rsidRDefault="00564B20">
    <w:pPr>
      <w:pStyle w:val="Encabezado"/>
      <w:jc w:val="center"/>
      <w:rPr>
        <w:rFonts w:ascii="Arial" w:hAnsi="Arial" w:cs="Arial"/>
        <w:b/>
        <w:sz w:val="24"/>
        <w:szCs w:val="24"/>
      </w:rPr>
    </w:pPr>
  </w:p>
  <w:p w14:paraId="4FDF7016" w14:textId="77777777" w:rsidR="00564B20" w:rsidRDefault="00564B20">
    <w:pPr>
      <w:pStyle w:val="Encabezado"/>
      <w:jc w:val="center"/>
      <w:rPr>
        <w:rFonts w:ascii="Arial" w:hAnsi="Arial" w:cs="Arial"/>
        <w:b/>
        <w:sz w:val="24"/>
        <w:szCs w:val="24"/>
      </w:rPr>
    </w:pPr>
  </w:p>
  <w:p w14:paraId="49DBD322" w14:textId="77777777" w:rsidR="00564B20" w:rsidRDefault="00564B20">
    <w:pPr>
      <w:pStyle w:val="Encabezado"/>
      <w:jc w:val="center"/>
      <w:rPr>
        <w:rFonts w:ascii="Arial" w:hAnsi="Arial" w:cs="Arial"/>
        <w:b/>
        <w:sz w:val="24"/>
        <w:szCs w:val="24"/>
      </w:rPr>
    </w:pPr>
    <w:r>
      <w:rPr>
        <w:rFonts w:ascii="Arial" w:hAnsi="Arial" w:cs="Arial"/>
        <w:b/>
        <w:sz w:val="24"/>
        <w:szCs w:val="24"/>
      </w:rPr>
      <w:t>SUPERINTENDENCIA FINANCIERA DE COLOMBIA</w:t>
    </w:r>
  </w:p>
  <w:p w14:paraId="113FA2B6" w14:textId="77777777" w:rsidR="00564B20" w:rsidRDefault="00564B20">
    <w:pPr>
      <w:pStyle w:val="Encabezado"/>
      <w:jc w:val="center"/>
      <w:rPr>
        <w:rFonts w:ascii="Arial" w:hAnsi="Arial" w:cs="Arial"/>
        <w:b/>
        <w:bCs/>
        <w:sz w:val="24"/>
        <w:szCs w:val="24"/>
        <w:lang w:val="es-CO"/>
      </w:rPr>
    </w:pPr>
  </w:p>
  <w:p w14:paraId="5151CE0C" w14:textId="77777777" w:rsidR="00564B20" w:rsidRDefault="00564B20">
    <w:pPr>
      <w:pStyle w:val="Encabezado"/>
      <w:jc w:val="both"/>
      <w:rPr>
        <w:rFonts w:ascii="Arial" w:hAnsi="Arial" w:cs="Arial"/>
        <w:b/>
        <w:bCs/>
        <w:sz w:val="24"/>
        <w:szCs w:val="24"/>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70" w:type="dxa"/>
        <w:right w:w="70" w:type="dxa"/>
      </w:tblCellMar>
      <w:tblLook w:val="0000" w:firstRow="0" w:lastRow="0" w:firstColumn="0" w:lastColumn="0" w:noHBand="0" w:noVBand="0"/>
    </w:tblPr>
    <w:tblGrid>
      <w:gridCol w:w="2256"/>
      <w:gridCol w:w="4399"/>
      <w:gridCol w:w="2052"/>
    </w:tblGrid>
    <w:tr w:rsidR="00564B20" w14:paraId="7BBA85CC" w14:textId="77777777" w:rsidTr="0044428D">
      <w:trPr>
        <w:cantSplit/>
        <w:trHeight w:val="699"/>
      </w:trPr>
      <w:tc>
        <w:tcPr>
          <w:tcW w:w="2055" w:type="dxa"/>
          <w:vMerge w:val="restart"/>
          <w:noWrap/>
          <w:vAlign w:val="bottom"/>
        </w:tcPr>
        <w:p w14:paraId="394121B9" w14:textId="5C4FB6D7" w:rsidR="00564B20" w:rsidRDefault="00564B20" w:rsidP="000F6CB5">
          <w:pPr>
            <w:rPr>
              <w:rFonts w:cs="Arial"/>
              <w:sz w:val="2"/>
              <w:szCs w:val="2"/>
              <w:lang w:val="es-CO"/>
            </w:rPr>
          </w:pPr>
        </w:p>
        <w:p w14:paraId="12B78689" w14:textId="77777777" w:rsidR="00564B20" w:rsidRDefault="00564B20" w:rsidP="000F6CB5">
          <w:pPr>
            <w:rPr>
              <w:rFonts w:cs="Arial"/>
              <w:sz w:val="2"/>
              <w:szCs w:val="2"/>
              <w:lang w:val="es-CO"/>
            </w:rPr>
          </w:pPr>
        </w:p>
        <w:p w14:paraId="25B0DE75" w14:textId="77777777" w:rsidR="00564B20" w:rsidRDefault="00564B20" w:rsidP="000F6CB5">
          <w:pPr>
            <w:rPr>
              <w:rFonts w:cs="Arial"/>
              <w:sz w:val="2"/>
              <w:szCs w:val="2"/>
              <w:lang w:val="es-CO"/>
            </w:rPr>
          </w:pPr>
        </w:p>
        <w:p w14:paraId="0D52FA2F" w14:textId="77777777" w:rsidR="00564B20" w:rsidRDefault="00564B20" w:rsidP="000F6CB5">
          <w:pPr>
            <w:rPr>
              <w:rFonts w:cs="Arial"/>
              <w:sz w:val="2"/>
              <w:szCs w:val="2"/>
              <w:lang w:val="es-CO"/>
            </w:rPr>
          </w:pPr>
        </w:p>
        <w:p w14:paraId="4354A215" w14:textId="4E571AD2" w:rsidR="00564B20" w:rsidRDefault="00342400" w:rsidP="000F6CB5">
          <w:pPr>
            <w:rPr>
              <w:rFonts w:cs="Arial"/>
              <w:sz w:val="2"/>
              <w:szCs w:val="2"/>
              <w:lang w:val="es-CO"/>
            </w:rPr>
          </w:pPr>
          <w:r>
            <w:rPr>
              <w:rFonts w:ascii="Arial" w:hAnsi="Arial" w:cs="Arial"/>
              <w:noProof/>
              <w:color w:val="000000"/>
              <w:lang w:eastAsia="es-CO"/>
            </w:rPr>
            <w:drawing>
              <wp:inline distT="0" distB="0" distL="0" distR="0" wp14:anchorId="4957C518" wp14:editId="65FDA2B0">
                <wp:extent cx="1343660" cy="4851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485140"/>
                        </a:xfrm>
                        <a:prstGeom prst="rect">
                          <a:avLst/>
                        </a:prstGeom>
                        <a:noFill/>
                        <a:ln>
                          <a:noFill/>
                        </a:ln>
                      </pic:spPr>
                    </pic:pic>
                  </a:graphicData>
                </a:graphic>
              </wp:inline>
            </w:drawing>
          </w:r>
        </w:p>
      </w:tc>
      <w:tc>
        <w:tcPr>
          <w:tcW w:w="4399" w:type="dxa"/>
          <w:shd w:val="clear" w:color="auto" w:fill="FFFFFF"/>
          <w:noWrap/>
          <w:vAlign w:val="center"/>
        </w:tcPr>
        <w:p w14:paraId="20DAE4A2" w14:textId="77777777" w:rsidR="00564B20" w:rsidRDefault="00564B20" w:rsidP="000F6CB5">
          <w:pPr>
            <w:jc w:val="center"/>
            <w:rPr>
              <w:rFonts w:ascii="Arial" w:hAnsi="Arial" w:cs="Arial"/>
              <w:b/>
              <w:sz w:val="32"/>
              <w:szCs w:val="32"/>
              <w:lang w:val="es-CO"/>
            </w:rPr>
          </w:pPr>
          <w:r>
            <w:rPr>
              <w:rFonts w:ascii="Arial" w:hAnsi="Arial" w:cs="Arial"/>
              <w:b/>
              <w:sz w:val="32"/>
              <w:szCs w:val="32"/>
              <w:lang w:val="es-CO"/>
            </w:rPr>
            <w:t>PROFORMA INTERNA</w:t>
          </w:r>
        </w:p>
      </w:tc>
      <w:tc>
        <w:tcPr>
          <w:tcW w:w="2052" w:type="dxa"/>
          <w:shd w:val="clear" w:color="auto" w:fill="FFFFFF"/>
          <w:noWrap/>
          <w:vAlign w:val="center"/>
        </w:tcPr>
        <w:p w14:paraId="0881EF00" w14:textId="77777777" w:rsidR="00564B20" w:rsidRDefault="00564B20" w:rsidP="000F6CB5">
          <w:pPr>
            <w:jc w:val="center"/>
            <w:rPr>
              <w:rFonts w:ascii="Arial" w:hAnsi="Arial" w:cs="Arial"/>
              <w:lang w:val="es-CO"/>
            </w:rPr>
          </w:pPr>
          <w:r>
            <w:rPr>
              <w:rFonts w:ascii="Arial" w:hAnsi="Arial" w:cs="Arial"/>
              <w:bCs/>
            </w:rPr>
            <w:t>E-PI-DDS-002</w:t>
          </w:r>
        </w:p>
      </w:tc>
    </w:tr>
    <w:tr w:rsidR="00564B20" w14:paraId="5E9605DE" w14:textId="77777777" w:rsidTr="00043B3D">
      <w:trPr>
        <w:cantSplit/>
        <w:trHeight w:val="378"/>
      </w:trPr>
      <w:tc>
        <w:tcPr>
          <w:tcW w:w="2055" w:type="dxa"/>
          <w:vMerge/>
          <w:noWrap/>
          <w:vAlign w:val="bottom"/>
        </w:tcPr>
        <w:p w14:paraId="3DABE928" w14:textId="77777777" w:rsidR="00564B20" w:rsidRDefault="00564B20" w:rsidP="000F6CB5">
          <w:pPr>
            <w:rPr>
              <w:rFonts w:cs="Arial"/>
              <w:color w:val="FFFFFF"/>
              <w:lang w:val="es-CO"/>
            </w:rPr>
          </w:pPr>
        </w:p>
      </w:tc>
      <w:tc>
        <w:tcPr>
          <w:tcW w:w="4399" w:type="dxa"/>
          <w:vAlign w:val="center"/>
        </w:tcPr>
        <w:p w14:paraId="071C7BBA" w14:textId="77777777" w:rsidR="00564B20" w:rsidRDefault="00564B20" w:rsidP="00564B20">
          <w:pPr>
            <w:pStyle w:val="Ttulo2"/>
            <w:jc w:val="center"/>
            <w:rPr>
              <w:rFonts w:cs="Arial"/>
            </w:rPr>
          </w:pPr>
          <w:r>
            <w:rPr>
              <w:rFonts w:cs="Arial"/>
            </w:rPr>
            <w:t>PUBLICACIÓN PARA COMENTARIOS</w:t>
          </w:r>
          <w:r w:rsidR="002B6E99">
            <w:rPr>
              <w:rFonts w:cs="Arial"/>
            </w:rPr>
            <w:t xml:space="preserve"> NORMA</w:t>
          </w:r>
        </w:p>
      </w:tc>
      <w:tc>
        <w:tcPr>
          <w:tcW w:w="2052" w:type="dxa"/>
          <w:shd w:val="clear" w:color="auto" w:fill="FFFFFF"/>
          <w:noWrap/>
          <w:vAlign w:val="center"/>
        </w:tcPr>
        <w:p w14:paraId="6AC33A07" w14:textId="77777777" w:rsidR="00564B20" w:rsidRDefault="00564B20" w:rsidP="000F6CB5">
          <w:pPr>
            <w:jc w:val="center"/>
            <w:rPr>
              <w:rFonts w:ascii="Arial" w:hAnsi="Arial" w:cs="Arial"/>
              <w:lang w:val="es-CO"/>
            </w:rPr>
          </w:pPr>
          <w:r>
            <w:rPr>
              <w:rFonts w:ascii="Arial" w:hAnsi="Arial" w:cs="Arial"/>
              <w:bCs/>
            </w:rPr>
            <w:t xml:space="preserve">Versión </w:t>
          </w:r>
          <w:r w:rsidR="001922C8">
            <w:rPr>
              <w:rFonts w:ascii="Arial" w:hAnsi="Arial" w:cs="Arial"/>
              <w:bCs/>
            </w:rPr>
            <w:t>5</w:t>
          </w:r>
        </w:p>
      </w:tc>
    </w:tr>
  </w:tbl>
  <w:p w14:paraId="3C6C01FF" w14:textId="77777777" w:rsidR="00564B20" w:rsidRDefault="00564B20" w:rsidP="00564B20">
    <w:pPr>
      <w:pStyle w:val="Encabezado"/>
      <w:rPr>
        <w:rFonts w:ascii="Arial" w:hAnsi="Arial" w:cs="Arial"/>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4A91" w14:textId="77777777" w:rsidR="00D93B2E" w:rsidRPr="00966903" w:rsidRDefault="00D93B2E" w:rsidP="00D93B2E">
    <w:pPr>
      <w:pStyle w:val="Encabezado"/>
      <w:jc w:val="center"/>
      <w:rPr>
        <w:rFonts w:ascii="Arial" w:hAnsi="Arial" w:cs="Arial"/>
        <w:b/>
        <w:bCs/>
        <w:sz w:val="24"/>
        <w:szCs w:val="24"/>
        <w:lang w:val="es-ES"/>
      </w:rPr>
    </w:pPr>
    <w:r w:rsidRPr="00966903">
      <w:rPr>
        <w:rFonts w:ascii="Arial" w:hAnsi="Arial" w:cs="Arial"/>
        <w:b/>
        <w:bCs/>
        <w:sz w:val="24"/>
        <w:szCs w:val="24"/>
        <w:lang w:val="es-ES"/>
      </w:rPr>
      <w:t>SUPERINTENDENCIA FINANCIERA DE COLOMBIA</w:t>
    </w:r>
  </w:p>
  <w:p w14:paraId="665295C2" w14:textId="77777777" w:rsidR="00D93B2E" w:rsidRDefault="00D93B2E" w:rsidP="00D93B2E">
    <w:pPr>
      <w:pStyle w:val="Encabezado"/>
      <w:jc w:val="center"/>
      <w:rPr>
        <w:rFonts w:cs="Arial"/>
        <w:b/>
        <w:bCs/>
        <w:sz w:val="22"/>
        <w:szCs w:val="22"/>
        <w:lang w:val="es-ES"/>
      </w:rPr>
    </w:pPr>
  </w:p>
  <w:p w14:paraId="094821B3" w14:textId="77777777" w:rsidR="00D93B2E" w:rsidRPr="00966903" w:rsidRDefault="00D93B2E" w:rsidP="00D93B2E">
    <w:pPr>
      <w:pStyle w:val="Piedepgina"/>
      <w:rPr>
        <w:rFonts w:ascii="Arial" w:hAnsi="Arial" w:cs="Arial"/>
        <w:b/>
        <w:bCs/>
        <w:sz w:val="24"/>
        <w:szCs w:val="24"/>
      </w:rPr>
    </w:pPr>
    <w:r w:rsidRPr="00966903">
      <w:rPr>
        <w:rFonts w:ascii="Arial" w:hAnsi="Arial" w:cs="Arial"/>
        <w:b/>
        <w:bCs/>
        <w:sz w:val="24"/>
        <w:szCs w:val="24"/>
      </w:rPr>
      <w:t xml:space="preserve">Circular Externa </w:t>
    </w:r>
    <w:r>
      <w:rPr>
        <w:rFonts w:ascii="Arial" w:hAnsi="Arial" w:cs="Arial"/>
        <w:b/>
        <w:bCs/>
        <w:sz w:val="24"/>
        <w:szCs w:val="24"/>
      </w:rPr>
      <w:t xml:space="preserve">      </w:t>
    </w:r>
    <w:r w:rsidRPr="00966903">
      <w:rPr>
        <w:rFonts w:ascii="Arial" w:hAnsi="Arial" w:cs="Arial"/>
        <w:b/>
        <w:bCs/>
        <w:sz w:val="24"/>
        <w:szCs w:val="24"/>
      </w:rPr>
      <w:t xml:space="preserve"> de 202</w:t>
    </w:r>
    <w:r>
      <w:rPr>
        <w:rFonts w:ascii="Arial" w:hAnsi="Arial" w:cs="Arial"/>
        <w:b/>
        <w:bCs/>
        <w:sz w:val="24"/>
        <w:szCs w:val="24"/>
      </w:rPr>
      <w:t>2</w:t>
    </w:r>
    <w:r w:rsidRPr="00966903">
      <w:rPr>
        <w:rFonts w:ascii="Arial" w:hAnsi="Arial" w:cs="Arial"/>
        <w:b/>
        <w:bCs/>
        <w:sz w:val="24"/>
        <w:szCs w:val="24"/>
      </w:rPr>
      <w:t xml:space="preserve">                                                                Página </w:t>
    </w:r>
    <w:r>
      <w:rPr>
        <w:rFonts w:ascii="Arial" w:hAnsi="Arial" w:cs="Arial"/>
        <w:b/>
        <w:bCs/>
        <w:sz w:val="24"/>
        <w:szCs w:val="24"/>
      </w:rPr>
      <w:t>3</w:t>
    </w:r>
  </w:p>
  <w:p w14:paraId="2F418AEC" w14:textId="77777777" w:rsidR="00D93B2E" w:rsidRDefault="00D93B2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E57C" w14:textId="77777777" w:rsidR="00DD342D" w:rsidRPr="00966903" w:rsidRDefault="00DD342D" w:rsidP="00DD342D">
    <w:pPr>
      <w:pStyle w:val="Encabezado"/>
      <w:jc w:val="center"/>
      <w:rPr>
        <w:rFonts w:ascii="Arial" w:hAnsi="Arial" w:cs="Arial"/>
        <w:b/>
        <w:bCs/>
        <w:sz w:val="24"/>
        <w:szCs w:val="24"/>
        <w:lang w:val="es-ES"/>
      </w:rPr>
    </w:pPr>
    <w:r w:rsidRPr="00966903">
      <w:rPr>
        <w:rFonts w:ascii="Arial" w:hAnsi="Arial" w:cs="Arial"/>
        <w:b/>
        <w:bCs/>
        <w:sz w:val="24"/>
        <w:szCs w:val="24"/>
        <w:lang w:val="es-ES"/>
      </w:rPr>
      <w:t>SUPERINTENDENCIA FINANCIERA DE COLOMBIA</w:t>
    </w:r>
  </w:p>
  <w:p w14:paraId="7C2FCB7E" w14:textId="77777777" w:rsidR="00DD342D" w:rsidRDefault="00DD342D" w:rsidP="00DD342D">
    <w:pPr>
      <w:pStyle w:val="Encabezado"/>
      <w:jc w:val="center"/>
      <w:rPr>
        <w:rFonts w:cs="Arial"/>
        <w:b/>
        <w:bCs/>
        <w:sz w:val="22"/>
        <w:szCs w:val="22"/>
        <w:lang w:val="es-ES"/>
      </w:rPr>
    </w:pPr>
  </w:p>
  <w:p w14:paraId="509E8DF1" w14:textId="21A9ED0C" w:rsidR="00DD342D" w:rsidRPr="00966903" w:rsidRDefault="00DD342D" w:rsidP="00DD342D">
    <w:pPr>
      <w:pStyle w:val="Piedepgina"/>
      <w:rPr>
        <w:rFonts w:ascii="Arial" w:hAnsi="Arial" w:cs="Arial"/>
        <w:b/>
        <w:bCs/>
        <w:sz w:val="24"/>
        <w:szCs w:val="24"/>
      </w:rPr>
    </w:pPr>
    <w:r w:rsidRPr="00966903">
      <w:rPr>
        <w:rFonts w:ascii="Arial" w:hAnsi="Arial" w:cs="Arial"/>
        <w:b/>
        <w:bCs/>
        <w:sz w:val="24"/>
        <w:szCs w:val="24"/>
      </w:rPr>
      <w:t xml:space="preserve">Circular Externa </w:t>
    </w:r>
    <w:r w:rsidR="00A74FE2">
      <w:rPr>
        <w:rFonts w:ascii="Arial" w:hAnsi="Arial" w:cs="Arial"/>
        <w:b/>
        <w:bCs/>
        <w:sz w:val="24"/>
        <w:szCs w:val="24"/>
      </w:rPr>
      <w:t xml:space="preserve">      </w:t>
    </w:r>
    <w:r w:rsidRPr="00966903">
      <w:rPr>
        <w:rFonts w:ascii="Arial" w:hAnsi="Arial" w:cs="Arial"/>
        <w:b/>
        <w:bCs/>
        <w:sz w:val="24"/>
        <w:szCs w:val="24"/>
      </w:rPr>
      <w:t xml:space="preserve"> de 202</w:t>
    </w:r>
    <w:r w:rsidR="00966903">
      <w:rPr>
        <w:rFonts w:ascii="Arial" w:hAnsi="Arial" w:cs="Arial"/>
        <w:b/>
        <w:bCs/>
        <w:sz w:val="24"/>
        <w:szCs w:val="24"/>
      </w:rPr>
      <w:t>2</w:t>
    </w:r>
    <w:r w:rsidRPr="00966903">
      <w:rPr>
        <w:rFonts w:ascii="Arial" w:hAnsi="Arial" w:cs="Arial"/>
        <w:b/>
        <w:bCs/>
        <w:sz w:val="24"/>
        <w:szCs w:val="24"/>
      </w:rPr>
      <w:t xml:space="preserve">                                                                Página </w:t>
    </w:r>
    <w:r w:rsidR="00D93B2E">
      <w:rPr>
        <w:rFonts w:ascii="Arial" w:hAnsi="Arial" w:cs="Arial"/>
        <w:b/>
        <w:bCs/>
        <w:sz w:val="24"/>
        <w:szCs w:val="24"/>
      </w:rPr>
      <w:t>2</w:t>
    </w:r>
  </w:p>
  <w:p w14:paraId="6DB8496A" w14:textId="77777777" w:rsidR="00DD342D" w:rsidRPr="00F83A3A" w:rsidRDefault="00DD342D" w:rsidP="00DD342D">
    <w:pPr>
      <w:pStyle w:val="Encabezado"/>
      <w:jc w:val="center"/>
      <w:rPr>
        <w:rFonts w:cs="Arial"/>
        <w:b/>
        <w:bCs/>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43BD" w14:textId="77777777" w:rsidR="00DD342D" w:rsidRPr="00964900" w:rsidRDefault="00DD342D" w:rsidP="00DD342D">
    <w:pPr>
      <w:pStyle w:val="Encabezado"/>
      <w:jc w:val="center"/>
      <w:rPr>
        <w:rFonts w:ascii="Arial" w:hAnsi="Arial" w:cs="Arial"/>
        <w:b/>
        <w:bCs/>
        <w:sz w:val="24"/>
        <w:szCs w:val="24"/>
        <w:lang w:val="es-ES"/>
      </w:rPr>
    </w:pPr>
    <w:bookmarkStart w:id="5" w:name="_Hlk96325164"/>
    <w:bookmarkStart w:id="6" w:name="_Hlk96325165"/>
    <w:bookmarkStart w:id="7" w:name="_Hlk96325166"/>
    <w:bookmarkStart w:id="8" w:name="_Hlk96325167"/>
    <w:bookmarkStart w:id="9" w:name="_Hlk96325168"/>
    <w:bookmarkStart w:id="10" w:name="_Hlk96325169"/>
    <w:bookmarkStart w:id="11" w:name="_Hlk96325170"/>
    <w:bookmarkStart w:id="12" w:name="_Hlk96325171"/>
    <w:bookmarkStart w:id="13" w:name="_Hlk96325172"/>
    <w:bookmarkStart w:id="14" w:name="_Hlk96325173"/>
    <w:bookmarkStart w:id="15" w:name="_Hlk96325174"/>
    <w:bookmarkStart w:id="16" w:name="_Hlk96325175"/>
    <w:bookmarkStart w:id="17" w:name="_Hlk96325176"/>
    <w:bookmarkStart w:id="18" w:name="_Hlk96325177"/>
    <w:r w:rsidRPr="00964900">
      <w:rPr>
        <w:rFonts w:ascii="Arial" w:hAnsi="Arial" w:cs="Arial"/>
        <w:b/>
        <w:bCs/>
        <w:sz w:val="24"/>
        <w:szCs w:val="24"/>
        <w:lang w:val="es-ES"/>
      </w:rPr>
      <w:t>SUPERINTENDENCIA FINANCIERA DE COLOMBIA</w:t>
    </w:r>
    <w:bookmarkEnd w:id="5"/>
    <w:bookmarkEnd w:id="6"/>
    <w:bookmarkEnd w:id="7"/>
    <w:bookmarkEnd w:id="8"/>
    <w:bookmarkEnd w:id="9"/>
    <w:bookmarkEnd w:id="10"/>
    <w:bookmarkEnd w:id="11"/>
    <w:bookmarkEnd w:id="12"/>
    <w:bookmarkEnd w:id="13"/>
    <w:bookmarkEnd w:id="14"/>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D0C1AF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DF2FD7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E8C2D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8E663A"/>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9B34927"/>
    <w:multiLevelType w:val="hybridMultilevel"/>
    <w:tmpl w:val="30DCF93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A3A01D9"/>
    <w:multiLevelType w:val="hybridMultilevel"/>
    <w:tmpl w:val="0B922468"/>
    <w:lvl w:ilvl="0" w:tplc="0C0A0017">
      <w:start w:val="1"/>
      <w:numFmt w:val="lowerLetter"/>
      <w:lvlText w:val="%1)"/>
      <w:lvlJc w:val="left"/>
      <w:pPr>
        <w:tabs>
          <w:tab w:val="num" w:pos="780"/>
        </w:tabs>
        <w:ind w:left="7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612D9E"/>
    <w:multiLevelType w:val="hybridMultilevel"/>
    <w:tmpl w:val="6BB0E05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D0B79"/>
    <w:multiLevelType w:val="hybridMultilevel"/>
    <w:tmpl w:val="E44CFC80"/>
    <w:lvl w:ilvl="0" w:tplc="0C0A0013">
      <w:start w:val="1"/>
      <w:numFmt w:val="upperRoman"/>
      <w:lvlText w:val="%1."/>
      <w:lvlJc w:val="right"/>
      <w:pPr>
        <w:tabs>
          <w:tab w:val="num" w:pos="888"/>
        </w:tabs>
        <w:ind w:left="888" w:hanging="18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172A512A"/>
    <w:multiLevelType w:val="hybridMultilevel"/>
    <w:tmpl w:val="8A0E9EF0"/>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8191A1E"/>
    <w:multiLevelType w:val="hybridMultilevel"/>
    <w:tmpl w:val="53F436C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9FA44CB"/>
    <w:multiLevelType w:val="hybridMultilevel"/>
    <w:tmpl w:val="CF5C7240"/>
    <w:lvl w:ilvl="0" w:tplc="BF164162">
      <w:start w:val="1"/>
      <w:numFmt w:val="decimal"/>
      <w:lvlText w:val="%1."/>
      <w:lvlJc w:val="left"/>
      <w:pPr>
        <w:tabs>
          <w:tab w:val="num" w:pos="735"/>
        </w:tabs>
        <w:ind w:left="735" w:hanging="37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1AF134F7"/>
    <w:multiLevelType w:val="hybridMultilevel"/>
    <w:tmpl w:val="3E8E1808"/>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1D3A7546"/>
    <w:multiLevelType w:val="hybridMultilevel"/>
    <w:tmpl w:val="B2C8346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D8104C5"/>
    <w:multiLevelType w:val="hybridMultilevel"/>
    <w:tmpl w:val="2CF89FE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69A0E11"/>
    <w:multiLevelType w:val="hybridMultilevel"/>
    <w:tmpl w:val="B430025A"/>
    <w:lvl w:ilvl="0" w:tplc="0C0A0017">
      <w:start w:val="1"/>
      <w:numFmt w:val="lowerLetter"/>
      <w:lvlText w:val="%1)"/>
      <w:lvlJc w:val="left"/>
      <w:pPr>
        <w:tabs>
          <w:tab w:val="num" w:pos="780"/>
        </w:tabs>
        <w:ind w:left="780" w:hanging="360"/>
      </w:pPr>
      <w:rPr>
        <w:rFont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E4728A8"/>
    <w:multiLevelType w:val="hybridMultilevel"/>
    <w:tmpl w:val="CAD03AB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01D7CDD"/>
    <w:multiLevelType w:val="hybridMultilevel"/>
    <w:tmpl w:val="E72E6E9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DF4013"/>
    <w:multiLevelType w:val="multilevel"/>
    <w:tmpl w:val="8A0E9E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D21AAD"/>
    <w:multiLevelType w:val="hybridMultilevel"/>
    <w:tmpl w:val="44862A6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4F85712"/>
    <w:multiLevelType w:val="hybridMultilevel"/>
    <w:tmpl w:val="A54CEF96"/>
    <w:lvl w:ilvl="0" w:tplc="0C0A0017">
      <w:start w:val="1"/>
      <w:numFmt w:val="lowerLetter"/>
      <w:lvlText w:val="%1)"/>
      <w:lvlJc w:val="left"/>
      <w:pPr>
        <w:tabs>
          <w:tab w:val="num" w:pos="720"/>
        </w:tabs>
        <w:ind w:left="720" w:hanging="360"/>
      </w:pPr>
    </w:lvl>
    <w:lvl w:ilvl="1" w:tplc="0C0A0013">
      <w:start w:val="1"/>
      <w:numFmt w:val="upperRoman"/>
      <w:lvlText w:val="%2."/>
      <w:lvlJc w:val="right"/>
      <w:pPr>
        <w:tabs>
          <w:tab w:val="num" w:pos="1260"/>
        </w:tabs>
        <w:ind w:left="1260" w:hanging="18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7B443EF"/>
    <w:multiLevelType w:val="hybridMultilevel"/>
    <w:tmpl w:val="EFCE72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82D43CF"/>
    <w:multiLevelType w:val="hybridMultilevel"/>
    <w:tmpl w:val="445AA5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87B0AFD"/>
    <w:multiLevelType w:val="hybridMultilevel"/>
    <w:tmpl w:val="9722749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AFF01A2"/>
    <w:multiLevelType w:val="hybridMultilevel"/>
    <w:tmpl w:val="8B5E31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CBA6D62"/>
    <w:multiLevelType w:val="multilevel"/>
    <w:tmpl w:val="5C7ED5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1080"/>
        </w:tabs>
        <w:ind w:left="792" w:hanging="792"/>
      </w:pPr>
      <w:rPr>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AD693B"/>
    <w:multiLevelType w:val="hybridMultilevel"/>
    <w:tmpl w:val="AE50D61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4A70876"/>
    <w:multiLevelType w:val="hybridMultilevel"/>
    <w:tmpl w:val="938E1D16"/>
    <w:lvl w:ilvl="0" w:tplc="0C0A0017">
      <w:start w:val="1"/>
      <w:numFmt w:val="lowerLetter"/>
      <w:lvlText w:val="%1)"/>
      <w:lvlJc w:val="left"/>
      <w:pPr>
        <w:tabs>
          <w:tab w:val="num" w:pos="780"/>
        </w:tabs>
        <w:ind w:left="780" w:hanging="360"/>
      </w:pPr>
      <w:rPr>
        <w:rFont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6CC4116"/>
    <w:multiLevelType w:val="hybridMultilevel"/>
    <w:tmpl w:val="5B54FC5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7624985"/>
    <w:multiLevelType w:val="hybridMultilevel"/>
    <w:tmpl w:val="5E8EE62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84006FA"/>
    <w:multiLevelType w:val="hybridMultilevel"/>
    <w:tmpl w:val="C64849B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973088C"/>
    <w:multiLevelType w:val="hybridMultilevel"/>
    <w:tmpl w:val="4498F6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9CC629C"/>
    <w:multiLevelType w:val="hybridMultilevel"/>
    <w:tmpl w:val="9D9A84E6"/>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9F5CA5"/>
    <w:multiLevelType w:val="hybridMultilevel"/>
    <w:tmpl w:val="F6245B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02B513A"/>
    <w:multiLevelType w:val="hybridMultilevel"/>
    <w:tmpl w:val="1904FB1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0551AEE"/>
    <w:multiLevelType w:val="hybridMultilevel"/>
    <w:tmpl w:val="C7A47672"/>
    <w:lvl w:ilvl="0" w:tplc="0C0A0013">
      <w:start w:val="1"/>
      <w:numFmt w:val="upperRoman"/>
      <w:lvlText w:val="%1."/>
      <w:lvlJc w:val="right"/>
      <w:pPr>
        <w:tabs>
          <w:tab w:val="num" w:pos="888"/>
        </w:tabs>
        <w:ind w:left="888" w:hanging="180"/>
      </w:p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35" w15:restartNumberingAfterBreak="0">
    <w:nsid w:val="516C7077"/>
    <w:multiLevelType w:val="hybridMultilevel"/>
    <w:tmpl w:val="6106BD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7464E09"/>
    <w:multiLevelType w:val="hybridMultilevel"/>
    <w:tmpl w:val="C7F48FBC"/>
    <w:lvl w:ilvl="0" w:tplc="0C0A0017">
      <w:start w:val="1"/>
      <w:numFmt w:val="lowerLetter"/>
      <w:lvlText w:val="%1)"/>
      <w:lvlJc w:val="left"/>
      <w:pPr>
        <w:tabs>
          <w:tab w:val="num" w:pos="780"/>
        </w:tabs>
        <w:ind w:left="780" w:hanging="360"/>
      </w:pPr>
      <w:rPr>
        <w:rFont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D113109"/>
    <w:multiLevelType w:val="hybridMultilevel"/>
    <w:tmpl w:val="CC52EFAA"/>
    <w:lvl w:ilvl="0" w:tplc="0C0A000F">
      <w:start w:val="1"/>
      <w:numFmt w:val="decimal"/>
      <w:lvlText w:val="%1."/>
      <w:lvlJc w:val="left"/>
      <w:pPr>
        <w:tabs>
          <w:tab w:val="num" w:pos="1080"/>
        </w:tabs>
        <w:ind w:left="10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E216F8F"/>
    <w:multiLevelType w:val="hybridMultilevel"/>
    <w:tmpl w:val="25CC766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F504CF4"/>
    <w:multiLevelType w:val="hybridMultilevel"/>
    <w:tmpl w:val="F09C195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00E4B8E"/>
    <w:multiLevelType w:val="hybridMultilevel"/>
    <w:tmpl w:val="6AB2C958"/>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76B3339"/>
    <w:multiLevelType w:val="multilevel"/>
    <w:tmpl w:val="03A07D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37C28A3"/>
    <w:multiLevelType w:val="hybridMultilevel"/>
    <w:tmpl w:val="A3FA5AAA"/>
    <w:lvl w:ilvl="0" w:tplc="80140466">
      <w:start w:val="1"/>
      <w:numFmt w:val="decimal"/>
      <w:lvlText w:val="%1."/>
      <w:lvlJc w:val="left"/>
      <w:pPr>
        <w:tabs>
          <w:tab w:val="num" w:pos="705"/>
        </w:tabs>
        <w:ind w:left="705" w:hanging="705"/>
      </w:pPr>
      <w:rPr>
        <w:rFonts w:hint="default"/>
      </w:rPr>
    </w:lvl>
    <w:lvl w:ilvl="1" w:tplc="314ECA26">
      <w:numFmt w:val="none"/>
      <w:lvlText w:val=""/>
      <w:lvlJc w:val="left"/>
      <w:pPr>
        <w:tabs>
          <w:tab w:val="num" w:pos="360"/>
        </w:tabs>
      </w:pPr>
    </w:lvl>
    <w:lvl w:ilvl="2" w:tplc="CB1A406C">
      <w:numFmt w:val="none"/>
      <w:lvlText w:val=""/>
      <w:lvlJc w:val="left"/>
      <w:pPr>
        <w:tabs>
          <w:tab w:val="num" w:pos="360"/>
        </w:tabs>
      </w:pPr>
    </w:lvl>
    <w:lvl w:ilvl="3" w:tplc="E1AC11EE">
      <w:numFmt w:val="none"/>
      <w:lvlText w:val=""/>
      <w:lvlJc w:val="left"/>
      <w:pPr>
        <w:tabs>
          <w:tab w:val="num" w:pos="360"/>
        </w:tabs>
      </w:pPr>
    </w:lvl>
    <w:lvl w:ilvl="4" w:tplc="48262BF2">
      <w:numFmt w:val="none"/>
      <w:lvlText w:val=""/>
      <w:lvlJc w:val="left"/>
      <w:pPr>
        <w:tabs>
          <w:tab w:val="num" w:pos="360"/>
        </w:tabs>
      </w:pPr>
    </w:lvl>
    <w:lvl w:ilvl="5" w:tplc="2BACD2E4">
      <w:numFmt w:val="none"/>
      <w:lvlText w:val=""/>
      <w:lvlJc w:val="left"/>
      <w:pPr>
        <w:tabs>
          <w:tab w:val="num" w:pos="360"/>
        </w:tabs>
      </w:pPr>
    </w:lvl>
    <w:lvl w:ilvl="6" w:tplc="F32ED814">
      <w:numFmt w:val="none"/>
      <w:lvlText w:val=""/>
      <w:lvlJc w:val="left"/>
      <w:pPr>
        <w:tabs>
          <w:tab w:val="num" w:pos="360"/>
        </w:tabs>
      </w:pPr>
    </w:lvl>
    <w:lvl w:ilvl="7" w:tplc="F6106BE8">
      <w:numFmt w:val="none"/>
      <w:lvlText w:val=""/>
      <w:lvlJc w:val="left"/>
      <w:pPr>
        <w:tabs>
          <w:tab w:val="num" w:pos="360"/>
        </w:tabs>
      </w:pPr>
    </w:lvl>
    <w:lvl w:ilvl="8" w:tplc="328ED670">
      <w:numFmt w:val="none"/>
      <w:lvlText w:val=""/>
      <w:lvlJc w:val="left"/>
      <w:pPr>
        <w:tabs>
          <w:tab w:val="num" w:pos="360"/>
        </w:tabs>
      </w:pPr>
    </w:lvl>
  </w:abstractNum>
  <w:abstractNum w:abstractNumId="43" w15:restartNumberingAfterBreak="0">
    <w:nsid w:val="756862E7"/>
    <w:multiLevelType w:val="hybridMultilevel"/>
    <w:tmpl w:val="FA3680B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8D31AA8"/>
    <w:multiLevelType w:val="hybridMultilevel"/>
    <w:tmpl w:val="8AE025F6"/>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15:restartNumberingAfterBreak="0">
    <w:nsid w:val="7ED3412C"/>
    <w:multiLevelType w:val="hybridMultilevel"/>
    <w:tmpl w:val="9B2A11D2"/>
    <w:lvl w:ilvl="0" w:tplc="0C0A0013">
      <w:start w:val="1"/>
      <w:numFmt w:val="upperRoman"/>
      <w:lvlText w:val="%1."/>
      <w:lvlJc w:val="right"/>
      <w:pPr>
        <w:tabs>
          <w:tab w:val="num" w:pos="888"/>
        </w:tabs>
        <w:ind w:left="888" w:hanging="18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16cid:durableId="1735810629">
    <w:abstractNumId w:val="10"/>
  </w:num>
  <w:num w:numId="2" w16cid:durableId="1314141223">
    <w:abstractNumId w:val="42"/>
  </w:num>
  <w:num w:numId="3" w16cid:durableId="1941982206">
    <w:abstractNumId w:val="27"/>
  </w:num>
  <w:num w:numId="4" w16cid:durableId="643312110">
    <w:abstractNumId w:val="2"/>
  </w:num>
  <w:num w:numId="5" w16cid:durableId="1314288302">
    <w:abstractNumId w:val="1"/>
  </w:num>
  <w:num w:numId="6" w16cid:durableId="1624996556">
    <w:abstractNumId w:val="0"/>
  </w:num>
  <w:num w:numId="7" w16cid:durableId="718356836">
    <w:abstractNumId w:val="43"/>
  </w:num>
  <w:num w:numId="8" w16cid:durableId="1320354033">
    <w:abstractNumId w:val="12"/>
  </w:num>
  <w:num w:numId="9" w16cid:durableId="1106073444">
    <w:abstractNumId w:val="36"/>
  </w:num>
  <w:num w:numId="10" w16cid:durableId="1689062884">
    <w:abstractNumId w:val="14"/>
  </w:num>
  <w:num w:numId="11" w16cid:durableId="591205742">
    <w:abstractNumId w:val="26"/>
  </w:num>
  <w:num w:numId="12" w16cid:durableId="1514950397">
    <w:abstractNumId w:val="5"/>
  </w:num>
  <w:num w:numId="13" w16cid:durableId="142742476">
    <w:abstractNumId w:val="18"/>
  </w:num>
  <w:num w:numId="14" w16cid:durableId="524370246">
    <w:abstractNumId w:val="25"/>
  </w:num>
  <w:num w:numId="15" w16cid:durableId="1279526805">
    <w:abstractNumId w:val="11"/>
  </w:num>
  <w:num w:numId="16" w16cid:durableId="352925358">
    <w:abstractNumId w:val="13"/>
  </w:num>
  <w:num w:numId="17" w16cid:durableId="1854806438">
    <w:abstractNumId w:val="8"/>
  </w:num>
  <w:num w:numId="18" w16cid:durableId="869682376">
    <w:abstractNumId w:val="45"/>
  </w:num>
  <w:num w:numId="19" w16cid:durableId="1297878003">
    <w:abstractNumId w:val="38"/>
  </w:num>
  <w:num w:numId="20" w16cid:durableId="549725793">
    <w:abstractNumId w:val="20"/>
  </w:num>
  <w:num w:numId="21" w16cid:durableId="298608345">
    <w:abstractNumId w:val="15"/>
  </w:num>
  <w:num w:numId="22" w16cid:durableId="1357777505">
    <w:abstractNumId w:val="16"/>
  </w:num>
  <w:num w:numId="23" w16cid:durableId="1246377954">
    <w:abstractNumId w:val="7"/>
  </w:num>
  <w:num w:numId="24" w16cid:durableId="332954728">
    <w:abstractNumId w:val="24"/>
  </w:num>
  <w:num w:numId="25" w16cid:durableId="1894610437">
    <w:abstractNumId w:val="37"/>
  </w:num>
  <w:num w:numId="26" w16cid:durableId="2074233258">
    <w:abstractNumId w:val="23"/>
  </w:num>
  <w:num w:numId="27" w16cid:durableId="1139221593">
    <w:abstractNumId w:val="44"/>
  </w:num>
  <w:num w:numId="28" w16cid:durableId="811362574">
    <w:abstractNumId w:val="6"/>
  </w:num>
  <w:num w:numId="29" w16cid:durableId="497573856">
    <w:abstractNumId w:val="21"/>
  </w:num>
  <w:num w:numId="30" w16cid:durableId="1769544901">
    <w:abstractNumId w:val="19"/>
  </w:num>
  <w:num w:numId="31" w16cid:durableId="1722166428">
    <w:abstractNumId w:val="39"/>
  </w:num>
  <w:num w:numId="32" w16cid:durableId="339892709">
    <w:abstractNumId w:val="32"/>
  </w:num>
  <w:num w:numId="33" w16cid:durableId="33509173">
    <w:abstractNumId w:val="4"/>
  </w:num>
  <w:num w:numId="34" w16cid:durableId="2075816166">
    <w:abstractNumId w:val="29"/>
  </w:num>
  <w:num w:numId="35" w16cid:durableId="128519522">
    <w:abstractNumId w:val="9"/>
  </w:num>
  <w:num w:numId="36" w16cid:durableId="267782967">
    <w:abstractNumId w:val="28"/>
  </w:num>
  <w:num w:numId="37" w16cid:durableId="1763913313">
    <w:abstractNumId w:val="34"/>
  </w:num>
  <w:num w:numId="38" w16cid:durableId="2133938467">
    <w:abstractNumId w:val="22"/>
  </w:num>
  <w:num w:numId="39" w16cid:durableId="1729570689">
    <w:abstractNumId w:val="31"/>
  </w:num>
  <w:num w:numId="40" w16cid:durableId="1019509642">
    <w:abstractNumId w:val="41"/>
  </w:num>
  <w:num w:numId="41" w16cid:durableId="827749897">
    <w:abstractNumId w:val="17"/>
  </w:num>
  <w:num w:numId="42" w16cid:durableId="2122801277">
    <w:abstractNumId w:val="30"/>
  </w:num>
  <w:num w:numId="43" w16cid:durableId="1603755520">
    <w:abstractNumId w:val="3"/>
  </w:num>
  <w:num w:numId="44" w16cid:durableId="1869486370">
    <w:abstractNumId w:val="35"/>
  </w:num>
  <w:num w:numId="45" w16cid:durableId="1536698525">
    <w:abstractNumId w:val="40"/>
  </w:num>
  <w:num w:numId="46" w16cid:durableId="12259189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35"/>
    <w:rsid w:val="00043B3D"/>
    <w:rsid w:val="00047316"/>
    <w:rsid w:val="000779CA"/>
    <w:rsid w:val="000D147B"/>
    <w:rsid w:val="000F6CB5"/>
    <w:rsid w:val="00120DA4"/>
    <w:rsid w:val="001258E1"/>
    <w:rsid w:val="001543F0"/>
    <w:rsid w:val="00164D9E"/>
    <w:rsid w:val="00172C51"/>
    <w:rsid w:val="00190EE7"/>
    <w:rsid w:val="001922C8"/>
    <w:rsid w:val="001A6B7D"/>
    <w:rsid w:val="002B6E99"/>
    <w:rsid w:val="002C13C6"/>
    <w:rsid w:val="002F4A2A"/>
    <w:rsid w:val="00316E05"/>
    <w:rsid w:val="00342400"/>
    <w:rsid w:val="003738F8"/>
    <w:rsid w:val="00374109"/>
    <w:rsid w:val="0037411F"/>
    <w:rsid w:val="00374F5A"/>
    <w:rsid w:val="003760B7"/>
    <w:rsid w:val="00382C29"/>
    <w:rsid w:val="003918C3"/>
    <w:rsid w:val="003C4357"/>
    <w:rsid w:val="003E3CC3"/>
    <w:rsid w:val="003F7BBD"/>
    <w:rsid w:val="00404235"/>
    <w:rsid w:val="004043B0"/>
    <w:rsid w:val="0040661C"/>
    <w:rsid w:val="00410CAB"/>
    <w:rsid w:val="0042646F"/>
    <w:rsid w:val="00431FCF"/>
    <w:rsid w:val="0044428D"/>
    <w:rsid w:val="00451E47"/>
    <w:rsid w:val="004C2087"/>
    <w:rsid w:val="004D5BBF"/>
    <w:rsid w:val="004D662A"/>
    <w:rsid w:val="004F111A"/>
    <w:rsid w:val="00513233"/>
    <w:rsid w:val="00564B20"/>
    <w:rsid w:val="00581497"/>
    <w:rsid w:val="005D51F0"/>
    <w:rsid w:val="00621A24"/>
    <w:rsid w:val="0064423D"/>
    <w:rsid w:val="00655C9D"/>
    <w:rsid w:val="00664B83"/>
    <w:rsid w:val="006B29A5"/>
    <w:rsid w:val="006B56BB"/>
    <w:rsid w:val="006C2208"/>
    <w:rsid w:val="006D2615"/>
    <w:rsid w:val="006F70A6"/>
    <w:rsid w:val="006F7746"/>
    <w:rsid w:val="0075215C"/>
    <w:rsid w:val="007A5287"/>
    <w:rsid w:val="007A55C7"/>
    <w:rsid w:val="007C0F8A"/>
    <w:rsid w:val="007E4209"/>
    <w:rsid w:val="008078CF"/>
    <w:rsid w:val="00824B7C"/>
    <w:rsid w:val="00827567"/>
    <w:rsid w:val="00836A72"/>
    <w:rsid w:val="0084010C"/>
    <w:rsid w:val="008B697F"/>
    <w:rsid w:val="008C78C6"/>
    <w:rsid w:val="008D1DF6"/>
    <w:rsid w:val="008D2B55"/>
    <w:rsid w:val="008E4990"/>
    <w:rsid w:val="00903F36"/>
    <w:rsid w:val="00904A52"/>
    <w:rsid w:val="00964900"/>
    <w:rsid w:val="00966903"/>
    <w:rsid w:val="00997CB7"/>
    <w:rsid w:val="009A55F6"/>
    <w:rsid w:val="00A04BFD"/>
    <w:rsid w:val="00A164B8"/>
    <w:rsid w:val="00A56544"/>
    <w:rsid w:val="00A57330"/>
    <w:rsid w:val="00A61CAF"/>
    <w:rsid w:val="00A634DA"/>
    <w:rsid w:val="00A74FE2"/>
    <w:rsid w:val="00AC0FDE"/>
    <w:rsid w:val="00B05C8F"/>
    <w:rsid w:val="00B43F5A"/>
    <w:rsid w:val="00B51F39"/>
    <w:rsid w:val="00B6670D"/>
    <w:rsid w:val="00B70094"/>
    <w:rsid w:val="00BA5C18"/>
    <w:rsid w:val="00BB3603"/>
    <w:rsid w:val="00BB37DA"/>
    <w:rsid w:val="00BC13D7"/>
    <w:rsid w:val="00C340E1"/>
    <w:rsid w:val="00C61C73"/>
    <w:rsid w:val="00C8742D"/>
    <w:rsid w:val="00CB36B1"/>
    <w:rsid w:val="00CD33D4"/>
    <w:rsid w:val="00D071C4"/>
    <w:rsid w:val="00D42D4C"/>
    <w:rsid w:val="00D93B2E"/>
    <w:rsid w:val="00DD342D"/>
    <w:rsid w:val="00DF3624"/>
    <w:rsid w:val="00E36297"/>
    <w:rsid w:val="00E416CF"/>
    <w:rsid w:val="00E435E8"/>
    <w:rsid w:val="00E47C9B"/>
    <w:rsid w:val="00E530A0"/>
    <w:rsid w:val="00E66DC8"/>
    <w:rsid w:val="00E77E01"/>
    <w:rsid w:val="00E9386A"/>
    <w:rsid w:val="00E93C1D"/>
    <w:rsid w:val="00E979D9"/>
    <w:rsid w:val="00EA1049"/>
    <w:rsid w:val="00EB26B9"/>
    <w:rsid w:val="00EC6395"/>
    <w:rsid w:val="00ED37AC"/>
    <w:rsid w:val="00EE3537"/>
    <w:rsid w:val="00F32DEC"/>
    <w:rsid w:val="00F6044F"/>
    <w:rsid w:val="00F70A31"/>
    <w:rsid w:val="00F822C8"/>
    <w:rsid w:val="00F9082E"/>
    <w:rsid w:val="00FC3F04"/>
    <w:rsid w:val="00FE2B60"/>
    <w:rsid w:val="00FF7D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CF898"/>
  <w15:chartTrackingRefBased/>
  <w15:docId w15:val="{A5DF7B5C-8C75-4F72-9344-D18A3598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lang w:val="es-ES"/>
    </w:rPr>
  </w:style>
  <w:style w:type="paragraph" w:styleId="Ttulo2">
    <w:name w:val="heading 2"/>
    <w:basedOn w:val="Normal"/>
    <w:next w:val="Normal"/>
    <w:qFormat/>
    <w:pPr>
      <w:keepNext/>
      <w:tabs>
        <w:tab w:val="left" w:pos="-720"/>
      </w:tabs>
      <w:jc w:val="both"/>
      <w:outlineLvl w:val="1"/>
    </w:pPr>
    <w:rPr>
      <w:rFonts w:ascii="Arial" w:hAnsi="Arial"/>
      <w:b/>
      <w:sz w:val="18"/>
      <w:lang w:val="es-CO" w:eastAsia="es-CO"/>
    </w:rPr>
  </w:style>
  <w:style w:type="paragraph" w:styleId="Ttulo4">
    <w:name w:val="heading 4"/>
    <w:basedOn w:val="Normal"/>
    <w:next w:val="Normal"/>
    <w:qFormat/>
    <w:pPr>
      <w:keepNext/>
      <w:spacing w:before="240" w:after="60"/>
      <w:outlineLvl w:val="3"/>
    </w:pPr>
    <w:rPr>
      <w:b/>
      <w:bCs/>
      <w:sz w:val="28"/>
      <w:szCs w:val="28"/>
      <w:lang w:val="es-ES"/>
    </w:rPr>
  </w:style>
  <w:style w:type="paragraph" w:styleId="Ttulo5">
    <w:name w:val="heading 5"/>
    <w:basedOn w:val="Normal"/>
    <w:next w:val="Normal"/>
    <w:qFormat/>
    <w:pPr>
      <w:spacing w:before="240" w:after="60"/>
      <w:outlineLvl w:val="4"/>
    </w:pPr>
    <w:rPr>
      <w:b/>
      <w:bCs/>
      <w:i/>
      <w:iCs/>
      <w:sz w:val="26"/>
      <w:szCs w:val="26"/>
      <w:lang w:val="es-ES"/>
    </w:rPr>
  </w:style>
  <w:style w:type="paragraph" w:styleId="Ttulo8">
    <w:name w:val="heading 8"/>
    <w:basedOn w:val="Normal"/>
    <w:next w:val="Normal"/>
    <w:qFormat/>
    <w:pPr>
      <w:keepNext/>
      <w:tabs>
        <w:tab w:val="left" w:pos="-720"/>
      </w:tabs>
      <w:jc w:val="both"/>
      <w:outlineLvl w:val="7"/>
    </w:pPr>
    <w:rPr>
      <w:rFonts w:ascii="Arial" w:hAnsi="Arial"/>
      <w:spacing w:val="20"/>
      <w:sz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pacing w:val="20"/>
      <w:sz w:val="24"/>
      <w:szCs w:val="24"/>
      <w:lang w:val="es-MX"/>
    </w:rPr>
  </w:style>
  <w:style w:type="character" w:styleId="Hipervnculo">
    <w:name w:val="Hyperlink"/>
    <w:rPr>
      <w:color w:val="0000FF"/>
      <w:u w:val="single"/>
    </w:rPr>
  </w:style>
  <w:style w:type="character" w:styleId="Textoennegrita">
    <w:name w:val="Strong"/>
    <w:qFormat/>
    <w:rPr>
      <w:b/>
      <w:bCs/>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deglobo">
    <w:name w:val="Balloon Text"/>
    <w:basedOn w:val="Normal"/>
    <w:semiHidden/>
    <w:rPr>
      <w:rFonts w:ascii="Tahoma" w:hAnsi="Tahoma" w:cs="Tahoma"/>
      <w:sz w:val="16"/>
      <w:szCs w:val="16"/>
    </w:rPr>
  </w:style>
  <w:style w:type="paragraph" w:styleId="Textoindependiente2">
    <w:name w:val="Body Text 2"/>
    <w:basedOn w:val="Normal"/>
    <w:pPr>
      <w:spacing w:after="120" w:line="480" w:lineRule="auto"/>
    </w:pPr>
  </w:style>
  <w:style w:type="paragraph" w:customStyle="1" w:styleId="Puesto">
    <w:name w:val="Puesto"/>
    <w:basedOn w:val="Normal"/>
    <w:qFormat/>
    <w:pPr>
      <w:suppressAutoHyphens/>
      <w:ind w:right="-136"/>
      <w:jc w:val="center"/>
    </w:pPr>
    <w:rPr>
      <w:rFonts w:ascii="Arial" w:hAnsi="Arial"/>
      <w:b/>
      <w:spacing w:val="20"/>
      <w:lang w:val="es-CO" w:eastAsia="es-CO"/>
    </w:rPr>
  </w:style>
  <w:style w:type="paragraph" w:styleId="Textocomentario">
    <w:name w:val="annotation text"/>
    <w:basedOn w:val="Normal"/>
    <w:semiHidden/>
    <w:rPr>
      <w:lang w:val="es-ES"/>
    </w:rPr>
  </w:style>
  <w:style w:type="paragraph" w:customStyle="1" w:styleId="BodyText21">
    <w:name w:val="Body Text 21"/>
    <w:basedOn w:val="Normal"/>
    <w:pPr>
      <w:tabs>
        <w:tab w:val="left" w:pos="-720"/>
      </w:tabs>
      <w:jc w:val="both"/>
    </w:pPr>
    <w:rPr>
      <w:rFonts w:ascii="Arial" w:hAnsi="Arial"/>
      <w:spacing w:val="20"/>
      <w:sz w:val="16"/>
      <w:lang w:val="es-CO" w:eastAsia="es-CO"/>
    </w:rPr>
  </w:style>
  <w:style w:type="paragraph" w:styleId="Textoindependiente3">
    <w:name w:val="Body Text 3"/>
    <w:basedOn w:val="Normal"/>
    <w:pPr>
      <w:spacing w:after="120"/>
    </w:pPr>
    <w:rPr>
      <w:sz w:val="16"/>
      <w:szCs w:val="16"/>
      <w:lang w:val="es-ES"/>
    </w:rPr>
  </w:style>
  <w:style w:type="character" w:styleId="Nmerodepgina">
    <w:name w:val="page number"/>
    <w:basedOn w:val="Fuentedeprrafopredeter"/>
  </w:style>
  <w:style w:type="paragraph" w:styleId="Listaconvietas">
    <w:name w:val="List Bullet"/>
    <w:basedOn w:val="Normal"/>
    <w:autoRedefine/>
    <w:pPr>
      <w:numPr>
        <w:numId w:val="43"/>
      </w:numPr>
      <w:tabs>
        <w:tab w:val="clear" w:pos="360"/>
      </w:tabs>
      <w:ind w:left="0" w:right="51" w:firstLine="0"/>
      <w:jc w:val="both"/>
    </w:pPr>
    <w:rPr>
      <w:rFonts w:ascii="Arial" w:hAnsi="Arial" w:cs="Arial"/>
      <w:sz w:val="24"/>
      <w:szCs w:val="24"/>
      <w:lang w:eastAsia="es-CO"/>
    </w:rPr>
  </w:style>
  <w:style w:type="paragraph" w:styleId="Sangradetextonormal">
    <w:name w:val="Body Text Indent"/>
    <w:basedOn w:val="Normal"/>
    <w:pPr>
      <w:spacing w:after="120"/>
      <w:ind w:left="283"/>
    </w:pPr>
    <w:rPr>
      <w:sz w:val="24"/>
      <w:szCs w:val="24"/>
      <w:lang w:val="es-ES"/>
    </w:rPr>
  </w:style>
  <w:style w:type="paragraph" w:customStyle="1" w:styleId="Textoindependiente21">
    <w:name w:val="Texto independiente 21"/>
    <w:basedOn w:val="Normal"/>
    <w:pPr>
      <w:overflowPunct w:val="0"/>
      <w:autoSpaceDE w:val="0"/>
      <w:autoSpaceDN w:val="0"/>
      <w:adjustRightInd w:val="0"/>
      <w:spacing w:line="360" w:lineRule="auto"/>
      <w:jc w:val="both"/>
      <w:textAlignment w:val="baseline"/>
    </w:pPr>
    <w:rPr>
      <w:b/>
      <w:sz w:val="24"/>
      <w:lang w:val="es-ES"/>
    </w:rPr>
  </w:style>
  <w:style w:type="paragraph" w:customStyle="1" w:styleId="Ttulo10">
    <w:name w:val="TÍtulo 1"/>
    <w:basedOn w:val="Normal"/>
    <w:next w:val="Normal"/>
    <w:pPr>
      <w:keepNext/>
      <w:jc w:val="both"/>
    </w:pPr>
    <w:rPr>
      <w:rFonts w:ascii="Arial" w:hAnsi="Arial"/>
      <w:sz w:val="24"/>
      <w:lang w:val="es-ES"/>
    </w:rPr>
  </w:style>
  <w:style w:type="character" w:customStyle="1" w:styleId="elema1">
    <w:name w:val="elema1"/>
    <w:rPr>
      <w:color w:val="0000FF"/>
      <w:sz w:val="30"/>
      <w:szCs w:val="30"/>
    </w:rPr>
  </w:style>
  <w:style w:type="character" w:customStyle="1" w:styleId="eetimo1">
    <w:name w:val="eetimo1"/>
    <w:rPr>
      <w:rFonts w:ascii="Arial Unicode MS" w:eastAsia="Arial Unicode MS" w:hAnsi="Arial Unicode MS" w:cs="Arial Unicode MS" w:hint="eastAsia"/>
      <w:color w:val="008000"/>
      <w:sz w:val="26"/>
      <w:szCs w:val="26"/>
    </w:rPr>
  </w:style>
  <w:style w:type="character" w:customStyle="1" w:styleId="eordenaceplema1">
    <w:name w:val="eordenaceplema1"/>
    <w:rPr>
      <w:color w:val="0000FF"/>
    </w:rPr>
  </w:style>
  <w:style w:type="character" w:customStyle="1" w:styleId="eabrv1">
    <w:name w:val="eabrv1"/>
    <w:rPr>
      <w:color w:val="0000FF"/>
    </w:rPr>
  </w:style>
  <w:style w:type="character" w:customStyle="1" w:styleId="eacep1">
    <w:name w:val="eacep1"/>
    <w:rPr>
      <w:color w:val="000000"/>
    </w:rPr>
  </w:style>
  <w:style w:type="character" w:customStyle="1" w:styleId="eabrvnoedit1">
    <w:name w:val="eabrvnoedit1"/>
    <w:rPr>
      <w:color w:val="B3B3B3"/>
    </w:rPr>
  </w:style>
  <w:style w:type="character" w:customStyle="1" w:styleId="efcompleja1">
    <w:name w:val="efcompleja1"/>
    <w:rPr>
      <w:color w:val="800000"/>
    </w:rPr>
  </w:style>
  <w:style w:type="character" w:customStyle="1" w:styleId="eordenacepfc1">
    <w:name w:val="eordenacepfc1"/>
    <w:rPr>
      <w:color w:val="800000"/>
    </w:rPr>
  </w:style>
  <w:style w:type="paragraph" w:styleId="Lista">
    <w:name w:val="List"/>
    <w:basedOn w:val="Normal"/>
    <w:pPr>
      <w:ind w:left="283" w:hanging="283"/>
    </w:pPr>
    <w:rPr>
      <w:sz w:val="24"/>
      <w:szCs w:val="24"/>
      <w:lang w:val="es-ES"/>
    </w:rPr>
  </w:style>
  <w:style w:type="paragraph" w:styleId="Lista2">
    <w:name w:val="List 2"/>
    <w:basedOn w:val="Normal"/>
    <w:pPr>
      <w:ind w:left="566" w:hanging="283"/>
    </w:pPr>
    <w:rPr>
      <w:sz w:val="24"/>
      <w:szCs w:val="24"/>
      <w:lang w:val="es-ES"/>
    </w:rPr>
  </w:style>
  <w:style w:type="paragraph" w:styleId="Lista3">
    <w:name w:val="List 3"/>
    <w:basedOn w:val="Normal"/>
    <w:pPr>
      <w:ind w:left="849" w:hanging="283"/>
    </w:pPr>
    <w:rPr>
      <w:sz w:val="24"/>
      <w:szCs w:val="24"/>
      <w:lang w:val="es-ES"/>
    </w:rPr>
  </w:style>
  <w:style w:type="paragraph" w:styleId="Lista4">
    <w:name w:val="List 4"/>
    <w:basedOn w:val="Normal"/>
    <w:pPr>
      <w:ind w:left="1132" w:hanging="283"/>
    </w:pPr>
    <w:rPr>
      <w:sz w:val="24"/>
      <w:szCs w:val="24"/>
      <w:lang w:val="es-ES"/>
    </w:rPr>
  </w:style>
  <w:style w:type="paragraph" w:styleId="Lista5">
    <w:name w:val="List 5"/>
    <w:basedOn w:val="Normal"/>
    <w:pPr>
      <w:ind w:left="1415" w:hanging="283"/>
    </w:pPr>
    <w:rPr>
      <w:sz w:val="24"/>
      <w:szCs w:val="24"/>
      <w:lang w:val="es-ES"/>
    </w:rPr>
  </w:style>
  <w:style w:type="paragraph" w:styleId="Saludo">
    <w:name w:val="Salutation"/>
    <w:basedOn w:val="Normal"/>
    <w:next w:val="Normal"/>
    <w:rPr>
      <w:sz w:val="24"/>
      <w:szCs w:val="24"/>
      <w:lang w:val="es-ES"/>
    </w:rPr>
  </w:style>
  <w:style w:type="paragraph" w:styleId="Listaconvietas2">
    <w:name w:val="List Bullet 2"/>
    <w:basedOn w:val="Normal"/>
    <w:pPr>
      <w:numPr>
        <w:numId w:val="4"/>
      </w:numPr>
    </w:pPr>
    <w:rPr>
      <w:sz w:val="24"/>
      <w:szCs w:val="24"/>
      <w:lang w:val="es-ES"/>
    </w:rPr>
  </w:style>
  <w:style w:type="paragraph" w:styleId="Listaconvietas3">
    <w:name w:val="List Bullet 3"/>
    <w:basedOn w:val="Normal"/>
    <w:pPr>
      <w:numPr>
        <w:numId w:val="5"/>
      </w:numPr>
    </w:pPr>
    <w:rPr>
      <w:sz w:val="24"/>
      <w:szCs w:val="24"/>
      <w:lang w:val="es-ES"/>
    </w:rPr>
  </w:style>
  <w:style w:type="paragraph" w:styleId="Listaconvietas4">
    <w:name w:val="List Bullet 4"/>
    <w:basedOn w:val="Normal"/>
    <w:pPr>
      <w:numPr>
        <w:numId w:val="6"/>
      </w:numPr>
    </w:pPr>
    <w:rPr>
      <w:sz w:val="24"/>
      <w:szCs w:val="24"/>
      <w:lang w:val="es-ES"/>
    </w:rPr>
  </w:style>
  <w:style w:type="paragraph" w:styleId="Continuarlista">
    <w:name w:val="List Continue"/>
    <w:basedOn w:val="Normal"/>
    <w:pPr>
      <w:spacing w:after="120"/>
      <w:ind w:left="283"/>
    </w:pPr>
    <w:rPr>
      <w:sz w:val="24"/>
      <w:szCs w:val="24"/>
      <w:lang w:val="es-ES"/>
    </w:rPr>
  </w:style>
  <w:style w:type="paragraph" w:styleId="Continuarlista2">
    <w:name w:val="List Continue 2"/>
    <w:basedOn w:val="Normal"/>
    <w:pPr>
      <w:spacing w:after="120"/>
      <w:ind w:left="566"/>
    </w:pPr>
    <w:rPr>
      <w:sz w:val="24"/>
      <w:szCs w:val="24"/>
      <w:lang w:val="es-ES"/>
    </w:rPr>
  </w:style>
  <w:style w:type="paragraph" w:styleId="Continuarlista3">
    <w:name w:val="List Continue 3"/>
    <w:basedOn w:val="Normal"/>
    <w:pPr>
      <w:spacing w:after="120"/>
      <w:ind w:left="849"/>
    </w:pPr>
    <w:rPr>
      <w:sz w:val="24"/>
      <w:szCs w:val="24"/>
      <w:lang w:val="es-ES"/>
    </w:r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rPr>
      <w:sz w:val="24"/>
      <w:szCs w:val="24"/>
      <w:lang w:val="es-ES"/>
    </w:rPr>
  </w:style>
  <w:style w:type="paragraph" w:styleId="Mapadeldocumento">
    <w:name w:val="Document Map"/>
    <w:basedOn w:val="Normal"/>
    <w:semiHidden/>
    <w:rsid w:val="00404235"/>
    <w:pPr>
      <w:shd w:val="clear" w:color="auto" w:fill="000080"/>
    </w:pPr>
    <w:rPr>
      <w:rFonts w:ascii="Tahoma" w:hAnsi="Tahoma" w:cs="Tahoma"/>
    </w:rPr>
  </w:style>
  <w:style w:type="paragraph" w:styleId="Sinespaciado">
    <w:name w:val="No Spacing"/>
    <w:uiPriority w:val="1"/>
    <w:qFormat/>
    <w:rsid w:val="00966903"/>
    <w:rPr>
      <w:rFonts w:ascii="Arial" w:hAnsi="Arial"/>
      <w:sz w:val="24"/>
      <w:lang w:val="es-ES_tradnl" w:eastAsia="es-ES"/>
    </w:rPr>
  </w:style>
  <w:style w:type="character" w:styleId="Mencinsinresolver">
    <w:name w:val="Unresolved Mention"/>
    <w:basedOn w:val="Fuentedeprrafopredeter"/>
    <w:uiPriority w:val="99"/>
    <w:semiHidden/>
    <w:unhideWhenUsed/>
    <w:rsid w:val="00342400"/>
    <w:rPr>
      <w:color w:val="605E5C"/>
      <w:shd w:val="clear" w:color="auto" w:fill="E1DFDD"/>
    </w:rPr>
  </w:style>
  <w:style w:type="character" w:customStyle="1" w:styleId="PiedepginaCar">
    <w:name w:val="Pie de página Car"/>
    <w:link w:val="Piedepgina"/>
    <w:rsid w:val="00342400"/>
    <w:rPr>
      <w:lang w:val="es-ES_tradnl" w:eastAsia="es-ES"/>
    </w:rPr>
  </w:style>
  <w:style w:type="paragraph" w:styleId="Prrafodelista">
    <w:name w:val="List Paragraph"/>
    <w:basedOn w:val="Normal"/>
    <w:uiPriority w:val="34"/>
    <w:qFormat/>
    <w:rsid w:val="00342400"/>
    <w:pPr>
      <w:ind w:left="720"/>
      <w:contextualSpacing/>
    </w:pPr>
  </w:style>
  <w:style w:type="character" w:customStyle="1" w:styleId="EncabezadoCar">
    <w:name w:val="Encabezado Car"/>
    <w:basedOn w:val="Fuentedeprrafopredeter"/>
    <w:link w:val="Encabezado"/>
    <w:rsid w:val="00D93B2E"/>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mativa@superfinanciera.gov.co"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79D3F7F71F843963C03BA03E5231F" ma:contentTypeVersion="2" ma:contentTypeDescription="Create a new document." ma:contentTypeScope="" ma:versionID="ddbf0f1a36dcd266d994d48b07449a89">
  <xsd:schema xmlns:xsd="http://www.w3.org/2001/XMLSchema" xmlns:xs="http://www.w3.org/2001/XMLSchema" xmlns:p="http://schemas.microsoft.com/office/2006/metadata/properties" xmlns:ns2="b2ceadfd-915e-452a-89f7-57f78d473c05" targetNamespace="http://schemas.microsoft.com/office/2006/metadata/properties" ma:root="true" ma:fieldsID="e464227111b122801af2e5ede1d9ea98" ns2:_="">
    <xsd:import namespace="b2ceadfd-915e-452a-89f7-57f78d473c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eadfd-915e-452a-89f7-57f78d473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A8537-7B25-4AC5-B5E6-26E3F9DC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eadfd-915e-452a-89f7-57f78d473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F6663-72E4-42B4-9423-67A28A5E1C8B}">
  <ds:schemaRefs>
    <ds:schemaRef ds:uri="http://schemas.microsoft.com/sharepoint/v3/contenttype/forms"/>
  </ds:schemaRefs>
</ds:datastoreItem>
</file>

<file path=customXml/itemProps3.xml><?xml version="1.0" encoding="utf-8"?>
<ds:datastoreItem xmlns:ds="http://schemas.openxmlformats.org/officeDocument/2006/customXml" ds:itemID="{5B8239F8-015D-4E57-8664-9DD424582A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16507E-0E8B-4AA0-84AC-10FEE69E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1509</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Proy CE</vt:lpstr>
    </vt:vector>
  </TitlesOfParts>
  <Company>superfinanciera</Company>
  <LinksUpToDate>false</LinksUpToDate>
  <CharactersWithSpaces>9790</CharactersWithSpaces>
  <SharedDoc>false</SharedDoc>
  <HLinks>
    <vt:vector size="6" baseType="variant">
      <vt:variant>
        <vt:i4>8060936</vt:i4>
      </vt:variant>
      <vt:variant>
        <vt:i4>0</vt:i4>
      </vt:variant>
      <vt:variant>
        <vt:i4>0</vt:i4>
      </vt:variant>
      <vt:variant>
        <vt:i4>5</vt:i4>
      </vt:variant>
      <vt:variant>
        <vt:lpwstr>mailto:normativa@superfinanciera.gov.co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 CE</dc:title>
  <dc:subject/>
  <dc:creator>Dirección de Investigación y Desarrollo</dc:creator>
  <cp:keywords/>
  <cp:lastModifiedBy>Juan Bernardo Caicedo Guillen</cp:lastModifiedBy>
  <cp:revision>3</cp:revision>
  <cp:lastPrinted>2016-09-26T16:13:00Z</cp:lastPrinted>
  <dcterms:created xsi:type="dcterms:W3CDTF">2022-07-14T20:59:00Z</dcterms:created>
  <dcterms:modified xsi:type="dcterms:W3CDTF">2022-07-14T21:00:00Z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0x0101006F079D3F7F71F843963C03BA03E5231F</vt:lpwstr>
  </property>
</Properties>
</file>