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5356" w:rsidRPr="00CD5356" w:rsidRDefault="00CD5356" w:rsidP="00CD5356">
      <w:pPr>
        <w:pStyle w:val="Ttulo1"/>
        <w:rPr>
          <w:b/>
          <w:bCs/>
          <w:sz w:val="24"/>
          <w:szCs w:val="24"/>
        </w:rPr>
      </w:pPr>
      <w:r w:rsidRPr="00CD5356">
        <w:rPr>
          <w:b/>
          <w:bCs/>
          <w:sz w:val="24"/>
          <w:szCs w:val="24"/>
        </w:rPr>
        <w:t>Boletín Nº 12.748-17</w:t>
      </w:r>
    </w:p>
    <w:p w:rsidR="00CD5356" w:rsidRPr="00CD5356" w:rsidRDefault="00CD5356" w:rsidP="00CD5356">
      <w:pPr>
        <w:spacing w:after="0" w:line="240" w:lineRule="auto"/>
        <w:rPr>
          <w:b/>
          <w:bCs/>
          <w:szCs w:val="24"/>
        </w:rPr>
      </w:pPr>
    </w:p>
    <w:p w:rsidR="00CD5356" w:rsidRPr="00CD5356" w:rsidRDefault="00CD5356" w:rsidP="00CD5356">
      <w:pPr>
        <w:spacing w:after="0" w:line="240" w:lineRule="auto"/>
        <w:rPr>
          <w:b/>
          <w:bCs/>
          <w:szCs w:val="24"/>
        </w:rPr>
      </w:pPr>
      <w:bookmarkStart w:id="0" w:name="_Hlk536619453"/>
      <w:bookmarkStart w:id="1" w:name="_Hlk2702597"/>
      <w:bookmarkStart w:id="2" w:name="_Hlk3191289"/>
      <w:bookmarkStart w:id="3" w:name="_Hlk12984873"/>
      <w:r w:rsidRPr="00CD5356">
        <w:rPr>
          <w:b/>
          <w:bCs/>
          <w:szCs w:val="24"/>
        </w:rPr>
        <w:t xml:space="preserve">Proyecto de ley, iniciado </w:t>
      </w:r>
      <w:bookmarkStart w:id="4" w:name="_Hlk11829756"/>
      <w:bookmarkStart w:id="5" w:name="_Hlk13045928"/>
      <w:r w:rsidRPr="00CD5356">
        <w:rPr>
          <w:b/>
          <w:bCs/>
          <w:szCs w:val="24"/>
        </w:rPr>
        <w:t xml:space="preserve">en </w:t>
      </w:r>
      <w:bookmarkStart w:id="6" w:name="_Hlk13045028"/>
      <w:r w:rsidRPr="00CD5356">
        <w:rPr>
          <w:b/>
          <w:bCs/>
          <w:szCs w:val="24"/>
        </w:rPr>
        <w:t xml:space="preserve">moción </w:t>
      </w:r>
      <w:bookmarkEnd w:id="0"/>
      <w:bookmarkEnd w:id="1"/>
      <w:bookmarkEnd w:id="2"/>
      <w:r w:rsidRPr="00CD5356">
        <w:rPr>
          <w:b/>
          <w:bCs/>
          <w:szCs w:val="24"/>
        </w:rPr>
        <w:t>de los Honorables Senadores señor Insulza, señora Muñoz y señores Elizalde, Guillier y Latorre, que modifica y fortalece la ley N° 20.609, que establece medidas contra la discriminación.</w:t>
      </w:r>
      <w:bookmarkEnd w:id="3"/>
      <w:bookmarkEnd w:id="4"/>
      <w:bookmarkEnd w:id="6"/>
    </w:p>
    <w:bookmarkEnd w:id="5"/>
    <w:p w:rsidR="00C2463E" w:rsidRDefault="00C2463E" w:rsidP="00CD5356">
      <w:pPr>
        <w:spacing w:after="0" w:line="240" w:lineRule="auto"/>
        <w:rPr>
          <w:b/>
          <w:bCs/>
          <w:szCs w:val="24"/>
          <w:lang w:val="es-ES"/>
        </w:rPr>
      </w:pPr>
      <w:r w:rsidRPr="00CD5356">
        <w:rPr>
          <w:b/>
          <w:bCs/>
          <w:szCs w:val="24"/>
          <w:lang w:val="es-ES"/>
        </w:rPr>
        <w:t xml:space="preserve"> </w:t>
      </w:r>
    </w:p>
    <w:p w:rsidR="00CD5356" w:rsidRPr="00CD5356" w:rsidRDefault="00CD5356" w:rsidP="00CD5356">
      <w:pPr>
        <w:spacing w:after="0" w:line="240" w:lineRule="auto"/>
        <w:rPr>
          <w:b/>
          <w:bCs/>
          <w:szCs w:val="24"/>
          <w:lang w:val="es-ES"/>
        </w:rPr>
      </w:pPr>
    </w:p>
    <w:p w:rsidR="00C2463E" w:rsidRDefault="00C2463E" w:rsidP="00CD5356">
      <w:pPr>
        <w:spacing w:after="0" w:line="240" w:lineRule="auto"/>
        <w:outlineLvl w:val="0"/>
        <w:rPr>
          <w:b/>
          <w:bCs/>
          <w:szCs w:val="24"/>
          <w:lang w:val="es-ES"/>
        </w:rPr>
      </w:pPr>
      <w:r w:rsidRPr="00CD5356">
        <w:rPr>
          <w:b/>
          <w:bCs/>
          <w:szCs w:val="24"/>
          <w:lang w:val="es-ES"/>
        </w:rPr>
        <w:t>I. ANTECEDENTES GENERALES</w:t>
      </w:r>
    </w:p>
    <w:p w:rsidR="00CD5356" w:rsidRDefault="00CD5356" w:rsidP="00CD5356">
      <w:pPr>
        <w:spacing w:after="0" w:line="240" w:lineRule="auto"/>
        <w:outlineLvl w:val="0"/>
        <w:rPr>
          <w:b/>
          <w:bCs/>
          <w:szCs w:val="24"/>
          <w:lang w:val="es-ES"/>
        </w:rPr>
      </w:pPr>
    </w:p>
    <w:p w:rsidR="001D69B0" w:rsidRPr="00CD5356" w:rsidRDefault="001D69B0" w:rsidP="00CD5356">
      <w:pPr>
        <w:spacing w:after="0" w:line="240" w:lineRule="auto"/>
        <w:outlineLvl w:val="0"/>
        <w:rPr>
          <w:b/>
          <w:bCs/>
          <w:szCs w:val="24"/>
          <w:lang w:val="es-ES"/>
        </w:rPr>
      </w:pPr>
    </w:p>
    <w:p w:rsidR="00241909" w:rsidRDefault="00241909" w:rsidP="00CD5356">
      <w:pPr>
        <w:spacing w:after="0" w:line="240" w:lineRule="auto"/>
        <w:outlineLvl w:val="0"/>
        <w:rPr>
          <w:bCs/>
          <w:szCs w:val="24"/>
          <w:lang w:val="es-ES"/>
        </w:rPr>
      </w:pPr>
      <w:r w:rsidRPr="00CD5356">
        <w:rPr>
          <w:bCs/>
          <w:szCs w:val="24"/>
          <w:lang w:val="es-ES"/>
        </w:rPr>
        <w:t xml:space="preserve">Luego de 7 largos años de tramitación legislativa, el día 24 de julio de 2012 se publicó en el Diario Oficial la ley N° 20.609, que establece medidas contra la discriminación. </w:t>
      </w:r>
    </w:p>
    <w:p w:rsidR="00CD5356" w:rsidRPr="00CD5356" w:rsidRDefault="00CD5356" w:rsidP="00CD5356">
      <w:pPr>
        <w:spacing w:after="0" w:line="240" w:lineRule="auto"/>
        <w:outlineLvl w:val="0"/>
        <w:rPr>
          <w:bCs/>
          <w:szCs w:val="24"/>
          <w:lang w:val="es-ES"/>
        </w:rPr>
      </w:pPr>
    </w:p>
    <w:p w:rsidR="00853870" w:rsidRDefault="00241909" w:rsidP="00CD5356">
      <w:pPr>
        <w:spacing w:after="0" w:line="240" w:lineRule="auto"/>
        <w:outlineLvl w:val="0"/>
        <w:rPr>
          <w:bCs/>
          <w:szCs w:val="24"/>
          <w:lang w:val="es-ES"/>
        </w:rPr>
      </w:pPr>
      <w:r w:rsidRPr="00CD5356">
        <w:rPr>
          <w:bCs/>
          <w:szCs w:val="24"/>
          <w:lang w:val="es-ES"/>
        </w:rPr>
        <w:t>Dicho acontecimiento se vio acelerado luego de que en marzo del año 2012 se produjera la trágica muerte de Daniel Zamudio, hecho que provocó la condena de la comunidad LGTBI y de la comunida</w:t>
      </w:r>
      <w:r w:rsidR="00BD04FB" w:rsidRPr="00CD5356">
        <w:rPr>
          <w:bCs/>
          <w:szCs w:val="24"/>
          <w:lang w:val="es-ES"/>
        </w:rPr>
        <w:t>d internacional</w:t>
      </w:r>
      <w:r w:rsidRPr="00CD5356">
        <w:rPr>
          <w:bCs/>
          <w:szCs w:val="24"/>
          <w:lang w:val="es-ES"/>
        </w:rPr>
        <w:t xml:space="preserve"> debido a que este horrible asesinato, motivado por sentimientos homófobos, </w:t>
      </w:r>
      <w:r w:rsidR="00BD04FB" w:rsidRPr="00CD5356">
        <w:rPr>
          <w:bCs/>
          <w:szCs w:val="24"/>
          <w:lang w:val="es-ES"/>
        </w:rPr>
        <w:t>se vinculó a los déficits en materia de políticas públicas dirigidas a producir un cambio social en relación al respeto de la diversidad sexual y a su desprotección legal.</w:t>
      </w:r>
    </w:p>
    <w:p w:rsidR="00CD5356" w:rsidRPr="00CD5356" w:rsidRDefault="00CD5356" w:rsidP="00CD5356">
      <w:pPr>
        <w:spacing w:after="0" w:line="240" w:lineRule="auto"/>
        <w:outlineLvl w:val="0"/>
        <w:rPr>
          <w:bCs/>
          <w:szCs w:val="24"/>
          <w:lang w:val="es-ES"/>
        </w:rPr>
      </w:pPr>
    </w:p>
    <w:p w:rsidR="00490123" w:rsidRDefault="0055458B" w:rsidP="00CD5356">
      <w:pPr>
        <w:spacing w:after="0" w:line="240" w:lineRule="auto"/>
        <w:outlineLvl w:val="0"/>
        <w:rPr>
          <w:bCs/>
          <w:szCs w:val="24"/>
          <w:lang w:val="es-ES"/>
        </w:rPr>
      </w:pPr>
      <w:r w:rsidRPr="00CD5356">
        <w:rPr>
          <w:bCs/>
          <w:szCs w:val="24"/>
          <w:lang w:val="es-ES"/>
        </w:rPr>
        <w:t xml:space="preserve">No obstante el contexto social que empujó la aprobación de la ley N° 20.609, dicha norma no solo protege a las personas pertenecientes a grupos LGTBI, al consagrar como características o categorías objeto de protección a la orientación sexual y la identidad de género, sino que también tiene </w:t>
      </w:r>
      <w:r w:rsidR="00FD3FF6" w:rsidRPr="00CD5356">
        <w:rPr>
          <w:bCs/>
          <w:szCs w:val="24"/>
          <w:lang w:val="es-ES"/>
        </w:rPr>
        <w:t>por finalidad proteger a otros grupos desaventajados o minorías sociales con características diversas.</w:t>
      </w:r>
      <w:r w:rsidR="00490123" w:rsidRPr="00CD5356">
        <w:rPr>
          <w:bCs/>
          <w:szCs w:val="24"/>
          <w:lang w:val="es-ES"/>
        </w:rPr>
        <w:t xml:space="preserve"> De esta forma la ley busca proteger de manera amplía a la sociedad de los actos u omisiones que puedan constituir discriminación arbitraria.</w:t>
      </w:r>
    </w:p>
    <w:p w:rsidR="00CD5356" w:rsidRPr="00CD5356" w:rsidRDefault="00CD5356" w:rsidP="00CD5356">
      <w:pPr>
        <w:spacing w:after="0" w:line="240" w:lineRule="auto"/>
        <w:outlineLvl w:val="0"/>
        <w:rPr>
          <w:bCs/>
          <w:szCs w:val="24"/>
          <w:lang w:val="es-ES"/>
        </w:rPr>
      </w:pPr>
    </w:p>
    <w:p w:rsidR="00490123" w:rsidRDefault="00490123" w:rsidP="00CD5356">
      <w:pPr>
        <w:spacing w:after="0" w:line="240" w:lineRule="auto"/>
        <w:outlineLvl w:val="0"/>
        <w:rPr>
          <w:bCs/>
          <w:szCs w:val="24"/>
          <w:lang w:val="es-ES"/>
        </w:rPr>
      </w:pPr>
      <w:r w:rsidRPr="00CD5356">
        <w:rPr>
          <w:bCs/>
          <w:szCs w:val="24"/>
          <w:lang w:val="es-ES"/>
        </w:rPr>
        <w:t>El avance significativo que significó la aprobación y entrada en vigencia de la N° 20.069</w:t>
      </w:r>
      <w:r w:rsidR="00D26393" w:rsidRPr="00CD5356">
        <w:rPr>
          <w:bCs/>
          <w:szCs w:val="24"/>
          <w:lang w:val="es-ES"/>
        </w:rPr>
        <w:t>,</w:t>
      </w:r>
      <w:r w:rsidRPr="00CD5356">
        <w:rPr>
          <w:bCs/>
          <w:szCs w:val="24"/>
          <w:lang w:val="es-ES"/>
        </w:rPr>
        <w:t xml:space="preserve"> que establece medidas contra la discriminación, no agota los esfuerzos sociales y políticos que se deben seguir desplegando para avanzar en la erradicación de la discriminación y en la garantía del principio de igualdad.</w:t>
      </w:r>
    </w:p>
    <w:p w:rsidR="00CD5356" w:rsidRPr="00CD5356" w:rsidRDefault="00CD5356" w:rsidP="00CD5356">
      <w:pPr>
        <w:spacing w:after="0" w:line="240" w:lineRule="auto"/>
        <w:outlineLvl w:val="0"/>
        <w:rPr>
          <w:bCs/>
          <w:szCs w:val="24"/>
          <w:lang w:val="es-ES"/>
        </w:rPr>
      </w:pPr>
    </w:p>
    <w:p w:rsidR="00490123" w:rsidRDefault="00D56D04" w:rsidP="00CD5356">
      <w:pPr>
        <w:spacing w:after="0" w:line="240" w:lineRule="auto"/>
        <w:outlineLvl w:val="0"/>
        <w:rPr>
          <w:bCs/>
          <w:szCs w:val="24"/>
          <w:lang w:val="es-ES"/>
        </w:rPr>
      </w:pPr>
      <w:r w:rsidRPr="00CD5356">
        <w:rPr>
          <w:bCs/>
          <w:szCs w:val="24"/>
          <w:lang w:val="es-ES"/>
        </w:rPr>
        <w:t>A casi 7</w:t>
      </w:r>
      <w:r w:rsidR="00750E18" w:rsidRPr="00CD5356">
        <w:rPr>
          <w:bCs/>
          <w:szCs w:val="24"/>
          <w:lang w:val="es-ES"/>
        </w:rPr>
        <w:t xml:space="preserve"> años de la vigencia de la ley, esta se ha mostrado como un mecanismo aun poco efectivo para erradicar los actos y omisiones de discriminación arbitraria.</w:t>
      </w:r>
    </w:p>
    <w:p w:rsidR="00CD5356" w:rsidRDefault="00CD5356" w:rsidP="00CD5356">
      <w:pPr>
        <w:spacing w:after="0" w:line="240" w:lineRule="auto"/>
        <w:outlineLvl w:val="0"/>
        <w:rPr>
          <w:bCs/>
          <w:szCs w:val="24"/>
          <w:lang w:val="es-ES"/>
        </w:rPr>
      </w:pPr>
    </w:p>
    <w:p w:rsidR="00CD5356" w:rsidRDefault="00CD5356" w:rsidP="00CD5356">
      <w:pPr>
        <w:spacing w:after="0" w:line="240" w:lineRule="auto"/>
        <w:outlineLvl w:val="0"/>
        <w:rPr>
          <w:bCs/>
          <w:szCs w:val="24"/>
          <w:lang w:val="es-ES"/>
        </w:rPr>
      </w:pPr>
    </w:p>
    <w:p w:rsidR="00CD5356" w:rsidRDefault="00CD5356" w:rsidP="00CD5356">
      <w:pPr>
        <w:spacing w:after="0" w:line="240" w:lineRule="auto"/>
        <w:outlineLvl w:val="0"/>
        <w:rPr>
          <w:bCs/>
          <w:szCs w:val="24"/>
          <w:lang w:val="es-ES"/>
        </w:rPr>
      </w:pPr>
    </w:p>
    <w:p w:rsidR="00CD5356" w:rsidRDefault="00CD5356" w:rsidP="00CD5356">
      <w:pPr>
        <w:spacing w:after="0" w:line="240" w:lineRule="auto"/>
        <w:outlineLvl w:val="0"/>
        <w:rPr>
          <w:bCs/>
          <w:szCs w:val="24"/>
          <w:lang w:val="es-ES"/>
        </w:rPr>
      </w:pPr>
    </w:p>
    <w:p w:rsidR="00CD5356" w:rsidRDefault="00CD5356" w:rsidP="00CD5356">
      <w:pPr>
        <w:spacing w:after="0" w:line="240" w:lineRule="auto"/>
        <w:outlineLvl w:val="0"/>
        <w:rPr>
          <w:bCs/>
          <w:szCs w:val="24"/>
          <w:lang w:val="es-ES"/>
        </w:rPr>
      </w:pPr>
    </w:p>
    <w:p w:rsidR="00CD5356" w:rsidRDefault="00CD5356" w:rsidP="00CD5356">
      <w:pPr>
        <w:spacing w:after="0" w:line="240" w:lineRule="auto"/>
        <w:outlineLvl w:val="0"/>
        <w:rPr>
          <w:bCs/>
          <w:szCs w:val="24"/>
          <w:lang w:val="es-ES"/>
        </w:rPr>
      </w:pPr>
    </w:p>
    <w:p w:rsidR="00CD5356" w:rsidRDefault="00CD5356" w:rsidP="00CD5356">
      <w:pPr>
        <w:spacing w:after="0" w:line="240" w:lineRule="auto"/>
        <w:outlineLvl w:val="0"/>
        <w:rPr>
          <w:bCs/>
          <w:szCs w:val="24"/>
          <w:lang w:val="es-ES"/>
        </w:rPr>
      </w:pPr>
    </w:p>
    <w:p w:rsidR="00CD5356" w:rsidRDefault="00CD5356" w:rsidP="00CD5356">
      <w:pPr>
        <w:spacing w:after="0" w:line="240" w:lineRule="auto"/>
        <w:outlineLvl w:val="0"/>
        <w:rPr>
          <w:bCs/>
          <w:szCs w:val="24"/>
          <w:lang w:val="es-ES"/>
        </w:rPr>
      </w:pPr>
    </w:p>
    <w:p w:rsidR="00CD5356" w:rsidRDefault="00CD5356" w:rsidP="00CD5356">
      <w:pPr>
        <w:spacing w:after="0" w:line="240" w:lineRule="auto"/>
        <w:outlineLvl w:val="0"/>
        <w:rPr>
          <w:bCs/>
          <w:szCs w:val="24"/>
          <w:lang w:val="es-ES"/>
        </w:rPr>
      </w:pPr>
    </w:p>
    <w:p w:rsidR="00CD5356" w:rsidRPr="00CD5356" w:rsidRDefault="00CD5356" w:rsidP="00CD5356">
      <w:pPr>
        <w:spacing w:after="0" w:line="240" w:lineRule="auto"/>
        <w:outlineLvl w:val="0"/>
        <w:rPr>
          <w:bCs/>
          <w:szCs w:val="24"/>
          <w:lang w:val="es-ES"/>
        </w:rPr>
      </w:pPr>
    </w:p>
    <w:p w:rsidR="00750E18" w:rsidRDefault="00750E18" w:rsidP="00CD5356">
      <w:pPr>
        <w:spacing w:after="0" w:line="240" w:lineRule="auto"/>
        <w:outlineLvl w:val="0"/>
        <w:rPr>
          <w:bCs/>
          <w:szCs w:val="24"/>
          <w:lang w:val="es-ES"/>
        </w:rPr>
      </w:pPr>
      <w:r w:rsidRPr="00CD5356">
        <w:rPr>
          <w:bCs/>
          <w:szCs w:val="24"/>
          <w:lang w:val="es-ES"/>
        </w:rPr>
        <w:t>Un estudio elaborado por Fundación Iguales, dado a conocer en julio de 2018, da cuenta de la escasa aplicación práctica de</w:t>
      </w:r>
      <w:r w:rsidR="00D26393" w:rsidRPr="00CD5356">
        <w:rPr>
          <w:bCs/>
          <w:szCs w:val="24"/>
          <w:lang w:val="es-ES"/>
        </w:rPr>
        <w:t xml:space="preserve"> la acción judicial consagrada en</w:t>
      </w:r>
      <w:r w:rsidRPr="00CD5356">
        <w:rPr>
          <w:bCs/>
          <w:szCs w:val="24"/>
          <w:lang w:val="es-ES"/>
        </w:rPr>
        <w:t xml:space="preserve"> la ley. A partir de cifras obtenidas del Poder Judicial, el estudio muestra que desde la entrada en vigencia y hasta el 31 de diciembre de 2017, se ingresaron 319 demandas de las cuales solo 90 tienen sentencia. De estas últimas</w:t>
      </w:r>
      <w:r w:rsidR="00436438" w:rsidRPr="00CD5356">
        <w:rPr>
          <w:bCs/>
          <w:szCs w:val="24"/>
          <w:lang w:val="es-ES"/>
        </w:rPr>
        <w:t>,</w:t>
      </w:r>
      <w:r w:rsidRPr="00CD5356">
        <w:rPr>
          <w:bCs/>
          <w:szCs w:val="24"/>
          <w:lang w:val="es-ES"/>
        </w:rPr>
        <w:t xml:space="preserve"> 24  (27%) </w:t>
      </w:r>
      <w:r w:rsidR="00436438" w:rsidRPr="00CD5356">
        <w:rPr>
          <w:bCs/>
          <w:szCs w:val="24"/>
          <w:lang w:val="es-ES"/>
        </w:rPr>
        <w:t>dicen relación</w:t>
      </w:r>
      <w:r w:rsidRPr="00CD5356">
        <w:rPr>
          <w:bCs/>
          <w:szCs w:val="24"/>
          <w:lang w:val="es-ES"/>
        </w:rPr>
        <w:t xml:space="preserve"> a discapacidad, 15 (17%) a enfermedad, 11 (12%) a diversidad sexual —6 de ellas a orientación sexual y 5 a identidad de género—, 10 a ideología u opinión política y 30 (33%) se dividen en temas variados como nacionalidad (1), situación socioeconómica (1), sexo (2), estado civil (1) y apariencia (3), entre otras</w:t>
      </w:r>
      <w:r w:rsidR="00436438" w:rsidRPr="00CD5356">
        <w:rPr>
          <w:rStyle w:val="Refdenotaalpie"/>
          <w:bCs/>
          <w:szCs w:val="24"/>
          <w:lang w:val="es-ES"/>
        </w:rPr>
        <w:footnoteReference w:id="1"/>
      </w:r>
      <w:r w:rsidRPr="00CD5356">
        <w:rPr>
          <w:bCs/>
          <w:szCs w:val="24"/>
          <w:lang w:val="es-ES"/>
        </w:rPr>
        <w:t>.</w:t>
      </w:r>
    </w:p>
    <w:p w:rsidR="00CD5356" w:rsidRPr="00CD5356" w:rsidRDefault="00CD5356" w:rsidP="00CD5356">
      <w:pPr>
        <w:spacing w:after="0" w:line="240" w:lineRule="auto"/>
        <w:outlineLvl w:val="0"/>
        <w:rPr>
          <w:bCs/>
          <w:szCs w:val="24"/>
          <w:lang w:val="es-ES"/>
        </w:rPr>
      </w:pPr>
    </w:p>
    <w:p w:rsidR="0031319F" w:rsidRDefault="00CC0955" w:rsidP="00CD5356">
      <w:pPr>
        <w:spacing w:after="0" w:line="240" w:lineRule="auto"/>
        <w:outlineLvl w:val="0"/>
        <w:rPr>
          <w:bCs/>
          <w:szCs w:val="24"/>
          <w:lang w:val="es-ES"/>
        </w:rPr>
      </w:pPr>
      <w:r w:rsidRPr="00CD5356">
        <w:rPr>
          <w:bCs/>
          <w:szCs w:val="24"/>
          <w:lang w:val="es-ES"/>
        </w:rPr>
        <w:t>Cualquier persona, viendo los datos antes expuestos, podría considerar que la escase</w:t>
      </w:r>
      <w:r w:rsidR="00CC43D5" w:rsidRPr="00CD5356">
        <w:rPr>
          <w:bCs/>
          <w:szCs w:val="24"/>
          <w:lang w:val="es-ES"/>
        </w:rPr>
        <w:t>z</w:t>
      </w:r>
      <w:r w:rsidRPr="00CD5356">
        <w:rPr>
          <w:bCs/>
          <w:szCs w:val="24"/>
          <w:lang w:val="es-ES"/>
        </w:rPr>
        <w:t xml:space="preserve"> de causas ingresadas al sistema judicial da cuenta de que la discriminación es un fenómeno poco extendido en el país. Pero lo cierto es que algunos estudios de opinión muestran que la realidad es diferente. </w:t>
      </w:r>
    </w:p>
    <w:p w:rsidR="00CD5356" w:rsidRPr="00CD5356" w:rsidRDefault="00CD5356" w:rsidP="00CD5356">
      <w:pPr>
        <w:spacing w:after="0" w:line="240" w:lineRule="auto"/>
        <w:outlineLvl w:val="0"/>
        <w:rPr>
          <w:bCs/>
          <w:szCs w:val="24"/>
          <w:lang w:val="es-ES"/>
        </w:rPr>
      </w:pPr>
    </w:p>
    <w:p w:rsidR="00CC0955" w:rsidRDefault="00CC0955" w:rsidP="00CD5356">
      <w:pPr>
        <w:spacing w:after="0" w:line="240" w:lineRule="auto"/>
        <w:outlineLvl w:val="0"/>
        <w:rPr>
          <w:bCs/>
          <w:szCs w:val="24"/>
          <w:lang w:val="es-ES"/>
        </w:rPr>
      </w:pPr>
      <w:r w:rsidRPr="00CD5356">
        <w:rPr>
          <w:bCs/>
          <w:szCs w:val="24"/>
          <w:lang w:val="es-ES"/>
        </w:rPr>
        <w:t xml:space="preserve">A modo de ejemplo, la “Primera Consulta Ciudadana sobre la Discriminación en Chile” realizada el año 2013 por el Ministerio Secretaría General de Gobierno muestra que el </w:t>
      </w:r>
      <w:r w:rsidR="0031319F" w:rsidRPr="00CD5356">
        <w:rPr>
          <w:bCs/>
          <w:szCs w:val="24"/>
          <w:lang w:val="es-ES"/>
        </w:rPr>
        <w:t xml:space="preserve">31% de los encuestados responde que ha discriminado a alguien; el </w:t>
      </w:r>
      <w:r w:rsidRPr="00CD5356">
        <w:rPr>
          <w:bCs/>
          <w:szCs w:val="24"/>
          <w:lang w:val="es-ES"/>
        </w:rPr>
        <w:t>52% de los consultados se ha sentido discriminado;</w:t>
      </w:r>
      <w:r w:rsidR="0031319F" w:rsidRPr="00CD5356">
        <w:rPr>
          <w:bCs/>
          <w:szCs w:val="24"/>
          <w:lang w:val="es-ES"/>
        </w:rPr>
        <w:t xml:space="preserve"> mostrando además que la apariencia personal destaca como el principal móvil de discriminación entre quienes dicen haber discriminado y quienes se han sentido discriminados; y ubicando a los espacios públicos (54%)</w:t>
      </w:r>
      <w:r w:rsidR="00D26393" w:rsidRPr="00CD5356">
        <w:rPr>
          <w:bCs/>
          <w:szCs w:val="24"/>
          <w:lang w:val="es-ES"/>
        </w:rPr>
        <w:t>,</w:t>
      </w:r>
      <w:r w:rsidR="0031319F" w:rsidRPr="00CD5356">
        <w:rPr>
          <w:bCs/>
          <w:szCs w:val="24"/>
          <w:lang w:val="es-ES"/>
        </w:rPr>
        <w:t xml:space="preserve"> entre los que se encuentran las calles, plazas o parques</w:t>
      </w:r>
      <w:r w:rsidR="00D26393" w:rsidRPr="00CD5356">
        <w:rPr>
          <w:bCs/>
          <w:szCs w:val="24"/>
          <w:lang w:val="es-ES"/>
        </w:rPr>
        <w:t>,</w:t>
      </w:r>
      <w:r w:rsidR="0031319F" w:rsidRPr="00CD5356">
        <w:rPr>
          <w:bCs/>
          <w:szCs w:val="24"/>
          <w:lang w:val="es-ES"/>
        </w:rPr>
        <w:t xml:space="preserve"> como los lugares de mayor recurrencia de acontecimiento de actos de discriminación entre quienes dicen haberlo hecho, seguidos de los establecimientos educacionales (31%); y ubicando entre quienes declaran haber sido discriminados, al momento de búsqueda de empleo o al lugar de trabajo como el espacio de mayor ocurrencia de discriminación (46%) seguido de los establecimientos educacionales (36%), entre otros datos</w:t>
      </w:r>
      <w:r w:rsidR="0031319F" w:rsidRPr="00CD5356">
        <w:rPr>
          <w:rStyle w:val="Refdenotaalpie"/>
          <w:bCs/>
          <w:szCs w:val="24"/>
          <w:lang w:val="es-ES"/>
        </w:rPr>
        <w:footnoteReference w:id="2"/>
      </w:r>
      <w:r w:rsidR="00F12978" w:rsidRPr="00CD5356">
        <w:rPr>
          <w:bCs/>
          <w:szCs w:val="24"/>
          <w:lang w:val="es-ES"/>
        </w:rPr>
        <w:t>.</w:t>
      </w:r>
    </w:p>
    <w:p w:rsidR="00CD5356" w:rsidRDefault="00CD5356" w:rsidP="00CD5356">
      <w:pPr>
        <w:spacing w:after="0" w:line="240" w:lineRule="auto"/>
        <w:outlineLvl w:val="0"/>
        <w:rPr>
          <w:bCs/>
          <w:szCs w:val="24"/>
          <w:lang w:val="es-ES"/>
        </w:rPr>
      </w:pPr>
    </w:p>
    <w:p w:rsidR="00CD5356" w:rsidRDefault="00CD5356" w:rsidP="00CD5356">
      <w:pPr>
        <w:spacing w:after="0" w:line="240" w:lineRule="auto"/>
        <w:outlineLvl w:val="0"/>
        <w:rPr>
          <w:bCs/>
          <w:szCs w:val="24"/>
          <w:lang w:val="es-ES"/>
        </w:rPr>
      </w:pPr>
    </w:p>
    <w:p w:rsidR="00CD5356" w:rsidRDefault="00CD5356" w:rsidP="00CD5356">
      <w:pPr>
        <w:spacing w:after="0" w:line="240" w:lineRule="auto"/>
        <w:outlineLvl w:val="0"/>
        <w:rPr>
          <w:bCs/>
          <w:szCs w:val="24"/>
          <w:lang w:val="es-ES"/>
        </w:rPr>
      </w:pPr>
    </w:p>
    <w:p w:rsidR="00CD5356" w:rsidRDefault="00CD5356" w:rsidP="00CD5356">
      <w:pPr>
        <w:spacing w:after="0" w:line="240" w:lineRule="auto"/>
        <w:outlineLvl w:val="0"/>
        <w:rPr>
          <w:bCs/>
          <w:szCs w:val="24"/>
          <w:lang w:val="es-ES"/>
        </w:rPr>
      </w:pPr>
    </w:p>
    <w:p w:rsidR="00CD5356" w:rsidRDefault="00CD5356" w:rsidP="00CD5356">
      <w:pPr>
        <w:spacing w:after="0" w:line="240" w:lineRule="auto"/>
        <w:outlineLvl w:val="0"/>
        <w:rPr>
          <w:bCs/>
          <w:szCs w:val="24"/>
          <w:lang w:val="es-ES"/>
        </w:rPr>
      </w:pPr>
    </w:p>
    <w:p w:rsidR="00CD5356" w:rsidRDefault="00CD5356" w:rsidP="00CD5356">
      <w:pPr>
        <w:spacing w:after="0" w:line="240" w:lineRule="auto"/>
        <w:outlineLvl w:val="0"/>
        <w:rPr>
          <w:bCs/>
          <w:szCs w:val="24"/>
          <w:lang w:val="es-ES"/>
        </w:rPr>
      </w:pPr>
    </w:p>
    <w:p w:rsidR="00CD5356" w:rsidRDefault="00CD5356" w:rsidP="00CD5356">
      <w:pPr>
        <w:spacing w:after="0" w:line="240" w:lineRule="auto"/>
        <w:outlineLvl w:val="0"/>
        <w:rPr>
          <w:bCs/>
          <w:szCs w:val="24"/>
          <w:lang w:val="es-ES"/>
        </w:rPr>
      </w:pPr>
    </w:p>
    <w:p w:rsidR="00CD5356" w:rsidRPr="00CD5356" w:rsidRDefault="00CD5356" w:rsidP="00CD5356">
      <w:pPr>
        <w:spacing w:after="0" w:line="240" w:lineRule="auto"/>
        <w:outlineLvl w:val="0"/>
        <w:rPr>
          <w:bCs/>
          <w:szCs w:val="24"/>
          <w:lang w:val="es-ES"/>
        </w:rPr>
      </w:pPr>
    </w:p>
    <w:p w:rsidR="00F12978" w:rsidRDefault="00F12978" w:rsidP="00CD5356">
      <w:pPr>
        <w:spacing w:after="0" w:line="240" w:lineRule="auto"/>
        <w:outlineLvl w:val="0"/>
        <w:rPr>
          <w:bCs/>
          <w:szCs w:val="24"/>
          <w:lang w:val="es-ES"/>
        </w:rPr>
      </w:pPr>
      <w:r w:rsidRPr="00CD5356">
        <w:rPr>
          <w:bCs/>
          <w:szCs w:val="24"/>
          <w:lang w:val="es-ES"/>
        </w:rPr>
        <w:t>Más recientemente, el Instituto Nacional de Derechos Humanos elaboró un informe denominado “Manifestaciones de Discriminación racial en Chile: un estudio de percepciones”, para el cual se realizó un estudio durante el mes de septiembre de 2017, el cual da cuenta de una situación de percepción del racismo y la discriminación en el país</w:t>
      </w:r>
      <w:r w:rsidRPr="00CD5356">
        <w:rPr>
          <w:rStyle w:val="Refdenotaalpie"/>
          <w:bCs/>
          <w:szCs w:val="24"/>
          <w:lang w:val="es-ES"/>
        </w:rPr>
        <w:footnoteReference w:id="3"/>
      </w:r>
      <w:r w:rsidR="00B01E8D" w:rsidRPr="00CD5356">
        <w:rPr>
          <w:bCs/>
          <w:szCs w:val="24"/>
          <w:lang w:val="es-ES"/>
        </w:rPr>
        <w:t>.</w:t>
      </w:r>
    </w:p>
    <w:p w:rsidR="00CD5356" w:rsidRPr="00CD5356" w:rsidRDefault="00CD5356" w:rsidP="00CD5356">
      <w:pPr>
        <w:spacing w:after="0" w:line="240" w:lineRule="auto"/>
        <w:outlineLvl w:val="0"/>
        <w:rPr>
          <w:bCs/>
          <w:szCs w:val="24"/>
          <w:lang w:val="es-ES"/>
        </w:rPr>
      </w:pPr>
    </w:p>
    <w:p w:rsidR="00144171" w:rsidRDefault="00144171" w:rsidP="00CD5356">
      <w:pPr>
        <w:spacing w:after="0" w:line="240" w:lineRule="auto"/>
        <w:outlineLvl w:val="0"/>
        <w:rPr>
          <w:bCs/>
          <w:szCs w:val="24"/>
          <w:lang w:val="es-ES"/>
        </w:rPr>
      </w:pPr>
      <w:r w:rsidRPr="00CD5356">
        <w:rPr>
          <w:bCs/>
          <w:szCs w:val="24"/>
          <w:lang w:val="es-ES"/>
        </w:rPr>
        <w:t>Los datos muestran que ante la existencia del fenómeno de la discriminación, se requiere mejorar los mecanismos para su erradicación. En este sentido, la ley N° 20.609, que establece medidas contra la discriminación, ha presentado problemas de configuración desde su dictación los cuales han sido destacados por la academia y la sociedad civil.</w:t>
      </w:r>
    </w:p>
    <w:p w:rsidR="00CD5356" w:rsidRPr="00CD5356" w:rsidRDefault="00CD5356" w:rsidP="00CD5356">
      <w:pPr>
        <w:spacing w:after="0" w:line="240" w:lineRule="auto"/>
        <w:outlineLvl w:val="0"/>
        <w:rPr>
          <w:bCs/>
          <w:szCs w:val="24"/>
          <w:lang w:val="es-ES"/>
        </w:rPr>
      </w:pPr>
    </w:p>
    <w:p w:rsidR="00B45D9C" w:rsidRDefault="002577C8" w:rsidP="00CD5356">
      <w:pPr>
        <w:spacing w:after="0" w:line="240" w:lineRule="auto"/>
        <w:outlineLvl w:val="0"/>
        <w:rPr>
          <w:bCs/>
          <w:szCs w:val="24"/>
          <w:lang w:val="es-ES"/>
        </w:rPr>
      </w:pPr>
      <w:r w:rsidRPr="00CD5356">
        <w:rPr>
          <w:bCs/>
          <w:szCs w:val="24"/>
          <w:lang w:val="es-ES"/>
        </w:rPr>
        <w:t>Uno de los principales déficits de la legislación</w:t>
      </w:r>
      <w:r w:rsidR="00B45D9C" w:rsidRPr="00CD5356">
        <w:rPr>
          <w:bCs/>
          <w:szCs w:val="24"/>
          <w:lang w:val="es-ES"/>
        </w:rPr>
        <w:t xml:space="preserve"> nacional</w:t>
      </w:r>
      <w:r w:rsidRPr="00CD5356">
        <w:rPr>
          <w:bCs/>
          <w:szCs w:val="24"/>
          <w:lang w:val="es-ES"/>
        </w:rPr>
        <w:t xml:space="preserve"> es la inexistencia de un ente u órgano encargado de analizar, estudiar y promover medidas antidiscriminación. La legislación actual prescinde de una institucionalidad entregando a los tribunales de justicia el conocimiento de eventuales acciones u omisiones constitutivas de discriminación arbitraria</w:t>
      </w:r>
      <w:r w:rsidR="00EC1D37" w:rsidRPr="00CD5356">
        <w:rPr>
          <w:bCs/>
          <w:szCs w:val="24"/>
          <w:lang w:val="es-ES"/>
        </w:rPr>
        <w:t>,</w:t>
      </w:r>
      <w:r w:rsidRPr="00CD5356">
        <w:rPr>
          <w:bCs/>
          <w:szCs w:val="24"/>
          <w:lang w:val="es-ES"/>
        </w:rPr>
        <w:t xml:space="preserve"> a través de </w:t>
      </w:r>
      <w:r w:rsidR="00EC1D37" w:rsidRPr="00CD5356">
        <w:rPr>
          <w:bCs/>
          <w:szCs w:val="24"/>
          <w:lang w:val="es-ES"/>
        </w:rPr>
        <w:t>un recurso judicial</w:t>
      </w:r>
      <w:r w:rsidRPr="00CD5356">
        <w:rPr>
          <w:bCs/>
          <w:szCs w:val="24"/>
          <w:lang w:val="es-ES"/>
        </w:rPr>
        <w:t>. La experiencia comparada muestra que, en cambio, otros países han optado por desarrollar una inst</w:t>
      </w:r>
      <w:r w:rsidR="00FC141E" w:rsidRPr="00CD5356">
        <w:rPr>
          <w:bCs/>
          <w:szCs w:val="24"/>
          <w:lang w:val="es-ES"/>
        </w:rPr>
        <w:t>itucionalidad nacional antidiscriminación, entre los que se encuentran Alemania, Francia, Países Bajos, Reino Unido y Bolivia.</w:t>
      </w:r>
      <w:r w:rsidR="00B45D9C" w:rsidRPr="00CD5356">
        <w:rPr>
          <w:bCs/>
          <w:szCs w:val="24"/>
          <w:lang w:val="es-ES"/>
        </w:rPr>
        <w:t xml:space="preserve"> Para continuar avanzando en la erradicación de la discriminación se requiere que el Ejecutivo despliegue mayores esfuerzos en el fortalecimiento de nuestra institucionalidad.</w:t>
      </w:r>
    </w:p>
    <w:p w:rsidR="00CD5356" w:rsidRDefault="00CD5356" w:rsidP="00CD5356">
      <w:pPr>
        <w:spacing w:after="0" w:line="240" w:lineRule="auto"/>
        <w:outlineLvl w:val="0"/>
        <w:rPr>
          <w:bCs/>
          <w:szCs w:val="24"/>
          <w:lang w:val="es-ES"/>
        </w:rPr>
      </w:pPr>
    </w:p>
    <w:p w:rsidR="006E1579" w:rsidRPr="00CD5356" w:rsidRDefault="006E1579" w:rsidP="00CD5356">
      <w:pPr>
        <w:spacing w:after="0" w:line="240" w:lineRule="auto"/>
        <w:outlineLvl w:val="0"/>
        <w:rPr>
          <w:b/>
          <w:bCs/>
          <w:szCs w:val="24"/>
          <w:lang w:val="es-ES"/>
        </w:rPr>
      </w:pPr>
    </w:p>
    <w:p w:rsidR="00C2463E" w:rsidRDefault="00C2463E" w:rsidP="00CD5356">
      <w:pPr>
        <w:spacing w:after="0" w:line="240" w:lineRule="auto"/>
        <w:outlineLvl w:val="0"/>
        <w:rPr>
          <w:b/>
          <w:bCs/>
          <w:szCs w:val="24"/>
          <w:lang w:val="es-ES"/>
        </w:rPr>
      </w:pPr>
      <w:r w:rsidRPr="00CD5356">
        <w:rPr>
          <w:b/>
          <w:bCs/>
          <w:szCs w:val="24"/>
          <w:lang w:val="es-ES"/>
        </w:rPr>
        <w:t xml:space="preserve">II. FUNDAMENTOS </w:t>
      </w:r>
      <w:r w:rsidR="004F6F25" w:rsidRPr="00CD5356">
        <w:rPr>
          <w:b/>
          <w:bCs/>
          <w:szCs w:val="24"/>
          <w:lang w:val="es-ES"/>
        </w:rPr>
        <w:t xml:space="preserve">Y CONTENIDOS </w:t>
      </w:r>
      <w:r w:rsidRPr="00CD5356">
        <w:rPr>
          <w:b/>
          <w:bCs/>
          <w:szCs w:val="24"/>
          <w:lang w:val="es-ES"/>
        </w:rPr>
        <w:t>DEL PROYECTO DE LEY</w:t>
      </w:r>
    </w:p>
    <w:p w:rsidR="00CD5356" w:rsidRPr="00CD5356" w:rsidRDefault="00CD5356" w:rsidP="00CD5356">
      <w:pPr>
        <w:spacing w:after="0" w:line="240" w:lineRule="auto"/>
        <w:outlineLvl w:val="0"/>
        <w:rPr>
          <w:b/>
          <w:bCs/>
          <w:szCs w:val="24"/>
          <w:lang w:val="es-ES"/>
        </w:rPr>
      </w:pPr>
    </w:p>
    <w:p w:rsidR="00CD5356" w:rsidRDefault="006E1579" w:rsidP="00CD5356">
      <w:pPr>
        <w:spacing w:after="0" w:line="240" w:lineRule="auto"/>
        <w:outlineLvl w:val="0"/>
        <w:rPr>
          <w:bCs/>
          <w:szCs w:val="24"/>
          <w:lang w:val="es-ES"/>
        </w:rPr>
      </w:pPr>
      <w:r w:rsidRPr="00CD5356">
        <w:rPr>
          <w:bCs/>
          <w:szCs w:val="24"/>
          <w:lang w:val="es-ES"/>
        </w:rPr>
        <w:t xml:space="preserve">Este proyecto de ley tiene por objeto introducir modificaciones </w:t>
      </w:r>
      <w:r w:rsidR="00CD5356">
        <w:rPr>
          <w:bCs/>
          <w:szCs w:val="24"/>
          <w:lang w:val="es-ES"/>
        </w:rPr>
        <w:t xml:space="preserve">                                   </w:t>
      </w:r>
      <w:r w:rsidRPr="00CD5356">
        <w:rPr>
          <w:bCs/>
          <w:szCs w:val="24"/>
          <w:lang w:val="es-ES"/>
        </w:rPr>
        <w:t xml:space="preserve">a la ley N° 20.609, que establece medidas contra la </w:t>
      </w:r>
      <w:r w:rsidR="00CD5356">
        <w:rPr>
          <w:bCs/>
          <w:szCs w:val="24"/>
          <w:lang w:val="es-ES"/>
        </w:rPr>
        <w:t xml:space="preserve">                                      </w:t>
      </w:r>
      <w:r w:rsidRPr="00CD5356">
        <w:rPr>
          <w:bCs/>
          <w:szCs w:val="24"/>
          <w:lang w:val="es-ES"/>
        </w:rPr>
        <w:t xml:space="preserve">discriminación, para fortalecer la prevención de la discriminación, </w:t>
      </w:r>
      <w:r w:rsidR="00CD5356">
        <w:rPr>
          <w:bCs/>
          <w:szCs w:val="24"/>
          <w:lang w:val="es-ES"/>
        </w:rPr>
        <w:t xml:space="preserve">                            </w:t>
      </w:r>
      <w:r w:rsidRPr="00CD5356">
        <w:rPr>
          <w:bCs/>
          <w:szCs w:val="24"/>
          <w:lang w:val="es-ES"/>
        </w:rPr>
        <w:t>y</w:t>
      </w:r>
      <w:r w:rsidR="00CD5356">
        <w:rPr>
          <w:bCs/>
          <w:szCs w:val="24"/>
          <w:lang w:val="es-ES"/>
        </w:rPr>
        <w:t xml:space="preserve">   </w:t>
      </w:r>
      <w:r w:rsidRPr="00CD5356">
        <w:rPr>
          <w:bCs/>
          <w:szCs w:val="24"/>
          <w:lang w:val="es-ES"/>
        </w:rPr>
        <w:t xml:space="preserve"> promover</w:t>
      </w:r>
      <w:r w:rsidR="00CD5356">
        <w:rPr>
          <w:bCs/>
          <w:szCs w:val="24"/>
          <w:lang w:val="es-ES"/>
        </w:rPr>
        <w:t xml:space="preserve">   </w:t>
      </w:r>
      <w:r w:rsidRPr="00CD5356">
        <w:rPr>
          <w:bCs/>
          <w:szCs w:val="24"/>
          <w:lang w:val="es-ES"/>
        </w:rPr>
        <w:t xml:space="preserve"> y</w:t>
      </w:r>
      <w:r w:rsidR="00CD5356">
        <w:rPr>
          <w:bCs/>
          <w:szCs w:val="24"/>
          <w:lang w:val="es-ES"/>
        </w:rPr>
        <w:t xml:space="preserve">   </w:t>
      </w:r>
      <w:r w:rsidRPr="00CD5356">
        <w:rPr>
          <w:bCs/>
          <w:szCs w:val="24"/>
          <w:lang w:val="es-ES"/>
        </w:rPr>
        <w:t xml:space="preserve"> garantizar</w:t>
      </w:r>
      <w:r w:rsidR="00CD5356">
        <w:rPr>
          <w:bCs/>
          <w:szCs w:val="24"/>
          <w:lang w:val="es-ES"/>
        </w:rPr>
        <w:t xml:space="preserve">  </w:t>
      </w:r>
      <w:r w:rsidRPr="00CD5356">
        <w:rPr>
          <w:bCs/>
          <w:szCs w:val="24"/>
          <w:lang w:val="es-ES"/>
        </w:rPr>
        <w:t xml:space="preserve"> de</w:t>
      </w:r>
      <w:r w:rsidR="00CD5356">
        <w:rPr>
          <w:bCs/>
          <w:szCs w:val="24"/>
          <w:lang w:val="es-ES"/>
        </w:rPr>
        <w:t xml:space="preserve">  </w:t>
      </w:r>
      <w:r w:rsidRPr="00CD5356">
        <w:rPr>
          <w:bCs/>
          <w:szCs w:val="24"/>
          <w:lang w:val="es-ES"/>
        </w:rPr>
        <w:t xml:space="preserve"> mejor</w:t>
      </w:r>
      <w:r w:rsidR="00CD5356">
        <w:rPr>
          <w:bCs/>
          <w:szCs w:val="24"/>
          <w:lang w:val="es-ES"/>
        </w:rPr>
        <w:t xml:space="preserve">  </w:t>
      </w:r>
      <w:r w:rsidRPr="00CD5356">
        <w:rPr>
          <w:bCs/>
          <w:szCs w:val="24"/>
          <w:lang w:val="es-ES"/>
        </w:rPr>
        <w:t xml:space="preserve"> manera </w:t>
      </w:r>
      <w:r w:rsidR="00CD5356">
        <w:rPr>
          <w:bCs/>
          <w:szCs w:val="24"/>
          <w:lang w:val="es-ES"/>
        </w:rPr>
        <w:t xml:space="preserve">  </w:t>
      </w:r>
      <w:r w:rsidRPr="00CD5356">
        <w:rPr>
          <w:bCs/>
          <w:szCs w:val="24"/>
          <w:lang w:val="es-ES"/>
        </w:rPr>
        <w:t>el</w:t>
      </w:r>
      <w:r w:rsidR="00CD5356">
        <w:rPr>
          <w:bCs/>
          <w:szCs w:val="24"/>
          <w:lang w:val="es-ES"/>
        </w:rPr>
        <w:t xml:space="preserve">  </w:t>
      </w:r>
      <w:r w:rsidRPr="00CD5356">
        <w:rPr>
          <w:bCs/>
          <w:szCs w:val="24"/>
          <w:lang w:val="es-ES"/>
        </w:rPr>
        <w:t xml:space="preserve"> principio</w:t>
      </w:r>
      <w:r w:rsidR="00CD5356">
        <w:rPr>
          <w:bCs/>
          <w:szCs w:val="24"/>
          <w:lang w:val="es-ES"/>
        </w:rPr>
        <w:t xml:space="preserve">  </w:t>
      </w:r>
      <w:r w:rsidRPr="00CD5356">
        <w:rPr>
          <w:bCs/>
          <w:szCs w:val="24"/>
          <w:lang w:val="es-ES"/>
        </w:rPr>
        <w:t xml:space="preserve"> de</w:t>
      </w:r>
      <w:r w:rsidR="00CD5356">
        <w:rPr>
          <w:bCs/>
          <w:szCs w:val="24"/>
          <w:lang w:val="es-ES"/>
        </w:rPr>
        <w:t xml:space="preserve"> </w:t>
      </w:r>
      <w:r w:rsidRPr="00CD5356">
        <w:rPr>
          <w:bCs/>
          <w:szCs w:val="24"/>
          <w:lang w:val="es-ES"/>
        </w:rPr>
        <w:t xml:space="preserve"> igualdad, </w:t>
      </w:r>
    </w:p>
    <w:p w:rsidR="00CD5356" w:rsidRDefault="00CD5356" w:rsidP="00CD5356">
      <w:pPr>
        <w:spacing w:after="0" w:line="240" w:lineRule="auto"/>
        <w:outlineLvl w:val="0"/>
        <w:rPr>
          <w:bCs/>
          <w:szCs w:val="24"/>
          <w:lang w:val="es-ES"/>
        </w:rPr>
      </w:pPr>
      <w:r>
        <w:rPr>
          <w:bCs/>
          <w:szCs w:val="24"/>
          <w:lang w:val="es-ES"/>
        </w:rPr>
        <w:t xml:space="preserve">  </w:t>
      </w:r>
    </w:p>
    <w:p w:rsidR="00CD5356" w:rsidRDefault="00CD5356" w:rsidP="00CD5356">
      <w:pPr>
        <w:spacing w:after="0" w:line="240" w:lineRule="auto"/>
        <w:outlineLvl w:val="0"/>
        <w:rPr>
          <w:bCs/>
          <w:szCs w:val="24"/>
          <w:lang w:val="es-ES"/>
        </w:rPr>
      </w:pPr>
    </w:p>
    <w:p w:rsidR="00CD5356" w:rsidRDefault="00CD5356" w:rsidP="00CD5356">
      <w:pPr>
        <w:spacing w:after="0" w:line="240" w:lineRule="auto"/>
        <w:outlineLvl w:val="0"/>
        <w:rPr>
          <w:bCs/>
          <w:szCs w:val="24"/>
          <w:lang w:val="es-ES"/>
        </w:rPr>
      </w:pPr>
    </w:p>
    <w:p w:rsidR="00CD5356" w:rsidRDefault="00CD5356" w:rsidP="00CD5356">
      <w:pPr>
        <w:spacing w:after="0" w:line="240" w:lineRule="auto"/>
        <w:outlineLvl w:val="0"/>
        <w:rPr>
          <w:bCs/>
          <w:szCs w:val="24"/>
          <w:lang w:val="es-ES"/>
        </w:rPr>
      </w:pPr>
    </w:p>
    <w:p w:rsidR="00CD5356" w:rsidRDefault="00CD5356" w:rsidP="00CD5356">
      <w:pPr>
        <w:spacing w:after="0" w:line="240" w:lineRule="auto"/>
        <w:outlineLvl w:val="0"/>
        <w:rPr>
          <w:bCs/>
          <w:szCs w:val="24"/>
          <w:lang w:val="es-ES"/>
        </w:rPr>
      </w:pPr>
    </w:p>
    <w:p w:rsidR="00CD5356" w:rsidRDefault="00CD5356" w:rsidP="00CD5356">
      <w:pPr>
        <w:spacing w:after="0" w:line="240" w:lineRule="auto"/>
        <w:outlineLvl w:val="0"/>
        <w:rPr>
          <w:bCs/>
          <w:szCs w:val="24"/>
          <w:lang w:val="es-ES"/>
        </w:rPr>
      </w:pPr>
    </w:p>
    <w:p w:rsidR="00CD5356" w:rsidRDefault="00CD5356" w:rsidP="00CD5356">
      <w:pPr>
        <w:spacing w:after="0" w:line="240" w:lineRule="auto"/>
        <w:outlineLvl w:val="0"/>
        <w:rPr>
          <w:bCs/>
          <w:szCs w:val="24"/>
          <w:lang w:val="es-ES"/>
        </w:rPr>
      </w:pPr>
    </w:p>
    <w:p w:rsidR="00CD5356" w:rsidRDefault="00CD5356" w:rsidP="00CD5356">
      <w:pPr>
        <w:spacing w:after="0" w:line="240" w:lineRule="auto"/>
        <w:outlineLvl w:val="0"/>
        <w:rPr>
          <w:bCs/>
          <w:szCs w:val="24"/>
          <w:lang w:val="es-ES"/>
        </w:rPr>
      </w:pPr>
    </w:p>
    <w:p w:rsidR="00CD5356" w:rsidRDefault="00CD5356" w:rsidP="00CD5356">
      <w:pPr>
        <w:spacing w:after="0" w:line="240" w:lineRule="auto"/>
        <w:outlineLvl w:val="0"/>
        <w:rPr>
          <w:bCs/>
          <w:szCs w:val="24"/>
          <w:lang w:val="es-ES"/>
        </w:rPr>
      </w:pPr>
    </w:p>
    <w:p w:rsidR="00CD5356" w:rsidRDefault="00CD5356" w:rsidP="00CD5356">
      <w:pPr>
        <w:spacing w:after="0" w:line="240" w:lineRule="auto"/>
        <w:outlineLvl w:val="0"/>
        <w:rPr>
          <w:bCs/>
          <w:szCs w:val="24"/>
          <w:lang w:val="es-ES"/>
        </w:rPr>
      </w:pPr>
    </w:p>
    <w:p w:rsidR="00CD5356" w:rsidRDefault="00CD5356" w:rsidP="00CD5356">
      <w:pPr>
        <w:spacing w:after="0" w:line="240" w:lineRule="auto"/>
        <w:outlineLvl w:val="0"/>
        <w:rPr>
          <w:bCs/>
          <w:szCs w:val="24"/>
          <w:lang w:val="es-ES"/>
        </w:rPr>
      </w:pPr>
    </w:p>
    <w:p w:rsidR="00CD5356" w:rsidRDefault="00CD5356" w:rsidP="00CD5356">
      <w:pPr>
        <w:spacing w:after="0" w:line="240" w:lineRule="auto"/>
        <w:outlineLvl w:val="0"/>
        <w:rPr>
          <w:bCs/>
          <w:szCs w:val="24"/>
          <w:lang w:val="es-ES"/>
        </w:rPr>
      </w:pPr>
    </w:p>
    <w:p w:rsidR="006E1579" w:rsidRDefault="006E1579" w:rsidP="00CD5356">
      <w:pPr>
        <w:spacing w:after="0" w:line="240" w:lineRule="auto"/>
        <w:outlineLvl w:val="0"/>
        <w:rPr>
          <w:bCs/>
          <w:szCs w:val="24"/>
          <w:lang w:val="es-ES"/>
        </w:rPr>
      </w:pPr>
      <w:r w:rsidRPr="00CD5356">
        <w:rPr>
          <w:bCs/>
          <w:szCs w:val="24"/>
          <w:lang w:val="es-ES"/>
        </w:rPr>
        <w:t>dotando de mayor eficacia a la acción de no discriminación arbitraria que consagra la ley.</w:t>
      </w:r>
    </w:p>
    <w:p w:rsidR="00CD5356" w:rsidRPr="00CD5356" w:rsidRDefault="00CD5356" w:rsidP="00CD5356">
      <w:pPr>
        <w:spacing w:after="0" w:line="240" w:lineRule="auto"/>
        <w:outlineLvl w:val="0"/>
        <w:rPr>
          <w:bCs/>
          <w:szCs w:val="24"/>
          <w:lang w:val="es-ES"/>
        </w:rPr>
      </w:pPr>
    </w:p>
    <w:p w:rsidR="005E1FBD" w:rsidRDefault="005E1FBD" w:rsidP="00CD5356">
      <w:pPr>
        <w:spacing w:after="0" w:line="240" w:lineRule="auto"/>
        <w:outlineLvl w:val="0"/>
        <w:rPr>
          <w:bCs/>
          <w:szCs w:val="24"/>
          <w:lang w:val="es-ES"/>
        </w:rPr>
      </w:pPr>
      <w:r w:rsidRPr="00CD5356">
        <w:rPr>
          <w:bCs/>
          <w:szCs w:val="24"/>
          <w:lang w:val="es-ES"/>
        </w:rPr>
        <w:t>Con esta finalidad, se propone realizar una serie de modificaciones a la ley actualmente vigente, las cuales apuntan a:</w:t>
      </w:r>
    </w:p>
    <w:p w:rsidR="00CD5356" w:rsidRPr="00CD5356" w:rsidRDefault="00CD5356" w:rsidP="00CD5356">
      <w:pPr>
        <w:spacing w:after="0" w:line="240" w:lineRule="auto"/>
        <w:outlineLvl w:val="0"/>
        <w:rPr>
          <w:bCs/>
          <w:szCs w:val="24"/>
          <w:lang w:val="es-ES"/>
        </w:rPr>
      </w:pPr>
    </w:p>
    <w:p w:rsidR="005E1FBD" w:rsidRDefault="005E1FBD" w:rsidP="00CD5356">
      <w:pPr>
        <w:spacing w:after="0" w:line="240" w:lineRule="auto"/>
        <w:outlineLvl w:val="0"/>
        <w:rPr>
          <w:bCs/>
          <w:szCs w:val="24"/>
          <w:lang w:val="es-ES"/>
        </w:rPr>
      </w:pPr>
      <w:r w:rsidRPr="00CD5356">
        <w:rPr>
          <w:b/>
          <w:bCs/>
          <w:szCs w:val="24"/>
          <w:lang w:val="es-ES"/>
        </w:rPr>
        <w:t xml:space="preserve">a) Modificar el propósito de la ley. </w:t>
      </w:r>
      <w:r w:rsidRPr="00CD5356">
        <w:rPr>
          <w:bCs/>
          <w:szCs w:val="24"/>
          <w:lang w:val="es-ES"/>
        </w:rPr>
        <w:t>En este aspecto se propone agregar a los propósitos de la ley la función de prevenir la discriminación arbitraria, y promover y garantizar el principio de igualdad, sumando estos al mecanismo judicial ya instaurado por la ley.</w:t>
      </w:r>
    </w:p>
    <w:p w:rsidR="00CD5356" w:rsidRPr="00CD5356" w:rsidRDefault="00CD5356" w:rsidP="00CD5356">
      <w:pPr>
        <w:spacing w:after="0" w:line="240" w:lineRule="auto"/>
        <w:outlineLvl w:val="0"/>
        <w:rPr>
          <w:bCs/>
          <w:szCs w:val="24"/>
          <w:lang w:val="es-ES"/>
        </w:rPr>
      </w:pPr>
    </w:p>
    <w:p w:rsidR="00A02A38" w:rsidRDefault="005E1FBD" w:rsidP="00CD5356">
      <w:pPr>
        <w:spacing w:after="0" w:line="240" w:lineRule="auto"/>
        <w:outlineLvl w:val="0"/>
        <w:rPr>
          <w:bCs/>
          <w:szCs w:val="24"/>
          <w:lang w:val="es-ES"/>
        </w:rPr>
      </w:pPr>
      <w:r w:rsidRPr="00CD5356">
        <w:rPr>
          <w:b/>
          <w:bCs/>
          <w:szCs w:val="24"/>
          <w:lang w:val="es-ES"/>
        </w:rPr>
        <w:t xml:space="preserve">b) Mejorar la definición de discriminación arbitraria </w:t>
      </w:r>
      <w:r w:rsidR="002D7303" w:rsidRPr="00CD5356">
        <w:rPr>
          <w:b/>
          <w:bCs/>
          <w:szCs w:val="24"/>
          <w:lang w:val="es-ES"/>
        </w:rPr>
        <w:t xml:space="preserve">y la referencia a las categorías sospechas </w:t>
      </w:r>
      <w:r w:rsidRPr="00CD5356">
        <w:rPr>
          <w:b/>
          <w:bCs/>
          <w:szCs w:val="24"/>
          <w:lang w:val="es-ES"/>
        </w:rPr>
        <w:t>ajustándola</w:t>
      </w:r>
      <w:r w:rsidR="002D7303" w:rsidRPr="00CD5356">
        <w:rPr>
          <w:b/>
          <w:bCs/>
          <w:szCs w:val="24"/>
          <w:lang w:val="es-ES"/>
        </w:rPr>
        <w:t>s</w:t>
      </w:r>
      <w:r w:rsidRPr="00CD5356">
        <w:rPr>
          <w:b/>
          <w:bCs/>
          <w:szCs w:val="24"/>
          <w:lang w:val="es-ES"/>
        </w:rPr>
        <w:t xml:space="preserve"> a lo establecido en los tratados internacionales.</w:t>
      </w:r>
      <w:r w:rsidRPr="00CD5356">
        <w:rPr>
          <w:bCs/>
          <w:szCs w:val="24"/>
          <w:lang w:val="es-ES"/>
        </w:rPr>
        <w:t xml:space="preserve"> </w:t>
      </w:r>
      <w:r w:rsidR="00A02A38" w:rsidRPr="00CD5356">
        <w:rPr>
          <w:bCs/>
          <w:szCs w:val="24"/>
          <w:lang w:val="es-ES"/>
        </w:rPr>
        <w:t>Se propone modificar la definición en los siguientes aspectos:</w:t>
      </w:r>
    </w:p>
    <w:p w:rsidR="00CD5356" w:rsidRPr="00CD5356" w:rsidRDefault="00CD5356" w:rsidP="00CD5356">
      <w:pPr>
        <w:spacing w:after="0" w:line="240" w:lineRule="auto"/>
        <w:outlineLvl w:val="0"/>
        <w:rPr>
          <w:bCs/>
          <w:szCs w:val="24"/>
          <w:lang w:val="es-ES"/>
        </w:rPr>
      </w:pPr>
    </w:p>
    <w:p w:rsidR="00A02A38" w:rsidRDefault="00A02A38" w:rsidP="00CD5356">
      <w:pPr>
        <w:spacing w:after="0" w:line="240" w:lineRule="auto"/>
        <w:outlineLvl w:val="0"/>
        <w:rPr>
          <w:bCs/>
          <w:szCs w:val="24"/>
          <w:lang w:val="es-ES"/>
        </w:rPr>
      </w:pPr>
      <w:r w:rsidRPr="00CD5356">
        <w:rPr>
          <w:bCs/>
          <w:szCs w:val="24"/>
          <w:lang w:val="es-ES"/>
        </w:rPr>
        <w:t xml:space="preserve">- Modificar el concepto legal de discriminación arbitraria agregando la categoría “preferencia”, </w:t>
      </w:r>
      <w:r w:rsidR="0009392F" w:rsidRPr="00CD5356">
        <w:rPr>
          <w:bCs/>
          <w:szCs w:val="24"/>
          <w:lang w:val="es-ES"/>
        </w:rPr>
        <w:t xml:space="preserve">a las ya consagradas por la ley, </w:t>
      </w:r>
      <w:r w:rsidRPr="00CD5356">
        <w:rPr>
          <w:bCs/>
          <w:szCs w:val="24"/>
          <w:lang w:val="es-ES"/>
        </w:rPr>
        <w:t xml:space="preserve">presente en la definición adoptada por el artículo primero de la </w:t>
      </w:r>
      <w:r w:rsidR="0009392F" w:rsidRPr="00CD5356">
        <w:rPr>
          <w:bCs/>
          <w:szCs w:val="24"/>
          <w:lang w:val="es-ES"/>
        </w:rPr>
        <w:t>“</w:t>
      </w:r>
      <w:r w:rsidRPr="00CD5356">
        <w:rPr>
          <w:bCs/>
          <w:szCs w:val="24"/>
          <w:lang w:val="es-ES"/>
        </w:rPr>
        <w:t>Convención Interamericana contra toda forma de Discriminación e Intolerancia</w:t>
      </w:r>
      <w:r w:rsidR="0009392F" w:rsidRPr="00CD5356">
        <w:rPr>
          <w:bCs/>
          <w:szCs w:val="24"/>
          <w:lang w:val="es-ES"/>
        </w:rPr>
        <w:t>”</w:t>
      </w:r>
      <w:r w:rsidRPr="00CD5356">
        <w:rPr>
          <w:bCs/>
          <w:szCs w:val="24"/>
          <w:lang w:val="es-ES"/>
        </w:rPr>
        <w:t xml:space="preserve"> de la Organización de Estados Americanos</w:t>
      </w:r>
      <w:r w:rsidR="0009392F" w:rsidRPr="00CD5356">
        <w:rPr>
          <w:bCs/>
          <w:szCs w:val="24"/>
          <w:lang w:val="es-ES"/>
        </w:rPr>
        <w:t>, firmada por Chile el 22 de octubre de 2015.</w:t>
      </w:r>
    </w:p>
    <w:p w:rsidR="00CD5356" w:rsidRPr="00CD5356" w:rsidRDefault="00CD5356" w:rsidP="00CD5356">
      <w:pPr>
        <w:spacing w:after="0" w:line="240" w:lineRule="auto"/>
        <w:outlineLvl w:val="0"/>
        <w:rPr>
          <w:bCs/>
          <w:szCs w:val="24"/>
          <w:lang w:val="es-ES"/>
        </w:rPr>
      </w:pPr>
    </w:p>
    <w:p w:rsidR="00CD5AEA" w:rsidRDefault="00CD5AEA" w:rsidP="00CD5356">
      <w:pPr>
        <w:spacing w:after="0" w:line="240" w:lineRule="auto"/>
        <w:outlineLvl w:val="0"/>
        <w:rPr>
          <w:bCs/>
          <w:szCs w:val="24"/>
          <w:lang w:val="es-ES"/>
        </w:rPr>
      </w:pPr>
      <w:r w:rsidRPr="00CD5356">
        <w:rPr>
          <w:bCs/>
          <w:szCs w:val="24"/>
          <w:lang w:val="es-ES"/>
        </w:rPr>
        <w:t xml:space="preserve">- Modificar la definición legal contemplando que la discriminación arbitraria se considere como una ofensa autónoma, sin requerir que adicionalmente se vulnere el ejercicio de otros derechos constitucionales. De esta manera se contemplarían </w:t>
      </w:r>
      <w:r w:rsidR="00EC1D37" w:rsidRPr="00CD5356">
        <w:rPr>
          <w:bCs/>
          <w:szCs w:val="24"/>
          <w:lang w:val="es-ES"/>
        </w:rPr>
        <w:t xml:space="preserve">al menos </w:t>
      </w:r>
      <w:r w:rsidRPr="00CD5356">
        <w:rPr>
          <w:bCs/>
          <w:szCs w:val="24"/>
          <w:lang w:val="es-ES"/>
        </w:rPr>
        <w:t>dos hipótesi</w:t>
      </w:r>
      <w:r w:rsidR="00A706B2" w:rsidRPr="00CD5356">
        <w:rPr>
          <w:bCs/>
          <w:szCs w:val="24"/>
          <w:lang w:val="es-ES"/>
        </w:rPr>
        <w:t>s de discriminación arbitraria.</w:t>
      </w:r>
    </w:p>
    <w:p w:rsidR="00CD5356" w:rsidRPr="00CD5356" w:rsidRDefault="00CD5356" w:rsidP="00CD5356">
      <w:pPr>
        <w:spacing w:after="0" w:line="240" w:lineRule="auto"/>
        <w:outlineLvl w:val="0"/>
        <w:rPr>
          <w:bCs/>
          <w:szCs w:val="24"/>
          <w:lang w:val="es-ES"/>
        </w:rPr>
      </w:pPr>
    </w:p>
    <w:p w:rsidR="00CD5356" w:rsidRDefault="00A706B2" w:rsidP="00CD5356">
      <w:pPr>
        <w:spacing w:after="0" w:line="240" w:lineRule="auto"/>
        <w:outlineLvl w:val="0"/>
        <w:rPr>
          <w:bCs/>
          <w:szCs w:val="24"/>
          <w:lang w:val="es-ES"/>
        </w:rPr>
      </w:pPr>
      <w:r w:rsidRPr="00CD5356">
        <w:rPr>
          <w:bCs/>
          <w:szCs w:val="24"/>
          <w:lang w:val="es-ES"/>
        </w:rPr>
        <w:t xml:space="preserve">- Modificar la referencia a las categorías sospechosas, cambiando la </w:t>
      </w:r>
      <w:r w:rsidR="00CD5356">
        <w:rPr>
          <w:bCs/>
          <w:szCs w:val="24"/>
          <w:lang w:val="es-ES"/>
        </w:rPr>
        <w:t xml:space="preserve">                 </w:t>
      </w:r>
      <w:r w:rsidRPr="00CD5356">
        <w:rPr>
          <w:bCs/>
          <w:szCs w:val="24"/>
          <w:lang w:val="es-ES"/>
        </w:rPr>
        <w:t xml:space="preserve">expresión que actualmente contempla la ley para hacer el enlace entre la definición de discriminación arbitraria y las categorías sospechosas. </w:t>
      </w:r>
      <w:r w:rsidR="00CD5356">
        <w:rPr>
          <w:bCs/>
          <w:szCs w:val="24"/>
          <w:lang w:val="es-ES"/>
        </w:rPr>
        <w:t xml:space="preserve">                  </w:t>
      </w:r>
      <w:r w:rsidRPr="00CD5356">
        <w:rPr>
          <w:bCs/>
          <w:szCs w:val="24"/>
          <w:lang w:val="es-ES"/>
        </w:rPr>
        <w:t xml:space="preserve">De esta forma se propone cambiar la expresión “en particular” por la frase “en especial”, de manera de salvar las ambigüedades interpretativas que </w:t>
      </w:r>
      <w:r w:rsidR="00CD5356">
        <w:rPr>
          <w:bCs/>
          <w:szCs w:val="24"/>
          <w:lang w:val="es-ES"/>
        </w:rPr>
        <w:t xml:space="preserve">             </w:t>
      </w:r>
      <w:r w:rsidRPr="00CD5356">
        <w:rPr>
          <w:bCs/>
          <w:szCs w:val="24"/>
          <w:lang w:val="es-ES"/>
        </w:rPr>
        <w:t>actualmente</w:t>
      </w:r>
      <w:r w:rsidR="0089638B" w:rsidRPr="00CD5356">
        <w:rPr>
          <w:bCs/>
          <w:szCs w:val="24"/>
          <w:lang w:val="es-ES"/>
        </w:rPr>
        <w:t xml:space="preserve"> produce la redacción de la ley, entendiéndose entonces que hay discriminación arbitraria de manera singular cuando se establecen diferenciaciones fundadas en alguna de las categorías sospechosas enunciadas</w:t>
      </w:r>
      <w:r w:rsidR="00CD5356">
        <w:rPr>
          <w:bCs/>
          <w:szCs w:val="24"/>
          <w:lang w:val="es-ES"/>
        </w:rPr>
        <w:t xml:space="preserve">    </w:t>
      </w:r>
      <w:r w:rsidR="0089638B" w:rsidRPr="00CD5356">
        <w:rPr>
          <w:bCs/>
          <w:szCs w:val="24"/>
          <w:lang w:val="es-ES"/>
        </w:rPr>
        <w:t xml:space="preserve"> en</w:t>
      </w:r>
      <w:r w:rsidR="00CD5356">
        <w:rPr>
          <w:bCs/>
          <w:szCs w:val="24"/>
          <w:lang w:val="es-ES"/>
        </w:rPr>
        <w:t xml:space="preserve"> </w:t>
      </w:r>
      <w:r w:rsidR="0089638B" w:rsidRPr="00CD5356">
        <w:rPr>
          <w:bCs/>
          <w:szCs w:val="24"/>
          <w:lang w:val="es-ES"/>
        </w:rPr>
        <w:t xml:space="preserve">la </w:t>
      </w:r>
      <w:r w:rsidR="00CD5356">
        <w:rPr>
          <w:bCs/>
          <w:szCs w:val="24"/>
          <w:lang w:val="es-ES"/>
        </w:rPr>
        <w:t xml:space="preserve"> </w:t>
      </w:r>
      <w:r w:rsidR="0089638B" w:rsidRPr="00CD5356">
        <w:rPr>
          <w:bCs/>
          <w:szCs w:val="24"/>
          <w:lang w:val="es-ES"/>
        </w:rPr>
        <w:t>norma,</w:t>
      </w:r>
      <w:r w:rsidR="00CD5356">
        <w:rPr>
          <w:bCs/>
          <w:szCs w:val="24"/>
          <w:lang w:val="es-ES"/>
        </w:rPr>
        <w:t xml:space="preserve"> </w:t>
      </w:r>
      <w:r w:rsidR="0089638B" w:rsidRPr="00CD5356">
        <w:rPr>
          <w:bCs/>
          <w:szCs w:val="24"/>
          <w:lang w:val="es-ES"/>
        </w:rPr>
        <w:t xml:space="preserve"> exigiendo</w:t>
      </w:r>
      <w:r w:rsidR="00CD5356">
        <w:rPr>
          <w:bCs/>
          <w:szCs w:val="24"/>
          <w:lang w:val="es-ES"/>
        </w:rPr>
        <w:t xml:space="preserve"> </w:t>
      </w:r>
      <w:r w:rsidR="0089638B" w:rsidRPr="00CD5356">
        <w:rPr>
          <w:bCs/>
          <w:szCs w:val="24"/>
          <w:lang w:val="es-ES"/>
        </w:rPr>
        <w:t xml:space="preserve"> en</w:t>
      </w:r>
      <w:r w:rsidR="00CD5356">
        <w:rPr>
          <w:bCs/>
          <w:szCs w:val="24"/>
          <w:lang w:val="es-ES"/>
        </w:rPr>
        <w:t xml:space="preserve"> </w:t>
      </w:r>
      <w:r w:rsidR="0089638B" w:rsidRPr="00CD5356">
        <w:rPr>
          <w:bCs/>
          <w:szCs w:val="24"/>
          <w:lang w:val="es-ES"/>
        </w:rPr>
        <w:t xml:space="preserve"> tal </w:t>
      </w:r>
      <w:r w:rsidR="00CD5356">
        <w:rPr>
          <w:bCs/>
          <w:szCs w:val="24"/>
          <w:lang w:val="es-ES"/>
        </w:rPr>
        <w:t xml:space="preserve"> </w:t>
      </w:r>
      <w:r w:rsidR="0089638B" w:rsidRPr="00CD5356">
        <w:rPr>
          <w:bCs/>
          <w:szCs w:val="24"/>
          <w:lang w:val="es-ES"/>
        </w:rPr>
        <w:t xml:space="preserve">caso </w:t>
      </w:r>
      <w:r w:rsidR="00CD5356">
        <w:rPr>
          <w:bCs/>
          <w:szCs w:val="24"/>
          <w:lang w:val="es-ES"/>
        </w:rPr>
        <w:t xml:space="preserve"> </w:t>
      </w:r>
      <w:r w:rsidR="0089638B" w:rsidRPr="00CD5356">
        <w:rPr>
          <w:bCs/>
          <w:szCs w:val="24"/>
          <w:lang w:val="es-ES"/>
        </w:rPr>
        <w:t>una</w:t>
      </w:r>
      <w:r w:rsidR="00CD5356">
        <w:rPr>
          <w:bCs/>
          <w:szCs w:val="24"/>
          <w:lang w:val="es-ES"/>
        </w:rPr>
        <w:t xml:space="preserve"> </w:t>
      </w:r>
      <w:r w:rsidR="0089638B" w:rsidRPr="00CD5356">
        <w:rPr>
          <w:bCs/>
          <w:szCs w:val="24"/>
          <w:lang w:val="es-ES"/>
        </w:rPr>
        <w:t xml:space="preserve"> argumentación </w:t>
      </w:r>
      <w:r w:rsidR="00CD5356">
        <w:rPr>
          <w:bCs/>
          <w:szCs w:val="24"/>
          <w:lang w:val="es-ES"/>
        </w:rPr>
        <w:t xml:space="preserve"> </w:t>
      </w:r>
      <w:r w:rsidR="0089638B" w:rsidRPr="00CD5356">
        <w:rPr>
          <w:bCs/>
          <w:szCs w:val="24"/>
          <w:lang w:val="es-ES"/>
        </w:rPr>
        <w:t xml:space="preserve">de </w:t>
      </w:r>
      <w:r w:rsidR="00CD5356">
        <w:rPr>
          <w:bCs/>
          <w:szCs w:val="24"/>
          <w:lang w:val="es-ES"/>
        </w:rPr>
        <w:t xml:space="preserve"> </w:t>
      </w:r>
      <w:r w:rsidR="0089638B" w:rsidRPr="00CD5356">
        <w:rPr>
          <w:bCs/>
          <w:szCs w:val="24"/>
          <w:lang w:val="es-ES"/>
        </w:rPr>
        <w:t xml:space="preserve">mayor </w:t>
      </w:r>
      <w:r w:rsidR="00CD5356">
        <w:rPr>
          <w:bCs/>
          <w:szCs w:val="24"/>
          <w:lang w:val="es-ES"/>
        </w:rPr>
        <w:t xml:space="preserve"> </w:t>
      </w:r>
      <w:r w:rsidR="0089638B" w:rsidRPr="00CD5356">
        <w:rPr>
          <w:bCs/>
          <w:szCs w:val="24"/>
          <w:lang w:val="es-ES"/>
        </w:rPr>
        <w:t xml:space="preserve">estándar a </w:t>
      </w:r>
    </w:p>
    <w:p w:rsidR="00CD5356" w:rsidRDefault="00CD5356" w:rsidP="00CD5356">
      <w:pPr>
        <w:spacing w:after="0" w:line="240" w:lineRule="auto"/>
        <w:outlineLvl w:val="0"/>
        <w:rPr>
          <w:bCs/>
          <w:szCs w:val="24"/>
          <w:lang w:val="es-ES"/>
        </w:rPr>
      </w:pPr>
    </w:p>
    <w:p w:rsidR="00CD5356" w:rsidRDefault="00CD5356" w:rsidP="00CD5356">
      <w:pPr>
        <w:spacing w:after="0" w:line="240" w:lineRule="auto"/>
        <w:outlineLvl w:val="0"/>
        <w:rPr>
          <w:bCs/>
          <w:szCs w:val="24"/>
          <w:lang w:val="es-ES"/>
        </w:rPr>
      </w:pPr>
    </w:p>
    <w:p w:rsidR="00CD5356" w:rsidRDefault="00CD5356" w:rsidP="00CD5356">
      <w:pPr>
        <w:spacing w:after="0" w:line="240" w:lineRule="auto"/>
        <w:outlineLvl w:val="0"/>
        <w:rPr>
          <w:bCs/>
          <w:szCs w:val="24"/>
          <w:lang w:val="es-ES"/>
        </w:rPr>
      </w:pPr>
    </w:p>
    <w:p w:rsidR="00CD5356" w:rsidRDefault="00CD5356" w:rsidP="00CD5356">
      <w:pPr>
        <w:spacing w:after="0" w:line="240" w:lineRule="auto"/>
        <w:outlineLvl w:val="0"/>
        <w:rPr>
          <w:bCs/>
          <w:szCs w:val="24"/>
          <w:lang w:val="es-ES"/>
        </w:rPr>
      </w:pPr>
    </w:p>
    <w:p w:rsidR="00CD5356" w:rsidRDefault="00CD5356" w:rsidP="00CD5356">
      <w:pPr>
        <w:spacing w:after="0" w:line="240" w:lineRule="auto"/>
        <w:outlineLvl w:val="0"/>
        <w:rPr>
          <w:bCs/>
          <w:szCs w:val="24"/>
          <w:lang w:val="es-ES"/>
        </w:rPr>
      </w:pPr>
    </w:p>
    <w:p w:rsidR="00CD5356" w:rsidRDefault="00CD5356" w:rsidP="00CD5356">
      <w:pPr>
        <w:spacing w:after="0" w:line="240" w:lineRule="auto"/>
        <w:outlineLvl w:val="0"/>
        <w:rPr>
          <w:bCs/>
          <w:szCs w:val="24"/>
          <w:lang w:val="es-ES"/>
        </w:rPr>
      </w:pPr>
    </w:p>
    <w:p w:rsidR="00CD5356" w:rsidRDefault="00CD5356" w:rsidP="00CD5356">
      <w:pPr>
        <w:spacing w:after="0" w:line="240" w:lineRule="auto"/>
        <w:outlineLvl w:val="0"/>
        <w:rPr>
          <w:bCs/>
          <w:szCs w:val="24"/>
          <w:lang w:val="es-ES"/>
        </w:rPr>
      </w:pPr>
    </w:p>
    <w:p w:rsidR="00CD5356" w:rsidRDefault="00CD5356" w:rsidP="00CD5356">
      <w:pPr>
        <w:spacing w:after="0" w:line="240" w:lineRule="auto"/>
        <w:outlineLvl w:val="0"/>
        <w:rPr>
          <w:bCs/>
          <w:szCs w:val="24"/>
          <w:lang w:val="es-ES"/>
        </w:rPr>
      </w:pPr>
    </w:p>
    <w:p w:rsidR="00CD5356" w:rsidRDefault="00CD5356" w:rsidP="00CD5356">
      <w:pPr>
        <w:spacing w:after="0" w:line="240" w:lineRule="auto"/>
        <w:outlineLvl w:val="0"/>
        <w:rPr>
          <w:bCs/>
          <w:szCs w:val="24"/>
          <w:lang w:val="es-ES"/>
        </w:rPr>
      </w:pPr>
    </w:p>
    <w:p w:rsidR="00CD5356" w:rsidRDefault="00CD5356" w:rsidP="00CD5356">
      <w:pPr>
        <w:spacing w:after="0" w:line="240" w:lineRule="auto"/>
        <w:outlineLvl w:val="0"/>
        <w:rPr>
          <w:bCs/>
          <w:szCs w:val="24"/>
          <w:lang w:val="es-ES"/>
        </w:rPr>
      </w:pPr>
    </w:p>
    <w:p w:rsidR="00CD5356" w:rsidRDefault="00CD5356" w:rsidP="00CD5356">
      <w:pPr>
        <w:spacing w:after="0" w:line="240" w:lineRule="auto"/>
        <w:outlineLvl w:val="0"/>
        <w:rPr>
          <w:bCs/>
          <w:szCs w:val="24"/>
          <w:lang w:val="es-ES"/>
        </w:rPr>
      </w:pPr>
    </w:p>
    <w:p w:rsidR="00A706B2" w:rsidRDefault="0089638B" w:rsidP="00CD5356">
      <w:pPr>
        <w:spacing w:after="0" w:line="240" w:lineRule="auto"/>
        <w:outlineLvl w:val="0"/>
        <w:rPr>
          <w:bCs/>
          <w:szCs w:val="24"/>
          <w:lang w:val="es-ES"/>
        </w:rPr>
      </w:pPr>
      <w:r w:rsidRPr="00CD5356">
        <w:rPr>
          <w:bCs/>
          <w:szCs w:val="24"/>
          <w:lang w:val="es-ES"/>
        </w:rPr>
        <w:t>la persona que</w:t>
      </w:r>
      <w:r w:rsidR="00EC1D37" w:rsidRPr="00CD5356">
        <w:rPr>
          <w:bCs/>
          <w:szCs w:val="24"/>
          <w:lang w:val="es-ES"/>
        </w:rPr>
        <w:t>,</w:t>
      </w:r>
      <w:r w:rsidRPr="00CD5356">
        <w:rPr>
          <w:bCs/>
          <w:szCs w:val="24"/>
          <w:lang w:val="es-ES"/>
        </w:rPr>
        <w:t xml:space="preserve"> tomando en consideración alguna de las características protegidas</w:t>
      </w:r>
      <w:r w:rsidR="00EC1D37" w:rsidRPr="00CD5356">
        <w:rPr>
          <w:bCs/>
          <w:szCs w:val="24"/>
          <w:lang w:val="es-ES"/>
        </w:rPr>
        <w:t>,</w:t>
      </w:r>
      <w:r w:rsidRPr="00CD5356">
        <w:rPr>
          <w:bCs/>
          <w:szCs w:val="24"/>
          <w:lang w:val="es-ES"/>
        </w:rPr>
        <w:t xml:space="preserve"> realiza diferencias de trato.</w:t>
      </w:r>
    </w:p>
    <w:p w:rsidR="00CD5356" w:rsidRPr="00CD5356" w:rsidRDefault="00CD5356" w:rsidP="00CD5356">
      <w:pPr>
        <w:spacing w:after="0" w:line="240" w:lineRule="auto"/>
        <w:outlineLvl w:val="0"/>
        <w:rPr>
          <w:bCs/>
          <w:szCs w:val="24"/>
          <w:lang w:val="es-ES"/>
        </w:rPr>
      </w:pPr>
    </w:p>
    <w:p w:rsidR="00403F21" w:rsidRDefault="00403F21" w:rsidP="00CD5356">
      <w:pPr>
        <w:spacing w:after="0" w:line="240" w:lineRule="auto"/>
        <w:outlineLvl w:val="0"/>
        <w:rPr>
          <w:bCs/>
          <w:szCs w:val="24"/>
          <w:lang w:val="es-ES"/>
        </w:rPr>
      </w:pPr>
      <w:r w:rsidRPr="00CD5356">
        <w:rPr>
          <w:bCs/>
          <w:szCs w:val="24"/>
          <w:lang w:val="es-ES"/>
        </w:rPr>
        <w:t>- Agregar la referencia a “cualquier otra condición social” en las categorías sospechosas</w:t>
      </w:r>
      <w:r w:rsidR="0089638B" w:rsidRPr="00CD5356">
        <w:rPr>
          <w:bCs/>
          <w:szCs w:val="24"/>
          <w:lang w:val="es-ES"/>
        </w:rPr>
        <w:t>, al igual que lo hace el artículo primero de la Convención Americana sobre Derechos Humanos, de manera de no dar espacio para interpretar que el listado de características protegidas</w:t>
      </w:r>
      <w:r w:rsidR="002D7303" w:rsidRPr="00CD5356">
        <w:rPr>
          <w:bCs/>
          <w:szCs w:val="24"/>
          <w:lang w:val="es-ES"/>
        </w:rPr>
        <w:t xml:space="preserve"> es taxativo y dando espacio para la protección conforme a la evolución de los tiempos.</w:t>
      </w:r>
    </w:p>
    <w:p w:rsidR="00CD5356" w:rsidRPr="00CD5356" w:rsidRDefault="00CD5356" w:rsidP="00CD5356">
      <w:pPr>
        <w:spacing w:after="0" w:line="240" w:lineRule="auto"/>
        <w:outlineLvl w:val="0"/>
        <w:rPr>
          <w:bCs/>
          <w:szCs w:val="24"/>
          <w:lang w:val="es-ES"/>
        </w:rPr>
      </w:pPr>
    </w:p>
    <w:p w:rsidR="002D7303" w:rsidRDefault="002D2E1E" w:rsidP="00CD5356">
      <w:pPr>
        <w:spacing w:after="0" w:line="240" w:lineRule="auto"/>
        <w:outlineLvl w:val="0"/>
        <w:rPr>
          <w:bCs/>
          <w:szCs w:val="24"/>
          <w:lang w:val="es-ES"/>
        </w:rPr>
      </w:pPr>
      <w:r w:rsidRPr="00CD5356">
        <w:rPr>
          <w:b/>
          <w:bCs/>
          <w:szCs w:val="24"/>
          <w:lang w:val="es-ES"/>
        </w:rPr>
        <w:t>c) Suprimir la excepción al principio de no discriminación establecido en el inciso final del artículo segundo.</w:t>
      </w:r>
      <w:r w:rsidRPr="00CD5356">
        <w:rPr>
          <w:bCs/>
          <w:szCs w:val="24"/>
          <w:lang w:val="es-ES"/>
        </w:rPr>
        <w:t xml:space="preserve"> De esta manera se elimina uno de los déficits de la ley más destacados  por la academia y la sociedad civil, que establece una consideración de razonabilidad </w:t>
      </w:r>
      <w:r w:rsidRPr="00CD5356">
        <w:rPr>
          <w:bCs/>
          <w:i/>
          <w:szCs w:val="24"/>
          <w:lang w:val="es-ES"/>
        </w:rPr>
        <w:t>a priori</w:t>
      </w:r>
      <w:r w:rsidRPr="00CD5356">
        <w:rPr>
          <w:bCs/>
          <w:szCs w:val="24"/>
          <w:lang w:val="es-ES"/>
        </w:rPr>
        <w:t xml:space="preserve"> de las distinciones, exclusiones, preferencias o restricciones que, no obstante haberse basados en las categorías sospechosas que establece la ley, se amparan en el ejercicio de otro derecho constitucional.</w:t>
      </w:r>
    </w:p>
    <w:p w:rsidR="00CD5356" w:rsidRPr="00CD5356" w:rsidRDefault="00CD5356" w:rsidP="00CD5356">
      <w:pPr>
        <w:spacing w:after="0" w:line="240" w:lineRule="auto"/>
        <w:outlineLvl w:val="0"/>
        <w:rPr>
          <w:bCs/>
          <w:szCs w:val="24"/>
          <w:lang w:val="es-ES"/>
        </w:rPr>
      </w:pPr>
    </w:p>
    <w:p w:rsidR="002D2E1E" w:rsidRDefault="002D2E1E" w:rsidP="00CD5356">
      <w:pPr>
        <w:spacing w:after="0" w:line="240" w:lineRule="auto"/>
        <w:outlineLvl w:val="0"/>
        <w:rPr>
          <w:bCs/>
          <w:szCs w:val="24"/>
          <w:lang w:val="es-ES"/>
        </w:rPr>
      </w:pPr>
      <w:r w:rsidRPr="00CD5356">
        <w:rPr>
          <w:b/>
          <w:bCs/>
          <w:szCs w:val="24"/>
          <w:lang w:val="es-ES"/>
        </w:rPr>
        <w:t>d) Inversión de la carga de la prueba aportando indicios suficientes de la existencia de una acción u omisión de discriminación arbitraria.</w:t>
      </w:r>
      <w:r w:rsidRPr="00CD5356">
        <w:rPr>
          <w:bCs/>
          <w:szCs w:val="24"/>
          <w:lang w:val="es-ES"/>
        </w:rPr>
        <w:t xml:space="preserve"> Se propone </w:t>
      </w:r>
      <w:r w:rsidR="006106B8" w:rsidRPr="00CD5356">
        <w:rPr>
          <w:bCs/>
          <w:szCs w:val="24"/>
          <w:lang w:val="es-ES"/>
        </w:rPr>
        <w:t>incorporar un nuevo inciso tercero al artículo décimo de la ley para consagrar un mecanismo de inversión de la carga de la prueba</w:t>
      </w:r>
      <w:r w:rsidR="00EC2491" w:rsidRPr="00CD5356">
        <w:rPr>
          <w:bCs/>
          <w:szCs w:val="24"/>
          <w:lang w:val="es-ES"/>
        </w:rPr>
        <w:t>, emulando a lo establecido en el artículo 493 del Código del Trabajo</w:t>
      </w:r>
      <w:r w:rsidR="006106B8" w:rsidRPr="00CD5356">
        <w:rPr>
          <w:bCs/>
          <w:szCs w:val="24"/>
          <w:lang w:val="es-ES"/>
        </w:rPr>
        <w:t>. Esta técnica se utiliza comúnmente en las legislaciones antidiscriminación de otros países, e incluso en el procedimiento de tutela de derechos fundamentales del Código del Trabajo chileno, justificado en las dificultades probatorias que presentan los denunciantes de discriminación debido a las complejas formas en que se presentan los actos u omisiones discriminatorias. La ausencia de un mecanismo de estas características ha sido identificado, por la academia y la sociedad civil, como un factor de inhibición para recurrir a los tribunales.</w:t>
      </w:r>
    </w:p>
    <w:p w:rsidR="00CD5356" w:rsidRPr="00CD5356" w:rsidRDefault="00CD5356" w:rsidP="00CD5356">
      <w:pPr>
        <w:spacing w:after="0" w:line="240" w:lineRule="auto"/>
        <w:outlineLvl w:val="0"/>
        <w:rPr>
          <w:bCs/>
          <w:szCs w:val="24"/>
          <w:lang w:val="es-ES"/>
        </w:rPr>
      </w:pPr>
    </w:p>
    <w:p w:rsidR="006106B8" w:rsidRDefault="00EC2491" w:rsidP="00CD5356">
      <w:pPr>
        <w:spacing w:after="0" w:line="240" w:lineRule="auto"/>
        <w:outlineLvl w:val="0"/>
        <w:rPr>
          <w:bCs/>
          <w:szCs w:val="24"/>
          <w:lang w:val="es-ES"/>
        </w:rPr>
      </w:pPr>
      <w:r w:rsidRPr="00CD5356">
        <w:rPr>
          <w:b/>
          <w:bCs/>
          <w:szCs w:val="24"/>
          <w:lang w:val="es-ES"/>
        </w:rPr>
        <w:t xml:space="preserve">e) Aumento del monto máximo de la multa que puede fijar el juez contra las personas que han cometido actos u omisiones de discriminación arbitraria. </w:t>
      </w:r>
      <w:r w:rsidRPr="00CD5356">
        <w:rPr>
          <w:bCs/>
          <w:szCs w:val="24"/>
          <w:lang w:val="es-ES"/>
        </w:rPr>
        <w:t xml:space="preserve">De esta forma se busca generar un mecanismo de prevención de la discriminación al configurarse esta multa como un elemento disuasorio. </w:t>
      </w:r>
    </w:p>
    <w:p w:rsidR="00CD5356" w:rsidRDefault="00CD5356" w:rsidP="00CD5356">
      <w:pPr>
        <w:spacing w:after="0" w:line="240" w:lineRule="auto"/>
        <w:outlineLvl w:val="0"/>
        <w:rPr>
          <w:bCs/>
          <w:szCs w:val="24"/>
          <w:lang w:val="es-ES"/>
        </w:rPr>
      </w:pPr>
    </w:p>
    <w:p w:rsidR="00CD5356" w:rsidRDefault="00CD5356" w:rsidP="00CD5356">
      <w:pPr>
        <w:spacing w:after="0" w:line="240" w:lineRule="auto"/>
        <w:outlineLvl w:val="0"/>
        <w:rPr>
          <w:bCs/>
          <w:szCs w:val="24"/>
          <w:lang w:val="es-ES"/>
        </w:rPr>
      </w:pPr>
    </w:p>
    <w:p w:rsidR="00CD5356" w:rsidRDefault="00CD5356" w:rsidP="00CD5356">
      <w:pPr>
        <w:spacing w:after="0" w:line="240" w:lineRule="auto"/>
        <w:outlineLvl w:val="0"/>
        <w:rPr>
          <w:bCs/>
          <w:szCs w:val="24"/>
          <w:lang w:val="es-ES"/>
        </w:rPr>
      </w:pPr>
    </w:p>
    <w:p w:rsidR="00CD5356" w:rsidRDefault="00CD5356" w:rsidP="00CD5356">
      <w:pPr>
        <w:spacing w:after="0" w:line="240" w:lineRule="auto"/>
        <w:outlineLvl w:val="0"/>
        <w:rPr>
          <w:bCs/>
          <w:szCs w:val="24"/>
          <w:lang w:val="es-ES"/>
        </w:rPr>
      </w:pPr>
    </w:p>
    <w:p w:rsidR="00CD5356" w:rsidRDefault="00CD5356" w:rsidP="00CD5356">
      <w:pPr>
        <w:spacing w:after="0" w:line="240" w:lineRule="auto"/>
        <w:outlineLvl w:val="0"/>
        <w:rPr>
          <w:bCs/>
          <w:szCs w:val="24"/>
          <w:lang w:val="es-ES"/>
        </w:rPr>
      </w:pPr>
    </w:p>
    <w:p w:rsidR="00CD5356" w:rsidRDefault="00CD5356" w:rsidP="00CD5356">
      <w:pPr>
        <w:spacing w:after="0" w:line="240" w:lineRule="auto"/>
        <w:outlineLvl w:val="0"/>
        <w:rPr>
          <w:bCs/>
          <w:szCs w:val="24"/>
          <w:lang w:val="es-ES"/>
        </w:rPr>
      </w:pPr>
    </w:p>
    <w:p w:rsidR="00CD5356" w:rsidRDefault="00CD5356" w:rsidP="00CD5356">
      <w:pPr>
        <w:spacing w:after="0" w:line="240" w:lineRule="auto"/>
        <w:outlineLvl w:val="0"/>
        <w:rPr>
          <w:bCs/>
          <w:szCs w:val="24"/>
          <w:lang w:val="es-ES"/>
        </w:rPr>
      </w:pPr>
    </w:p>
    <w:p w:rsidR="00CD5356" w:rsidRDefault="00CD5356" w:rsidP="00CD5356">
      <w:pPr>
        <w:spacing w:after="0" w:line="240" w:lineRule="auto"/>
        <w:outlineLvl w:val="0"/>
        <w:rPr>
          <w:bCs/>
          <w:szCs w:val="24"/>
          <w:lang w:val="es-ES"/>
        </w:rPr>
      </w:pPr>
    </w:p>
    <w:p w:rsidR="00CD5356" w:rsidRDefault="00CD5356" w:rsidP="00CD5356">
      <w:pPr>
        <w:spacing w:after="0" w:line="240" w:lineRule="auto"/>
        <w:outlineLvl w:val="0"/>
        <w:rPr>
          <w:bCs/>
          <w:szCs w:val="24"/>
          <w:lang w:val="es-ES"/>
        </w:rPr>
      </w:pPr>
    </w:p>
    <w:p w:rsidR="00CD5356" w:rsidRDefault="00CD5356" w:rsidP="00CD5356">
      <w:pPr>
        <w:spacing w:after="0" w:line="240" w:lineRule="auto"/>
        <w:outlineLvl w:val="0"/>
        <w:rPr>
          <w:bCs/>
          <w:szCs w:val="24"/>
          <w:lang w:val="es-ES"/>
        </w:rPr>
      </w:pPr>
    </w:p>
    <w:p w:rsidR="00CD5356" w:rsidRDefault="00CD5356" w:rsidP="00CD5356">
      <w:pPr>
        <w:spacing w:after="0" w:line="240" w:lineRule="auto"/>
        <w:outlineLvl w:val="0"/>
        <w:rPr>
          <w:bCs/>
          <w:szCs w:val="24"/>
          <w:lang w:val="es-ES"/>
        </w:rPr>
      </w:pPr>
    </w:p>
    <w:p w:rsidR="00CD5356" w:rsidRPr="00CD5356" w:rsidRDefault="00CD5356" w:rsidP="00CD5356">
      <w:pPr>
        <w:spacing w:after="0" w:line="240" w:lineRule="auto"/>
        <w:outlineLvl w:val="0"/>
        <w:rPr>
          <w:bCs/>
          <w:szCs w:val="24"/>
          <w:lang w:val="es-ES"/>
        </w:rPr>
      </w:pPr>
    </w:p>
    <w:p w:rsidR="00EC2491" w:rsidRDefault="00EC2491" w:rsidP="00CD5356">
      <w:pPr>
        <w:spacing w:after="0" w:line="240" w:lineRule="auto"/>
        <w:outlineLvl w:val="0"/>
        <w:rPr>
          <w:bCs/>
          <w:szCs w:val="24"/>
          <w:lang w:val="es-ES"/>
        </w:rPr>
      </w:pPr>
      <w:r w:rsidRPr="00CD5356">
        <w:rPr>
          <w:b/>
          <w:bCs/>
          <w:szCs w:val="24"/>
          <w:lang w:val="es-ES"/>
        </w:rPr>
        <w:t xml:space="preserve">f) </w:t>
      </w:r>
      <w:r w:rsidR="001F458E" w:rsidRPr="00CD5356">
        <w:rPr>
          <w:b/>
          <w:bCs/>
          <w:szCs w:val="24"/>
          <w:lang w:val="es-ES"/>
        </w:rPr>
        <w:t>Establecimiento del deber del juez de otorgar una indemnización de perjuicios a la persona afectada por un acto u omisión de discriminación arbitraria.</w:t>
      </w:r>
      <w:r w:rsidR="001F458E" w:rsidRPr="00CD5356">
        <w:rPr>
          <w:bCs/>
          <w:szCs w:val="24"/>
          <w:lang w:val="es-ES"/>
        </w:rPr>
        <w:t xml:space="preserve"> En la actualidad  esta posibilidad no existe y quien obtiene una sentencia favorable debe iniciar un nuevo juicio para conseguir la reparación del daño sufrido. En este sentido se propone que el juez</w:t>
      </w:r>
      <w:r w:rsidR="00EC1D37" w:rsidRPr="00CD5356">
        <w:rPr>
          <w:bCs/>
          <w:szCs w:val="24"/>
          <w:lang w:val="es-ES"/>
        </w:rPr>
        <w:t>,</w:t>
      </w:r>
      <w:r w:rsidR="001F458E" w:rsidRPr="00CD5356">
        <w:rPr>
          <w:bCs/>
          <w:szCs w:val="24"/>
          <w:lang w:val="es-ES"/>
        </w:rPr>
        <w:t xml:space="preserve"> en la misma sentencia que establece la existenci</w:t>
      </w:r>
      <w:r w:rsidR="004F6F25" w:rsidRPr="00CD5356">
        <w:rPr>
          <w:bCs/>
          <w:szCs w:val="24"/>
          <w:lang w:val="es-ES"/>
        </w:rPr>
        <w:t>a de discriminación arbitraria</w:t>
      </w:r>
      <w:r w:rsidR="00EC1D37" w:rsidRPr="00CD5356">
        <w:rPr>
          <w:bCs/>
          <w:szCs w:val="24"/>
          <w:lang w:val="es-ES"/>
        </w:rPr>
        <w:t>,</w:t>
      </w:r>
      <w:r w:rsidR="004F6F25" w:rsidRPr="00CD5356">
        <w:rPr>
          <w:bCs/>
          <w:szCs w:val="24"/>
          <w:lang w:val="es-ES"/>
        </w:rPr>
        <w:t xml:space="preserve"> ordene el pago de una indemnización que va entre las 40 y las 200 UTM, adicional a las demás medidas que la ley prescribe adoptar.</w:t>
      </w:r>
    </w:p>
    <w:p w:rsidR="00CD5356" w:rsidRPr="00CD5356" w:rsidRDefault="00CD5356" w:rsidP="00CD5356">
      <w:pPr>
        <w:spacing w:after="0" w:line="240" w:lineRule="auto"/>
        <w:outlineLvl w:val="0"/>
        <w:rPr>
          <w:bCs/>
          <w:szCs w:val="24"/>
          <w:lang w:val="es-ES"/>
        </w:rPr>
      </w:pPr>
    </w:p>
    <w:p w:rsidR="006E1579" w:rsidRPr="00CD5356" w:rsidRDefault="004F6F25" w:rsidP="00CD5356">
      <w:pPr>
        <w:spacing w:after="0" w:line="240" w:lineRule="auto"/>
        <w:outlineLvl w:val="0"/>
        <w:rPr>
          <w:b/>
          <w:bCs/>
          <w:szCs w:val="24"/>
          <w:lang w:val="es-ES"/>
        </w:rPr>
      </w:pPr>
      <w:r w:rsidRPr="00CD5356">
        <w:rPr>
          <w:b/>
          <w:bCs/>
          <w:szCs w:val="24"/>
          <w:lang w:val="es-ES"/>
        </w:rPr>
        <w:t>g) Suprimir la sanción contra el recurrente que es vencido en juicio</w:t>
      </w:r>
      <w:r w:rsidRPr="00CD5356">
        <w:rPr>
          <w:bCs/>
          <w:szCs w:val="24"/>
          <w:lang w:val="es-ES"/>
        </w:rPr>
        <w:t>. Se propone eliminar el inciso tercero del artículo duodécimo de la ley, que en la actualidad se constituye como un factor inhibitorio para las personas que son objeto de discriminación arbitraria, al temer verse condenados a una sanción si accionan judicialmente.</w:t>
      </w:r>
    </w:p>
    <w:p w:rsidR="002774AF" w:rsidRPr="00CD5356" w:rsidRDefault="00C2463E" w:rsidP="00CD5356">
      <w:pPr>
        <w:spacing w:after="0" w:line="240" w:lineRule="auto"/>
        <w:rPr>
          <w:bCs/>
          <w:szCs w:val="24"/>
          <w:lang w:val="es-ES"/>
        </w:rPr>
      </w:pPr>
      <w:r w:rsidRPr="00CD5356">
        <w:rPr>
          <w:bCs/>
          <w:szCs w:val="24"/>
          <w:lang w:val="es-ES"/>
        </w:rPr>
        <w:t xml:space="preserve">En virtud de los antecedentes y fundamentos antes expuestos, </w:t>
      </w:r>
      <w:r w:rsidR="004F6F25" w:rsidRPr="00CD5356">
        <w:rPr>
          <w:bCs/>
          <w:szCs w:val="24"/>
          <w:lang w:val="es-ES"/>
        </w:rPr>
        <w:t>se somete a consideración del Congreso Nacional el siguiente proyecto de ley:</w:t>
      </w:r>
    </w:p>
    <w:p w:rsidR="004F6F25" w:rsidRDefault="004F6F25" w:rsidP="00CD5356">
      <w:pPr>
        <w:spacing w:after="0" w:line="240" w:lineRule="auto"/>
        <w:rPr>
          <w:bCs/>
          <w:szCs w:val="24"/>
          <w:lang w:val="es-ES"/>
        </w:rPr>
      </w:pPr>
    </w:p>
    <w:p w:rsidR="00CD5356" w:rsidRPr="00CD5356" w:rsidRDefault="00CD5356" w:rsidP="00CD5356">
      <w:pPr>
        <w:spacing w:after="0" w:line="240" w:lineRule="auto"/>
        <w:rPr>
          <w:bCs/>
          <w:szCs w:val="24"/>
          <w:lang w:val="es-ES"/>
        </w:rPr>
      </w:pPr>
    </w:p>
    <w:p w:rsidR="005D03D9" w:rsidRDefault="00C2463E" w:rsidP="00CD5356">
      <w:pPr>
        <w:spacing w:after="0" w:line="240" w:lineRule="auto"/>
        <w:rPr>
          <w:bCs/>
          <w:szCs w:val="24"/>
          <w:lang w:val="es-ES"/>
        </w:rPr>
      </w:pPr>
      <w:r w:rsidRPr="00CD5356">
        <w:rPr>
          <w:b/>
          <w:bCs/>
          <w:szCs w:val="24"/>
          <w:lang w:val="es-ES"/>
        </w:rPr>
        <w:t xml:space="preserve">ARTÍCULO ÚNICO. </w:t>
      </w:r>
      <w:r w:rsidR="002774AF" w:rsidRPr="00CD5356">
        <w:rPr>
          <w:b/>
          <w:bCs/>
          <w:szCs w:val="24"/>
          <w:lang w:val="es-ES"/>
        </w:rPr>
        <w:t>–</w:t>
      </w:r>
      <w:r w:rsidRPr="00CD5356">
        <w:rPr>
          <w:b/>
          <w:bCs/>
          <w:szCs w:val="24"/>
          <w:lang w:val="es-ES"/>
        </w:rPr>
        <w:t xml:space="preserve"> </w:t>
      </w:r>
      <w:r w:rsidR="00E54F4D" w:rsidRPr="00CD5356">
        <w:rPr>
          <w:bCs/>
          <w:szCs w:val="24"/>
          <w:lang w:val="es-ES"/>
        </w:rPr>
        <w:t>Modifícase</w:t>
      </w:r>
      <w:r w:rsidR="002774AF" w:rsidRPr="00CD5356">
        <w:rPr>
          <w:bCs/>
          <w:szCs w:val="24"/>
          <w:lang w:val="es-ES"/>
        </w:rPr>
        <w:t xml:space="preserve"> la ley N° 20.609, que establece medidas contra la discriminación</w:t>
      </w:r>
      <w:r w:rsidR="00E54F4D" w:rsidRPr="00CD5356">
        <w:rPr>
          <w:bCs/>
          <w:szCs w:val="24"/>
          <w:lang w:val="es-ES"/>
        </w:rPr>
        <w:t>, en los siguientes términos</w:t>
      </w:r>
      <w:r w:rsidR="002774AF" w:rsidRPr="00CD5356">
        <w:rPr>
          <w:bCs/>
          <w:szCs w:val="24"/>
          <w:lang w:val="es-ES"/>
        </w:rPr>
        <w:t>:</w:t>
      </w:r>
    </w:p>
    <w:p w:rsidR="00CD5356" w:rsidRDefault="00CD5356" w:rsidP="00CD5356">
      <w:pPr>
        <w:spacing w:after="0" w:line="240" w:lineRule="auto"/>
        <w:rPr>
          <w:bCs/>
          <w:szCs w:val="24"/>
          <w:lang w:val="es-ES"/>
        </w:rPr>
      </w:pPr>
    </w:p>
    <w:p w:rsidR="00C2463E" w:rsidRDefault="00C2463E" w:rsidP="00CD5356">
      <w:pPr>
        <w:spacing w:after="0" w:line="240" w:lineRule="auto"/>
        <w:rPr>
          <w:bCs/>
          <w:szCs w:val="24"/>
          <w:lang w:val="es-ES"/>
        </w:rPr>
      </w:pPr>
      <w:r w:rsidRPr="00CD5356">
        <w:rPr>
          <w:bCs/>
          <w:szCs w:val="24"/>
          <w:lang w:val="es-ES"/>
        </w:rPr>
        <w:t xml:space="preserve">1) </w:t>
      </w:r>
      <w:r w:rsidR="00ED3B31" w:rsidRPr="00CD5356">
        <w:rPr>
          <w:bCs/>
          <w:szCs w:val="24"/>
          <w:lang w:val="es-ES"/>
        </w:rPr>
        <w:t>Modifícase el artículo 1° de la siguiente forma:</w:t>
      </w:r>
    </w:p>
    <w:p w:rsidR="00CD5356" w:rsidRPr="00CD5356" w:rsidRDefault="00CD5356" w:rsidP="00CD5356">
      <w:pPr>
        <w:spacing w:after="0" w:line="240" w:lineRule="auto"/>
        <w:rPr>
          <w:bCs/>
          <w:szCs w:val="24"/>
          <w:lang w:val="es-ES"/>
        </w:rPr>
      </w:pPr>
    </w:p>
    <w:p w:rsidR="00ED3B31" w:rsidRPr="00CD5356" w:rsidRDefault="006828B2" w:rsidP="00CD5356">
      <w:pPr>
        <w:spacing w:after="0" w:line="240" w:lineRule="auto"/>
        <w:rPr>
          <w:bCs/>
          <w:szCs w:val="24"/>
          <w:lang w:val="es-ES"/>
        </w:rPr>
      </w:pPr>
      <w:r w:rsidRPr="00CD5356">
        <w:rPr>
          <w:bCs/>
          <w:szCs w:val="24"/>
          <w:lang w:val="es-ES"/>
        </w:rPr>
        <w:t xml:space="preserve">a) </w:t>
      </w:r>
      <w:r w:rsidR="00ED3B31" w:rsidRPr="00CD5356">
        <w:rPr>
          <w:bCs/>
          <w:szCs w:val="24"/>
          <w:lang w:val="es-ES"/>
        </w:rPr>
        <w:t>Agrégase a continuación de la expresión “fundamental” la frase “prevenir la discriminación arbitraria, promover y garantizar el principio de igualdad</w:t>
      </w:r>
      <w:r w:rsidR="00972995" w:rsidRPr="00CD5356">
        <w:rPr>
          <w:bCs/>
          <w:szCs w:val="24"/>
          <w:lang w:val="es-ES"/>
        </w:rPr>
        <w:t>, así como</w:t>
      </w:r>
      <w:r w:rsidR="00ED3B31" w:rsidRPr="00CD5356">
        <w:rPr>
          <w:bCs/>
          <w:szCs w:val="24"/>
          <w:lang w:val="es-ES"/>
        </w:rPr>
        <w:t>”</w:t>
      </w:r>
      <w:r w:rsidR="00972995" w:rsidRPr="00CD5356">
        <w:rPr>
          <w:bCs/>
          <w:szCs w:val="24"/>
          <w:lang w:val="es-ES"/>
        </w:rPr>
        <w:t>.</w:t>
      </w:r>
    </w:p>
    <w:p w:rsidR="00CD5356" w:rsidRDefault="00CD5356" w:rsidP="00CD5356">
      <w:pPr>
        <w:spacing w:after="0" w:line="240" w:lineRule="auto"/>
        <w:rPr>
          <w:bCs/>
          <w:szCs w:val="24"/>
          <w:lang w:val="es-ES"/>
        </w:rPr>
      </w:pPr>
    </w:p>
    <w:p w:rsidR="00CD5356" w:rsidRDefault="00CD5356" w:rsidP="00CD5356">
      <w:pPr>
        <w:spacing w:after="0" w:line="240" w:lineRule="auto"/>
        <w:rPr>
          <w:bCs/>
          <w:szCs w:val="24"/>
          <w:lang w:val="es-ES"/>
        </w:rPr>
      </w:pPr>
    </w:p>
    <w:p w:rsidR="0011196C" w:rsidRDefault="000E0EBE" w:rsidP="00CD5356">
      <w:pPr>
        <w:spacing w:after="0" w:line="240" w:lineRule="auto"/>
        <w:rPr>
          <w:bCs/>
          <w:szCs w:val="24"/>
          <w:lang w:val="es-ES"/>
        </w:rPr>
      </w:pPr>
      <w:r w:rsidRPr="00CD5356">
        <w:rPr>
          <w:bCs/>
          <w:szCs w:val="24"/>
          <w:lang w:val="es-ES"/>
        </w:rPr>
        <w:t>2) Modifícase el artículo 2° de la siguiente forma:</w:t>
      </w:r>
    </w:p>
    <w:p w:rsidR="00CD5356" w:rsidRPr="00CD5356" w:rsidRDefault="00CD5356" w:rsidP="00CD5356">
      <w:pPr>
        <w:spacing w:after="0" w:line="240" w:lineRule="auto"/>
        <w:rPr>
          <w:bCs/>
          <w:szCs w:val="24"/>
          <w:lang w:val="es-ES"/>
        </w:rPr>
      </w:pPr>
    </w:p>
    <w:p w:rsidR="008E6D65" w:rsidRDefault="008E6D65" w:rsidP="00CD5356">
      <w:pPr>
        <w:spacing w:after="0" w:line="240" w:lineRule="auto"/>
        <w:rPr>
          <w:bCs/>
          <w:szCs w:val="24"/>
          <w:lang w:val="es-ES"/>
        </w:rPr>
      </w:pPr>
      <w:r w:rsidRPr="00CD5356">
        <w:rPr>
          <w:bCs/>
          <w:szCs w:val="24"/>
          <w:lang w:val="es-ES"/>
        </w:rPr>
        <w:t xml:space="preserve">a) Agrégase </w:t>
      </w:r>
      <w:r w:rsidR="00161564" w:rsidRPr="00CD5356">
        <w:rPr>
          <w:bCs/>
          <w:szCs w:val="24"/>
          <w:lang w:val="es-ES"/>
        </w:rPr>
        <w:t xml:space="preserve">en el inciso primero </w:t>
      </w:r>
      <w:r w:rsidRPr="00CD5356">
        <w:rPr>
          <w:bCs/>
          <w:szCs w:val="24"/>
          <w:lang w:val="es-ES"/>
        </w:rPr>
        <w:t xml:space="preserve">a continuación de la expresión “exclusión” </w:t>
      </w:r>
      <w:r w:rsidR="007A600E" w:rsidRPr="00CD5356">
        <w:rPr>
          <w:bCs/>
          <w:szCs w:val="24"/>
          <w:lang w:val="es-ES"/>
        </w:rPr>
        <w:t xml:space="preserve">y la coma (,) </w:t>
      </w:r>
      <w:r w:rsidRPr="00CD5356">
        <w:rPr>
          <w:bCs/>
          <w:szCs w:val="24"/>
          <w:lang w:val="es-ES"/>
        </w:rPr>
        <w:t>la expresión “preferencia”.</w:t>
      </w:r>
    </w:p>
    <w:p w:rsidR="00CD5356" w:rsidRPr="00CD5356" w:rsidRDefault="00CD5356" w:rsidP="00CD5356">
      <w:pPr>
        <w:spacing w:after="0" w:line="240" w:lineRule="auto"/>
        <w:rPr>
          <w:bCs/>
          <w:szCs w:val="24"/>
          <w:lang w:val="es-ES"/>
        </w:rPr>
      </w:pPr>
    </w:p>
    <w:p w:rsidR="008E6D65" w:rsidRDefault="008E6D65" w:rsidP="00CD5356">
      <w:pPr>
        <w:spacing w:after="0" w:line="240" w:lineRule="auto"/>
        <w:rPr>
          <w:bCs/>
          <w:szCs w:val="24"/>
          <w:lang w:val="es-ES"/>
        </w:rPr>
      </w:pPr>
      <w:r w:rsidRPr="00CD5356">
        <w:rPr>
          <w:bCs/>
          <w:szCs w:val="24"/>
          <w:lang w:val="es-ES"/>
        </w:rPr>
        <w:t xml:space="preserve">b) </w:t>
      </w:r>
      <w:r w:rsidR="00161564" w:rsidRPr="00CD5356">
        <w:rPr>
          <w:bCs/>
          <w:szCs w:val="24"/>
          <w:lang w:val="es-ES"/>
        </w:rPr>
        <w:t>Sustitúyase en el inciso primero a continuación de la expresión particulares,” la conjunción “y” por “o”.</w:t>
      </w:r>
    </w:p>
    <w:p w:rsidR="00CD5356" w:rsidRPr="00CD5356" w:rsidRDefault="00CD5356" w:rsidP="00CD5356">
      <w:pPr>
        <w:spacing w:after="0" w:line="240" w:lineRule="auto"/>
        <w:rPr>
          <w:bCs/>
          <w:szCs w:val="24"/>
          <w:lang w:val="es-ES"/>
        </w:rPr>
      </w:pPr>
    </w:p>
    <w:p w:rsidR="00480885" w:rsidRDefault="00480885" w:rsidP="00CD5356">
      <w:pPr>
        <w:spacing w:after="0" w:line="240" w:lineRule="auto"/>
        <w:rPr>
          <w:bCs/>
          <w:szCs w:val="24"/>
          <w:lang w:val="es-ES"/>
        </w:rPr>
      </w:pPr>
      <w:r w:rsidRPr="00CD5356">
        <w:rPr>
          <w:bCs/>
          <w:szCs w:val="24"/>
          <w:lang w:val="es-ES"/>
        </w:rPr>
        <w:t xml:space="preserve">c) </w:t>
      </w:r>
      <w:r w:rsidR="00983D12" w:rsidRPr="00CD5356">
        <w:rPr>
          <w:bCs/>
          <w:szCs w:val="24"/>
          <w:lang w:val="es-ES"/>
        </w:rPr>
        <w:t>Sustitúyase en el inciso primero la expresión “en particular” por la frase “en especial”.</w:t>
      </w:r>
    </w:p>
    <w:p w:rsidR="00CD5356" w:rsidRDefault="00CD5356" w:rsidP="00CD5356">
      <w:pPr>
        <w:spacing w:after="0" w:line="240" w:lineRule="auto"/>
        <w:rPr>
          <w:bCs/>
          <w:szCs w:val="24"/>
          <w:lang w:val="es-ES"/>
        </w:rPr>
      </w:pPr>
    </w:p>
    <w:p w:rsidR="00CD5356" w:rsidRDefault="00CD5356" w:rsidP="00CD5356">
      <w:pPr>
        <w:spacing w:after="0" w:line="240" w:lineRule="auto"/>
        <w:rPr>
          <w:bCs/>
          <w:szCs w:val="24"/>
          <w:lang w:val="es-ES"/>
        </w:rPr>
      </w:pPr>
    </w:p>
    <w:p w:rsidR="00CD5356" w:rsidRDefault="00CD5356" w:rsidP="00CD5356">
      <w:pPr>
        <w:spacing w:after="0" w:line="240" w:lineRule="auto"/>
        <w:rPr>
          <w:bCs/>
          <w:szCs w:val="24"/>
          <w:lang w:val="es-ES"/>
        </w:rPr>
      </w:pPr>
    </w:p>
    <w:p w:rsidR="00CD5356" w:rsidRDefault="00CD5356" w:rsidP="00CD5356">
      <w:pPr>
        <w:spacing w:after="0" w:line="240" w:lineRule="auto"/>
        <w:rPr>
          <w:bCs/>
          <w:szCs w:val="24"/>
          <w:lang w:val="es-ES"/>
        </w:rPr>
      </w:pPr>
    </w:p>
    <w:p w:rsidR="00CD5356" w:rsidRDefault="00CD5356" w:rsidP="00CD5356">
      <w:pPr>
        <w:spacing w:after="0" w:line="240" w:lineRule="auto"/>
        <w:rPr>
          <w:bCs/>
          <w:szCs w:val="24"/>
          <w:lang w:val="es-ES"/>
        </w:rPr>
      </w:pPr>
    </w:p>
    <w:p w:rsidR="00CD5356" w:rsidRDefault="00CD5356" w:rsidP="00CD5356">
      <w:pPr>
        <w:spacing w:after="0" w:line="240" w:lineRule="auto"/>
        <w:rPr>
          <w:bCs/>
          <w:szCs w:val="24"/>
          <w:lang w:val="es-ES"/>
        </w:rPr>
      </w:pPr>
    </w:p>
    <w:p w:rsidR="00CD5356" w:rsidRDefault="00CD5356" w:rsidP="00CD5356">
      <w:pPr>
        <w:spacing w:after="0" w:line="240" w:lineRule="auto"/>
        <w:rPr>
          <w:bCs/>
          <w:szCs w:val="24"/>
          <w:lang w:val="es-ES"/>
        </w:rPr>
      </w:pPr>
    </w:p>
    <w:p w:rsidR="00CD5356" w:rsidRPr="00CD5356" w:rsidRDefault="00CD5356" w:rsidP="00CD5356">
      <w:pPr>
        <w:spacing w:after="0" w:line="240" w:lineRule="auto"/>
        <w:rPr>
          <w:bCs/>
          <w:szCs w:val="24"/>
          <w:lang w:val="es-ES"/>
        </w:rPr>
      </w:pPr>
    </w:p>
    <w:p w:rsidR="00983D12" w:rsidRDefault="00983D12" w:rsidP="00CD5356">
      <w:pPr>
        <w:spacing w:after="0" w:line="240" w:lineRule="auto"/>
        <w:rPr>
          <w:bCs/>
          <w:szCs w:val="24"/>
          <w:lang w:val="es-ES"/>
        </w:rPr>
      </w:pPr>
      <w:r w:rsidRPr="00CD5356">
        <w:rPr>
          <w:bCs/>
          <w:szCs w:val="24"/>
          <w:lang w:val="es-ES"/>
        </w:rPr>
        <w:t>d</w:t>
      </w:r>
      <w:r w:rsidR="005D03D9" w:rsidRPr="00CD5356">
        <w:rPr>
          <w:bCs/>
          <w:szCs w:val="24"/>
          <w:lang w:val="es-ES"/>
        </w:rPr>
        <w:t>) Sustitúyase en el inciso primero, a continuación de la expresión “apariencia personal”, la conjunción “y” por una coma (,).</w:t>
      </w:r>
    </w:p>
    <w:p w:rsidR="00CD5356" w:rsidRPr="00CD5356" w:rsidRDefault="00CD5356" w:rsidP="00CD5356">
      <w:pPr>
        <w:spacing w:after="0" w:line="240" w:lineRule="auto"/>
        <w:rPr>
          <w:bCs/>
          <w:szCs w:val="24"/>
          <w:lang w:val="es-ES"/>
        </w:rPr>
      </w:pPr>
    </w:p>
    <w:p w:rsidR="005D03D9" w:rsidRDefault="005D03D9" w:rsidP="00CD5356">
      <w:pPr>
        <w:spacing w:after="0" w:line="240" w:lineRule="auto"/>
        <w:rPr>
          <w:bCs/>
          <w:szCs w:val="24"/>
          <w:lang w:val="es-ES"/>
        </w:rPr>
      </w:pPr>
      <w:r w:rsidRPr="00CD5356">
        <w:rPr>
          <w:bCs/>
          <w:szCs w:val="24"/>
          <w:lang w:val="es-ES"/>
        </w:rPr>
        <w:t>e) Agrégase en el inciso primero a continuación de la expresión “discapacidad” la frase “o cualquier otra condición social.”.</w:t>
      </w:r>
    </w:p>
    <w:p w:rsidR="00CD5356" w:rsidRPr="00CD5356" w:rsidRDefault="00CD5356" w:rsidP="00CD5356">
      <w:pPr>
        <w:spacing w:after="0" w:line="240" w:lineRule="auto"/>
        <w:rPr>
          <w:bCs/>
          <w:szCs w:val="24"/>
          <w:lang w:val="es-ES"/>
        </w:rPr>
      </w:pPr>
    </w:p>
    <w:p w:rsidR="00235CEE" w:rsidRPr="00CD5356" w:rsidRDefault="00235CEE" w:rsidP="00CD5356">
      <w:pPr>
        <w:spacing w:after="0" w:line="240" w:lineRule="auto"/>
        <w:rPr>
          <w:bCs/>
          <w:szCs w:val="24"/>
          <w:lang w:val="es-ES"/>
        </w:rPr>
      </w:pPr>
      <w:r w:rsidRPr="00CD5356">
        <w:rPr>
          <w:bCs/>
          <w:szCs w:val="24"/>
          <w:lang w:val="es-ES"/>
        </w:rPr>
        <w:t>f)</w:t>
      </w:r>
      <w:r w:rsidR="00F64946" w:rsidRPr="00CD5356">
        <w:rPr>
          <w:bCs/>
          <w:szCs w:val="24"/>
          <w:lang w:val="es-ES"/>
        </w:rPr>
        <w:t xml:space="preserve"> </w:t>
      </w:r>
      <w:r w:rsidR="00772EDC" w:rsidRPr="00CD5356">
        <w:rPr>
          <w:bCs/>
          <w:szCs w:val="24"/>
          <w:lang w:val="es-ES"/>
        </w:rPr>
        <w:t>Suprímase</w:t>
      </w:r>
      <w:r w:rsidR="00F64946" w:rsidRPr="00CD5356">
        <w:rPr>
          <w:bCs/>
          <w:szCs w:val="24"/>
          <w:lang w:val="es-ES"/>
        </w:rPr>
        <w:t xml:space="preserve"> el inciso tercero.</w:t>
      </w:r>
    </w:p>
    <w:p w:rsidR="00CD5356" w:rsidRDefault="00CD5356" w:rsidP="00CD5356">
      <w:pPr>
        <w:spacing w:after="0" w:line="240" w:lineRule="auto"/>
        <w:rPr>
          <w:bCs/>
          <w:szCs w:val="24"/>
          <w:lang w:val="es-ES"/>
        </w:rPr>
      </w:pPr>
    </w:p>
    <w:p w:rsidR="00CD5356" w:rsidRDefault="00CD5356" w:rsidP="00CD5356">
      <w:pPr>
        <w:spacing w:after="0" w:line="240" w:lineRule="auto"/>
        <w:rPr>
          <w:bCs/>
          <w:szCs w:val="24"/>
          <w:lang w:val="es-ES"/>
        </w:rPr>
      </w:pPr>
    </w:p>
    <w:p w:rsidR="00F64946" w:rsidRPr="00CD5356" w:rsidRDefault="00F64946" w:rsidP="00CD5356">
      <w:pPr>
        <w:spacing w:after="0" w:line="240" w:lineRule="auto"/>
        <w:rPr>
          <w:bCs/>
          <w:szCs w:val="24"/>
          <w:lang w:val="es-ES"/>
        </w:rPr>
      </w:pPr>
      <w:r w:rsidRPr="00CD5356">
        <w:rPr>
          <w:bCs/>
          <w:szCs w:val="24"/>
          <w:lang w:val="es-ES"/>
        </w:rPr>
        <w:t xml:space="preserve">3) </w:t>
      </w:r>
      <w:r w:rsidR="000818E8" w:rsidRPr="00CD5356">
        <w:rPr>
          <w:bCs/>
          <w:szCs w:val="24"/>
          <w:lang w:val="es-ES"/>
        </w:rPr>
        <w:t>Modifícase el artículo 10° de la siguiente forma:</w:t>
      </w:r>
    </w:p>
    <w:p w:rsidR="00CD5356" w:rsidRDefault="00CD5356" w:rsidP="00CD5356">
      <w:pPr>
        <w:spacing w:after="0" w:line="240" w:lineRule="auto"/>
        <w:rPr>
          <w:bCs/>
          <w:szCs w:val="24"/>
          <w:lang w:val="es-ES"/>
        </w:rPr>
      </w:pPr>
    </w:p>
    <w:p w:rsidR="000818E8" w:rsidRPr="00CD5356" w:rsidRDefault="006828B2" w:rsidP="00CD5356">
      <w:pPr>
        <w:spacing w:after="0" w:line="240" w:lineRule="auto"/>
        <w:rPr>
          <w:bCs/>
          <w:szCs w:val="24"/>
          <w:lang w:val="es-ES"/>
        </w:rPr>
      </w:pPr>
      <w:r w:rsidRPr="00CD5356">
        <w:rPr>
          <w:bCs/>
          <w:szCs w:val="24"/>
          <w:lang w:val="es-ES"/>
        </w:rPr>
        <w:t>a) Incorpórase el siguiente inciso tercero nuevo:</w:t>
      </w:r>
    </w:p>
    <w:p w:rsidR="00CD5356" w:rsidRDefault="00CD5356" w:rsidP="00CD5356">
      <w:pPr>
        <w:spacing w:after="0" w:line="240" w:lineRule="auto"/>
        <w:rPr>
          <w:bCs/>
          <w:szCs w:val="24"/>
          <w:lang w:val="es-ES"/>
        </w:rPr>
      </w:pPr>
    </w:p>
    <w:p w:rsidR="006828B2" w:rsidRPr="00CD5356" w:rsidRDefault="006828B2" w:rsidP="00CD5356">
      <w:pPr>
        <w:spacing w:after="0" w:line="240" w:lineRule="auto"/>
        <w:rPr>
          <w:bCs/>
          <w:szCs w:val="24"/>
          <w:lang w:val="es-ES"/>
        </w:rPr>
      </w:pPr>
      <w:r w:rsidRPr="00CD5356">
        <w:rPr>
          <w:bCs/>
          <w:szCs w:val="24"/>
          <w:lang w:val="es-ES"/>
        </w:rPr>
        <w:t xml:space="preserve">“Cuando de los antecedentes aportados por el recurrente resulten indicios suficientes de que se ha producido una acción u omisión que importe discriminación arbitraria, corresponderá al denunciado explicar los fundamentos de las medidas adoptadas y de su proporcionalidad.”. </w:t>
      </w:r>
    </w:p>
    <w:p w:rsidR="000E0EBE" w:rsidRPr="00CD5356" w:rsidRDefault="006828B2" w:rsidP="00CD5356">
      <w:pPr>
        <w:spacing w:after="0" w:line="240" w:lineRule="auto"/>
        <w:rPr>
          <w:bCs/>
          <w:szCs w:val="24"/>
          <w:lang w:val="es-ES"/>
        </w:rPr>
      </w:pPr>
      <w:r w:rsidRPr="00CD5356">
        <w:rPr>
          <w:bCs/>
          <w:szCs w:val="24"/>
          <w:lang w:val="es-ES"/>
        </w:rPr>
        <w:tab/>
      </w:r>
    </w:p>
    <w:p w:rsidR="00CD5356" w:rsidRDefault="00CD5356" w:rsidP="00CD5356">
      <w:pPr>
        <w:spacing w:after="0" w:line="240" w:lineRule="auto"/>
        <w:rPr>
          <w:bCs/>
          <w:szCs w:val="24"/>
          <w:lang w:val="es-ES"/>
        </w:rPr>
      </w:pPr>
    </w:p>
    <w:p w:rsidR="006828B2" w:rsidRPr="00CD5356" w:rsidRDefault="006828B2" w:rsidP="00CD5356">
      <w:pPr>
        <w:spacing w:after="0" w:line="240" w:lineRule="auto"/>
        <w:rPr>
          <w:bCs/>
          <w:szCs w:val="24"/>
          <w:lang w:val="es-ES"/>
        </w:rPr>
      </w:pPr>
      <w:r w:rsidRPr="00CD5356">
        <w:rPr>
          <w:bCs/>
          <w:szCs w:val="24"/>
          <w:lang w:val="es-ES"/>
        </w:rPr>
        <w:t xml:space="preserve">4) </w:t>
      </w:r>
      <w:r w:rsidR="00772EDC" w:rsidRPr="00CD5356">
        <w:rPr>
          <w:bCs/>
          <w:szCs w:val="24"/>
          <w:lang w:val="es-ES"/>
        </w:rPr>
        <w:t>Modifícase el artículo 12° de la siguiente forma:</w:t>
      </w:r>
    </w:p>
    <w:p w:rsidR="00CD5356" w:rsidRDefault="00CD5356" w:rsidP="00CD5356">
      <w:pPr>
        <w:spacing w:after="0" w:line="240" w:lineRule="auto"/>
        <w:rPr>
          <w:bCs/>
          <w:szCs w:val="24"/>
          <w:lang w:val="es-ES"/>
        </w:rPr>
      </w:pPr>
    </w:p>
    <w:p w:rsidR="00772EDC" w:rsidRDefault="00772EDC" w:rsidP="00CD5356">
      <w:pPr>
        <w:spacing w:after="0" w:line="240" w:lineRule="auto"/>
        <w:rPr>
          <w:bCs/>
          <w:szCs w:val="24"/>
          <w:lang w:val="es-ES"/>
        </w:rPr>
      </w:pPr>
      <w:r w:rsidRPr="00CD5356">
        <w:rPr>
          <w:bCs/>
          <w:szCs w:val="24"/>
          <w:lang w:val="es-ES"/>
        </w:rPr>
        <w:t>a) Sustitúyase en el inciso segundo</w:t>
      </w:r>
      <w:r w:rsidR="007A600E" w:rsidRPr="00CD5356">
        <w:rPr>
          <w:bCs/>
          <w:szCs w:val="24"/>
          <w:lang w:val="es-ES"/>
        </w:rPr>
        <w:t xml:space="preserve"> la expresión “cincuenta” por la expresión “quinientas”.</w:t>
      </w:r>
    </w:p>
    <w:p w:rsidR="00CD5356" w:rsidRPr="00CD5356" w:rsidRDefault="00CD5356" w:rsidP="00CD5356">
      <w:pPr>
        <w:spacing w:after="0" w:line="240" w:lineRule="auto"/>
        <w:rPr>
          <w:bCs/>
          <w:szCs w:val="24"/>
          <w:lang w:val="es-ES"/>
        </w:rPr>
      </w:pPr>
    </w:p>
    <w:p w:rsidR="00A417F5" w:rsidRPr="00CD5356" w:rsidRDefault="00A417F5" w:rsidP="00CD5356">
      <w:pPr>
        <w:spacing w:after="0" w:line="240" w:lineRule="auto"/>
        <w:rPr>
          <w:bCs/>
          <w:szCs w:val="24"/>
          <w:lang w:val="es-ES"/>
        </w:rPr>
      </w:pPr>
      <w:r w:rsidRPr="00CD5356">
        <w:rPr>
          <w:bCs/>
          <w:szCs w:val="24"/>
          <w:lang w:val="es-ES"/>
        </w:rPr>
        <w:t>b) Agrégase en el inciso segundo a continuación de la expresión “discriminatorio” y antes del punto aparte (.)</w:t>
      </w:r>
      <w:r w:rsidR="00136CB9" w:rsidRPr="00CD5356">
        <w:rPr>
          <w:bCs/>
          <w:szCs w:val="24"/>
          <w:lang w:val="es-ES"/>
        </w:rPr>
        <w:t>,</w:t>
      </w:r>
      <w:r w:rsidRPr="00CD5356">
        <w:rPr>
          <w:bCs/>
          <w:szCs w:val="24"/>
          <w:lang w:val="es-ES"/>
        </w:rPr>
        <w:t xml:space="preserve"> la frase “y, adicionalmente,</w:t>
      </w:r>
      <w:r w:rsidR="00BB336F" w:rsidRPr="00CD5356">
        <w:rPr>
          <w:bCs/>
          <w:szCs w:val="24"/>
          <w:lang w:val="es-ES"/>
        </w:rPr>
        <w:t xml:space="preserve"> ordenará el pago de una indemnización que fijará el juez de la causa, la que no podrá ser inferior a cuarenta ni superior a doscientas unidades tributarias mensuales.</w:t>
      </w:r>
      <w:r w:rsidR="00136CB9" w:rsidRPr="00CD5356">
        <w:rPr>
          <w:bCs/>
          <w:szCs w:val="24"/>
          <w:lang w:val="es-ES"/>
        </w:rPr>
        <w:t>”.</w:t>
      </w:r>
    </w:p>
    <w:p w:rsidR="00CD5356" w:rsidRDefault="00CD5356" w:rsidP="00CD5356">
      <w:pPr>
        <w:spacing w:after="0" w:line="240" w:lineRule="auto"/>
        <w:rPr>
          <w:bCs/>
          <w:szCs w:val="24"/>
          <w:lang w:val="es-ES"/>
        </w:rPr>
      </w:pPr>
    </w:p>
    <w:p w:rsidR="00136CB9" w:rsidRPr="00CD5356" w:rsidRDefault="00136CB9" w:rsidP="00CD5356">
      <w:pPr>
        <w:spacing w:after="0" w:line="240" w:lineRule="auto"/>
        <w:rPr>
          <w:bCs/>
          <w:szCs w:val="24"/>
          <w:lang w:val="es-ES"/>
        </w:rPr>
      </w:pPr>
      <w:r w:rsidRPr="00CD5356">
        <w:rPr>
          <w:bCs/>
          <w:szCs w:val="24"/>
          <w:lang w:val="es-ES"/>
        </w:rPr>
        <w:t>c) Suprímase el inciso tercero.</w:t>
      </w:r>
    </w:p>
    <w:p w:rsidR="00136CB9" w:rsidRPr="00CD5356" w:rsidRDefault="00136CB9" w:rsidP="00CD5356">
      <w:pPr>
        <w:spacing w:after="0" w:line="240" w:lineRule="auto"/>
        <w:rPr>
          <w:bCs/>
          <w:szCs w:val="24"/>
          <w:lang w:val="es-ES"/>
        </w:rPr>
      </w:pPr>
    </w:p>
    <w:p w:rsidR="000E0EBE" w:rsidRPr="00CD5356" w:rsidRDefault="000E0EBE" w:rsidP="00CD5356">
      <w:pPr>
        <w:spacing w:after="0" w:line="240" w:lineRule="auto"/>
        <w:ind w:firstLine="708"/>
        <w:rPr>
          <w:bCs/>
          <w:szCs w:val="24"/>
          <w:lang w:val="es-ES"/>
        </w:rPr>
      </w:pPr>
    </w:p>
    <w:p w:rsidR="00FB761D" w:rsidRPr="00CD5356" w:rsidRDefault="00FB761D" w:rsidP="00CD5356">
      <w:pPr>
        <w:spacing w:after="0" w:line="240" w:lineRule="auto"/>
        <w:rPr>
          <w:bCs/>
          <w:szCs w:val="24"/>
          <w:lang w:val="es-ES"/>
        </w:rPr>
      </w:pPr>
    </w:p>
    <w:sectPr w:rsidR="00FB761D" w:rsidRPr="00CD5356" w:rsidSect="00CD5356">
      <w:pgSz w:w="12242" w:h="18722" w:code="156"/>
      <w:pgMar w:top="2835" w:right="1701" w:bottom="283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527B" w:rsidRDefault="005D527B" w:rsidP="00436438">
      <w:pPr>
        <w:spacing w:after="0" w:line="240" w:lineRule="auto"/>
      </w:pPr>
      <w:r>
        <w:separator/>
      </w:r>
    </w:p>
  </w:endnote>
  <w:endnote w:type="continuationSeparator" w:id="0">
    <w:p w:rsidR="005D527B" w:rsidRDefault="005D527B" w:rsidP="00436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527B" w:rsidRDefault="005D527B" w:rsidP="00436438">
      <w:pPr>
        <w:spacing w:after="0" w:line="240" w:lineRule="auto"/>
      </w:pPr>
      <w:r>
        <w:separator/>
      </w:r>
    </w:p>
  </w:footnote>
  <w:footnote w:type="continuationSeparator" w:id="0">
    <w:p w:rsidR="005D527B" w:rsidRDefault="005D527B" w:rsidP="00436438">
      <w:pPr>
        <w:spacing w:after="0" w:line="240" w:lineRule="auto"/>
      </w:pPr>
      <w:r>
        <w:continuationSeparator/>
      </w:r>
    </w:p>
  </w:footnote>
  <w:footnote w:id="1">
    <w:p w:rsidR="00403F21" w:rsidRPr="00F12978" w:rsidRDefault="00403F21" w:rsidP="00CC0955">
      <w:pPr>
        <w:pStyle w:val="Textonotapie"/>
        <w:rPr>
          <w:i/>
        </w:rPr>
      </w:pPr>
      <w:r>
        <w:rPr>
          <w:rStyle w:val="Refdenotaalpie"/>
        </w:rPr>
        <w:footnoteRef/>
      </w:r>
      <w:r>
        <w:t xml:space="preserve"> Valentina Pozo, </w:t>
      </w:r>
      <w:r w:rsidRPr="00F12978">
        <w:rPr>
          <w:i/>
        </w:rPr>
        <w:t>Discapacidad, enfermedad, orientación sexual e identidad de género y opinión</w:t>
      </w:r>
    </w:p>
    <w:p w:rsidR="00403F21" w:rsidRDefault="00403F21" w:rsidP="00CC0955">
      <w:pPr>
        <w:pStyle w:val="Textonotapie"/>
      </w:pPr>
      <w:r w:rsidRPr="00F12978">
        <w:rPr>
          <w:i/>
        </w:rPr>
        <w:t>política concentran el mayor número de sentencias por ley antidiscriminación,</w:t>
      </w:r>
      <w:r>
        <w:t xml:space="preserve"> Fundación Iguales, 12</w:t>
      </w:r>
    </w:p>
    <w:p w:rsidR="00403F21" w:rsidRDefault="00403F21" w:rsidP="00CC0955">
      <w:pPr>
        <w:pStyle w:val="Textonotapie"/>
      </w:pPr>
      <w:r>
        <w:t xml:space="preserve">de julio de 2018, disponible en </w:t>
      </w:r>
      <w:hyperlink r:id="rId1" w:history="1">
        <w:r w:rsidRPr="001E5C57">
          <w:rPr>
            <w:rStyle w:val="Hipervnculo"/>
          </w:rPr>
          <w:t>http://bit.ly/2NViT9a</w:t>
        </w:r>
      </w:hyperlink>
      <w:r>
        <w:t xml:space="preserve"> </w:t>
      </w:r>
    </w:p>
  </w:footnote>
  <w:footnote w:id="2">
    <w:p w:rsidR="00403F21" w:rsidRPr="00F12978" w:rsidRDefault="00403F21">
      <w:pPr>
        <w:pStyle w:val="Textonotapie"/>
      </w:pPr>
      <w:r>
        <w:rPr>
          <w:rStyle w:val="Refdenotaalpie"/>
        </w:rPr>
        <w:footnoteRef/>
      </w:r>
      <w:r>
        <w:t xml:space="preserve"> Ministerio Secretaría General de Gobierno, </w:t>
      </w:r>
      <w:r>
        <w:rPr>
          <w:i/>
        </w:rPr>
        <w:t>Primera Consulta Ciudadana sobre la Discriminación en Chile</w:t>
      </w:r>
      <w:r>
        <w:t xml:space="preserve">, Octubre de 2013, disponible en </w:t>
      </w:r>
      <w:hyperlink r:id="rId2" w:history="1">
        <w:r w:rsidRPr="001E5C57">
          <w:rPr>
            <w:rStyle w:val="Hipervnculo"/>
          </w:rPr>
          <w:t>http://decs.pjud.cl/documentos/descargas/ppt___resultados_primer_consulta_ciudadana_sobre_la_discriminaci__n_en_chile.pdf</w:t>
        </w:r>
      </w:hyperlink>
      <w:r>
        <w:t xml:space="preserve"> </w:t>
      </w:r>
    </w:p>
  </w:footnote>
  <w:footnote w:id="3">
    <w:p w:rsidR="00403F21" w:rsidRPr="00F12978" w:rsidRDefault="00403F21">
      <w:pPr>
        <w:pStyle w:val="Textonotapie"/>
      </w:pPr>
      <w:r>
        <w:rPr>
          <w:rStyle w:val="Refdenotaalpie"/>
        </w:rPr>
        <w:footnoteRef/>
      </w:r>
      <w:r>
        <w:t xml:space="preserve"> INDH, </w:t>
      </w:r>
      <w:r>
        <w:rPr>
          <w:i/>
        </w:rPr>
        <w:t>Informe Anual de la Situación de los Derechos Humanos en Chile</w:t>
      </w:r>
      <w:r>
        <w:t xml:space="preserve">, 2017, pp. 13-32, disponible en </w:t>
      </w:r>
      <w:hyperlink r:id="rId3" w:history="1">
        <w:r w:rsidRPr="001E5C57">
          <w:rPr>
            <w:rStyle w:val="Hipervnculo"/>
          </w:rPr>
          <w:t>https://www.indh.cl/bb/wp-content/uploads/2017/12/01_Informe-Anual-2017.pdf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D912CA"/>
    <w:multiLevelType w:val="multilevel"/>
    <w:tmpl w:val="B6C05B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698C7DCE"/>
    <w:multiLevelType w:val="multilevel"/>
    <w:tmpl w:val="B6C05B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662201089">
    <w:abstractNumId w:val="0"/>
    <w:lvlOverride w:ilvl="0">
      <w:startOverride w:val="4"/>
    </w:lvlOverride>
  </w:num>
  <w:num w:numId="2" w16cid:durableId="981228689">
    <w:abstractNumId w:val="0"/>
    <w:lvlOverride w:ilvl="0">
      <w:startOverride w:val="5"/>
    </w:lvlOverride>
  </w:num>
  <w:num w:numId="3" w16cid:durableId="2068188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4A4"/>
    <w:rsid w:val="00014543"/>
    <w:rsid w:val="000572B4"/>
    <w:rsid w:val="000818E8"/>
    <w:rsid w:val="0009392F"/>
    <w:rsid w:val="000B4EB1"/>
    <w:rsid w:val="000E0EBE"/>
    <w:rsid w:val="000F1E75"/>
    <w:rsid w:val="0011196C"/>
    <w:rsid w:val="00136CB9"/>
    <w:rsid w:val="00144171"/>
    <w:rsid w:val="00161564"/>
    <w:rsid w:val="001A797F"/>
    <w:rsid w:val="001D69B0"/>
    <w:rsid w:val="001E59D0"/>
    <w:rsid w:val="001E6234"/>
    <w:rsid w:val="001F458E"/>
    <w:rsid w:val="00200C1B"/>
    <w:rsid w:val="00214BEA"/>
    <w:rsid w:val="00235CEE"/>
    <w:rsid w:val="00241909"/>
    <w:rsid w:val="002577C8"/>
    <w:rsid w:val="002774AF"/>
    <w:rsid w:val="002840F0"/>
    <w:rsid w:val="002D1BD2"/>
    <w:rsid w:val="002D2E1E"/>
    <w:rsid w:val="002D7303"/>
    <w:rsid w:val="0031319F"/>
    <w:rsid w:val="00345E3B"/>
    <w:rsid w:val="0039136A"/>
    <w:rsid w:val="00403F21"/>
    <w:rsid w:val="00414531"/>
    <w:rsid w:val="00436438"/>
    <w:rsid w:val="00480885"/>
    <w:rsid w:val="00490123"/>
    <w:rsid w:val="004C0983"/>
    <w:rsid w:val="004C2ADD"/>
    <w:rsid w:val="004F6F25"/>
    <w:rsid w:val="0050219D"/>
    <w:rsid w:val="005178F9"/>
    <w:rsid w:val="0055458B"/>
    <w:rsid w:val="005656FD"/>
    <w:rsid w:val="005D03D9"/>
    <w:rsid w:val="005D527B"/>
    <w:rsid w:val="005E0FB9"/>
    <w:rsid w:val="005E1FBD"/>
    <w:rsid w:val="006106B8"/>
    <w:rsid w:val="0064158D"/>
    <w:rsid w:val="006734C1"/>
    <w:rsid w:val="00673944"/>
    <w:rsid w:val="006828B2"/>
    <w:rsid w:val="006B2E1F"/>
    <w:rsid w:val="006E1579"/>
    <w:rsid w:val="00750E18"/>
    <w:rsid w:val="00772EDC"/>
    <w:rsid w:val="007A600E"/>
    <w:rsid w:val="007A6B5D"/>
    <w:rsid w:val="00813131"/>
    <w:rsid w:val="00853870"/>
    <w:rsid w:val="0088302F"/>
    <w:rsid w:val="0089638B"/>
    <w:rsid w:val="008A1442"/>
    <w:rsid w:val="008B25C1"/>
    <w:rsid w:val="008E6D65"/>
    <w:rsid w:val="00940619"/>
    <w:rsid w:val="0094141D"/>
    <w:rsid w:val="00972995"/>
    <w:rsid w:val="00983D12"/>
    <w:rsid w:val="009D519B"/>
    <w:rsid w:val="009E1047"/>
    <w:rsid w:val="009F17A5"/>
    <w:rsid w:val="00A02A38"/>
    <w:rsid w:val="00A234A4"/>
    <w:rsid w:val="00A417F5"/>
    <w:rsid w:val="00A706B2"/>
    <w:rsid w:val="00B01E8D"/>
    <w:rsid w:val="00B45D9C"/>
    <w:rsid w:val="00BA61BB"/>
    <w:rsid w:val="00BB336F"/>
    <w:rsid w:val="00BD04FB"/>
    <w:rsid w:val="00BF498D"/>
    <w:rsid w:val="00C2463E"/>
    <w:rsid w:val="00C36908"/>
    <w:rsid w:val="00C36C7F"/>
    <w:rsid w:val="00C65E83"/>
    <w:rsid w:val="00C90DD4"/>
    <w:rsid w:val="00CA0863"/>
    <w:rsid w:val="00CC0955"/>
    <w:rsid w:val="00CC43D5"/>
    <w:rsid w:val="00CD5356"/>
    <w:rsid w:val="00CD5AEA"/>
    <w:rsid w:val="00D26393"/>
    <w:rsid w:val="00D56D04"/>
    <w:rsid w:val="00D9735B"/>
    <w:rsid w:val="00DE3139"/>
    <w:rsid w:val="00E44E41"/>
    <w:rsid w:val="00E54F4D"/>
    <w:rsid w:val="00EC1D37"/>
    <w:rsid w:val="00EC2491"/>
    <w:rsid w:val="00ED3B31"/>
    <w:rsid w:val="00EF5BD9"/>
    <w:rsid w:val="00F12978"/>
    <w:rsid w:val="00F620E5"/>
    <w:rsid w:val="00F64946"/>
    <w:rsid w:val="00F64A32"/>
    <w:rsid w:val="00F97448"/>
    <w:rsid w:val="00FB761D"/>
    <w:rsid w:val="00FC141E"/>
    <w:rsid w:val="00FD3FF6"/>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E235CD8A-880A-46A9-9317-0C2FEE4A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s-MX"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360" w:lineRule="auto"/>
      <w:jc w:val="both"/>
    </w:pPr>
    <w:rPr>
      <w:spacing w:val="6"/>
      <w:sz w:val="24"/>
      <w:szCs w:val="22"/>
      <w:lang w:val="es-CL" w:eastAsia="en-US"/>
    </w:rPr>
  </w:style>
  <w:style w:type="paragraph" w:styleId="Ttulo1">
    <w:name w:val="heading 1"/>
    <w:basedOn w:val="Normal"/>
    <w:next w:val="Normal"/>
    <w:link w:val="Ttulo1Car"/>
    <w:qFormat/>
    <w:rsid w:val="00CD5356"/>
    <w:pPr>
      <w:keepNext/>
      <w:spacing w:after="0" w:line="240" w:lineRule="auto"/>
      <w:jc w:val="right"/>
      <w:outlineLvl w:val="0"/>
    </w:pPr>
    <w:rPr>
      <w:rFonts w:eastAsia="Times New Roman"/>
      <w:spacing w:val="0"/>
      <w:sz w:val="28"/>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9136A"/>
    <w:rPr>
      <w:color w:val="0000FF"/>
      <w:u w:val="single"/>
    </w:rPr>
  </w:style>
  <w:style w:type="paragraph" w:styleId="HTMLconformatoprevio">
    <w:name w:val="HTML Preformatted"/>
    <w:basedOn w:val="Normal"/>
    <w:link w:val="HTMLconformatoprevioCar"/>
    <w:uiPriority w:val="99"/>
    <w:semiHidden/>
    <w:unhideWhenUsed/>
    <w:rsid w:val="0039136A"/>
    <w:pPr>
      <w:spacing w:after="0" w:line="240" w:lineRule="auto"/>
    </w:pPr>
    <w:rPr>
      <w:rFonts w:ascii="Consolas" w:hAnsi="Consolas" w:cs="Consolas"/>
      <w:sz w:val="20"/>
      <w:szCs w:val="20"/>
    </w:rPr>
  </w:style>
  <w:style w:type="character" w:customStyle="1" w:styleId="HTMLconformatoprevioCar">
    <w:name w:val="HTML con formato previo Car"/>
    <w:link w:val="HTMLconformatoprevio"/>
    <w:uiPriority w:val="99"/>
    <w:semiHidden/>
    <w:rsid w:val="0039136A"/>
    <w:rPr>
      <w:rFonts w:ascii="Consolas" w:hAnsi="Consolas" w:cs="Consolas"/>
      <w:sz w:val="20"/>
      <w:szCs w:val="20"/>
    </w:rPr>
  </w:style>
  <w:style w:type="paragraph" w:styleId="Prrafodelista">
    <w:name w:val="List Paragraph"/>
    <w:basedOn w:val="Normal"/>
    <w:uiPriority w:val="34"/>
    <w:qFormat/>
    <w:rsid w:val="00214BEA"/>
    <w:pPr>
      <w:ind w:left="720"/>
      <w:contextualSpacing/>
    </w:pPr>
  </w:style>
  <w:style w:type="paragraph" w:styleId="Textonotapie">
    <w:name w:val="footnote text"/>
    <w:basedOn w:val="Normal"/>
    <w:link w:val="TextonotapieCar"/>
    <w:uiPriority w:val="99"/>
    <w:semiHidden/>
    <w:unhideWhenUsed/>
    <w:rsid w:val="00436438"/>
    <w:pPr>
      <w:spacing w:after="0" w:line="240" w:lineRule="auto"/>
    </w:pPr>
    <w:rPr>
      <w:sz w:val="20"/>
      <w:szCs w:val="20"/>
    </w:rPr>
  </w:style>
  <w:style w:type="character" w:customStyle="1" w:styleId="TextonotapieCar">
    <w:name w:val="Texto nota pie Car"/>
    <w:link w:val="Textonotapie"/>
    <w:uiPriority w:val="99"/>
    <w:semiHidden/>
    <w:rsid w:val="00436438"/>
    <w:rPr>
      <w:sz w:val="20"/>
      <w:szCs w:val="20"/>
    </w:rPr>
  </w:style>
  <w:style w:type="character" w:styleId="Refdenotaalpie">
    <w:name w:val="footnote reference"/>
    <w:uiPriority w:val="99"/>
    <w:semiHidden/>
    <w:unhideWhenUsed/>
    <w:rsid w:val="00436438"/>
    <w:rPr>
      <w:vertAlign w:val="superscript"/>
    </w:rPr>
  </w:style>
  <w:style w:type="character" w:customStyle="1" w:styleId="Ttulo1Car">
    <w:name w:val="Título 1 Car"/>
    <w:link w:val="Ttulo1"/>
    <w:rsid w:val="00CD5356"/>
    <w:rPr>
      <w:rFonts w:eastAsia="Times New Roman"/>
      <w:spacing w:val="0"/>
      <w:sz w:val="28"/>
      <w:szCs w:val="20"/>
      <w:lang w:val="es-ES" w:eastAsia="es-ES"/>
    </w:rPr>
  </w:style>
  <w:style w:type="paragraph" w:customStyle="1" w:styleId="CharChar">
    <w:name w:val="Char Char"/>
    <w:basedOn w:val="Normal"/>
    <w:rsid w:val="00CD5356"/>
    <w:pPr>
      <w:spacing w:after="160" w:line="240" w:lineRule="exact"/>
      <w:ind w:left="500"/>
      <w:jc w:val="center"/>
    </w:pPr>
    <w:rPr>
      <w:rFonts w:ascii="Verdana" w:eastAsia="Times New Roman" w:hAnsi="Verdana" w:cs="Arial"/>
      <w:b/>
      <w:spacing w:val="0"/>
      <w:sz w:val="20"/>
      <w:szCs w:val="20"/>
      <w:lang w:val="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93663">
      <w:bodyDiv w:val="1"/>
      <w:marLeft w:val="0"/>
      <w:marRight w:val="0"/>
      <w:marTop w:val="0"/>
      <w:marBottom w:val="0"/>
      <w:divBdr>
        <w:top w:val="none" w:sz="0" w:space="0" w:color="auto"/>
        <w:left w:val="none" w:sz="0" w:space="0" w:color="auto"/>
        <w:bottom w:val="none" w:sz="0" w:space="0" w:color="auto"/>
        <w:right w:val="none" w:sz="0" w:space="0" w:color="auto"/>
      </w:divBdr>
    </w:div>
    <w:div w:id="467169478">
      <w:bodyDiv w:val="1"/>
      <w:marLeft w:val="0"/>
      <w:marRight w:val="0"/>
      <w:marTop w:val="0"/>
      <w:marBottom w:val="0"/>
      <w:divBdr>
        <w:top w:val="none" w:sz="0" w:space="0" w:color="auto"/>
        <w:left w:val="none" w:sz="0" w:space="0" w:color="auto"/>
        <w:bottom w:val="none" w:sz="0" w:space="0" w:color="auto"/>
        <w:right w:val="none" w:sz="0" w:space="0" w:color="auto"/>
      </w:divBdr>
    </w:div>
    <w:div w:id="844445229">
      <w:bodyDiv w:val="1"/>
      <w:marLeft w:val="0"/>
      <w:marRight w:val="0"/>
      <w:marTop w:val="0"/>
      <w:marBottom w:val="0"/>
      <w:divBdr>
        <w:top w:val="none" w:sz="0" w:space="0" w:color="auto"/>
        <w:left w:val="none" w:sz="0" w:space="0" w:color="auto"/>
        <w:bottom w:val="none" w:sz="0" w:space="0" w:color="auto"/>
        <w:right w:val="none" w:sz="0" w:space="0" w:color="auto"/>
      </w:divBdr>
    </w:div>
    <w:div w:id="1650279983">
      <w:bodyDiv w:val="1"/>
      <w:marLeft w:val="0"/>
      <w:marRight w:val="0"/>
      <w:marTop w:val="0"/>
      <w:marBottom w:val="0"/>
      <w:divBdr>
        <w:top w:val="none" w:sz="0" w:space="0" w:color="auto"/>
        <w:left w:val="none" w:sz="0" w:space="0" w:color="auto"/>
        <w:bottom w:val="none" w:sz="0" w:space="0" w:color="auto"/>
        <w:right w:val="none" w:sz="0" w:space="0" w:color="auto"/>
      </w:divBdr>
    </w:div>
    <w:div w:id="1791510603">
      <w:bodyDiv w:val="1"/>
      <w:marLeft w:val="0"/>
      <w:marRight w:val="0"/>
      <w:marTop w:val="0"/>
      <w:marBottom w:val="0"/>
      <w:divBdr>
        <w:top w:val="none" w:sz="0" w:space="0" w:color="auto"/>
        <w:left w:val="none" w:sz="0" w:space="0" w:color="auto"/>
        <w:bottom w:val="none" w:sz="0" w:space="0" w:color="auto"/>
        <w:right w:val="none" w:sz="0" w:space="0" w:color="auto"/>
      </w:divBdr>
    </w:div>
    <w:div w:id="1931544419">
      <w:bodyDiv w:val="1"/>
      <w:marLeft w:val="0"/>
      <w:marRight w:val="0"/>
      <w:marTop w:val="0"/>
      <w:marBottom w:val="0"/>
      <w:divBdr>
        <w:top w:val="none" w:sz="0" w:space="0" w:color="auto"/>
        <w:left w:val="none" w:sz="0" w:space="0" w:color="auto"/>
        <w:bottom w:val="none" w:sz="0" w:space="0" w:color="auto"/>
        <w:right w:val="none" w:sz="0" w:space="0" w:color="auto"/>
      </w:divBdr>
    </w:div>
    <w:div w:id="2067754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indh.cl/bb/wp-content/uploads/2017/12/01_Informe-Anual-2017.pdf" TargetMode="External"/><Relationship Id="rId2" Type="http://schemas.openxmlformats.org/officeDocument/2006/relationships/hyperlink" Target="http://decs.pjud.cl/documentos/descargas/ppt___resultados_primer_consulta_ciudadana_sobre_la_discriminaci__n_en_chile.pdf" TargetMode="External"/><Relationship Id="rId1" Type="http://schemas.openxmlformats.org/officeDocument/2006/relationships/hyperlink" Target="http://bit.ly/2NViT9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A85E0DCC92F7A4AA652D4C4951943E8" ma:contentTypeVersion="16" ma:contentTypeDescription="Create a new document." ma:contentTypeScope="" ma:versionID="8a651b680244b20fb8e8d5dc851c2c82">
  <xsd:schema xmlns:xsd="http://www.w3.org/2001/XMLSchema" xmlns:xs="http://www.w3.org/2001/XMLSchema" xmlns:p="http://schemas.microsoft.com/office/2006/metadata/properties" xmlns:ns2="9a19e284-066f-4d09-b64f-8a5eac411b4b" xmlns:ns3="bfdd90f3-d40e-4e03-ad18-73ed9d38881c" targetNamespace="http://schemas.microsoft.com/office/2006/metadata/properties" ma:root="true" ma:fieldsID="bf440094d48521403ee04c58bfe2b734" ns2:_="" ns3:_="">
    <xsd:import namespace="9a19e284-066f-4d09-b64f-8a5eac411b4b"/>
    <xsd:import namespace="bfdd90f3-d40e-4e03-ad18-73ed9d3888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19e284-066f-4d09-b64f-8a5eac411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ae7bf6-5ac9-4edb-a7e0-886d92fb71e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fdd90f3-d40e-4e03-ad18-73ed9d3888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3f7f74-ce56-4d96-9e24-6dbf7c788749}" ma:internalName="TaxCatchAll" ma:showField="CatchAllData" ma:web="bfdd90f3-d40e-4e03-ad18-73ed9d3888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fdd90f3-d40e-4e03-ad18-73ed9d38881c" xsi:nil="true"/>
    <lcf76f155ced4ddcb4097134ff3c332f xmlns="9a19e284-066f-4d09-b64f-8a5eac411b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F109762-A983-4665-9A12-74152D4D160E}">
  <ds:schemaRefs>
    <ds:schemaRef ds:uri="http://schemas.microsoft.com/sharepoint/v3/contenttype/forms"/>
  </ds:schemaRefs>
</ds:datastoreItem>
</file>

<file path=customXml/itemProps2.xml><?xml version="1.0" encoding="utf-8"?>
<ds:datastoreItem xmlns:ds="http://schemas.openxmlformats.org/officeDocument/2006/customXml" ds:itemID="{212672D5-6929-45E4-AE14-1C76C266D765}">
  <ds:schemaRefs>
    <ds:schemaRef ds:uri="http://schemas.openxmlformats.org/officeDocument/2006/bibliography"/>
  </ds:schemaRefs>
</ds:datastoreItem>
</file>

<file path=customXml/itemProps3.xml><?xml version="1.0" encoding="utf-8"?>
<ds:datastoreItem xmlns:ds="http://schemas.openxmlformats.org/officeDocument/2006/customXml" ds:itemID="{07481CDA-CD1B-484A-A2E6-63F3E091A76E}"/>
</file>

<file path=customXml/itemProps4.xml><?xml version="1.0" encoding="utf-8"?>
<ds:datastoreItem xmlns:ds="http://schemas.openxmlformats.org/officeDocument/2006/customXml" ds:itemID="{41F7B6E2-8778-4F81-B7CB-069D6E7C385A}"/>
</file>

<file path=docProps/app.xml><?xml version="1.0" encoding="utf-8"?>
<Properties xmlns="http://schemas.openxmlformats.org/officeDocument/2006/extended-properties" xmlns:vt="http://schemas.openxmlformats.org/officeDocument/2006/docPropsVTypes">
  <Template>Normal.dotm</Template>
  <TotalTime>1</TotalTime>
  <Pages>1</Pages>
  <Words>2005</Words>
  <Characters>11030</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13009</CharactersWithSpaces>
  <SharedDoc>false</SharedDoc>
  <HLinks>
    <vt:vector size="18" baseType="variant">
      <vt:variant>
        <vt:i4>3473472</vt:i4>
      </vt:variant>
      <vt:variant>
        <vt:i4>6</vt:i4>
      </vt:variant>
      <vt:variant>
        <vt:i4>0</vt:i4>
      </vt:variant>
      <vt:variant>
        <vt:i4>5</vt:i4>
      </vt:variant>
      <vt:variant>
        <vt:lpwstr>https://www.indh.cl/bb/wp-content/uploads/2017/12/01_Informe-Anual-2017.pdf</vt:lpwstr>
      </vt:variant>
      <vt:variant>
        <vt:lpwstr/>
      </vt:variant>
      <vt:variant>
        <vt:i4>3670100</vt:i4>
      </vt:variant>
      <vt:variant>
        <vt:i4>3</vt:i4>
      </vt:variant>
      <vt:variant>
        <vt:i4>0</vt:i4>
      </vt:variant>
      <vt:variant>
        <vt:i4>5</vt:i4>
      </vt:variant>
      <vt:variant>
        <vt:lpwstr>http://decs.pjud.cl/documentos/descargas/ppt___resultados_primer_consulta_ciudadana_sobre_la_discriminaci__n_en_chile.pdf</vt:lpwstr>
      </vt:variant>
      <vt:variant>
        <vt:lpwstr/>
      </vt:variant>
      <vt:variant>
        <vt:i4>4194311</vt:i4>
      </vt:variant>
      <vt:variant>
        <vt:i4>0</vt:i4>
      </vt:variant>
      <vt:variant>
        <vt:i4>0</vt:i4>
      </vt:variant>
      <vt:variant>
        <vt:i4>5</vt:i4>
      </vt:variant>
      <vt:variant>
        <vt:lpwstr>http://bit.ly/2NViT9a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dc:creator>
  <cp:keywords/>
  <dc:description/>
  <cp:lastModifiedBy>Valentina Villar</cp:lastModifiedBy>
  <cp:revision>2</cp:revision>
  <dcterms:created xsi:type="dcterms:W3CDTF">2022-08-25T21:01:00Z</dcterms:created>
  <dcterms:modified xsi:type="dcterms:W3CDTF">2022-08-25T21:01:00Z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0x0101007A85E0DCC92F7A4AA652D4C4951943E8</vt:lpwstr>
  </property>
</Properties>
</file>