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D74EE" w14:textId="58BC5364" w:rsidR="006461BA" w:rsidRPr="00660790" w:rsidRDefault="00660790" w:rsidP="00660790">
      <w:pPr>
        <w:spacing w:line="360" w:lineRule="auto"/>
        <w:ind w:left="567" w:right="474"/>
        <w:jc w:val="center"/>
        <w:rPr>
          <w:rFonts w:ascii="Arial Narrow" w:hAnsi="Arial Narrow" w:cs="Tahoma"/>
          <w:lang w:val="es-ES"/>
        </w:rPr>
      </w:pPr>
      <w:bookmarkStart w:id="0" w:name="_GoBack"/>
      <w:bookmarkEnd w:id="0"/>
      <w:r w:rsidRPr="00660790">
        <w:rPr>
          <w:rFonts w:ascii="Arial Narrow" w:hAnsi="Arial Narrow" w:cs="Tahoma"/>
          <w:b/>
          <w:lang w:val="es-ES"/>
        </w:rPr>
        <w:t>Modifica la ley N°19.496, que Establece Normas sobre Protección de los Derechos de los Consumidores, para establecer la nulidad de los contratos de seguro contra fraudes informáticos, que tengan por objeto eludir la responsabilidad de los bancos frente a sus clientes</w:t>
      </w:r>
    </w:p>
    <w:p w14:paraId="6FF409CB" w14:textId="77777777" w:rsidR="00796092" w:rsidRDefault="00796092" w:rsidP="005B372D">
      <w:pPr>
        <w:spacing w:line="360" w:lineRule="auto"/>
        <w:rPr>
          <w:rFonts w:ascii="Arial Narrow" w:hAnsi="Arial Narrow" w:cs="Tahoma"/>
          <w:lang w:val="es-ES"/>
        </w:rPr>
      </w:pPr>
    </w:p>
    <w:p w14:paraId="4BD81871" w14:textId="2218861F" w:rsidR="00660790" w:rsidRPr="00660790" w:rsidRDefault="00660790" w:rsidP="00660790">
      <w:pPr>
        <w:spacing w:line="360" w:lineRule="auto"/>
        <w:jc w:val="center"/>
        <w:rPr>
          <w:rFonts w:ascii="Arial Narrow" w:hAnsi="Arial Narrow" w:cs="Tahoma"/>
          <w:b/>
          <w:lang w:val="es-ES"/>
        </w:rPr>
      </w:pPr>
      <w:r w:rsidRPr="00660790">
        <w:rPr>
          <w:rFonts w:ascii="Arial Narrow" w:hAnsi="Arial Narrow" w:cs="Tahoma"/>
          <w:b/>
          <w:lang w:val="es-ES"/>
        </w:rPr>
        <w:t>Boletín N°12054-03</w:t>
      </w:r>
    </w:p>
    <w:p w14:paraId="0028A890" w14:textId="77777777" w:rsidR="00796092" w:rsidRPr="005B372D" w:rsidRDefault="00796092" w:rsidP="005B372D">
      <w:pPr>
        <w:spacing w:line="360" w:lineRule="auto"/>
        <w:jc w:val="both"/>
        <w:rPr>
          <w:rFonts w:ascii="Arial Narrow" w:hAnsi="Arial Narrow" w:cs="Tahoma"/>
          <w:lang w:val="es-ES"/>
        </w:rPr>
      </w:pPr>
    </w:p>
    <w:p w14:paraId="32D7460C" w14:textId="4DFF2817" w:rsidR="00796092" w:rsidRPr="005B372D" w:rsidRDefault="00DF3641" w:rsidP="005B372D">
      <w:pPr>
        <w:spacing w:line="360" w:lineRule="auto"/>
        <w:jc w:val="center"/>
        <w:rPr>
          <w:rFonts w:ascii="Arial Narrow" w:hAnsi="Arial Narrow" w:cs="Tahoma"/>
          <w:b/>
          <w:u w:val="single"/>
          <w:lang w:val="es-ES"/>
        </w:rPr>
      </w:pPr>
      <w:r>
        <w:rPr>
          <w:rFonts w:ascii="Arial Narrow" w:hAnsi="Arial Narrow" w:cs="Tahoma"/>
          <w:b/>
          <w:u w:val="single"/>
          <w:lang w:val="es-ES"/>
        </w:rPr>
        <w:t>Fundamentos</w:t>
      </w:r>
      <w:r w:rsidR="00796092" w:rsidRPr="005B372D">
        <w:rPr>
          <w:rFonts w:ascii="Arial Narrow" w:hAnsi="Arial Narrow" w:cs="Tahoma"/>
          <w:b/>
          <w:u w:val="single"/>
          <w:lang w:val="es-ES"/>
        </w:rPr>
        <w:t>:</w:t>
      </w:r>
    </w:p>
    <w:p w14:paraId="07A71ADF" w14:textId="77777777" w:rsidR="00796092" w:rsidRDefault="00796092" w:rsidP="005B372D">
      <w:pPr>
        <w:spacing w:line="360" w:lineRule="auto"/>
        <w:jc w:val="both"/>
        <w:rPr>
          <w:rFonts w:ascii="Arial Narrow" w:hAnsi="Arial Narrow" w:cs="Tahoma"/>
          <w:lang w:val="es-ES"/>
        </w:rPr>
      </w:pPr>
    </w:p>
    <w:p w14:paraId="4965156F" w14:textId="4F298CC1" w:rsidR="001D47B2" w:rsidRDefault="001127BC" w:rsidP="005B372D">
      <w:pPr>
        <w:spacing w:line="360" w:lineRule="auto"/>
        <w:jc w:val="both"/>
        <w:rPr>
          <w:rFonts w:ascii="Arial Narrow" w:hAnsi="Arial Narrow" w:cs="Tahoma"/>
          <w:lang w:val="es-ES"/>
        </w:rPr>
      </w:pPr>
      <w:r>
        <w:rPr>
          <w:rFonts w:ascii="Arial Narrow" w:hAnsi="Arial Narrow" w:cs="Tahoma"/>
          <w:lang w:val="es-ES"/>
        </w:rPr>
        <w:t xml:space="preserve">1.- </w:t>
      </w:r>
      <w:r w:rsidR="00951832">
        <w:rPr>
          <w:rFonts w:ascii="Arial Narrow" w:hAnsi="Arial Narrow" w:cs="Tahoma"/>
          <w:lang w:val="es-ES"/>
        </w:rPr>
        <w:t xml:space="preserve">La utilización </w:t>
      </w:r>
      <w:r w:rsidR="00AC2084">
        <w:rPr>
          <w:rFonts w:ascii="Arial Narrow" w:hAnsi="Arial Narrow" w:cs="Tahoma"/>
          <w:lang w:val="es-ES"/>
        </w:rPr>
        <w:t xml:space="preserve">de </w:t>
      </w:r>
      <w:r w:rsidR="00D91F76">
        <w:rPr>
          <w:rFonts w:ascii="Arial Narrow" w:hAnsi="Arial Narrow" w:cs="Tahoma"/>
          <w:lang w:val="es-ES"/>
        </w:rPr>
        <w:t xml:space="preserve">la tecnología en las operaciones bancarias ha traído consigo el aumento </w:t>
      </w:r>
      <w:r w:rsidR="000A5DBC">
        <w:rPr>
          <w:rFonts w:ascii="Arial Narrow" w:hAnsi="Arial Narrow" w:cs="Tahoma"/>
          <w:lang w:val="es-ES"/>
        </w:rPr>
        <w:t>de los fraudes informá</w:t>
      </w:r>
      <w:r w:rsidR="00AA04B3">
        <w:rPr>
          <w:rFonts w:ascii="Arial Narrow" w:hAnsi="Arial Narrow" w:cs="Tahoma"/>
          <w:lang w:val="es-ES"/>
        </w:rPr>
        <w:t>ticos. En efecto, entre enero y febrero de 2018, los delitos informáticos investigados por la PDI aumentaron un 64% al pasar de 149 casos a 245 en comparación de igual periodo con el 2017. Mientras que en 5 años los casos se duplicaron al incrementarse de 470 casos en 2013 a 1.222 en 2017</w:t>
      </w:r>
      <w:r w:rsidR="00AA04B3">
        <w:rPr>
          <w:rStyle w:val="Refdenotaalpie"/>
          <w:rFonts w:ascii="Arial Narrow" w:hAnsi="Arial Narrow" w:cs="Tahoma"/>
          <w:lang w:val="es-ES"/>
        </w:rPr>
        <w:footnoteReference w:id="1"/>
      </w:r>
      <w:r w:rsidR="00EF3930">
        <w:rPr>
          <w:rFonts w:ascii="Arial Narrow" w:hAnsi="Arial Narrow" w:cs="Tahoma"/>
          <w:lang w:val="es-ES"/>
        </w:rPr>
        <w:t xml:space="preserve">. </w:t>
      </w:r>
    </w:p>
    <w:p w14:paraId="3C3096D3" w14:textId="77777777" w:rsidR="00D91F76" w:rsidRPr="005B372D" w:rsidRDefault="00D91F76" w:rsidP="005B372D">
      <w:pPr>
        <w:spacing w:line="360" w:lineRule="auto"/>
        <w:jc w:val="both"/>
        <w:rPr>
          <w:rFonts w:ascii="Arial Narrow" w:hAnsi="Arial Narrow" w:cs="Tahoma"/>
          <w:lang w:val="es-ES"/>
        </w:rPr>
      </w:pPr>
    </w:p>
    <w:p w14:paraId="05CE8ABE" w14:textId="562E4485" w:rsidR="00CC0D15" w:rsidRPr="005B372D" w:rsidRDefault="001127BC" w:rsidP="005B372D">
      <w:pPr>
        <w:pStyle w:val="Sinespaciado"/>
        <w:spacing w:line="360" w:lineRule="auto"/>
        <w:jc w:val="both"/>
        <w:rPr>
          <w:rFonts w:ascii="Arial Narrow" w:hAnsi="Arial Narrow"/>
          <w:lang w:val="es-ES"/>
        </w:rPr>
      </w:pPr>
      <w:r>
        <w:rPr>
          <w:rFonts w:ascii="Arial Narrow" w:hAnsi="Arial Narrow"/>
          <w:lang w:val="es-ES"/>
        </w:rPr>
        <w:t>2</w:t>
      </w:r>
      <w:r w:rsidR="00796092" w:rsidRPr="005B372D">
        <w:rPr>
          <w:rFonts w:ascii="Arial Narrow" w:hAnsi="Arial Narrow"/>
          <w:lang w:val="es-ES"/>
        </w:rPr>
        <w:t>.-</w:t>
      </w:r>
      <w:r w:rsidR="00C132D5" w:rsidRPr="005B372D">
        <w:rPr>
          <w:rFonts w:ascii="Arial Narrow" w:hAnsi="Arial Narrow"/>
          <w:lang w:val="es-ES"/>
        </w:rPr>
        <w:t xml:space="preserve"> </w:t>
      </w:r>
      <w:r w:rsidR="00EF3930">
        <w:rPr>
          <w:rFonts w:ascii="Arial Narrow" w:hAnsi="Arial Narrow"/>
          <w:lang w:val="es-ES"/>
        </w:rPr>
        <w:t xml:space="preserve">En el caso de los fraudes informáticos el perjuicio económico recae en los bancos. Así lo ha establecido la jurisprudencia de la Corte Suprema conforme a las consideraciones de Derecho que a continuación se señalan. </w:t>
      </w:r>
    </w:p>
    <w:p w14:paraId="66CFE4D7" w14:textId="77777777" w:rsidR="00CC0D15" w:rsidRPr="005B372D" w:rsidRDefault="00CC0D15" w:rsidP="005B372D">
      <w:pPr>
        <w:pStyle w:val="Sinespaciado"/>
        <w:spacing w:line="360" w:lineRule="auto"/>
        <w:jc w:val="both"/>
        <w:rPr>
          <w:rFonts w:ascii="Arial Narrow" w:hAnsi="Arial Narrow"/>
          <w:lang w:val="es-ES"/>
        </w:rPr>
      </w:pPr>
    </w:p>
    <w:p w14:paraId="5FC273D6" w14:textId="7BC80618" w:rsidR="009E4E5A" w:rsidRPr="005B372D" w:rsidRDefault="004F212F" w:rsidP="005B372D">
      <w:pPr>
        <w:pStyle w:val="Sinespaciado"/>
        <w:spacing w:line="360" w:lineRule="auto"/>
        <w:jc w:val="both"/>
        <w:rPr>
          <w:rFonts w:ascii="Arial Narrow" w:hAnsi="Arial Narrow" w:cs="Courier"/>
        </w:rPr>
      </w:pPr>
      <w:r w:rsidRPr="005B372D">
        <w:rPr>
          <w:rFonts w:ascii="Arial Narrow" w:hAnsi="Arial Narrow"/>
          <w:lang w:val="es-ES"/>
        </w:rPr>
        <w:t xml:space="preserve">a) </w:t>
      </w:r>
      <w:r w:rsidR="001068F2" w:rsidRPr="005B372D">
        <w:rPr>
          <w:rFonts w:ascii="Arial Narrow" w:hAnsi="Arial Narrow"/>
          <w:lang w:val="es-ES"/>
        </w:rPr>
        <w:t xml:space="preserve">Conforme lo establece el artículo 40 de la Ley General de Bancos, </w:t>
      </w:r>
      <w:r w:rsidR="009E4E5A" w:rsidRPr="005B372D">
        <w:rPr>
          <w:rFonts w:ascii="Arial Narrow" w:hAnsi="Arial Narrow"/>
          <w:lang w:val="es-ES"/>
        </w:rPr>
        <w:t xml:space="preserve">estos se dedican a </w:t>
      </w:r>
      <w:r w:rsidR="009E4E5A" w:rsidRPr="003E4ED4">
        <w:rPr>
          <w:rFonts w:ascii="Arial Narrow" w:hAnsi="Arial Narrow"/>
          <w:i/>
          <w:lang w:val="es-ES"/>
        </w:rPr>
        <w:t>“</w:t>
      </w:r>
      <w:r w:rsidR="009E4E5A" w:rsidRPr="003E4ED4">
        <w:rPr>
          <w:rFonts w:ascii="Arial Narrow" w:hAnsi="Arial Narrow" w:cs="Courier"/>
          <w:i/>
        </w:rPr>
        <w:t>captar o recibir en forma habitual dinero o fondos del público, con el objeto de darlos en préstamo, descontar documentos, realizar inversiones, proceder a la intermediación financiera, hacer rentar estos dineros y, en general, realizar toda otra operación que la ley le permita.”</w:t>
      </w:r>
    </w:p>
    <w:p w14:paraId="78A795D5" w14:textId="77777777" w:rsidR="009E4E5A" w:rsidRPr="005B372D" w:rsidRDefault="009E4E5A" w:rsidP="005B372D">
      <w:pPr>
        <w:pStyle w:val="Sinespaciado"/>
        <w:spacing w:line="360" w:lineRule="auto"/>
        <w:jc w:val="both"/>
        <w:rPr>
          <w:rFonts w:ascii="Arial Narrow" w:hAnsi="Arial Narrow" w:cs="Courier"/>
        </w:rPr>
      </w:pPr>
    </w:p>
    <w:p w14:paraId="3BC29A57" w14:textId="140728E8" w:rsidR="00CC0D15" w:rsidRPr="005B372D" w:rsidRDefault="003E4ED4" w:rsidP="005B372D">
      <w:pPr>
        <w:spacing w:line="360" w:lineRule="auto"/>
        <w:jc w:val="both"/>
        <w:rPr>
          <w:rFonts w:ascii="Arial Narrow" w:eastAsia="Times New Roman" w:hAnsi="Arial Narrow" w:cs="Times New Roman"/>
          <w:lang w:eastAsia="es-ES_tradnl"/>
        </w:rPr>
      </w:pPr>
      <w:r>
        <w:rPr>
          <w:rFonts w:ascii="Arial Narrow" w:hAnsi="Arial Narrow" w:cs="Courier"/>
        </w:rPr>
        <w:t>b)</w:t>
      </w:r>
      <w:r w:rsidR="009E4E5A" w:rsidRPr="005B372D">
        <w:rPr>
          <w:rFonts w:ascii="Arial Narrow" w:hAnsi="Arial Narrow" w:cs="Courier"/>
        </w:rPr>
        <w:t xml:space="preserve"> </w:t>
      </w:r>
      <w:r w:rsidR="00CC0D15" w:rsidRPr="005B372D">
        <w:rPr>
          <w:rFonts w:ascii="Arial Narrow" w:hAnsi="Arial Narrow" w:cs="Courier"/>
        </w:rPr>
        <w:t xml:space="preserve">Por otra parte, </w:t>
      </w:r>
      <w:r w:rsidR="00CC0D15" w:rsidRPr="005B372D">
        <w:rPr>
          <w:rFonts w:ascii="Arial Narrow" w:eastAsia="Times New Roman" w:hAnsi="Arial Narrow" w:cs="Times New Roman"/>
          <w:lang w:eastAsia="es-ES_tradnl"/>
        </w:rPr>
        <w:t xml:space="preserve">el artículo 1° del Decreto con Fuerza de Ley N°707 de 7 de octubre de 1982 establece: </w:t>
      </w:r>
      <w:r w:rsidR="00CC0D15" w:rsidRPr="003E4ED4">
        <w:rPr>
          <w:rFonts w:ascii="Arial Narrow" w:eastAsia="Times New Roman" w:hAnsi="Arial Narrow" w:cs="Times New Roman"/>
          <w:i/>
          <w:lang w:eastAsia="es-ES_tradnl"/>
        </w:rPr>
        <w:t>“la cuenta corriente bancaria es un contrato a virtud del cual un banco se obliga a cumplir las órdenes de pago de otra persona hasta concurrencia de las cantidades de dinero que se hubieren depositado en ella o del crédito que se haya estipulado”.</w:t>
      </w:r>
    </w:p>
    <w:p w14:paraId="72AF89C2" w14:textId="77777777" w:rsidR="006175DE" w:rsidRPr="005B372D" w:rsidRDefault="006175DE" w:rsidP="005B372D">
      <w:pPr>
        <w:spacing w:line="360" w:lineRule="auto"/>
        <w:jc w:val="both"/>
        <w:rPr>
          <w:rFonts w:ascii="Arial Narrow" w:eastAsia="Times New Roman" w:hAnsi="Arial Narrow" w:cs="Times New Roman"/>
          <w:lang w:eastAsia="es-ES_tradnl"/>
        </w:rPr>
      </w:pPr>
    </w:p>
    <w:p w14:paraId="5B2CE22D" w14:textId="55C2A435" w:rsidR="00F70429" w:rsidRDefault="003E4ED4" w:rsidP="005B372D">
      <w:pPr>
        <w:spacing w:line="360" w:lineRule="auto"/>
        <w:jc w:val="both"/>
        <w:rPr>
          <w:rFonts w:ascii="Arial Narrow" w:eastAsia="Times New Roman" w:hAnsi="Arial Narrow" w:cs="Times New Roman"/>
          <w:lang w:eastAsia="es-ES_tradnl"/>
        </w:rPr>
      </w:pPr>
      <w:r>
        <w:rPr>
          <w:rFonts w:ascii="Arial Narrow" w:eastAsia="Times New Roman" w:hAnsi="Arial Narrow" w:cs="Times New Roman"/>
          <w:lang w:eastAsia="es-ES_tradnl"/>
        </w:rPr>
        <w:lastRenderedPageBreak/>
        <w:t xml:space="preserve">c) </w:t>
      </w:r>
      <w:r w:rsidR="00C867FD" w:rsidRPr="005B372D">
        <w:rPr>
          <w:rFonts w:ascii="Arial Narrow" w:eastAsia="Times New Roman" w:hAnsi="Arial Narrow" w:cs="Times New Roman"/>
          <w:lang w:eastAsia="es-ES_tradnl"/>
        </w:rPr>
        <w:t>E</w:t>
      </w:r>
      <w:r>
        <w:rPr>
          <w:rFonts w:ascii="Arial Narrow" w:eastAsia="Times New Roman" w:hAnsi="Arial Narrow" w:cs="Times New Roman"/>
          <w:lang w:eastAsia="es-ES_tradnl"/>
        </w:rPr>
        <w:t>n lo que respecta a</w:t>
      </w:r>
      <w:r w:rsidR="00C867FD" w:rsidRPr="005B372D">
        <w:rPr>
          <w:rFonts w:ascii="Arial Narrow" w:eastAsia="Times New Roman" w:hAnsi="Arial Narrow" w:cs="Times New Roman"/>
          <w:lang w:eastAsia="es-ES_tradnl"/>
        </w:rPr>
        <w:t>l</w:t>
      </w:r>
      <w:r w:rsidR="006175DE" w:rsidRPr="005B372D">
        <w:rPr>
          <w:rFonts w:ascii="Arial Narrow" w:eastAsia="Times New Roman" w:hAnsi="Arial Narrow" w:cs="Times New Roman"/>
          <w:lang w:eastAsia="es-ES_tradnl"/>
        </w:rPr>
        <w:t xml:space="preserve"> contrato </w:t>
      </w:r>
      <w:r w:rsidR="00C867FD" w:rsidRPr="005B372D">
        <w:rPr>
          <w:rFonts w:ascii="Arial Narrow" w:eastAsia="Times New Roman" w:hAnsi="Arial Narrow" w:cs="Times New Roman"/>
          <w:lang w:eastAsia="es-ES_tradnl"/>
        </w:rPr>
        <w:t>de cuenta corriente</w:t>
      </w:r>
      <w:r>
        <w:rPr>
          <w:rFonts w:ascii="Arial Narrow" w:eastAsia="Times New Roman" w:hAnsi="Arial Narrow" w:cs="Times New Roman"/>
          <w:lang w:eastAsia="es-ES_tradnl"/>
        </w:rPr>
        <w:t>, este</w:t>
      </w:r>
      <w:r w:rsidR="00C867FD" w:rsidRPr="005B372D">
        <w:rPr>
          <w:rFonts w:ascii="Arial Narrow" w:eastAsia="Times New Roman" w:hAnsi="Arial Narrow" w:cs="Times New Roman"/>
          <w:lang w:eastAsia="es-ES_tradnl"/>
        </w:rPr>
        <w:t xml:space="preserve"> se estructura en base a</w:t>
      </w:r>
      <w:r w:rsidR="006175DE" w:rsidRPr="005B372D">
        <w:rPr>
          <w:rFonts w:ascii="Arial Narrow" w:eastAsia="Times New Roman" w:hAnsi="Arial Narrow" w:cs="Times New Roman"/>
          <w:lang w:eastAsia="es-ES_tradnl"/>
        </w:rPr>
        <w:t xml:space="preserve"> la figura</w:t>
      </w:r>
      <w:r w:rsidR="00F70429" w:rsidRPr="005B372D">
        <w:rPr>
          <w:rFonts w:ascii="Arial Narrow" w:eastAsia="Times New Roman" w:hAnsi="Arial Narrow" w:cs="Times New Roman"/>
          <w:lang w:eastAsia="es-ES_tradnl"/>
        </w:rPr>
        <w:t xml:space="preserve"> del depósito irregular. En efecto, “al recaer el depósito en una suma de dinero que no está destinada a mantenerse en arca cerrada, se presumirá que se permite emplearlo, quedando obligado el depositario a restituir igual cantidad en la misma moneda.”</w:t>
      </w:r>
      <w:r w:rsidR="00F70429" w:rsidRPr="005B372D">
        <w:rPr>
          <w:rStyle w:val="Refdenotaalpie"/>
          <w:rFonts w:ascii="Arial Narrow" w:eastAsia="Times New Roman" w:hAnsi="Arial Narrow" w:cs="Times New Roman"/>
          <w:lang w:eastAsia="es-ES_tradnl"/>
        </w:rPr>
        <w:footnoteReference w:id="2"/>
      </w:r>
      <w:r w:rsidR="00F70429" w:rsidRPr="005B372D">
        <w:rPr>
          <w:rFonts w:ascii="Arial Narrow" w:eastAsia="Times New Roman" w:hAnsi="Arial Narrow" w:cs="Times New Roman"/>
          <w:lang w:eastAsia="es-ES_tradnl"/>
        </w:rPr>
        <w:t xml:space="preserve"> La particularidad de este depósito es que</w:t>
      </w:r>
      <w:r>
        <w:rPr>
          <w:rFonts w:ascii="Arial Narrow" w:eastAsia="Times New Roman" w:hAnsi="Arial Narrow" w:cs="Times New Roman"/>
          <w:lang w:eastAsia="es-ES_tradnl"/>
        </w:rPr>
        <w:t>: a)</w:t>
      </w:r>
      <w:r w:rsidR="00F70429" w:rsidRPr="005B372D">
        <w:rPr>
          <w:rFonts w:ascii="Arial Narrow" w:eastAsia="Times New Roman" w:hAnsi="Arial Narrow" w:cs="Times New Roman"/>
          <w:lang w:eastAsia="es-ES_tradnl"/>
        </w:rPr>
        <w:t xml:space="preserve"> la cosa depositada que se recibe es un género, esto es, </w:t>
      </w:r>
      <w:r>
        <w:rPr>
          <w:rFonts w:ascii="Arial Narrow" w:eastAsia="Times New Roman" w:hAnsi="Arial Narrow" w:cs="Times New Roman"/>
          <w:lang w:eastAsia="es-ES_tradnl"/>
        </w:rPr>
        <w:t xml:space="preserve">dinero y; b) </w:t>
      </w:r>
      <w:r w:rsidR="00F70429" w:rsidRPr="005B372D">
        <w:rPr>
          <w:rFonts w:ascii="Arial Narrow" w:eastAsia="Times New Roman" w:hAnsi="Arial Narrow" w:cs="Times New Roman"/>
          <w:lang w:eastAsia="es-ES_tradnl"/>
        </w:rPr>
        <w:t>el depositario puede servirse del dinero entregado junto con la obligación de restituirlo en un monto equivalente</w:t>
      </w:r>
      <w:r w:rsidR="00486678">
        <w:rPr>
          <w:rFonts w:ascii="Arial Narrow" w:eastAsia="Times New Roman" w:hAnsi="Arial Narrow" w:cs="Times New Roman"/>
          <w:lang w:eastAsia="es-ES_tradnl"/>
        </w:rPr>
        <w:t>,</w:t>
      </w:r>
      <w:r w:rsidR="00F70429" w:rsidRPr="005B372D">
        <w:rPr>
          <w:rFonts w:ascii="Arial Narrow" w:eastAsia="Times New Roman" w:hAnsi="Arial Narrow" w:cs="Times New Roman"/>
          <w:lang w:eastAsia="es-ES_tradnl"/>
        </w:rPr>
        <w:t xml:space="preserve"> y no en especie</w:t>
      </w:r>
      <w:r w:rsidR="00EF3930">
        <w:rPr>
          <w:rFonts w:ascii="Arial Narrow" w:eastAsia="Times New Roman" w:hAnsi="Arial Narrow" w:cs="Times New Roman"/>
          <w:lang w:eastAsia="es-ES_tradnl"/>
        </w:rPr>
        <w:t xml:space="preserve">. </w:t>
      </w:r>
      <w:r w:rsidR="00F70429" w:rsidRPr="005B372D">
        <w:rPr>
          <w:rFonts w:ascii="Arial Narrow" w:eastAsia="Times New Roman" w:hAnsi="Arial Narrow" w:cs="Times New Roman"/>
          <w:lang w:eastAsia="es-ES_tradnl"/>
        </w:rPr>
        <w:t xml:space="preserve"> </w:t>
      </w:r>
    </w:p>
    <w:p w14:paraId="752F81FB" w14:textId="77777777" w:rsidR="00A17A45" w:rsidRPr="005B372D" w:rsidRDefault="00A17A45" w:rsidP="005B372D">
      <w:pPr>
        <w:spacing w:line="360" w:lineRule="auto"/>
        <w:jc w:val="both"/>
        <w:rPr>
          <w:rFonts w:ascii="Arial Narrow" w:eastAsia="Times New Roman" w:hAnsi="Arial Narrow" w:cs="Times New Roman"/>
          <w:lang w:eastAsia="es-ES_tradnl"/>
        </w:rPr>
      </w:pPr>
    </w:p>
    <w:p w14:paraId="78FE97D0" w14:textId="78A2F8FE" w:rsidR="00C867FD" w:rsidRPr="005B372D" w:rsidRDefault="00F70429" w:rsidP="005B372D">
      <w:pPr>
        <w:spacing w:line="360" w:lineRule="auto"/>
        <w:jc w:val="both"/>
        <w:rPr>
          <w:rFonts w:ascii="Arial Narrow" w:eastAsia="Times New Roman" w:hAnsi="Arial Narrow" w:cs="Times New Roman"/>
          <w:lang w:eastAsia="es-ES_tradnl"/>
        </w:rPr>
      </w:pPr>
      <w:r w:rsidRPr="005B372D">
        <w:rPr>
          <w:rFonts w:ascii="Arial Narrow" w:eastAsia="Times New Roman" w:hAnsi="Arial Narrow" w:cs="Times New Roman"/>
          <w:lang w:eastAsia="es-ES_tradnl"/>
        </w:rPr>
        <w:t xml:space="preserve">En consecuencia, los contratos que se estructuran en base a un depósito irregular constituyen un título traslaticio de dominio y no de mera tenencia como ocurre en el </w:t>
      </w:r>
      <w:r w:rsidR="00C867FD" w:rsidRPr="005B372D">
        <w:rPr>
          <w:rFonts w:ascii="Arial Narrow" w:eastAsia="Times New Roman" w:hAnsi="Arial Narrow" w:cs="Times New Roman"/>
          <w:lang w:eastAsia="es-ES_tradnl"/>
        </w:rPr>
        <w:t>depósito</w:t>
      </w:r>
      <w:r w:rsidRPr="005B372D">
        <w:rPr>
          <w:rFonts w:ascii="Arial Narrow" w:eastAsia="Times New Roman" w:hAnsi="Arial Narrow" w:cs="Times New Roman"/>
          <w:lang w:eastAsia="es-ES_tradnl"/>
        </w:rPr>
        <w:t xml:space="preserve"> ordinario</w:t>
      </w:r>
      <w:r w:rsidR="0064177D">
        <w:rPr>
          <w:rStyle w:val="Refdenotaalpie"/>
          <w:rFonts w:ascii="Arial Narrow" w:eastAsia="Times New Roman" w:hAnsi="Arial Narrow" w:cs="Times New Roman"/>
          <w:lang w:eastAsia="es-ES_tradnl"/>
        </w:rPr>
        <w:footnoteReference w:id="3"/>
      </w:r>
      <w:r w:rsidR="00EF3930">
        <w:rPr>
          <w:rFonts w:ascii="Arial Narrow" w:eastAsia="Times New Roman" w:hAnsi="Arial Narrow" w:cs="Times New Roman"/>
          <w:lang w:eastAsia="es-ES_tradnl"/>
        </w:rPr>
        <w:t xml:space="preserve">. </w:t>
      </w:r>
      <w:r w:rsidR="00C867FD" w:rsidRPr="005B372D">
        <w:rPr>
          <w:rFonts w:ascii="Arial Narrow" w:eastAsia="Times New Roman" w:hAnsi="Arial Narrow" w:cs="Times New Roman"/>
          <w:lang w:eastAsia="es-ES_tradnl"/>
        </w:rPr>
        <w:t xml:space="preserve">Así dadas las cosas, </w:t>
      </w:r>
      <w:r w:rsidR="00C867FD" w:rsidRPr="005B372D">
        <w:rPr>
          <w:rFonts w:ascii="Arial Narrow" w:eastAsia="Times New Roman" w:hAnsi="Arial Narrow" w:cs="Times New Roman"/>
          <w:i/>
          <w:lang w:eastAsia="es-ES_tradnl"/>
        </w:rPr>
        <w:t>“indudablemente la obligación esencial del banco es la restitución de las sumas depositadas, esto es la misma cantidad de dinero que ha recibido, aunque no se trate de las mismas monedas y billetes, por cuanto se trata de un depósito de cosas fungibles, cuya propiedad, como ante</w:t>
      </w:r>
      <w:r w:rsidR="0034619E">
        <w:rPr>
          <w:rFonts w:ascii="Arial Narrow" w:eastAsia="Times New Roman" w:hAnsi="Arial Narrow" w:cs="Times New Roman"/>
          <w:i/>
          <w:lang w:eastAsia="es-ES_tradnl"/>
        </w:rPr>
        <w:t>s se ha señalado, adquiere éste.</w:t>
      </w:r>
      <w:r w:rsidR="00C867FD" w:rsidRPr="005B372D">
        <w:rPr>
          <w:rFonts w:ascii="Arial Narrow" w:eastAsia="Times New Roman" w:hAnsi="Arial Narrow" w:cs="Times New Roman"/>
          <w:i/>
          <w:lang w:eastAsia="es-ES_tradnl"/>
        </w:rPr>
        <w:t>”</w:t>
      </w:r>
      <w:r w:rsidR="00C867FD" w:rsidRPr="005B372D">
        <w:rPr>
          <w:rStyle w:val="Refdenotaalpie"/>
          <w:rFonts w:ascii="Arial Narrow" w:eastAsia="Times New Roman" w:hAnsi="Arial Narrow" w:cs="Times New Roman"/>
          <w:i/>
          <w:lang w:eastAsia="es-ES_tradnl"/>
        </w:rPr>
        <w:footnoteReference w:id="4"/>
      </w:r>
    </w:p>
    <w:p w14:paraId="502BF44E" w14:textId="41482BC7" w:rsidR="009E4E5A" w:rsidRDefault="009E4E5A" w:rsidP="005B372D">
      <w:pPr>
        <w:pStyle w:val="Sinespaciado"/>
        <w:spacing w:line="360" w:lineRule="auto"/>
        <w:jc w:val="both"/>
        <w:rPr>
          <w:rFonts w:ascii="Arial Narrow" w:hAnsi="Arial Narrow" w:cs="Courier"/>
        </w:rPr>
      </w:pPr>
    </w:p>
    <w:p w14:paraId="6FEE9EB5" w14:textId="5D8313EB" w:rsidR="00967CB8" w:rsidRPr="002B4A26" w:rsidRDefault="002D417A" w:rsidP="00967CB8">
      <w:pPr>
        <w:pStyle w:val="Sinespaciado"/>
        <w:spacing w:line="360" w:lineRule="auto"/>
        <w:jc w:val="both"/>
        <w:rPr>
          <w:rFonts w:ascii="Arial Narrow" w:hAnsi="Arial Narrow"/>
        </w:rPr>
      </w:pPr>
      <w:r>
        <w:rPr>
          <w:rFonts w:ascii="Arial Narrow" w:hAnsi="Arial Narrow"/>
        </w:rPr>
        <w:t xml:space="preserve">d) </w:t>
      </w:r>
      <w:r w:rsidR="00CD40EF">
        <w:rPr>
          <w:rFonts w:ascii="Arial Narrow" w:hAnsi="Arial Narrow"/>
        </w:rPr>
        <w:t>Por otra</w:t>
      </w:r>
      <w:r w:rsidR="00A221A4">
        <w:rPr>
          <w:rFonts w:ascii="Arial Narrow" w:hAnsi="Arial Narrow"/>
        </w:rPr>
        <w:t xml:space="preserve"> parte, e</w:t>
      </w:r>
      <w:r w:rsidR="002B4A26">
        <w:rPr>
          <w:rFonts w:ascii="Arial Narrow" w:hAnsi="Arial Narrow"/>
        </w:rPr>
        <w:t>l</w:t>
      </w:r>
      <w:r w:rsidR="00395DDC" w:rsidRPr="00967CB8">
        <w:rPr>
          <w:rFonts w:ascii="Arial Narrow" w:hAnsi="Arial Narrow"/>
        </w:rPr>
        <w:t xml:space="preserve"> deber de</w:t>
      </w:r>
      <w:r w:rsidR="00585BC3" w:rsidRPr="00967CB8">
        <w:rPr>
          <w:rFonts w:ascii="Arial Narrow" w:hAnsi="Arial Narrow"/>
        </w:rPr>
        <w:t xml:space="preserve"> custodia material de los dineros</w:t>
      </w:r>
      <w:r w:rsidR="00A221A4">
        <w:rPr>
          <w:rFonts w:ascii="Arial Narrow" w:hAnsi="Arial Narrow"/>
        </w:rPr>
        <w:t xml:space="preserve"> </w:t>
      </w:r>
      <w:r w:rsidR="00967CB8">
        <w:rPr>
          <w:rFonts w:ascii="Arial Narrow" w:hAnsi="Arial Narrow"/>
        </w:rPr>
        <w:t>recae sobre los bancos</w:t>
      </w:r>
      <w:r w:rsidR="00A221A4">
        <w:rPr>
          <w:rFonts w:ascii="Arial Narrow" w:hAnsi="Arial Narrow"/>
        </w:rPr>
        <w:t xml:space="preserve">, quienes </w:t>
      </w:r>
      <w:r w:rsidR="00585BC3" w:rsidRPr="00967CB8">
        <w:rPr>
          <w:rFonts w:ascii="Arial Narrow" w:hAnsi="Arial Narrow"/>
        </w:rPr>
        <w:t>“</w:t>
      </w:r>
      <w:r w:rsidR="00A221A4">
        <w:rPr>
          <w:rFonts w:ascii="Arial Narrow" w:hAnsi="Arial Narrow"/>
        </w:rPr>
        <w:t>deben</w:t>
      </w:r>
      <w:r w:rsidR="00585BC3" w:rsidRPr="00967CB8">
        <w:rPr>
          <w:rFonts w:ascii="Arial Narrow" w:hAnsi="Arial Narrow"/>
        </w:rPr>
        <w:t xml:space="preserve"> adoptar todas las medidas de seguridad necesarias para proteger adecuadamente el dinero bajo su resguardo”</w:t>
      </w:r>
      <w:r w:rsidR="00395DDC" w:rsidRPr="00967CB8">
        <w:rPr>
          <w:rFonts w:ascii="Arial Narrow" w:hAnsi="Arial Narrow"/>
        </w:rPr>
        <w:t xml:space="preserve"> </w:t>
      </w:r>
      <w:r w:rsidR="000F20B6">
        <w:rPr>
          <w:rFonts w:ascii="Arial Narrow" w:hAnsi="Arial Narrow"/>
        </w:rPr>
        <w:t>(rol 2196-2018). Asimismo</w:t>
      </w:r>
      <w:r w:rsidR="00967CB8" w:rsidRPr="00967CB8">
        <w:rPr>
          <w:rFonts w:ascii="Arial Narrow" w:hAnsi="Arial Narrow"/>
        </w:rPr>
        <w:t xml:space="preserve">, </w:t>
      </w:r>
      <w:r w:rsidR="00967CB8" w:rsidRPr="00967CB8">
        <w:rPr>
          <w:rFonts w:ascii="Arial Narrow" w:eastAsia="Times New Roman" w:hAnsi="Arial Narrow" w:cs="Times New Roman"/>
          <w:lang w:eastAsia="es-ES_tradnl"/>
        </w:rPr>
        <w:t xml:space="preserve">cuando una entidad bancaria ofrece a sus clientes la posibilidad de hacer transferencias electrónicas, asume que aquellas deben asegurar sus fines. </w:t>
      </w:r>
      <w:r w:rsidR="00967CB8">
        <w:rPr>
          <w:rFonts w:ascii="Arial Narrow" w:eastAsia="Times New Roman" w:hAnsi="Arial Narrow" w:cs="Times New Roman"/>
          <w:lang w:eastAsia="es-ES_tradnl"/>
        </w:rPr>
        <w:t xml:space="preserve">En efecto, </w:t>
      </w:r>
      <w:r w:rsidR="00967CB8" w:rsidRPr="00967CB8">
        <w:rPr>
          <w:rFonts w:ascii="Arial Narrow" w:eastAsia="Times New Roman" w:hAnsi="Arial Narrow" w:cs="Times New Roman"/>
          <w:lang w:eastAsia="es-ES_tradnl"/>
        </w:rPr>
        <w:t>“La Superintendencia de Bancos a través de la circular n° 3451 de 2008, dispone que los bancos deben garantizar la seguridad de las transacciones y transferencias electrónicas de dinero, debiendo recabar todas las validaciones previas necesarias. No puede olvidarse que el Banco es depositario y garante de los fondos de los que se hace cargo, por lo que asume la obligación de custodiarlos y asegurarlos para los fines que los titulares tienen a su respecto y de la confianza en la correcta operatividad del sistema.”</w:t>
      </w:r>
      <w:r w:rsidR="00967CB8" w:rsidRPr="00967CB8">
        <w:rPr>
          <w:rStyle w:val="Refdenotaalpie"/>
          <w:rFonts w:ascii="Arial Narrow" w:eastAsia="Times New Roman" w:hAnsi="Arial Narrow" w:cs="Times New Roman"/>
          <w:lang w:eastAsia="es-ES_tradnl"/>
        </w:rPr>
        <w:footnoteReference w:id="5"/>
      </w:r>
    </w:p>
    <w:p w14:paraId="56FEB3C4" w14:textId="04434897" w:rsidR="00967CB8" w:rsidRPr="00967CB8" w:rsidRDefault="00967CB8" w:rsidP="00967CB8">
      <w:pPr>
        <w:rPr>
          <w:rFonts w:ascii="Times New Roman" w:eastAsia="Times New Roman" w:hAnsi="Times New Roman" w:cs="Times New Roman"/>
          <w:lang w:eastAsia="es-ES_tradnl"/>
        </w:rPr>
      </w:pPr>
    </w:p>
    <w:p w14:paraId="31298E79" w14:textId="27227114" w:rsidR="00624443" w:rsidRPr="005B372D" w:rsidRDefault="00A221A4" w:rsidP="00624443">
      <w:pPr>
        <w:spacing w:line="360" w:lineRule="auto"/>
        <w:jc w:val="both"/>
        <w:rPr>
          <w:rFonts w:ascii="Arial Narrow" w:eastAsia="Times New Roman" w:hAnsi="Arial Narrow" w:cs="Times New Roman"/>
          <w:lang w:eastAsia="es-ES_tradnl"/>
        </w:rPr>
      </w:pPr>
      <w:r>
        <w:rPr>
          <w:rFonts w:ascii="Arial Narrow" w:eastAsia="Times New Roman" w:hAnsi="Arial Narrow" w:cs="Times New Roman"/>
          <w:lang w:eastAsia="es-ES_tradnl"/>
        </w:rPr>
        <w:t>e) Por tanto</w:t>
      </w:r>
      <w:r w:rsidR="00624443">
        <w:rPr>
          <w:rFonts w:ascii="Arial Narrow" w:eastAsia="Times New Roman" w:hAnsi="Arial Narrow" w:cs="Times New Roman"/>
          <w:lang w:eastAsia="es-ES_tradnl"/>
        </w:rPr>
        <w:t xml:space="preserve">, </w:t>
      </w:r>
      <w:r>
        <w:rPr>
          <w:rFonts w:ascii="Arial Narrow" w:eastAsia="Times New Roman" w:hAnsi="Arial Narrow" w:cs="Times New Roman"/>
          <w:lang w:eastAsia="es-ES_tradnl"/>
        </w:rPr>
        <w:t xml:space="preserve">en razón de </w:t>
      </w:r>
      <w:r w:rsidR="00624443">
        <w:rPr>
          <w:rFonts w:ascii="Arial Narrow" w:eastAsia="Times New Roman" w:hAnsi="Arial Narrow" w:cs="Times New Roman"/>
          <w:lang w:eastAsia="es-ES_tradnl"/>
        </w:rPr>
        <w:t>las consideraciones antes expuestas</w:t>
      </w:r>
      <w:r>
        <w:rPr>
          <w:rFonts w:ascii="Arial Narrow" w:eastAsia="Times New Roman" w:hAnsi="Arial Narrow" w:cs="Times New Roman"/>
          <w:lang w:eastAsia="es-ES_tradnl"/>
        </w:rPr>
        <w:t>,</w:t>
      </w:r>
      <w:r w:rsidR="00624443">
        <w:rPr>
          <w:rFonts w:ascii="Arial Narrow" w:eastAsia="Times New Roman" w:hAnsi="Arial Narrow" w:cs="Times New Roman"/>
          <w:lang w:eastAsia="es-ES_tradnl"/>
        </w:rPr>
        <w:t xml:space="preserve"> </w:t>
      </w:r>
      <w:r>
        <w:rPr>
          <w:rFonts w:ascii="Arial Narrow" w:eastAsia="Times New Roman" w:hAnsi="Arial Narrow" w:cs="Times New Roman"/>
          <w:lang w:eastAsia="es-ES_tradnl"/>
        </w:rPr>
        <w:t>la jurisprudencia de la Corte Suprema ha llegado a la conclusión que</w:t>
      </w:r>
      <w:r w:rsidR="00624443">
        <w:rPr>
          <w:rFonts w:ascii="Arial Narrow" w:eastAsia="Times New Roman" w:hAnsi="Arial Narrow" w:cs="Times New Roman"/>
          <w:lang w:eastAsia="es-ES_tradnl"/>
        </w:rPr>
        <w:t>, e</w:t>
      </w:r>
      <w:r w:rsidR="00624443" w:rsidRPr="005B372D">
        <w:rPr>
          <w:rFonts w:ascii="Arial Narrow" w:eastAsia="Times New Roman" w:hAnsi="Arial Narrow" w:cs="Times New Roman"/>
          <w:lang w:eastAsia="es-ES_tradnl"/>
        </w:rPr>
        <w:t>n el caso de los fraudes informáticos, el único y exclusivo afectado es el banco, dada su calidad de propietario del mismo</w:t>
      </w:r>
      <w:r w:rsidR="00486678">
        <w:rPr>
          <w:rFonts w:ascii="Arial Narrow" w:eastAsia="Times New Roman" w:hAnsi="Arial Narrow" w:cs="Times New Roman"/>
          <w:lang w:eastAsia="es-ES_tradnl"/>
        </w:rPr>
        <w:t>.</w:t>
      </w:r>
    </w:p>
    <w:p w14:paraId="0CB0EB09" w14:textId="3872BB30" w:rsidR="00CC5FC3" w:rsidRDefault="001645E7" w:rsidP="005B372D">
      <w:pPr>
        <w:spacing w:line="360" w:lineRule="auto"/>
        <w:jc w:val="both"/>
        <w:rPr>
          <w:rFonts w:ascii="Arial Narrow" w:hAnsi="Arial Narrow"/>
          <w:lang w:val="es-ES"/>
        </w:rPr>
      </w:pPr>
      <w:r>
        <w:rPr>
          <w:rFonts w:ascii="Arial Narrow" w:hAnsi="Arial Narrow"/>
          <w:lang w:val="es-ES"/>
        </w:rPr>
        <w:lastRenderedPageBreak/>
        <w:t>3.- Pese a lo expuesto</w:t>
      </w:r>
      <w:r w:rsidR="008003E0">
        <w:rPr>
          <w:rFonts w:ascii="Arial Narrow" w:hAnsi="Arial Narrow"/>
          <w:lang w:val="es-ES"/>
        </w:rPr>
        <w:t xml:space="preserve"> en las</w:t>
      </w:r>
      <w:r>
        <w:rPr>
          <w:rFonts w:ascii="Arial Narrow" w:hAnsi="Arial Narrow"/>
          <w:lang w:val="es-ES"/>
        </w:rPr>
        <w:t xml:space="preserve"> consideraciones anteriores</w:t>
      </w:r>
      <w:r w:rsidR="00D31279">
        <w:rPr>
          <w:rFonts w:ascii="Arial Narrow" w:hAnsi="Arial Narrow"/>
          <w:lang w:val="es-ES"/>
        </w:rPr>
        <w:t xml:space="preserve">, </w:t>
      </w:r>
      <w:r w:rsidR="006175DE" w:rsidRPr="005B372D">
        <w:rPr>
          <w:rFonts w:ascii="Arial Narrow" w:hAnsi="Arial Narrow"/>
          <w:lang w:val="es-ES"/>
        </w:rPr>
        <w:t>los Bancos</w:t>
      </w:r>
      <w:r w:rsidR="00B1214F">
        <w:rPr>
          <w:rFonts w:ascii="Arial Narrow" w:hAnsi="Arial Narrow"/>
          <w:lang w:val="es-ES"/>
        </w:rPr>
        <w:t xml:space="preserve"> </w:t>
      </w:r>
      <w:r w:rsidR="00D31279">
        <w:rPr>
          <w:rFonts w:ascii="Arial Narrow" w:hAnsi="Arial Narrow"/>
          <w:lang w:val="es-ES"/>
        </w:rPr>
        <w:t xml:space="preserve">han extendido la práctica </w:t>
      </w:r>
      <w:r w:rsidR="00CC5FC3">
        <w:rPr>
          <w:rFonts w:ascii="Arial Narrow" w:hAnsi="Arial Narrow"/>
          <w:lang w:val="es-ES"/>
        </w:rPr>
        <w:t xml:space="preserve">de </w:t>
      </w:r>
      <w:r w:rsidR="00CC5FC3" w:rsidRPr="005B372D">
        <w:rPr>
          <w:rFonts w:ascii="Arial Narrow" w:hAnsi="Arial Narrow"/>
          <w:lang w:val="es-ES"/>
        </w:rPr>
        <w:t>negarse a asumir el perjuicio económico de los fraudes informáticos</w:t>
      </w:r>
      <w:r>
        <w:rPr>
          <w:rFonts w:ascii="Arial Narrow" w:hAnsi="Arial Narrow"/>
          <w:lang w:val="es-ES"/>
        </w:rPr>
        <w:t xml:space="preserve"> que afectan las cuentas de sus clientes, causando el efecto de trasladar a sus clientes</w:t>
      </w:r>
      <w:r w:rsidR="00CC5FC3" w:rsidRPr="005B372D">
        <w:rPr>
          <w:rFonts w:ascii="Arial Narrow" w:hAnsi="Arial Narrow"/>
          <w:lang w:val="es-ES"/>
        </w:rPr>
        <w:t xml:space="preserve"> los </w:t>
      </w:r>
      <w:r>
        <w:rPr>
          <w:rFonts w:ascii="Arial Narrow" w:hAnsi="Arial Narrow"/>
          <w:lang w:val="es-ES"/>
        </w:rPr>
        <w:t>perjuicios que por ley recaen sobre las instituciones financieras</w:t>
      </w:r>
      <w:r w:rsidR="00486678">
        <w:rPr>
          <w:rFonts w:ascii="Arial Narrow" w:hAnsi="Arial Narrow"/>
          <w:lang w:val="es-ES"/>
        </w:rPr>
        <w:t>. Además de esta práctica (que ha sido declarada como ilegal y arbitraria por parte de la Corte Suprema), los Bancos</w:t>
      </w:r>
      <w:r w:rsidR="00CC5FC3">
        <w:rPr>
          <w:rFonts w:ascii="Arial Narrow" w:hAnsi="Arial Narrow"/>
          <w:lang w:val="es-ES"/>
        </w:rPr>
        <w:t xml:space="preserve"> </w:t>
      </w:r>
      <w:r w:rsidR="00486678">
        <w:rPr>
          <w:rFonts w:ascii="Arial Narrow" w:hAnsi="Arial Narrow"/>
          <w:lang w:val="es-ES"/>
        </w:rPr>
        <w:t xml:space="preserve">han extendido otra, consistente en </w:t>
      </w:r>
      <w:r w:rsidR="00CC5FC3">
        <w:rPr>
          <w:rFonts w:ascii="Arial Narrow" w:hAnsi="Arial Narrow"/>
          <w:lang w:val="es-ES"/>
        </w:rPr>
        <w:t xml:space="preserve">ofrecer </w:t>
      </w:r>
      <w:r w:rsidR="00106209">
        <w:rPr>
          <w:rFonts w:ascii="Arial Narrow" w:hAnsi="Arial Narrow"/>
          <w:lang w:val="es-ES"/>
        </w:rPr>
        <w:t xml:space="preserve">a sus clientes la contratación de </w:t>
      </w:r>
      <w:r w:rsidR="00CC5FC3">
        <w:rPr>
          <w:rFonts w:ascii="Arial Narrow" w:hAnsi="Arial Narrow"/>
          <w:lang w:val="es-ES"/>
        </w:rPr>
        <w:t>seguros contra fraudes informáticos</w:t>
      </w:r>
      <w:r w:rsidR="00486678">
        <w:rPr>
          <w:rFonts w:ascii="Arial Narrow" w:hAnsi="Arial Narrow"/>
          <w:lang w:val="es-ES"/>
        </w:rPr>
        <w:t xml:space="preserve">. </w:t>
      </w:r>
    </w:p>
    <w:p w14:paraId="39D5E635" w14:textId="77777777" w:rsidR="0064177D" w:rsidRDefault="0064177D" w:rsidP="005B372D">
      <w:pPr>
        <w:spacing w:line="360" w:lineRule="auto"/>
        <w:jc w:val="both"/>
        <w:rPr>
          <w:rFonts w:ascii="Arial Narrow" w:hAnsi="Arial Narrow"/>
          <w:lang w:val="es-ES"/>
        </w:rPr>
      </w:pPr>
    </w:p>
    <w:p w14:paraId="36449E5C" w14:textId="1478B3E8" w:rsidR="00555960" w:rsidRDefault="0064177D" w:rsidP="005B372D">
      <w:pPr>
        <w:spacing w:line="360" w:lineRule="auto"/>
        <w:jc w:val="both"/>
        <w:rPr>
          <w:rFonts w:ascii="Arial Narrow" w:hAnsi="Arial Narrow"/>
          <w:lang w:val="es-ES"/>
        </w:rPr>
      </w:pPr>
      <w:r>
        <w:rPr>
          <w:rFonts w:ascii="Arial Narrow" w:hAnsi="Arial Narrow"/>
          <w:lang w:val="es-ES"/>
        </w:rPr>
        <w:t xml:space="preserve">4.- Pese a la claridad de la jurisprudencia de la Corte Suprema y las Cortes de Apelaciones, </w:t>
      </w:r>
      <w:r w:rsidR="00555960">
        <w:rPr>
          <w:rFonts w:ascii="Arial Narrow" w:hAnsi="Arial Narrow"/>
          <w:lang w:val="es-ES"/>
        </w:rPr>
        <w:t>la extendida práctica de los bancos de ofrecer seguros contra fraudes informáticos</w:t>
      </w:r>
      <w:r w:rsidR="005550DF">
        <w:rPr>
          <w:rFonts w:ascii="Arial Narrow" w:hAnsi="Arial Narrow"/>
          <w:lang w:val="es-ES"/>
        </w:rPr>
        <w:t>, por un lado,</w:t>
      </w:r>
      <w:r w:rsidR="00555960">
        <w:rPr>
          <w:rFonts w:ascii="Arial Narrow" w:hAnsi="Arial Narrow"/>
          <w:lang w:val="es-ES"/>
        </w:rPr>
        <w:t xml:space="preserve"> </w:t>
      </w:r>
      <w:r w:rsidR="005550DF">
        <w:rPr>
          <w:rFonts w:ascii="Arial Narrow" w:hAnsi="Arial Narrow"/>
          <w:lang w:val="es-ES"/>
        </w:rPr>
        <w:t>y el restringido alcance de la protección judicial (</w:t>
      </w:r>
      <w:r w:rsidR="006C4D86">
        <w:rPr>
          <w:rFonts w:ascii="Arial Narrow" w:hAnsi="Arial Narrow"/>
          <w:lang w:val="es-ES"/>
        </w:rPr>
        <w:t xml:space="preserve">estas </w:t>
      </w:r>
      <w:r w:rsidR="005550DF">
        <w:rPr>
          <w:rFonts w:ascii="Arial Narrow" w:hAnsi="Arial Narrow"/>
          <w:lang w:val="es-ES"/>
        </w:rPr>
        <w:t>sólo beneficia</w:t>
      </w:r>
      <w:r w:rsidR="008474A0">
        <w:rPr>
          <w:rFonts w:ascii="Arial Narrow" w:hAnsi="Arial Narrow"/>
          <w:lang w:val="es-ES"/>
        </w:rPr>
        <w:t>n</w:t>
      </w:r>
      <w:r w:rsidR="005550DF">
        <w:rPr>
          <w:rFonts w:ascii="Arial Narrow" w:hAnsi="Arial Narrow"/>
          <w:lang w:val="es-ES"/>
        </w:rPr>
        <w:t xml:space="preserve"> a los clientes que hayan ejerc</w:t>
      </w:r>
      <w:r w:rsidR="00F65BE2">
        <w:rPr>
          <w:rFonts w:ascii="Arial Narrow" w:hAnsi="Arial Narrow"/>
          <w:lang w:val="es-ES"/>
        </w:rPr>
        <w:t>ido acciones judiciales</w:t>
      </w:r>
      <w:r w:rsidR="005550DF">
        <w:rPr>
          <w:rFonts w:ascii="Arial Narrow" w:hAnsi="Arial Narrow"/>
          <w:lang w:val="es-ES"/>
        </w:rPr>
        <w:t>), por el otro, se concluye</w:t>
      </w:r>
      <w:r w:rsidR="00555960">
        <w:rPr>
          <w:rFonts w:ascii="Arial Narrow" w:hAnsi="Arial Narrow"/>
          <w:lang w:val="es-ES"/>
        </w:rPr>
        <w:t xml:space="preserve"> que </w:t>
      </w:r>
      <w:r w:rsidR="005550DF">
        <w:rPr>
          <w:rFonts w:ascii="Arial Narrow" w:hAnsi="Arial Narrow"/>
          <w:lang w:val="es-ES"/>
        </w:rPr>
        <w:t xml:space="preserve">los bancos no tienen ningún incentivo para poner fin a la práctica bancaria de trasladar los perjuicios patrimoniales del fraude informático a sus clientes, razón por la cual resulta del todo justificado el establecimiento de una norma legal que establezca la nulidad de los contratos de seguro </w:t>
      </w:r>
      <w:r w:rsidR="0047306F">
        <w:rPr>
          <w:rFonts w:ascii="Arial Narrow" w:hAnsi="Arial Narrow"/>
          <w:lang w:val="es-ES"/>
        </w:rPr>
        <w:t xml:space="preserve">contra fraudes informáticos. </w:t>
      </w:r>
      <w:r w:rsidR="005550DF">
        <w:rPr>
          <w:rFonts w:ascii="Arial Narrow" w:hAnsi="Arial Narrow"/>
          <w:lang w:val="es-ES"/>
        </w:rPr>
        <w:t xml:space="preserve"> </w:t>
      </w:r>
    </w:p>
    <w:p w14:paraId="1B9CC75C" w14:textId="77777777" w:rsidR="00796092" w:rsidRPr="005B372D" w:rsidRDefault="00796092" w:rsidP="005B372D">
      <w:pPr>
        <w:widowControl w:val="0"/>
        <w:autoSpaceDE w:val="0"/>
        <w:autoSpaceDN w:val="0"/>
        <w:adjustRightInd w:val="0"/>
        <w:spacing w:line="360" w:lineRule="auto"/>
        <w:jc w:val="both"/>
        <w:rPr>
          <w:rFonts w:ascii="Arial Narrow" w:hAnsi="Arial Narrow" w:cs="Courier"/>
        </w:rPr>
      </w:pPr>
    </w:p>
    <w:p w14:paraId="090D7705" w14:textId="0C3AF29E" w:rsidR="003B0F10" w:rsidRDefault="00796092" w:rsidP="005B372D">
      <w:pPr>
        <w:widowControl w:val="0"/>
        <w:autoSpaceDE w:val="0"/>
        <w:autoSpaceDN w:val="0"/>
        <w:adjustRightInd w:val="0"/>
        <w:spacing w:line="360" w:lineRule="auto"/>
        <w:jc w:val="both"/>
        <w:rPr>
          <w:rFonts w:ascii="Arial Narrow" w:hAnsi="Arial Narrow" w:cs="Courier"/>
        </w:rPr>
      </w:pPr>
      <w:r w:rsidRPr="005B372D">
        <w:rPr>
          <w:rFonts w:ascii="Arial Narrow" w:hAnsi="Arial Narrow" w:cs="Courier"/>
        </w:rPr>
        <w:t xml:space="preserve">6.- </w:t>
      </w:r>
      <w:r w:rsidR="00C53EE9">
        <w:rPr>
          <w:rFonts w:ascii="Arial Narrow" w:hAnsi="Arial Narrow" w:cs="Courier"/>
          <w:b/>
        </w:rPr>
        <w:t>La ley afectada</w:t>
      </w:r>
      <w:r w:rsidRPr="005B372D">
        <w:rPr>
          <w:rFonts w:ascii="Arial Narrow" w:hAnsi="Arial Narrow" w:cs="Courier"/>
          <w:b/>
        </w:rPr>
        <w:t xml:space="preserve"> por este proyecto de ley</w:t>
      </w:r>
      <w:r w:rsidR="00C53EE9">
        <w:rPr>
          <w:rFonts w:ascii="Arial Narrow" w:hAnsi="Arial Narrow" w:cs="Courier"/>
        </w:rPr>
        <w:t xml:space="preserve"> es</w:t>
      </w:r>
      <w:r w:rsidR="003B0F10">
        <w:rPr>
          <w:rFonts w:ascii="Arial Narrow" w:hAnsi="Arial Narrow" w:cs="Courier"/>
        </w:rPr>
        <w:t xml:space="preserve"> la ley 19.496</w:t>
      </w:r>
      <w:r w:rsidR="00C53EE9">
        <w:rPr>
          <w:rFonts w:ascii="Arial Narrow" w:hAnsi="Arial Narrow" w:cs="Courier"/>
        </w:rPr>
        <w:t>,</w:t>
      </w:r>
      <w:r w:rsidR="003B0F10" w:rsidRPr="003B0F10">
        <w:rPr>
          <w:rFonts w:ascii="Arial Narrow" w:hAnsi="Arial Narrow" w:cs="Tahoma"/>
          <w:lang w:val="es-ES"/>
        </w:rPr>
        <w:t xml:space="preserve"> </w:t>
      </w:r>
      <w:r w:rsidR="003B0F10" w:rsidRPr="005B372D">
        <w:rPr>
          <w:rFonts w:ascii="Arial Narrow" w:hAnsi="Arial Narrow" w:cs="Tahoma"/>
          <w:lang w:val="es-ES"/>
        </w:rPr>
        <w:t>que establece normas sobre protección de derechos de los consumidores</w:t>
      </w:r>
      <w:r w:rsidR="00C53EE9">
        <w:rPr>
          <w:rFonts w:ascii="Arial Narrow" w:hAnsi="Arial Narrow" w:cs="Tahoma"/>
          <w:lang w:val="es-ES"/>
        </w:rPr>
        <w:t>.</w:t>
      </w:r>
    </w:p>
    <w:p w14:paraId="47E3581B" w14:textId="77777777" w:rsidR="00796092" w:rsidRPr="005B372D" w:rsidRDefault="00796092" w:rsidP="005B372D">
      <w:pPr>
        <w:widowControl w:val="0"/>
        <w:autoSpaceDE w:val="0"/>
        <w:autoSpaceDN w:val="0"/>
        <w:adjustRightInd w:val="0"/>
        <w:spacing w:line="360" w:lineRule="auto"/>
        <w:jc w:val="both"/>
        <w:rPr>
          <w:rFonts w:ascii="Arial Narrow" w:hAnsi="Arial Narrow" w:cs="Courier"/>
        </w:rPr>
      </w:pPr>
    </w:p>
    <w:p w14:paraId="77B7E5BD" w14:textId="4E11C7B4" w:rsidR="00796092" w:rsidRPr="005B372D" w:rsidRDefault="00796092" w:rsidP="005B372D">
      <w:pPr>
        <w:widowControl w:val="0"/>
        <w:autoSpaceDE w:val="0"/>
        <w:autoSpaceDN w:val="0"/>
        <w:adjustRightInd w:val="0"/>
        <w:spacing w:line="360" w:lineRule="auto"/>
        <w:jc w:val="both"/>
        <w:rPr>
          <w:rFonts w:ascii="Arial Narrow" w:hAnsi="Arial Narrow" w:cs="Courier"/>
        </w:rPr>
      </w:pPr>
      <w:r w:rsidRPr="005B372D">
        <w:rPr>
          <w:rFonts w:ascii="Arial Narrow" w:hAnsi="Arial Narrow" w:cs="Courier"/>
        </w:rPr>
        <w:t xml:space="preserve">7.- </w:t>
      </w:r>
      <w:r w:rsidRPr="005B372D">
        <w:rPr>
          <w:rFonts w:ascii="Arial Narrow" w:hAnsi="Arial Narrow" w:cs="Courier"/>
          <w:b/>
        </w:rPr>
        <w:t>La idea matriz</w:t>
      </w:r>
      <w:r w:rsidR="003B0F10">
        <w:rPr>
          <w:rFonts w:ascii="Arial Narrow" w:hAnsi="Arial Narrow" w:cs="Courier"/>
        </w:rPr>
        <w:t xml:space="preserve"> de este proyecto de ley </w:t>
      </w:r>
      <w:r w:rsidR="0094511C">
        <w:rPr>
          <w:rFonts w:ascii="Arial Narrow" w:hAnsi="Arial Narrow" w:cs="Courier"/>
        </w:rPr>
        <w:t xml:space="preserve">es </w:t>
      </w:r>
      <w:r w:rsidR="003B0F10">
        <w:rPr>
          <w:rFonts w:ascii="Arial Narrow" w:hAnsi="Arial Narrow" w:cs="Courier"/>
        </w:rPr>
        <w:t>hacer efectivo el imperio del derecho y establecer medidas destinadas a que los bancos no trasladen</w:t>
      </w:r>
      <w:r w:rsidR="00BD0373">
        <w:rPr>
          <w:rFonts w:ascii="Arial Narrow" w:hAnsi="Arial Narrow" w:cs="Courier"/>
        </w:rPr>
        <w:t xml:space="preserve"> a sus clientes los perjuicios patrimoniales causados por</w:t>
      </w:r>
      <w:r w:rsidR="003B0F10">
        <w:rPr>
          <w:rFonts w:ascii="Arial Narrow" w:hAnsi="Arial Narrow" w:cs="Courier"/>
        </w:rPr>
        <w:t xml:space="preserve"> fraudes informáticos </w:t>
      </w:r>
      <w:r w:rsidR="00BD0373">
        <w:rPr>
          <w:rFonts w:ascii="Arial Narrow" w:hAnsi="Arial Narrow" w:cs="Courier"/>
        </w:rPr>
        <w:t>que por l</w:t>
      </w:r>
      <w:r w:rsidR="0094511C">
        <w:rPr>
          <w:rFonts w:ascii="Arial Narrow" w:hAnsi="Arial Narrow" w:cs="Courier"/>
        </w:rPr>
        <w:t xml:space="preserve">ey les corresponden a aquellos. </w:t>
      </w:r>
    </w:p>
    <w:p w14:paraId="64F56D02" w14:textId="77777777" w:rsidR="00796092" w:rsidRPr="005B372D" w:rsidRDefault="00796092" w:rsidP="005B372D">
      <w:pPr>
        <w:widowControl w:val="0"/>
        <w:autoSpaceDE w:val="0"/>
        <w:autoSpaceDN w:val="0"/>
        <w:adjustRightInd w:val="0"/>
        <w:spacing w:line="360" w:lineRule="auto"/>
        <w:jc w:val="both"/>
        <w:rPr>
          <w:rFonts w:ascii="Arial Narrow" w:hAnsi="Arial Narrow" w:cs="Courier"/>
        </w:rPr>
      </w:pPr>
    </w:p>
    <w:p w14:paraId="3663CE8D" w14:textId="77777777" w:rsidR="00796092" w:rsidRDefault="00796092" w:rsidP="005B372D">
      <w:pPr>
        <w:spacing w:line="360" w:lineRule="auto"/>
        <w:ind w:firstLine="708"/>
        <w:jc w:val="both"/>
        <w:rPr>
          <w:rFonts w:ascii="Arial Narrow" w:hAnsi="Arial Narrow" w:cs="Tahoma"/>
          <w:lang w:val="es-ES"/>
        </w:rPr>
      </w:pPr>
      <w:r w:rsidRPr="005B372D">
        <w:rPr>
          <w:rFonts w:ascii="Arial Narrow" w:hAnsi="Arial Narrow" w:cs="Tahoma"/>
          <w:lang w:val="es-ES"/>
        </w:rPr>
        <w:t xml:space="preserve">Por tanto, en razón de las consideraciones precedentes, los diputados firmantes venimos en presentar el siguiente: </w:t>
      </w:r>
    </w:p>
    <w:p w14:paraId="5E86A2D6" w14:textId="77777777" w:rsidR="00660790" w:rsidRDefault="00660790">
      <w:pPr>
        <w:rPr>
          <w:rFonts w:ascii="Arial Narrow" w:hAnsi="Arial Narrow" w:cs="Tahoma"/>
          <w:lang w:val="es-ES"/>
        </w:rPr>
      </w:pPr>
      <w:r>
        <w:rPr>
          <w:rFonts w:ascii="Arial Narrow" w:hAnsi="Arial Narrow" w:cs="Tahoma"/>
          <w:lang w:val="es-ES"/>
        </w:rPr>
        <w:br w:type="page"/>
      </w:r>
    </w:p>
    <w:p w14:paraId="2DF7D57C" w14:textId="3C2E7D38" w:rsidR="00796092" w:rsidRPr="005B372D" w:rsidRDefault="00796092" w:rsidP="005B372D">
      <w:pPr>
        <w:spacing w:line="360" w:lineRule="auto"/>
        <w:jc w:val="center"/>
        <w:rPr>
          <w:rFonts w:ascii="Arial Narrow" w:hAnsi="Arial Narrow" w:cs="Tahoma"/>
          <w:b/>
          <w:lang w:val="es-ES"/>
        </w:rPr>
      </w:pPr>
      <w:r w:rsidRPr="005B372D">
        <w:rPr>
          <w:rFonts w:ascii="Arial Narrow" w:hAnsi="Arial Narrow" w:cs="Tahoma"/>
          <w:b/>
          <w:lang w:val="es-ES"/>
        </w:rPr>
        <w:lastRenderedPageBreak/>
        <w:t>PROYECTO DE LEY</w:t>
      </w:r>
    </w:p>
    <w:p w14:paraId="17C5BCDB" w14:textId="77777777" w:rsidR="00796092" w:rsidRPr="005B372D" w:rsidRDefault="00796092" w:rsidP="005B372D">
      <w:pPr>
        <w:spacing w:line="360" w:lineRule="auto"/>
        <w:jc w:val="both"/>
        <w:rPr>
          <w:rFonts w:ascii="Arial Narrow" w:hAnsi="Arial Narrow" w:cs="Tahoma"/>
          <w:lang w:val="es-ES"/>
        </w:rPr>
      </w:pPr>
    </w:p>
    <w:p w14:paraId="17EAE9FD" w14:textId="77777777" w:rsidR="00796092" w:rsidRPr="005B372D" w:rsidRDefault="00796092" w:rsidP="005B372D">
      <w:pPr>
        <w:spacing w:line="360" w:lineRule="auto"/>
        <w:jc w:val="both"/>
        <w:rPr>
          <w:rFonts w:ascii="Arial Narrow" w:hAnsi="Arial Narrow" w:cs="Tahoma"/>
          <w:lang w:val="es-ES"/>
        </w:rPr>
      </w:pPr>
    </w:p>
    <w:p w14:paraId="2A1F4CE1" w14:textId="2F616F40" w:rsidR="00796092" w:rsidRPr="005B372D" w:rsidRDefault="00796092" w:rsidP="005B372D">
      <w:pPr>
        <w:spacing w:line="360" w:lineRule="auto"/>
        <w:jc w:val="both"/>
        <w:rPr>
          <w:rFonts w:ascii="Arial Narrow" w:hAnsi="Arial Narrow" w:cs="Tahoma"/>
          <w:lang w:val="es-ES"/>
        </w:rPr>
      </w:pPr>
      <w:r w:rsidRPr="005B372D">
        <w:rPr>
          <w:rFonts w:ascii="Arial Narrow" w:hAnsi="Arial Narrow" w:cs="Tahoma"/>
          <w:b/>
          <w:u w:val="single"/>
          <w:lang w:val="es-ES"/>
        </w:rPr>
        <w:t>Artículo primero:</w:t>
      </w:r>
      <w:r w:rsidRPr="005B372D">
        <w:rPr>
          <w:rFonts w:ascii="Arial Narrow" w:hAnsi="Arial Narrow" w:cs="Tahoma"/>
          <w:lang w:val="es-ES"/>
        </w:rPr>
        <w:t xml:space="preserve"> Agréguese </w:t>
      </w:r>
      <w:r w:rsidR="005D7A0C">
        <w:rPr>
          <w:rFonts w:ascii="Arial Narrow" w:hAnsi="Arial Narrow" w:cs="Tahoma"/>
          <w:lang w:val="es-ES"/>
        </w:rPr>
        <w:t>en el artículo 17 letra E</w:t>
      </w:r>
      <w:r w:rsidR="005D7A0C" w:rsidRPr="005B372D">
        <w:rPr>
          <w:rFonts w:ascii="Arial Narrow" w:hAnsi="Arial Narrow" w:cs="Tahoma"/>
          <w:lang w:val="es-ES"/>
        </w:rPr>
        <w:t xml:space="preserve"> </w:t>
      </w:r>
      <w:r w:rsidR="005D7A0C">
        <w:rPr>
          <w:rFonts w:ascii="Arial Narrow" w:hAnsi="Arial Narrow" w:cs="Tahoma"/>
          <w:lang w:val="es-ES"/>
        </w:rPr>
        <w:t>de</w:t>
      </w:r>
      <w:r w:rsidRPr="005B372D">
        <w:rPr>
          <w:rFonts w:ascii="Arial Narrow" w:hAnsi="Arial Narrow" w:cs="Tahoma"/>
          <w:lang w:val="es-ES"/>
        </w:rPr>
        <w:t xml:space="preserve"> la ley 19.496 que establece normas sobre protección de derechos de los consumidores</w:t>
      </w:r>
      <w:r w:rsidR="001D5A6A">
        <w:rPr>
          <w:rFonts w:ascii="Arial Narrow" w:hAnsi="Arial Narrow" w:cs="Tahoma"/>
          <w:lang w:val="es-ES"/>
        </w:rPr>
        <w:t>, los siguientes nuevos incisos tercero y cuarto</w:t>
      </w:r>
      <w:r w:rsidRPr="005B372D">
        <w:rPr>
          <w:rFonts w:ascii="Arial Narrow" w:hAnsi="Arial Narrow" w:cs="Tahoma"/>
          <w:lang w:val="es-ES"/>
        </w:rPr>
        <w:t>:</w:t>
      </w:r>
    </w:p>
    <w:p w14:paraId="0DD50F89" w14:textId="77777777" w:rsidR="00796092" w:rsidRPr="005B372D" w:rsidRDefault="00796092" w:rsidP="005B372D">
      <w:pPr>
        <w:spacing w:line="360" w:lineRule="auto"/>
        <w:jc w:val="both"/>
        <w:rPr>
          <w:rFonts w:ascii="Arial Narrow" w:hAnsi="Arial Narrow" w:cs="Tahoma"/>
          <w:lang w:val="es-ES"/>
        </w:rPr>
      </w:pPr>
    </w:p>
    <w:p w14:paraId="41C1AC4C" w14:textId="30A995BC" w:rsidR="00796092" w:rsidRDefault="00796092" w:rsidP="005B372D">
      <w:pPr>
        <w:pStyle w:val="Sinespaciado"/>
        <w:spacing w:line="360" w:lineRule="auto"/>
        <w:jc w:val="both"/>
        <w:rPr>
          <w:rFonts w:ascii="Arial Narrow" w:hAnsi="Arial Narrow" w:cs="Tahoma"/>
          <w:lang w:val="es-ES"/>
        </w:rPr>
      </w:pPr>
      <w:r w:rsidRPr="005B372D">
        <w:rPr>
          <w:rFonts w:ascii="Arial Narrow" w:hAnsi="Arial Narrow" w:cs="Tahoma"/>
          <w:b/>
          <w:lang w:val="es-ES"/>
        </w:rPr>
        <w:t xml:space="preserve">1.- </w:t>
      </w:r>
      <w:r w:rsidR="001D5A6A">
        <w:rPr>
          <w:rFonts w:ascii="Arial Narrow" w:hAnsi="Arial Narrow" w:cs="Tahoma"/>
          <w:b/>
          <w:lang w:val="es-ES"/>
        </w:rPr>
        <w:t>Artículo 17 E</w:t>
      </w:r>
      <w:r w:rsidRPr="005B372D">
        <w:rPr>
          <w:rFonts w:ascii="Arial Narrow" w:hAnsi="Arial Narrow" w:cs="Tahoma"/>
          <w:b/>
          <w:lang w:val="es-ES"/>
        </w:rPr>
        <w:t>:</w:t>
      </w:r>
      <w:r w:rsidRPr="005B372D">
        <w:rPr>
          <w:rFonts w:ascii="Arial Narrow" w:hAnsi="Arial Narrow" w:cs="Tahoma"/>
          <w:lang w:val="es-ES"/>
        </w:rPr>
        <w:t xml:space="preserve"> </w:t>
      </w:r>
      <w:r w:rsidR="00EF2DD7">
        <w:rPr>
          <w:rFonts w:ascii="Arial Narrow" w:hAnsi="Arial Narrow" w:cs="Tahoma"/>
          <w:lang w:val="es-ES"/>
        </w:rPr>
        <w:t xml:space="preserve">Serán nulos los contratos </w:t>
      </w:r>
      <w:r w:rsidR="004565A3">
        <w:rPr>
          <w:rFonts w:ascii="Arial Narrow" w:hAnsi="Arial Narrow" w:cs="Tahoma"/>
          <w:lang w:val="es-ES"/>
        </w:rPr>
        <w:t xml:space="preserve">de seguro </w:t>
      </w:r>
      <w:r w:rsidR="001308DD">
        <w:rPr>
          <w:rFonts w:ascii="Arial Narrow" w:hAnsi="Arial Narrow" w:cs="Tahoma"/>
          <w:lang w:val="es-ES"/>
        </w:rPr>
        <w:t xml:space="preserve">contra fraudes informáticos </w:t>
      </w:r>
      <w:r w:rsidR="00EF2DD7">
        <w:rPr>
          <w:rFonts w:ascii="Arial Narrow" w:hAnsi="Arial Narrow" w:cs="Tahoma"/>
          <w:lang w:val="es-ES"/>
        </w:rPr>
        <w:t xml:space="preserve">que tengan por objeto </w:t>
      </w:r>
      <w:r w:rsidR="00531396">
        <w:rPr>
          <w:rFonts w:ascii="Arial Narrow" w:hAnsi="Arial Narrow" w:cs="Tahoma"/>
          <w:lang w:val="es-ES"/>
        </w:rPr>
        <w:t>que el cliente asegure</w:t>
      </w:r>
      <w:r w:rsidR="00EF2DD7">
        <w:rPr>
          <w:rFonts w:ascii="Arial Narrow" w:hAnsi="Arial Narrow" w:cs="Tahoma"/>
          <w:lang w:val="es-ES"/>
        </w:rPr>
        <w:t xml:space="preserve"> riesgos que </w:t>
      </w:r>
      <w:r w:rsidR="00531396">
        <w:rPr>
          <w:rFonts w:ascii="Arial Narrow" w:hAnsi="Arial Narrow" w:cs="Tahoma"/>
          <w:lang w:val="es-ES"/>
        </w:rPr>
        <w:t xml:space="preserve">de acuerdo a la ley recaen sobre los bancos. </w:t>
      </w:r>
    </w:p>
    <w:p w14:paraId="2E27B226" w14:textId="77777777" w:rsidR="00363B6E" w:rsidRDefault="00363B6E" w:rsidP="005B372D">
      <w:pPr>
        <w:pStyle w:val="Sinespaciado"/>
        <w:spacing w:line="360" w:lineRule="auto"/>
        <w:jc w:val="both"/>
        <w:rPr>
          <w:rFonts w:ascii="Arial Narrow" w:hAnsi="Arial Narrow" w:cs="Tahoma"/>
          <w:lang w:val="es-ES"/>
        </w:rPr>
      </w:pPr>
    </w:p>
    <w:p w14:paraId="1E7ECE59" w14:textId="556CC58E" w:rsidR="002B4A26" w:rsidRPr="005B372D" w:rsidRDefault="002B4A26" w:rsidP="00363B6E">
      <w:pPr>
        <w:pStyle w:val="Sinespaciado"/>
        <w:spacing w:line="360" w:lineRule="auto"/>
        <w:ind w:firstLine="708"/>
        <w:jc w:val="both"/>
        <w:rPr>
          <w:rFonts w:ascii="Arial Narrow" w:hAnsi="Arial Narrow" w:cs="Courier"/>
        </w:rPr>
      </w:pPr>
      <w:r>
        <w:rPr>
          <w:rFonts w:ascii="Arial Narrow" w:hAnsi="Arial Narrow" w:cs="Tahoma"/>
          <w:lang w:val="es-ES"/>
        </w:rPr>
        <w:t xml:space="preserve">La oferta de los contratos de seguro a que se refiere el </w:t>
      </w:r>
      <w:r w:rsidR="001D5A6A">
        <w:rPr>
          <w:rFonts w:ascii="Arial Narrow" w:hAnsi="Arial Narrow" w:cs="Tahoma"/>
          <w:lang w:val="es-ES"/>
        </w:rPr>
        <w:t>inciso anterior, será sancionada</w:t>
      </w:r>
      <w:r>
        <w:rPr>
          <w:rFonts w:ascii="Arial Narrow" w:hAnsi="Arial Narrow" w:cs="Tahoma"/>
          <w:lang w:val="es-ES"/>
        </w:rPr>
        <w:t xml:space="preserve"> conforme a</w:t>
      </w:r>
      <w:r w:rsidR="001D5A6A">
        <w:rPr>
          <w:rFonts w:ascii="Arial Narrow" w:hAnsi="Arial Narrow" w:cs="Tahoma"/>
          <w:lang w:val="es-ES"/>
        </w:rPr>
        <w:t xml:space="preserve"> lo dispuesto en el artículo 17 K. </w:t>
      </w:r>
    </w:p>
    <w:p w14:paraId="3DFBBBEC" w14:textId="77777777" w:rsidR="00796092" w:rsidRDefault="00796092" w:rsidP="00796092">
      <w:pPr>
        <w:pStyle w:val="Sinespaciado"/>
        <w:spacing w:line="360" w:lineRule="auto"/>
        <w:jc w:val="both"/>
        <w:rPr>
          <w:rFonts w:ascii="Arial Narrow" w:hAnsi="Arial Narrow"/>
        </w:rPr>
      </w:pPr>
    </w:p>
    <w:p w14:paraId="7D651E2E" w14:textId="77777777" w:rsidR="00796092" w:rsidRPr="00E80451" w:rsidRDefault="00796092" w:rsidP="00796092">
      <w:pPr>
        <w:spacing w:line="360" w:lineRule="auto"/>
        <w:jc w:val="both"/>
        <w:rPr>
          <w:rFonts w:ascii="Arial Narrow" w:hAnsi="Arial Narrow" w:cs="Tahoma"/>
          <w:lang w:val="es-ES"/>
        </w:rPr>
      </w:pPr>
    </w:p>
    <w:p w14:paraId="2B43B58F" w14:textId="77777777" w:rsidR="00796092" w:rsidRDefault="00796092" w:rsidP="00796092">
      <w:pPr>
        <w:spacing w:line="360" w:lineRule="auto"/>
        <w:rPr>
          <w:rFonts w:ascii="Arial Narrow" w:hAnsi="Arial Narrow" w:cs="Tahoma"/>
          <w:lang w:val="es-ES"/>
        </w:rPr>
      </w:pPr>
    </w:p>
    <w:p w14:paraId="78D7F243" w14:textId="77777777" w:rsidR="008034CE" w:rsidRDefault="008034CE" w:rsidP="00796092">
      <w:pPr>
        <w:spacing w:line="360" w:lineRule="auto"/>
        <w:rPr>
          <w:rFonts w:ascii="Arial Narrow" w:hAnsi="Arial Narrow" w:cs="Tahoma"/>
          <w:lang w:val="es-ES"/>
        </w:rPr>
      </w:pPr>
    </w:p>
    <w:p w14:paraId="0F75FCA3" w14:textId="77777777" w:rsidR="008034CE" w:rsidRDefault="008034CE" w:rsidP="00796092">
      <w:pPr>
        <w:spacing w:line="360" w:lineRule="auto"/>
        <w:rPr>
          <w:rFonts w:ascii="Arial Narrow" w:hAnsi="Arial Narrow" w:cs="Tahoma"/>
          <w:lang w:val="es-ES"/>
        </w:rPr>
      </w:pPr>
    </w:p>
    <w:p w14:paraId="5F9909B0" w14:textId="77777777" w:rsidR="00796092" w:rsidRDefault="00796092" w:rsidP="00796092">
      <w:pPr>
        <w:spacing w:line="360" w:lineRule="auto"/>
        <w:rPr>
          <w:rFonts w:ascii="Arial Narrow" w:hAnsi="Arial Narrow" w:cs="Tahoma"/>
          <w:lang w:val="es-ES"/>
        </w:rPr>
      </w:pPr>
    </w:p>
    <w:p w14:paraId="0D157D82" w14:textId="77777777" w:rsidR="00796092" w:rsidRDefault="00796092" w:rsidP="00796092">
      <w:pPr>
        <w:spacing w:line="360" w:lineRule="auto"/>
        <w:rPr>
          <w:rFonts w:ascii="Arial Narrow" w:hAnsi="Arial Narrow" w:cs="Tahoma"/>
          <w:lang w:val="es-ES"/>
        </w:rPr>
      </w:pPr>
    </w:p>
    <w:p w14:paraId="0C7C8C2B" w14:textId="77777777" w:rsidR="00796092" w:rsidRPr="005044A1" w:rsidRDefault="00796092" w:rsidP="00796092">
      <w:pPr>
        <w:spacing w:line="276" w:lineRule="auto"/>
        <w:rPr>
          <w:rFonts w:ascii="Arial Narrow" w:hAnsi="Arial Narrow" w:cs="Tahoma"/>
          <w:b/>
          <w:lang w:val="es-ES"/>
        </w:rPr>
      </w:pPr>
      <w:r w:rsidRPr="005044A1">
        <w:rPr>
          <w:rFonts w:ascii="Arial Narrow" w:hAnsi="Arial Narrow" w:cs="Tahoma"/>
          <w:b/>
          <w:lang w:val="es-ES"/>
        </w:rPr>
        <w:t>ALEJANDRO BERNALES MALDONADO</w:t>
      </w:r>
      <w:r>
        <w:rPr>
          <w:rFonts w:ascii="Arial Narrow" w:hAnsi="Arial Narrow" w:cs="Tahoma"/>
          <w:b/>
          <w:lang w:val="es-ES"/>
        </w:rPr>
        <w:tab/>
      </w:r>
      <w:r>
        <w:rPr>
          <w:rFonts w:ascii="Arial Narrow" w:hAnsi="Arial Narrow" w:cs="Tahoma"/>
          <w:b/>
          <w:lang w:val="es-ES"/>
        </w:rPr>
        <w:tab/>
      </w:r>
      <w:r>
        <w:rPr>
          <w:rFonts w:ascii="Arial Narrow" w:hAnsi="Arial Narrow" w:cs="Tahoma"/>
          <w:b/>
          <w:lang w:val="es-ES"/>
        </w:rPr>
        <w:tab/>
        <w:t xml:space="preserve">     VLADO MIROSEVIC VERDUGO</w:t>
      </w:r>
    </w:p>
    <w:p w14:paraId="2119F9FB" w14:textId="77777777" w:rsidR="00796092" w:rsidRDefault="00796092" w:rsidP="00796092">
      <w:pPr>
        <w:spacing w:line="276" w:lineRule="auto"/>
        <w:rPr>
          <w:rFonts w:ascii="Arial Narrow" w:hAnsi="Arial Narrow" w:cs="Tahoma"/>
          <w:lang w:val="es-ES"/>
        </w:rPr>
      </w:pPr>
      <w:r>
        <w:rPr>
          <w:rFonts w:ascii="Arial Narrow" w:hAnsi="Arial Narrow" w:cs="Tahoma"/>
          <w:lang w:val="es-ES"/>
        </w:rPr>
        <w:t xml:space="preserve">    Diputado de la República </w:t>
      </w:r>
      <w:r>
        <w:rPr>
          <w:rFonts w:ascii="Arial Narrow" w:hAnsi="Arial Narrow" w:cs="Tahoma"/>
          <w:lang w:val="es-ES"/>
        </w:rPr>
        <w:tab/>
      </w:r>
      <w:r>
        <w:rPr>
          <w:rFonts w:ascii="Arial Narrow" w:hAnsi="Arial Narrow" w:cs="Tahoma"/>
          <w:lang w:val="es-ES"/>
        </w:rPr>
        <w:tab/>
      </w:r>
      <w:r>
        <w:rPr>
          <w:rFonts w:ascii="Arial Narrow" w:hAnsi="Arial Narrow" w:cs="Tahoma"/>
          <w:lang w:val="es-ES"/>
        </w:rPr>
        <w:tab/>
      </w:r>
      <w:r>
        <w:rPr>
          <w:rFonts w:ascii="Arial Narrow" w:hAnsi="Arial Narrow" w:cs="Tahoma"/>
          <w:lang w:val="es-ES"/>
        </w:rPr>
        <w:tab/>
      </w:r>
      <w:r>
        <w:rPr>
          <w:rFonts w:ascii="Arial Narrow" w:hAnsi="Arial Narrow" w:cs="Tahoma"/>
          <w:lang w:val="es-ES"/>
        </w:rPr>
        <w:tab/>
      </w:r>
      <w:r>
        <w:rPr>
          <w:rFonts w:ascii="Arial Narrow" w:hAnsi="Arial Narrow" w:cs="Tahoma"/>
          <w:lang w:val="es-ES"/>
        </w:rPr>
        <w:tab/>
        <w:t>Diputado de la República</w:t>
      </w:r>
    </w:p>
    <w:p w14:paraId="7C97DA09" w14:textId="77777777" w:rsidR="00796092" w:rsidRDefault="00796092" w:rsidP="00796092">
      <w:pPr>
        <w:spacing w:line="276" w:lineRule="auto"/>
        <w:rPr>
          <w:rFonts w:ascii="Arial Narrow" w:hAnsi="Arial Narrow" w:cs="Tahoma"/>
          <w:lang w:val="es-ES"/>
        </w:rPr>
      </w:pPr>
      <w:r>
        <w:rPr>
          <w:rFonts w:ascii="Arial Narrow" w:hAnsi="Arial Narrow" w:cs="Tahoma"/>
          <w:lang w:val="es-ES"/>
        </w:rPr>
        <w:t xml:space="preserve">      Partido Liberal de Chile </w:t>
      </w:r>
      <w:r>
        <w:rPr>
          <w:rFonts w:ascii="Arial Narrow" w:hAnsi="Arial Narrow" w:cs="Tahoma"/>
          <w:lang w:val="es-ES"/>
        </w:rPr>
        <w:tab/>
      </w:r>
      <w:r>
        <w:rPr>
          <w:rFonts w:ascii="Arial Narrow" w:hAnsi="Arial Narrow" w:cs="Tahoma"/>
          <w:lang w:val="es-ES"/>
        </w:rPr>
        <w:tab/>
      </w:r>
      <w:r>
        <w:rPr>
          <w:rFonts w:ascii="Arial Narrow" w:hAnsi="Arial Narrow" w:cs="Tahoma"/>
          <w:lang w:val="es-ES"/>
        </w:rPr>
        <w:tab/>
      </w:r>
      <w:r>
        <w:rPr>
          <w:rFonts w:ascii="Arial Narrow" w:hAnsi="Arial Narrow" w:cs="Tahoma"/>
          <w:lang w:val="es-ES"/>
        </w:rPr>
        <w:tab/>
      </w:r>
      <w:r>
        <w:rPr>
          <w:rFonts w:ascii="Arial Narrow" w:hAnsi="Arial Narrow" w:cs="Tahoma"/>
          <w:lang w:val="es-ES"/>
        </w:rPr>
        <w:tab/>
        <w:t xml:space="preserve">              Partido Liberal de Chile</w:t>
      </w:r>
    </w:p>
    <w:p w14:paraId="689492E3" w14:textId="77777777" w:rsidR="00796092" w:rsidRDefault="00796092" w:rsidP="00796092">
      <w:pPr>
        <w:spacing w:line="276" w:lineRule="auto"/>
        <w:rPr>
          <w:rFonts w:ascii="Arial Narrow" w:hAnsi="Arial Narrow" w:cs="Tahoma"/>
          <w:lang w:val="es-ES"/>
        </w:rPr>
      </w:pPr>
      <w:r>
        <w:rPr>
          <w:rFonts w:ascii="Arial Narrow" w:hAnsi="Arial Narrow" w:cs="Tahoma"/>
          <w:lang w:val="es-ES"/>
        </w:rPr>
        <w:t xml:space="preserve">           Distrito 26 </w:t>
      </w:r>
      <w:r>
        <w:rPr>
          <w:rFonts w:ascii="Arial Narrow" w:hAnsi="Arial Narrow" w:cs="Tahoma"/>
          <w:lang w:val="es-ES"/>
        </w:rPr>
        <w:tab/>
      </w:r>
      <w:r>
        <w:rPr>
          <w:rFonts w:ascii="Arial Narrow" w:hAnsi="Arial Narrow" w:cs="Tahoma"/>
          <w:lang w:val="es-ES"/>
        </w:rPr>
        <w:tab/>
      </w:r>
      <w:r>
        <w:rPr>
          <w:rFonts w:ascii="Arial Narrow" w:hAnsi="Arial Narrow" w:cs="Tahoma"/>
          <w:lang w:val="es-ES"/>
        </w:rPr>
        <w:tab/>
      </w:r>
      <w:r>
        <w:rPr>
          <w:rFonts w:ascii="Arial Narrow" w:hAnsi="Arial Narrow" w:cs="Tahoma"/>
          <w:lang w:val="es-ES"/>
        </w:rPr>
        <w:tab/>
      </w:r>
      <w:r>
        <w:rPr>
          <w:rFonts w:ascii="Arial Narrow" w:hAnsi="Arial Narrow" w:cs="Tahoma"/>
          <w:lang w:val="es-ES"/>
        </w:rPr>
        <w:tab/>
      </w:r>
      <w:r>
        <w:rPr>
          <w:rFonts w:ascii="Arial Narrow" w:hAnsi="Arial Narrow" w:cs="Tahoma"/>
          <w:lang w:val="es-ES"/>
        </w:rPr>
        <w:tab/>
      </w:r>
      <w:r>
        <w:rPr>
          <w:rFonts w:ascii="Arial Narrow" w:hAnsi="Arial Narrow" w:cs="Tahoma"/>
          <w:lang w:val="es-ES"/>
        </w:rPr>
        <w:tab/>
        <w:t xml:space="preserve">            Distrito 1</w:t>
      </w:r>
    </w:p>
    <w:p w14:paraId="26D405FA" w14:textId="77777777" w:rsidR="00796092" w:rsidRPr="0045444C" w:rsidRDefault="00796092" w:rsidP="00796092">
      <w:pPr>
        <w:spacing w:line="276" w:lineRule="auto"/>
        <w:rPr>
          <w:rFonts w:ascii="Arial Narrow" w:hAnsi="Arial Narrow" w:cs="Tahoma"/>
          <w:lang w:val="es-ES"/>
        </w:rPr>
      </w:pPr>
      <w:r>
        <w:rPr>
          <w:rFonts w:ascii="Arial Narrow" w:hAnsi="Arial Narrow" w:cs="Tahoma"/>
          <w:lang w:val="es-ES"/>
        </w:rPr>
        <w:t xml:space="preserve">       (Autor principal)</w:t>
      </w:r>
    </w:p>
    <w:p w14:paraId="2EF616CC" w14:textId="77777777" w:rsidR="00F3291F" w:rsidRDefault="00F3291F"/>
    <w:sectPr w:rsidR="00F3291F" w:rsidSect="008F498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CD5A1" w14:textId="77777777" w:rsidR="003127A2" w:rsidRDefault="003127A2" w:rsidP="00796092">
      <w:r>
        <w:separator/>
      </w:r>
    </w:p>
  </w:endnote>
  <w:endnote w:type="continuationSeparator" w:id="0">
    <w:p w14:paraId="5392F7E9" w14:textId="77777777" w:rsidR="003127A2" w:rsidRDefault="003127A2" w:rsidP="0079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auto"/>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7C68B" w14:textId="77777777" w:rsidR="003127A2" w:rsidRDefault="003127A2" w:rsidP="00796092">
      <w:r>
        <w:separator/>
      </w:r>
    </w:p>
  </w:footnote>
  <w:footnote w:type="continuationSeparator" w:id="0">
    <w:p w14:paraId="71C24C1B" w14:textId="77777777" w:rsidR="003127A2" w:rsidRDefault="003127A2" w:rsidP="00796092">
      <w:r>
        <w:continuationSeparator/>
      </w:r>
    </w:p>
  </w:footnote>
  <w:footnote w:id="1">
    <w:p w14:paraId="4DB718AE" w14:textId="7F5866E3" w:rsidR="00AA04B3" w:rsidRPr="00486678" w:rsidRDefault="00AA04B3">
      <w:pPr>
        <w:pStyle w:val="Textonotapie"/>
        <w:rPr>
          <w:rFonts w:ascii="Arial Narrow" w:hAnsi="Arial Narrow"/>
          <w:sz w:val="20"/>
          <w:szCs w:val="20"/>
          <w:lang w:val="es-ES"/>
        </w:rPr>
      </w:pPr>
      <w:r w:rsidRPr="00486678">
        <w:rPr>
          <w:rStyle w:val="Refdenotaalpie"/>
          <w:rFonts w:ascii="Arial Narrow" w:hAnsi="Arial Narrow"/>
          <w:sz w:val="20"/>
          <w:szCs w:val="20"/>
        </w:rPr>
        <w:footnoteRef/>
      </w:r>
      <w:r w:rsidRPr="00486678">
        <w:rPr>
          <w:rFonts w:ascii="Arial Narrow" w:hAnsi="Arial Narrow"/>
          <w:sz w:val="20"/>
          <w:szCs w:val="20"/>
        </w:rPr>
        <w:t xml:space="preserve"> </w:t>
      </w:r>
      <w:hyperlink r:id="rId1" w:history="1">
        <w:r w:rsidRPr="00486678">
          <w:rPr>
            <w:rStyle w:val="Hipervnculo"/>
            <w:rFonts w:ascii="Arial Narrow" w:hAnsi="Arial Narrow"/>
            <w:sz w:val="20"/>
            <w:szCs w:val="20"/>
          </w:rPr>
          <w:t>http://impresa.elmercurio.com/Pages/NewsDetail.aspx?dt=2018-04-08&amp;dtB=08-04-2018%200:00:00&amp;PaginaId=17&amp;bodyid=3</w:t>
        </w:r>
      </w:hyperlink>
      <w:r w:rsidRPr="00486678">
        <w:rPr>
          <w:rFonts w:ascii="Arial Narrow" w:hAnsi="Arial Narrow"/>
          <w:sz w:val="20"/>
          <w:szCs w:val="20"/>
        </w:rPr>
        <w:t xml:space="preserve"> </w:t>
      </w:r>
    </w:p>
  </w:footnote>
  <w:footnote w:id="2">
    <w:p w14:paraId="5BAF9004" w14:textId="1063B4E6" w:rsidR="00F70429" w:rsidRPr="002C0143" w:rsidRDefault="00F70429">
      <w:pPr>
        <w:pStyle w:val="Textonotapie"/>
        <w:rPr>
          <w:rFonts w:ascii="Arial Narrow" w:hAnsi="Arial Narrow"/>
          <w:sz w:val="20"/>
          <w:szCs w:val="20"/>
          <w:lang w:val="es-ES"/>
        </w:rPr>
      </w:pPr>
      <w:r w:rsidRPr="002C0143">
        <w:rPr>
          <w:rStyle w:val="Refdenotaalpie"/>
          <w:rFonts w:ascii="Arial Narrow" w:hAnsi="Arial Narrow"/>
          <w:sz w:val="20"/>
          <w:szCs w:val="20"/>
        </w:rPr>
        <w:footnoteRef/>
      </w:r>
      <w:r w:rsidRPr="002C0143">
        <w:rPr>
          <w:rFonts w:ascii="Arial Narrow" w:hAnsi="Arial Narrow"/>
          <w:sz w:val="20"/>
          <w:szCs w:val="20"/>
        </w:rPr>
        <w:t xml:space="preserve"> </w:t>
      </w:r>
      <w:r w:rsidRPr="002C0143">
        <w:rPr>
          <w:rFonts w:ascii="Arial Narrow" w:hAnsi="Arial Narrow"/>
          <w:sz w:val="20"/>
          <w:szCs w:val="20"/>
          <w:lang w:val="es-ES"/>
        </w:rPr>
        <w:t xml:space="preserve">Considerando cuarto. Corte Suprema. </w:t>
      </w:r>
      <w:r w:rsidR="00C867FD" w:rsidRPr="002C0143">
        <w:rPr>
          <w:rFonts w:ascii="Arial Narrow" w:hAnsi="Arial Narrow"/>
          <w:sz w:val="20"/>
          <w:szCs w:val="20"/>
          <w:lang w:val="es-ES"/>
        </w:rPr>
        <w:t>Rol 2196-2018</w:t>
      </w:r>
    </w:p>
  </w:footnote>
  <w:footnote w:id="3">
    <w:p w14:paraId="13AD059C" w14:textId="3D3ABF94" w:rsidR="0064177D" w:rsidRPr="002C0143" w:rsidRDefault="0064177D">
      <w:pPr>
        <w:pStyle w:val="Textonotapie"/>
        <w:rPr>
          <w:rFonts w:ascii="Arial Narrow" w:hAnsi="Arial Narrow"/>
          <w:sz w:val="20"/>
          <w:szCs w:val="20"/>
          <w:lang w:val="es-ES"/>
        </w:rPr>
      </w:pPr>
      <w:r w:rsidRPr="002C0143">
        <w:rPr>
          <w:rStyle w:val="Refdenotaalpie"/>
          <w:rFonts w:ascii="Arial Narrow" w:hAnsi="Arial Narrow"/>
          <w:sz w:val="20"/>
          <w:szCs w:val="20"/>
        </w:rPr>
        <w:footnoteRef/>
      </w:r>
      <w:r w:rsidRPr="002C0143">
        <w:rPr>
          <w:rFonts w:ascii="Arial Narrow" w:hAnsi="Arial Narrow"/>
          <w:sz w:val="20"/>
          <w:szCs w:val="20"/>
        </w:rPr>
        <w:t xml:space="preserve"> </w:t>
      </w:r>
      <w:r w:rsidR="009F0545" w:rsidRPr="002C0143">
        <w:rPr>
          <w:rFonts w:ascii="Arial Narrow" w:hAnsi="Arial Narrow"/>
          <w:sz w:val="20"/>
          <w:szCs w:val="20"/>
          <w:lang w:val="es-ES"/>
        </w:rPr>
        <w:t>Considerando cuarto. Corte Suprema. Rol 2196-2018</w:t>
      </w:r>
    </w:p>
  </w:footnote>
  <w:footnote w:id="4">
    <w:p w14:paraId="214D0D06" w14:textId="706F7D4B" w:rsidR="00C867FD" w:rsidRPr="002C0143" w:rsidRDefault="00C867FD">
      <w:pPr>
        <w:pStyle w:val="Textonotapie"/>
        <w:rPr>
          <w:rFonts w:ascii="Arial Narrow" w:hAnsi="Arial Narrow"/>
          <w:sz w:val="20"/>
          <w:szCs w:val="20"/>
          <w:lang w:val="es-ES"/>
        </w:rPr>
      </w:pPr>
      <w:r w:rsidRPr="002C0143">
        <w:rPr>
          <w:rStyle w:val="Refdenotaalpie"/>
          <w:rFonts w:ascii="Arial Narrow" w:hAnsi="Arial Narrow"/>
          <w:sz w:val="20"/>
          <w:szCs w:val="20"/>
        </w:rPr>
        <w:footnoteRef/>
      </w:r>
      <w:r w:rsidRPr="002C0143">
        <w:rPr>
          <w:rFonts w:ascii="Arial Narrow" w:hAnsi="Arial Narrow"/>
          <w:sz w:val="20"/>
          <w:szCs w:val="20"/>
        </w:rPr>
        <w:t xml:space="preserve"> </w:t>
      </w:r>
      <w:r w:rsidRPr="002C0143">
        <w:rPr>
          <w:rFonts w:ascii="Arial Narrow" w:hAnsi="Arial Narrow"/>
          <w:sz w:val="20"/>
          <w:szCs w:val="20"/>
          <w:lang w:val="es-ES"/>
        </w:rPr>
        <w:t>Considerando quinto. Corte Suprema. Rol 2196-2018</w:t>
      </w:r>
    </w:p>
  </w:footnote>
  <w:footnote w:id="5">
    <w:p w14:paraId="5D4F284B" w14:textId="1378127F" w:rsidR="00967CB8" w:rsidRPr="00967CB8" w:rsidRDefault="00967CB8">
      <w:pPr>
        <w:pStyle w:val="Textonotapie"/>
        <w:rPr>
          <w:lang w:val="es-ES"/>
        </w:rPr>
      </w:pPr>
      <w:r w:rsidRPr="002C0143">
        <w:rPr>
          <w:rStyle w:val="Refdenotaalpie"/>
          <w:rFonts w:ascii="Arial Narrow" w:hAnsi="Arial Narrow"/>
          <w:sz w:val="20"/>
          <w:szCs w:val="20"/>
        </w:rPr>
        <w:footnoteRef/>
      </w:r>
      <w:r w:rsidRPr="002C0143">
        <w:rPr>
          <w:rFonts w:ascii="Arial Narrow" w:hAnsi="Arial Narrow"/>
          <w:sz w:val="20"/>
          <w:szCs w:val="20"/>
        </w:rPr>
        <w:t xml:space="preserve"> </w:t>
      </w:r>
      <w:r w:rsidRPr="002C0143">
        <w:rPr>
          <w:rFonts w:ascii="Arial Narrow" w:hAnsi="Arial Narrow"/>
          <w:sz w:val="20"/>
          <w:szCs w:val="20"/>
          <w:lang w:val="es-ES"/>
        </w:rPr>
        <w:t>Considerando duodécimo. Corte de Apelaciones de Talca. Rol 1057-2018.</w:t>
      </w:r>
      <w:r>
        <w:rPr>
          <w:lang w:val="es-E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92"/>
    <w:rsid w:val="000A5DBC"/>
    <w:rsid w:val="000F20B6"/>
    <w:rsid w:val="000F751D"/>
    <w:rsid w:val="00106209"/>
    <w:rsid w:val="001068F2"/>
    <w:rsid w:val="001127BC"/>
    <w:rsid w:val="001308DD"/>
    <w:rsid w:val="001645E7"/>
    <w:rsid w:val="001749FF"/>
    <w:rsid w:val="001D47B2"/>
    <w:rsid w:val="001D5A6A"/>
    <w:rsid w:val="002B4A26"/>
    <w:rsid w:val="002C0143"/>
    <w:rsid w:val="002C62E1"/>
    <w:rsid w:val="002D417A"/>
    <w:rsid w:val="002E11C5"/>
    <w:rsid w:val="003127A2"/>
    <w:rsid w:val="00344C1C"/>
    <w:rsid w:val="0034619E"/>
    <w:rsid w:val="00363B6E"/>
    <w:rsid w:val="00395DDC"/>
    <w:rsid w:val="003A6575"/>
    <w:rsid w:val="003B0F10"/>
    <w:rsid w:val="003E4ED4"/>
    <w:rsid w:val="003F1F0D"/>
    <w:rsid w:val="003F3E2E"/>
    <w:rsid w:val="00442913"/>
    <w:rsid w:val="004565A3"/>
    <w:rsid w:val="0047306F"/>
    <w:rsid w:val="00486678"/>
    <w:rsid w:val="004F212F"/>
    <w:rsid w:val="00531396"/>
    <w:rsid w:val="005550DF"/>
    <w:rsid w:val="00555960"/>
    <w:rsid w:val="0056577D"/>
    <w:rsid w:val="00585BC3"/>
    <w:rsid w:val="005B372D"/>
    <w:rsid w:val="005D7A0C"/>
    <w:rsid w:val="006175DE"/>
    <w:rsid w:val="00624443"/>
    <w:rsid w:val="00630A67"/>
    <w:rsid w:val="00635813"/>
    <w:rsid w:val="0064177D"/>
    <w:rsid w:val="006461BA"/>
    <w:rsid w:val="00660790"/>
    <w:rsid w:val="00683260"/>
    <w:rsid w:val="006C4D86"/>
    <w:rsid w:val="007604AF"/>
    <w:rsid w:val="0077694B"/>
    <w:rsid w:val="00796092"/>
    <w:rsid w:val="007A6E47"/>
    <w:rsid w:val="008003E0"/>
    <w:rsid w:val="008034CE"/>
    <w:rsid w:val="008474A0"/>
    <w:rsid w:val="00860647"/>
    <w:rsid w:val="008A14B2"/>
    <w:rsid w:val="008A7AC6"/>
    <w:rsid w:val="008F498E"/>
    <w:rsid w:val="0094511C"/>
    <w:rsid w:val="00951832"/>
    <w:rsid w:val="00967CB8"/>
    <w:rsid w:val="009E4E5A"/>
    <w:rsid w:val="009F0545"/>
    <w:rsid w:val="00A076AD"/>
    <w:rsid w:val="00A17A45"/>
    <w:rsid w:val="00A221A4"/>
    <w:rsid w:val="00A64FF8"/>
    <w:rsid w:val="00A935A8"/>
    <w:rsid w:val="00AA04B3"/>
    <w:rsid w:val="00AC2084"/>
    <w:rsid w:val="00B1214F"/>
    <w:rsid w:val="00BA4544"/>
    <w:rsid w:val="00BD0373"/>
    <w:rsid w:val="00C132D5"/>
    <w:rsid w:val="00C36EDE"/>
    <w:rsid w:val="00C53EE9"/>
    <w:rsid w:val="00C867FD"/>
    <w:rsid w:val="00C94F19"/>
    <w:rsid w:val="00CB6688"/>
    <w:rsid w:val="00CC0D15"/>
    <w:rsid w:val="00CC5FC3"/>
    <w:rsid w:val="00CD40EF"/>
    <w:rsid w:val="00D029A3"/>
    <w:rsid w:val="00D31279"/>
    <w:rsid w:val="00D91F76"/>
    <w:rsid w:val="00DF3641"/>
    <w:rsid w:val="00E35347"/>
    <w:rsid w:val="00EE03A8"/>
    <w:rsid w:val="00EF2DD7"/>
    <w:rsid w:val="00EF3930"/>
    <w:rsid w:val="00F3291F"/>
    <w:rsid w:val="00F65BE2"/>
    <w:rsid w:val="00F7042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CB53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09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96092"/>
    <w:rPr>
      <w:color w:val="0563C1" w:themeColor="hyperlink"/>
      <w:u w:val="single"/>
    </w:rPr>
  </w:style>
  <w:style w:type="character" w:styleId="Refdenotaalpie">
    <w:name w:val="footnote reference"/>
    <w:basedOn w:val="Fuentedeprrafopredeter"/>
    <w:uiPriority w:val="99"/>
    <w:unhideWhenUsed/>
    <w:rsid w:val="00796092"/>
    <w:rPr>
      <w:vertAlign w:val="superscript"/>
    </w:rPr>
  </w:style>
  <w:style w:type="paragraph" w:styleId="Sinespaciado">
    <w:name w:val="No Spacing"/>
    <w:uiPriority w:val="1"/>
    <w:qFormat/>
    <w:rsid w:val="00796092"/>
  </w:style>
  <w:style w:type="paragraph" w:styleId="Textonotapie">
    <w:name w:val="footnote text"/>
    <w:basedOn w:val="Normal"/>
    <w:link w:val="TextonotapieCar"/>
    <w:uiPriority w:val="99"/>
    <w:unhideWhenUsed/>
    <w:rsid w:val="00796092"/>
  </w:style>
  <w:style w:type="character" w:customStyle="1" w:styleId="TextonotapieCar">
    <w:name w:val="Texto nota pie Car"/>
    <w:basedOn w:val="Fuentedeprrafopredeter"/>
    <w:link w:val="Textonotapie"/>
    <w:uiPriority w:val="99"/>
    <w:rsid w:val="00796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0826">
      <w:bodyDiv w:val="1"/>
      <w:marLeft w:val="0"/>
      <w:marRight w:val="0"/>
      <w:marTop w:val="0"/>
      <w:marBottom w:val="0"/>
      <w:divBdr>
        <w:top w:val="none" w:sz="0" w:space="0" w:color="auto"/>
        <w:left w:val="none" w:sz="0" w:space="0" w:color="auto"/>
        <w:bottom w:val="none" w:sz="0" w:space="0" w:color="auto"/>
        <w:right w:val="none" w:sz="0" w:space="0" w:color="auto"/>
      </w:divBdr>
    </w:div>
    <w:div w:id="273942224">
      <w:bodyDiv w:val="1"/>
      <w:marLeft w:val="0"/>
      <w:marRight w:val="0"/>
      <w:marTop w:val="0"/>
      <w:marBottom w:val="0"/>
      <w:divBdr>
        <w:top w:val="none" w:sz="0" w:space="0" w:color="auto"/>
        <w:left w:val="none" w:sz="0" w:space="0" w:color="auto"/>
        <w:bottom w:val="none" w:sz="0" w:space="0" w:color="auto"/>
        <w:right w:val="none" w:sz="0" w:space="0" w:color="auto"/>
      </w:divBdr>
    </w:div>
    <w:div w:id="982658176">
      <w:bodyDiv w:val="1"/>
      <w:marLeft w:val="0"/>
      <w:marRight w:val="0"/>
      <w:marTop w:val="0"/>
      <w:marBottom w:val="0"/>
      <w:divBdr>
        <w:top w:val="none" w:sz="0" w:space="0" w:color="auto"/>
        <w:left w:val="none" w:sz="0" w:space="0" w:color="auto"/>
        <w:bottom w:val="none" w:sz="0" w:space="0" w:color="auto"/>
        <w:right w:val="none" w:sz="0" w:space="0" w:color="auto"/>
      </w:divBdr>
    </w:div>
    <w:div w:id="1265915637">
      <w:bodyDiv w:val="1"/>
      <w:marLeft w:val="0"/>
      <w:marRight w:val="0"/>
      <w:marTop w:val="0"/>
      <w:marBottom w:val="0"/>
      <w:divBdr>
        <w:top w:val="none" w:sz="0" w:space="0" w:color="auto"/>
        <w:left w:val="none" w:sz="0" w:space="0" w:color="auto"/>
        <w:bottom w:val="none" w:sz="0" w:space="0" w:color="auto"/>
        <w:right w:val="none" w:sz="0" w:space="0" w:color="auto"/>
      </w:divBdr>
    </w:div>
    <w:div w:id="1524707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impresa.elmercurio.com/Pages/NewsDetail.aspx?dt=2018-04-08&amp;dtB=08-04-2018%200:00:00&amp;PaginaId=17&amp;bodyid=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41F4F8D-D50C-42AD-8ED7-654CA4D9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1003</Words>
  <Characters>5519</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Leonardo Lueiza Ureta</cp:lastModifiedBy>
  <cp:revision>32</cp:revision>
  <dcterms:created xsi:type="dcterms:W3CDTF">2018-08-02T21:13:00Z</dcterms:created>
  <dcterms:modified xsi:type="dcterms:W3CDTF">2018-09-03T14:39:00Z</dcterms:modified>
</cp:coreProperties>
</file>