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402" w14:textId="77777777" w:rsidR="009379A1" w:rsidRPr="00514800" w:rsidRDefault="009379A1" w:rsidP="009379A1">
      <w:pPr>
        <w:pStyle w:val="Textoindependiente"/>
        <w:spacing w:line="360" w:lineRule="auto"/>
        <w:rPr>
          <w:rFonts w:ascii="Bookman Old Style" w:hAnsi="Bookman Old Style" w:cs="Bookman Old Style"/>
          <w:bCs/>
          <w:spacing w:val="2"/>
          <w:szCs w:val="24"/>
          <w:u w:val="single"/>
        </w:rPr>
      </w:pPr>
    </w:p>
    <w:p w14:paraId="759E4FC6" w14:textId="77777777" w:rsidR="009379A1" w:rsidRPr="00DC4A6E" w:rsidRDefault="00DC4A6E" w:rsidP="009379A1">
      <w:pPr>
        <w:pStyle w:val="Textoindependiente"/>
        <w:spacing w:line="360" w:lineRule="auto"/>
        <w:ind w:left="1981"/>
        <w:jc w:val="center"/>
        <w:rPr>
          <w:rFonts w:ascii="Bookman Old Style" w:hAnsi="Bookman Old Style" w:cs="Bookman Old Style"/>
          <w:bCs/>
          <w:spacing w:val="2"/>
          <w:szCs w:val="24"/>
        </w:rPr>
      </w:pPr>
      <w:r w:rsidRPr="00DC4A6E">
        <w:rPr>
          <w:rFonts w:ascii="Bookman Old Style" w:hAnsi="Bookman Old Style" w:cs="Bookman Old Style"/>
          <w:bCs/>
          <w:spacing w:val="2"/>
          <w:szCs w:val="24"/>
        </w:rPr>
        <w:t>Modifica el Código del Trabajo para incorporar como obligatoria la práctica de actividad deportiva durante la jornada laboral, en las condiciones que indica</w:t>
      </w:r>
    </w:p>
    <w:p w14:paraId="556750F8" w14:textId="77777777" w:rsidR="009379A1" w:rsidRPr="00DC4A6E" w:rsidRDefault="009379A1" w:rsidP="009379A1">
      <w:pPr>
        <w:pStyle w:val="Textoindependiente"/>
        <w:spacing w:line="360" w:lineRule="auto"/>
        <w:ind w:left="851"/>
        <w:jc w:val="center"/>
        <w:rPr>
          <w:rFonts w:ascii="Bookman Old Style" w:hAnsi="Bookman Old Style" w:cs="Arial"/>
          <w:b w:val="0"/>
          <w:szCs w:val="24"/>
          <w:lang w:val="es-ES"/>
        </w:rPr>
      </w:pPr>
    </w:p>
    <w:p w14:paraId="779A259D" w14:textId="77777777" w:rsidR="00DB37D2" w:rsidRDefault="00DC4A6E" w:rsidP="00DC4A6E">
      <w:pPr>
        <w:pStyle w:val="Style2"/>
        <w:spacing w:line="360" w:lineRule="auto"/>
        <w:jc w:val="center"/>
        <w:rPr>
          <w:rStyle w:val="CharacterStyle1"/>
          <w:b/>
          <w:bCs/>
          <w:sz w:val="24"/>
          <w:szCs w:val="24"/>
          <w:lang w:val="es-CL"/>
        </w:rPr>
      </w:pPr>
      <w:r>
        <w:rPr>
          <w:rStyle w:val="CharacterStyle1"/>
          <w:b/>
          <w:bCs/>
          <w:sz w:val="24"/>
          <w:szCs w:val="24"/>
          <w:lang w:val="es-CL"/>
        </w:rPr>
        <w:t>Boletín N°12270-13</w:t>
      </w:r>
    </w:p>
    <w:p w14:paraId="6FA1EAF9" w14:textId="77777777" w:rsidR="009379A1" w:rsidRPr="00514800" w:rsidRDefault="009379A1" w:rsidP="009379A1">
      <w:pPr>
        <w:pStyle w:val="Style2"/>
        <w:spacing w:line="360" w:lineRule="auto"/>
        <w:rPr>
          <w:rStyle w:val="CharacterStyle1"/>
          <w:b/>
          <w:bCs/>
          <w:sz w:val="24"/>
          <w:szCs w:val="24"/>
          <w:lang w:val="es-CL"/>
        </w:rPr>
      </w:pPr>
      <w:r w:rsidRPr="00514800">
        <w:rPr>
          <w:rStyle w:val="CharacterStyle1"/>
          <w:b/>
          <w:bCs/>
          <w:sz w:val="24"/>
          <w:szCs w:val="24"/>
          <w:lang w:val="es-CL"/>
        </w:rPr>
        <w:t>VISTOS:</w:t>
      </w:r>
    </w:p>
    <w:p w14:paraId="31C044E0" w14:textId="77777777" w:rsidR="009379A1" w:rsidRPr="00514800" w:rsidRDefault="009379A1" w:rsidP="009379A1">
      <w:pPr>
        <w:pStyle w:val="Style2"/>
        <w:spacing w:before="108" w:line="360" w:lineRule="auto"/>
        <w:ind w:right="216"/>
        <w:rPr>
          <w:rStyle w:val="CharacterStyle1"/>
          <w:sz w:val="24"/>
          <w:szCs w:val="24"/>
          <w:lang w:val="es-CL"/>
        </w:rPr>
      </w:pPr>
      <w:r w:rsidRPr="00514800">
        <w:rPr>
          <w:rStyle w:val="CharacterStyle1"/>
          <w:sz w:val="24"/>
          <w:szCs w:val="24"/>
          <w:lang w:val="es-CL"/>
        </w:rPr>
        <w:t xml:space="preserve">Lo dispuesto en los artículos 63 y 65 de la Constitución Política de la República; lo prevenido por la Ley </w:t>
      </w:r>
      <w:proofErr w:type="spellStart"/>
      <w:r w:rsidRPr="00514800">
        <w:rPr>
          <w:rStyle w:val="CharacterStyle1"/>
          <w:sz w:val="24"/>
          <w:szCs w:val="24"/>
          <w:lang w:val="es-CL"/>
        </w:rPr>
        <w:t>N°</w:t>
      </w:r>
      <w:proofErr w:type="spellEnd"/>
      <w:r w:rsidRPr="00514800">
        <w:rPr>
          <w:rStyle w:val="CharacterStyle1"/>
          <w:sz w:val="24"/>
          <w:szCs w:val="24"/>
          <w:lang w:val="es-CL"/>
        </w:rPr>
        <w:t xml:space="preserve"> 18.918 Orgánica Constitucional del Congreso Nacional y lo establecido por el Reglamento de la H. Cámara de Diputados.</w:t>
      </w:r>
    </w:p>
    <w:p w14:paraId="381F06F0" w14:textId="77777777" w:rsidR="009379A1" w:rsidRPr="00514800" w:rsidRDefault="009379A1" w:rsidP="009379A1">
      <w:pPr>
        <w:pStyle w:val="Style2"/>
        <w:spacing w:before="396" w:line="360" w:lineRule="auto"/>
        <w:rPr>
          <w:rStyle w:val="CharacterStyle1"/>
          <w:b/>
          <w:bCs/>
          <w:sz w:val="24"/>
          <w:szCs w:val="24"/>
          <w:lang w:val="es-CL"/>
        </w:rPr>
      </w:pPr>
      <w:r w:rsidRPr="00514800">
        <w:rPr>
          <w:rStyle w:val="CharacterStyle1"/>
          <w:b/>
          <w:bCs/>
          <w:sz w:val="24"/>
          <w:szCs w:val="24"/>
          <w:lang w:val="es-CL"/>
        </w:rPr>
        <w:t>CONSIDERANDO:</w:t>
      </w:r>
    </w:p>
    <w:p w14:paraId="1959FC8E" w14:textId="77777777" w:rsidR="009379A1" w:rsidRPr="003A4BB6" w:rsidRDefault="009379A1" w:rsidP="009379A1">
      <w:pPr>
        <w:pStyle w:val="Style1"/>
        <w:spacing w:before="468" w:line="360" w:lineRule="auto"/>
        <w:ind w:left="2268" w:right="216" w:hanging="396"/>
        <w:jc w:val="both"/>
        <w:rPr>
          <w:rFonts w:ascii="Bookman Old Style" w:hAnsi="Bookman Old Style"/>
          <w:sz w:val="24"/>
          <w:szCs w:val="24"/>
          <w:lang w:val="es-CL"/>
        </w:rPr>
      </w:pPr>
      <w:r w:rsidRPr="00514800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1° Que, </w:t>
      </w:r>
      <w:r w:rsidR="003A4BB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e</w:t>
      </w:r>
      <w:r w:rsidR="003A4BB6" w:rsidRPr="003A4BB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l último reporte de la Organización de las Naciones Unidas para la Alimentación y la Agricultura (FAO), titulado “El estado de la seguridad alimentaria y la nutrición en el mundo”</w:t>
      </w:r>
      <w:r w:rsidR="00F012A8">
        <w:rPr>
          <w:rStyle w:val="Refdenotaalpie"/>
          <w:rFonts w:ascii="Bookman Old Style" w:hAnsi="Bookman Old Style" w:cs="Bookman Old Style"/>
          <w:spacing w:val="15"/>
          <w:sz w:val="24"/>
          <w:szCs w:val="24"/>
          <w:lang w:val="es-ES_tradnl"/>
        </w:rPr>
        <w:footnoteReference w:id="1"/>
      </w:r>
      <w:r w:rsidR="003A4BB6" w:rsidRPr="003A4BB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, dio a conocer que los niveles de obesidad en Chile continúan en aumento. </w:t>
      </w:r>
      <w:proofErr w:type="gramStart"/>
      <w:r w:rsidR="003A4BB6" w:rsidRPr="003A4BB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De acuerdo a</w:t>
      </w:r>
      <w:proofErr w:type="gramEnd"/>
      <w:r w:rsidR="003A4BB6" w:rsidRPr="003A4BB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su informe el 34,4% de la población chilena sobre 15 años presenta esta enfermedad, cifra que posiciona al país como la segunda nación con más personas con sobrepeso dentro de la Organización para la Cooperación y el Desarrollo Económico (OCDE), siendo superado solamente por Estados Unidos, donde el 40% de la población adulta sufre de obesidad.</w:t>
      </w:r>
    </w:p>
    <w:p w14:paraId="2C3AA57C" w14:textId="77777777" w:rsidR="009379A1" w:rsidRDefault="009379A1" w:rsidP="009379A1">
      <w:pPr>
        <w:pStyle w:val="Style1"/>
        <w:adjustRightInd/>
        <w:spacing w:before="468" w:line="360" w:lineRule="auto"/>
        <w:ind w:left="2268" w:right="216" w:hanging="396"/>
        <w:jc w:val="both"/>
        <w:rPr>
          <w:rFonts w:ascii="Bookman Old Style" w:hAnsi="Bookman Old Style" w:cs="Bookman Old Style"/>
          <w:spacing w:val="15"/>
          <w:sz w:val="24"/>
          <w:szCs w:val="24"/>
          <w:lang w:val="es-CL"/>
        </w:rPr>
      </w:pPr>
      <w:r w:rsidRPr="00514800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2° </w:t>
      </w:r>
      <w:r w:rsidRPr="00A524B0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Que,</w:t>
      </w:r>
      <w:r w:rsidR="000939C1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entre las causas tenidas en vista para comprender el resultado de este informe, se atribuye, según consta en la </w:t>
      </w:r>
      <w:r w:rsidR="000939C1" w:rsidRPr="000939C1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Encuesta de </w:t>
      </w:r>
      <w:r w:rsidR="000939C1" w:rsidRPr="000939C1">
        <w:rPr>
          <w:rFonts w:ascii="Bookman Old Style" w:hAnsi="Bookman Old Style" w:cs="Bookman Old Style"/>
          <w:spacing w:val="15"/>
          <w:sz w:val="24"/>
          <w:szCs w:val="24"/>
          <w:lang w:val="es-CL"/>
        </w:rPr>
        <w:lastRenderedPageBreak/>
        <w:t>Consumo Alimentario del Ministerio de Salud, sólo el 5% de la población chilena come saludable y un 86,7% a nivel nacional es sedentario.</w:t>
      </w:r>
      <w:r w:rsidR="00530E03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Este último aspecto es el que en gran medida nos aqueja especialmente a los adultos. </w:t>
      </w:r>
    </w:p>
    <w:p w14:paraId="60EB4DFA" w14:textId="77777777" w:rsidR="002D3B9E" w:rsidRPr="003D26F3" w:rsidRDefault="002D3B9E" w:rsidP="002D3B9E">
      <w:pPr>
        <w:pStyle w:val="Style1"/>
        <w:adjustRightInd/>
        <w:spacing w:before="468" w:line="360" w:lineRule="auto"/>
        <w:ind w:left="2268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C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El sedentarismo </w:t>
      </w:r>
      <w:r w:rsidR="003D26F3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es la falta de actividad física que fomenta la obesidad, </w:t>
      </w:r>
      <w:r w:rsidR="003D26F3" w:rsidRPr="003D26F3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debilita los huesos y aumenta el riesgo de las enfermedades cardíacas.</w:t>
      </w:r>
    </w:p>
    <w:p w14:paraId="3E1B580C" w14:textId="77777777" w:rsidR="00C5783B" w:rsidRPr="00C5783B" w:rsidRDefault="00C5783B" w:rsidP="002D3B9E">
      <w:pPr>
        <w:pStyle w:val="Style1"/>
        <w:adjustRightInd/>
        <w:spacing w:before="468" w:line="360" w:lineRule="auto"/>
        <w:ind w:left="2268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CL"/>
        </w:rPr>
      </w:pPr>
      <w:r w:rsidRPr="00C5783B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Al menos una cuarta parte de la población adulta del mundo, unos 1.400 millones de personas, se encuentra en peligro de sufrir enfermedades cardiovasculares, diabetes tipo 2, demencia y cáncer debido a sus hábitos sedentarios, según refleja en un estudio la Organización Mundial de la Salud (OMS).</w:t>
      </w:r>
      <w:r>
        <w:rPr>
          <w:rStyle w:val="Refdenotaalpie"/>
          <w:rFonts w:ascii="Bookman Old Style" w:hAnsi="Bookman Old Style" w:cs="Bookman Old Style"/>
          <w:spacing w:val="15"/>
          <w:sz w:val="24"/>
          <w:szCs w:val="24"/>
          <w:lang w:val="es-CL"/>
        </w:rPr>
        <w:footnoteReference w:id="2"/>
      </w:r>
      <w:r w:rsid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</w:t>
      </w:r>
      <w:r w:rsidR="009864B2" w:rsidRP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Los niveles globales de actividad física no han percibido una mejora desde 2001, según el estudio, que ha sido realizado por investigadores de la OMS y publicado en '</w:t>
      </w:r>
      <w:proofErr w:type="spellStart"/>
      <w:r w:rsidR="009864B2" w:rsidRP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The</w:t>
      </w:r>
      <w:proofErr w:type="spellEnd"/>
      <w:r w:rsidR="009864B2" w:rsidRP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Lancet Global </w:t>
      </w:r>
      <w:proofErr w:type="spellStart"/>
      <w:r w:rsidR="009864B2" w:rsidRP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Health</w:t>
      </w:r>
      <w:proofErr w:type="spellEnd"/>
      <w:r w:rsidR="009864B2" w:rsidRPr="009864B2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'</w:t>
      </w:r>
      <w:r w:rsidR="00184488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.</w:t>
      </w:r>
    </w:p>
    <w:p w14:paraId="3A0D913D" w14:textId="77777777" w:rsidR="008C6604" w:rsidRDefault="009379A1" w:rsidP="00AF11E7">
      <w:pPr>
        <w:pStyle w:val="Style1"/>
        <w:adjustRightInd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3° Que, </w:t>
      </w:r>
      <w:r w:rsidR="00AF11E7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dado que en nuestro país la actividad física ésta aún en bajos niveles de desarrollo deseado, esto se nota con mayor impacto en las personas que desempeñan labores </w:t>
      </w:r>
      <w:r w:rsidR="008C660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que implican estar durante largos periodos del día sentados o con una movilidad bastante reducida. </w:t>
      </w:r>
    </w:p>
    <w:p w14:paraId="35899293" w14:textId="77777777" w:rsidR="00892437" w:rsidRDefault="008C6604" w:rsidP="00892437">
      <w:pPr>
        <w:pStyle w:val="Style1"/>
        <w:adjustRightInd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Esta situación aqueja tanto a los trabajadores que padecen las consecuencias y/o patologías propias del fenómeno del sedentarismo como 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lastRenderedPageBreak/>
        <w:t xml:space="preserve">para sus empleadores, puesto que las licencias por traumas o lesiones </w:t>
      </w:r>
      <w:r w:rsidR="0017545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que le son propias a la falta de actividad física, la pérdida de masa muscular, patologías de tipo psiquiátricas, entre otros</w:t>
      </w:r>
      <w:r w:rsidR="00892437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, han aumentado ostensiblemente</w:t>
      </w:r>
      <w:r w:rsidR="00E23F4A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, tanto es así que a nivel global </w:t>
      </w:r>
      <w:r w:rsidR="00AB5900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l</w:t>
      </w:r>
      <w:r w:rsidR="00DF410C" w:rsidRPr="00DF410C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as patologías mentales son la primera causa de discapacidad tanto transitoria como permanente. Y Chile es un buen ejemplo de esta tendencia: entre 2004 y 2015, estas enfermedades alcanzaron</w:t>
      </w:r>
      <w:r w:rsidR="00AB5900">
        <w:rPr>
          <w:rStyle w:val="Refdenotaalpie"/>
          <w:rFonts w:ascii="Bookman Old Style" w:hAnsi="Bookman Old Style" w:cs="Bookman Old Style"/>
          <w:spacing w:val="15"/>
          <w:sz w:val="24"/>
          <w:szCs w:val="24"/>
          <w:lang w:val="es-ES_tradnl"/>
        </w:rPr>
        <w:footnoteReference w:id="3"/>
      </w:r>
      <w:r w:rsidR="00DF410C" w:rsidRPr="00DF410C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el primer lugar del total de licencias indicadas, llegando al 27 por ciento del gasto total del país destinado a reposo médico. </w:t>
      </w:r>
    </w:p>
    <w:p w14:paraId="79C8DAD4" w14:textId="77777777" w:rsidR="00741759" w:rsidRDefault="00741759" w:rsidP="00892437">
      <w:pPr>
        <w:pStyle w:val="Style1"/>
        <w:adjustRightInd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Por otro lado, </w:t>
      </w:r>
      <w:proofErr w:type="gramStart"/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de acuerdo </w:t>
      </w:r>
      <w:r w:rsidRPr="00741759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a</w:t>
      </w:r>
      <w:proofErr w:type="gramEnd"/>
      <w:r w:rsidRPr="00741759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la última Encuesta Nacional de Salud (ENS 2010)</w:t>
      </w:r>
      <w:r>
        <w:rPr>
          <w:rStyle w:val="Refdenotaalpie"/>
          <w:rFonts w:ascii="Bookman Old Style" w:hAnsi="Bookman Old Style" w:cs="Bookman Old Style"/>
          <w:spacing w:val="15"/>
          <w:sz w:val="24"/>
          <w:szCs w:val="24"/>
          <w:lang w:val="es-ES_tradnl"/>
        </w:rPr>
        <w:footnoteReference w:id="4"/>
      </w:r>
      <w:r w:rsidRPr="00741759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se sabe que en Chile el 67% de la población tiene problemas de exceso de peso. Peor aún: de este porcentaje, el 25% tiene obesidad y el 2%, obesidad mórbida.</w:t>
      </w:r>
    </w:p>
    <w:p w14:paraId="297FF785" w14:textId="77777777" w:rsidR="0068617E" w:rsidRDefault="0068617E" w:rsidP="00892437">
      <w:pPr>
        <w:pStyle w:val="Style1"/>
        <w:adjustRightInd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 w:rsidRPr="0068617E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El estudio, tras cruzar datos epidemiológicos, prevalencia de enfermedades y mortalidad, entre otros, concluyó </w:t>
      </w:r>
      <w:proofErr w:type="gramStart"/>
      <w:r w:rsidRPr="0068617E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que</w:t>
      </w:r>
      <w:proofErr w:type="gramEnd"/>
      <w:r w:rsidRPr="0068617E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en promedio, y considerando los gastos generados entre 2010 y 2030, el país “pierde aproximadamente el 0,81% del PIB en pagar las consecuencias de la obesidad, como tratamientos médicos, enfermedades asociadas, pensiones de invalidez, ausentismo laboral, pérdida de productividad y mortalidad prematura”</w:t>
      </w:r>
    </w:p>
    <w:p w14:paraId="2D477093" w14:textId="77777777" w:rsidR="002A2F54" w:rsidRPr="002A2F54" w:rsidRDefault="00D72009" w:rsidP="002A2F54">
      <w:pPr>
        <w:pStyle w:val="Style1"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4° </w:t>
      </w:r>
      <w:r w:rsid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A fines del año 2015 </w:t>
      </w:r>
      <w:r w:rsidR="002A2F54"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la Facultad de Economía y Negocios (FEN) de la U. de Talca midió cuánto más dinero </w:t>
      </w:r>
      <w:proofErr w:type="gramStart"/>
      <w:r w:rsidR="002A2F54"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le</w:t>
      </w:r>
      <w:proofErr w:type="gramEnd"/>
      <w:r w:rsidR="002A2F54"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cuesta a las empresas chilenas un </w:t>
      </w:r>
      <w:r w:rsidR="002A2F54"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lastRenderedPageBreak/>
        <w:t>trabajador obeso respecto a uno con peso normal. Tras medir 26 variables -entre las que se consideraron ausentismo laboral, productividad, atrasos y licencias médicas- estimaron que un trabajador obeso es 6,34 veces más caro.</w:t>
      </w:r>
    </w:p>
    <w:p w14:paraId="28B68747" w14:textId="77777777" w:rsidR="002A2F54" w:rsidRPr="002A2F54" w:rsidRDefault="002A2F54" w:rsidP="002A2F54">
      <w:pPr>
        <w:pStyle w:val="Style1"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Otros datos arrojados por esta encuesta: al mes el grupo de trabajadores obesos tuvo una media de 1,37 días de ausencia, versus 0,12 días de los no obesos.</w:t>
      </w:r>
    </w:p>
    <w:p w14:paraId="7D707A64" w14:textId="77777777" w:rsidR="0013384C" w:rsidRDefault="002A2F54" w:rsidP="002A2F54">
      <w:pPr>
        <w:pStyle w:val="Style1"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 w:rsidRPr="002A2F54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Hace dos años la Asociación Chilena de Seguridad (ACHS) y la U. Mayor estudiaron los accidentes laborales. ¿La conclusión? Las personas que tienen una circunferencia de cintura mayor a la recomendada tienen un 31% más probabilidades de tener un accidente de trabajo. Y si son sedentarios, la probabilidad aumenta 23% con respecto a las personas que realizan actividad física regular.</w:t>
      </w:r>
    </w:p>
    <w:p w14:paraId="5F145918" w14:textId="77777777" w:rsidR="00892437" w:rsidRPr="00892437" w:rsidRDefault="00892437" w:rsidP="00892437">
      <w:pPr>
        <w:pStyle w:val="Style1"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CL"/>
        </w:rPr>
      </w:pPr>
      <w:proofErr w:type="gramStart"/>
      <w:r w:rsidRPr="00892437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De acuerdo a</w:t>
      </w:r>
      <w:proofErr w:type="gramEnd"/>
      <w:r w:rsidRPr="00892437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la OMS y el Foro Económico Mundial, “aumentar la</w:t>
      </w:r>
      <w:r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 </w:t>
      </w:r>
      <w:r w:rsidRPr="00892437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productividad de los empleados, mejorar la imagen institucional y moderar los costos de asistenci</w:t>
      </w:r>
      <w:r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a </w:t>
      </w:r>
      <w:r w:rsidRPr="00892437"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médica son algunos de los argumentos que pueden impulsar a </w:t>
      </w:r>
      <w:r>
        <w:rPr>
          <w:rFonts w:ascii="Bookman Old Style" w:hAnsi="Bookman Old Style" w:cs="Bookman Old Style"/>
          <w:spacing w:val="15"/>
          <w:sz w:val="24"/>
          <w:szCs w:val="24"/>
          <w:lang w:val="es-CL"/>
        </w:rPr>
        <w:t xml:space="preserve">la gerencia superior a poner en </w:t>
      </w:r>
      <w:r w:rsidRPr="00892437">
        <w:rPr>
          <w:rFonts w:ascii="Bookman Old Style" w:hAnsi="Bookman Old Style" w:cs="Bookman Old Style"/>
          <w:spacing w:val="15"/>
          <w:sz w:val="24"/>
          <w:szCs w:val="24"/>
          <w:lang w:val="es-CL"/>
        </w:rPr>
        <w:t>marcha e invertir en programas de promoción de la salud en el lugar de trabajo”</w:t>
      </w:r>
      <w:r>
        <w:rPr>
          <w:rStyle w:val="Refdenotaalpie"/>
          <w:rFonts w:ascii="Bookman Old Style" w:hAnsi="Bookman Old Style" w:cs="Bookman Old Style"/>
          <w:spacing w:val="15"/>
          <w:sz w:val="24"/>
          <w:szCs w:val="24"/>
          <w:lang w:val="es-CL"/>
        </w:rPr>
        <w:footnoteReference w:id="5"/>
      </w:r>
      <w:r>
        <w:rPr>
          <w:rFonts w:ascii="Bookman Old Style" w:hAnsi="Bookman Old Style" w:cs="Bookman Old Style"/>
          <w:spacing w:val="15"/>
          <w:sz w:val="24"/>
          <w:szCs w:val="24"/>
          <w:lang w:val="es-CL"/>
        </w:rPr>
        <w:t>.</w:t>
      </w:r>
    </w:p>
    <w:p w14:paraId="2AAAD6D8" w14:textId="77777777" w:rsidR="009379A1" w:rsidRDefault="00892437" w:rsidP="00892437">
      <w:pPr>
        <w:pStyle w:val="Style1"/>
        <w:adjustRightInd/>
        <w:spacing w:before="468" w:line="360" w:lineRule="auto"/>
        <w:ind w:left="2124" w:right="216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A pesar de esta realidad, nuestro ordenamiento jurídico vigente</w:t>
      </w:r>
      <w:r w:rsidR="002C4513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,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en estas materias</w:t>
      </w:r>
      <w:r w:rsidR="002C4513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, 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aún no </w:t>
      </w:r>
      <w:r w:rsidR="002C4513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ha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</w:t>
      </w:r>
      <w:r w:rsidR="002C4513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evidenciado un manejo de la 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situación en su 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lastRenderedPageBreak/>
        <w:t xml:space="preserve">conjunto, entendiéndose por esto un esfuerzo </w:t>
      </w:r>
      <w:r w:rsidR="002C4513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las carteras del trabajo </w:t>
      </w:r>
      <w:r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y de la salud para que esta sea una política pública o de cooperación con el mundo privado.</w:t>
      </w:r>
      <w:r w:rsidR="00175456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</w:t>
      </w:r>
    </w:p>
    <w:p w14:paraId="7700F03C" w14:textId="77777777" w:rsidR="009379A1" w:rsidRPr="00514800" w:rsidRDefault="009379A1" w:rsidP="0013384C">
      <w:pPr>
        <w:pStyle w:val="Style1"/>
        <w:adjustRightInd/>
        <w:spacing w:before="468" w:line="360" w:lineRule="auto"/>
        <w:ind w:left="2268" w:right="216" w:hanging="108"/>
        <w:jc w:val="both"/>
        <w:rPr>
          <w:rFonts w:ascii="Bookman Old Style" w:hAnsi="Bookman Old Style" w:cs="Bookman Old Style"/>
          <w:spacing w:val="15"/>
          <w:sz w:val="24"/>
          <w:szCs w:val="24"/>
          <w:lang w:val="es-ES_tradnl"/>
        </w:rPr>
      </w:pPr>
      <w:r w:rsidRPr="00514800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Que,</w:t>
      </w:r>
      <w:r w:rsidR="00892437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</w:t>
      </w:r>
      <w:proofErr w:type="gramStart"/>
      <w:r w:rsidR="00892437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>en razón de</w:t>
      </w:r>
      <w:proofErr w:type="gramEnd"/>
      <w:r w:rsidR="00892437">
        <w:rPr>
          <w:rFonts w:ascii="Bookman Old Style" w:hAnsi="Bookman Old Style" w:cs="Bookman Old Style"/>
          <w:spacing w:val="15"/>
          <w:sz w:val="24"/>
          <w:szCs w:val="24"/>
          <w:lang w:val="es-ES_tradnl"/>
        </w:rPr>
        <w:t xml:space="preserve"> lo anterior, es menester considerar algunos antecedentes sobre la materia en derecho comparado.</w:t>
      </w:r>
    </w:p>
    <w:p w14:paraId="7A0D30D8" w14:textId="77777777" w:rsidR="009379A1" w:rsidRPr="00514800" w:rsidRDefault="009379A1" w:rsidP="009379A1">
      <w:pPr>
        <w:pStyle w:val="Style1"/>
        <w:adjustRightInd/>
        <w:spacing w:before="648" w:line="360" w:lineRule="auto"/>
        <w:ind w:left="1728" w:firstLine="432"/>
        <w:jc w:val="both"/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</w:pPr>
      <w:r w:rsidRPr="00514800"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  <w:t xml:space="preserve">  POR LO TANTO,</w:t>
      </w:r>
    </w:p>
    <w:p w14:paraId="6717C2D5" w14:textId="77777777" w:rsidR="009379A1" w:rsidRPr="00514800" w:rsidRDefault="009379A1" w:rsidP="009379A1">
      <w:pPr>
        <w:pStyle w:val="Style1"/>
        <w:adjustRightInd/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es-ES_tradnl"/>
        </w:rPr>
      </w:pPr>
    </w:p>
    <w:p w14:paraId="159A42AB" w14:textId="77777777" w:rsidR="009379A1" w:rsidRPr="00514800" w:rsidRDefault="009379A1" w:rsidP="009379A1">
      <w:pPr>
        <w:pStyle w:val="Style1"/>
        <w:adjustRightInd/>
        <w:spacing w:line="360" w:lineRule="auto"/>
        <w:ind w:left="2268"/>
        <w:jc w:val="both"/>
        <w:rPr>
          <w:b/>
          <w:bCs/>
          <w:sz w:val="24"/>
          <w:szCs w:val="24"/>
          <w:u w:val="single"/>
          <w:lang w:val="es-ES_tradnl"/>
        </w:rPr>
      </w:pPr>
      <w:r>
        <w:rPr>
          <w:rFonts w:ascii="Bookman Old Style" w:hAnsi="Bookman Old Style" w:cs="Bookman Old Style"/>
          <w:sz w:val="24"/>
          <w:szCs w:val="24"/>
          <w:lang w:val="es-ES_tradnl"/>
        </w:rPr>
        <w:t>El Diputado</w:t>
      </w:r>
      <w:r w:rsidRPr="00514800">
        <w:rPr>
          <w:rFonts w:ascii="Bookman Old Style" w:hAnsi="Bookman Old Style" w:cs="Bookman Old Style"/>
          <w:sz w:val="24"/>
          <w:szCs w:val="24"/>
          <w:lang w:val="es-ES_tradnl"/>
        </w:rPr>
        <w:t xml:space="preserve"> que suscribe viene a someter a la consideración de este Honorable Congreso Nacional el siguiente:</w:t>
      </w:r>
      <w:r w:rsidRPr="00514800">
        <w:rPr>
          <w:b/>
          <w:bCs/>
          <w:sz w:val="24"/>
          <w:szCs w:val="24"/>
          <w:u w:val="single"/>
          <w:lang w:val="es-ES_tradnl"/>
        </w:rPr>
        <w:t xml:space="preserve"> </w:t>
      </w:r>
    </w:p>
    <w:p w14:paraId="59FC5311" w14:textId="77777777" w:rsidR="00825279" w:rsidRDefault="00825279" w:rsidP="00BB4376">
      <w:pPr>
        <w:pStyle w:val="Style1"/>
        <w:adjustRightInd/>
        <w:spacing w:line="360" w:lineRule="auto"/>
        <w:rPr>
          <w:b/>
          <w:bCs/>
          <w:sz w:val="24"/>
          <w:szCs w:val="24"/>
          <w:u w:val="single"/>
          <w:lang w:val="es-ES_tradnl"/>
        </w:rPr>
      </w:pPr>
    </w:p>
    <w:p w14:paraId="400B8ED0" w14:textId="77777777" w:rsidR="009379A1" w:rsidRDefault="0013384C" w:rsidP="00E93D25">
      <w:pPr>
        <w:spacing w:after="200" w:line="276" w:lineRule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br w:type="page"/>
      </w:r>
    </w:p>
    <w:p w14:paraId="1672A106" w14:textId="77777777" w:rsidR="00ED20EF" w:rsidRPr="00514800" w:rsidRDefault="00ED20EF" w:rsidP="00E93D25">
      <w:pPr>
        <w:spacing w:after="200" w:line="276" w:lineRule="auto"/>
        <w:rPr>
          <w:b/>
          <w:bCs/>
          <w:szCs w:val="24"/>
          <w:u w:val="single"/>
          <w:lang w:eastAsia="es-CL"/>
        </w:rPr>
      </w:pPr>
    </w:p>
    <w:p w14:paraId="46982664" w14:textId="77777777" w:rsidR="009379A1" w:rsidRPr="00514800" w:rsidRDefault="009379A1" w:rsidP="009379A1">
      <w:pPr>
        <w:pStyle w:val="Style1"/>
        <w:adjustRightInd/>
        <w:spacing w:line="360" w:lineRule="auto"/>
        <w:ind w:left="3816"/>
        <w:rPr>
          <w:b/>
          <w:bCs/>
          <w:sz w:val="24"/>
          <w:szCs w:val="24"/>
          <w:u w:val="single"/>
          <w:lang w:val="es-ES_tradnl"/>
        </w:rPr>
      </w:pPr>
      <w:r w:rsidRPr="00514800">
        <w:rPr>
          <w:b/>
          <w:bCs/>
          <w:sz w:val="24"/>
          <w:szCs w:val="24"/>
          <w:u w:val="single"/>
          <w:lang w:val="es-ES_tradnl"/>
        </w:rPr>
        <w:t>PROYECTO DE LEY</w:t>
      </w:r>
    </w:p>
    <w:p w14:paraId="5605A18B" w14:textId="77777777" w:rsidR="009379A1" w:rsidRPr="00514800" w:rsidRDefault="009379A1" w:rsidP="009379A1">
      <w:pPr>
        <w:pStyle w:val="Textoindependiente"/>
        <w:spacing w:line="360" w:lineRule="auto"/>
        <w:ind w:left="851"/>
        <w:rPr>
          <w:rFonts w:ascii="Bookman Old Style" w:hAnsi="Bookman Old Style"/>
          <w:szCs w:val="24"/>
          <w:lang w:val="es-CL"/>
        </w:rPr>
      </w:pPr>
    </w:p>
    <w:p w14:paraId="31133BD2" w14:textId="77777777" w:rsidR="009379A1" w:rsidRPr="00514800" w:rsidRDefault="009379A1" w:rsidP="009379A1">
      <w:pPr>
        <w:pStyle w:val="Textoindependiente"/>
        <w:spacing w:line="360" w:lineRule="auto"/>
        <w:ind w:left="851"/>
        <w:rPr>
          <w:rFonts w:ascii="Bookman Old Style" w:hAnsi="Bookman Old Style"/>
          <w:i/>
          <w:szCs w:val="24"/>
          <w:lang w:val="es-CL"/>
        </w:rPr>
      </w:pPr>
    </w:p>
    <w:p w14:paraId="49EAB776" w14:textId="77777777" w:rsidR="009379A1" w:rsidRDefault="00F04885" w:rsidP="00F04885">
      <w:pPr>
        <w:pStyle w:val="Textoindependiente"/>
        <w:spacing w:line="360" w:lineRule="auto"/>
        <w:ind w:left="2124" w:firstLine="2"/>
        <w:rPr>
          <w:rFonts w:ascii="Bookman Old Style" w:hAnsi="Bookman Old Style"/>
          <w:b w:val="0"/>
          <w:szCs w:val="24"/>
          <w:lang w:val="es-CL"/>
        </w:rPr>
      </w:pPr>
      <w:r>
        <w:rPr>
          <w:rFonts w:ascii="Bookman Old Style" w:hAnsi="Bookman Old Style"/>
          <w:szCs w:val="24"/>
          <w:lang w:val="es-CL"/>
        </w:rPr>
        <w:t xml:space="preserve">Artículo Único: </w:t>
      </w:r>
      <w:r>
        <w:rPr>
          <w:rFonts w:ascii="Bookman Old Style" w:hAnsi="Bookman Old Style"/>
          <w:b w:val="0"/>
          <w:szCs w:val="24"/>
          <w:lang w:val="es-CL"/>
        </w:rPr>
        <w:t>Agréguese un inciso segundo nuevo al Artículo 184 del Código del Trabajo</w:t>
      </w:r>
      <w:r w:rsidR="00C71784">
        <w:rPr>
          <w:rFonts w:ascii="Bookman Old Style" w:hAnsi="Bookman Old Style"/>
          <w:b w:val="0"/>
          <w:szCs w:val="24"/>
          <w:lang w:val="es-CL"/>
        </w:rPr>
        <w:t xml:space="preserve">, del siguiente tenor: </w:t>
      </w:r>
      <w:r>
        <w:rPr>
          <w:rFonts w:ascii="Bookman Old Style" w:hAnsi="Bookman Old Style"/>
          <w:b w:val="0"/>
          <w:szCs w:val="24"/>
          <w:lang w:val="es-CL"/>
        </w:rPr>
        <w:t xml:space="preserve"> </w:t>
      </w:r>
    </w:p>
    <w:p w14:paraId="4C8D1158" w14:textId="77777777" w:rsidR="00705FF2" w:rsidRDefault="00705FF2" w:rsidP="00F04885">
      <w:pPr>
        <w:pStyle w:val="Textoindependiente"/>
        <w:spacing w:line="360" w:lineRule="auto"/>
        <w:ind w:left="2124" w:firstLine="2"/>
        <w:rPr>
          <w:rFonts w:ascii="Bookman Old Style" w:hAnsi="Bookman Old Style"/>
          <w:b w:val="0"/>
          <w:szCs w:val="24"/>
          <w:lang w:val="es-CL"/>
        </w:rPr>
      </w:pPr>
    </w:p>
    <w:p w14:paraId="5ADF30E3" w14:textId="77777777" w:rsidR="00705FF2" w:rsidRDefault="00705FF2" w:rsidP="00F04885">
      <w:pPr>
        <w:pStyle w:val="Textoindependiente"/>
        <w:spacing w:line="360" w:lineRule="auto"/>
        <w:ind w:left="2124" w:firstLine="2"/>
        <w:rPr>
          <w:rFonts w:ascii="Bookman Old Style" w:hAnsi="Bookman Old Style"/>
          <w:b w:val="0"/>
          <w:i/>
          <w:szCs w:val="24"/>
          <w:lang w:val="es-CL"/>
        </w:rPr>
      </w:pPr>
      <w:r w:rsidRPr="00705FF2">
        <w:rPr>
          <w:rFonts w:ascii="Bookman Old Style" w:hAnsi="Bookman Old Style"/>
          <w:b w:val="0"/>
          <w:i/>
          <w:szCs w:val="24"/>
          <w:lang w:val="es-CL"/>
        </w:rPr>
        <w:t>“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Para garantizar este deber del empleador, se destinará </w:t>
      </w:r>
      <w:r w:rsidR="008F1A64">
        <w:rPr>
          <w:rFonts w:ascii="Bookman Old Style" w:hAnsi="Bookman Old Style"/>
          <w:b w:val="0"/>
          <w:i/>
          <w:szCs w:val="24"/>
          <w:lang w:val="es-CL"/>
        </w:rPr>
        <w:t>dos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 hora</w:t>
      </w:r>
      <w:r w:rsidR="008F1A64">
        <w:rPr>
          <w:rFonts w:ascii="Bookman Old Style" w:hAnsi="Bookman Old Style"/>
          <w:b w:val="0"/>
          <w:i/>
          <w:szCs w:val="24"/>
          <w:lang w:val="es-CL"/>
        </w:rPr>
        <w:t>s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 y media de la jornada laboral semanal para que los trabajadores</w:t>
      </w:r>
      <w:r w:rsidR="00A152CE">
        <w:rPr>
          <w:rFonts w:ascii="Bookman Old Style" w:hAnsi="Bookman Old Style"/>
          <w:b w:val="0"/>
          <w:i/>
          <w:szCs w:val="24"/>
          <w:lang w:val="es-CL"/>
        </w:rPr>
        <w:t xml:space="preserve"> que se encuentran contratados en </w:t>
      </w:r>
      <w:r w:rsidR="00EA0DC0">
        <w:rPr>
          <w:rFonts w:ascii="Bookman Old Style" w:hAnsi="Bookman Old Style"/>
          <w:b w:val="0"/>
          <w:i/>
          <w:szCs w:val="24"/>
          <w:lang w:val="es-CL"/>
        </w:rPr>
        <w:t xml:space="preserve">una </w:t>
      </w:r>
      <w:r w:rsidR="00A152CE">
        <w:rPr>
          <w:rFonts w:ascii="Bookman Old Style" w:hAnsi="Bookman Old Style"/>
          <w:b w:val="0"/>
          <w:i/>
          <w:szCs w:val="24"/>
          <w:lang w:val="es-CL"/>
        </w:rPr>
        <w:t>jornada a tiempo completo</w:t>
      </w:r>
      <w:r w:rsidR="00EA0DC0">
        <w:rPr>
          <w:rFonts w:ascii="Bookman Old Style" w:hAnsi="Bookman Old Style"/>
          <w:b w:val="0"/>
          <w:i/>
          <w:szCs w:val="24"/>
          <w:lang w:val="es-CL"/>
        </w:rPr>
        <w:t xml:space="preserve"> cuyo número supere los 19 empleados</w:t>
      </w:r>
      <w:r w:rsidR="00A152CE">
        <w:rPr>
          <w:rFonts w:ascii="Bookman Old Style" w:hAnsi="Bookman Old Style"/>
          <w:b w:val="0"/>
          <w:i/>
          <w:szCs w:val="24"/>
          <w:lang w:val="es-CL"/>
        </w:rPr>
        <w:t>,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 dediquen este tiempo en realizar una </w:t>
      </w:r>
      <w:r w:rsidR="001F6FEA">
        <w:rPr>
          <w:rFonts w:ascii="Bookman Old Style" w:hAnsi="Bookman Old Style"/>
          <w:b w:val="0"/>
          <w:i/>
          <w:szCs w:val="24"/>
          <w:lang w:val="es-CL"/>
        </w:rPr>
        <w:t xml:space="preserve">actividad deportiva 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de </w:t>
      </w:r>
      <w:r w:rsidR="00BB4376">
        <w:rPr>
          <w:rFonts w:ascii="Bookman Old Style" w:hAnsi="Bookman Old Style"/>
          <w:b w:val="0"/>
          <w:i/>
          <w:szCs w:val="24"/>
          <w:lang w:val="es-CL"/>
        </w:rPr>
        <w:t xml:space="preserve">cincuenta 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>minutos</w:t>
      </w:r>
      <w:r w:rsidR="00EA1D1B">
        <w:rPr>
          <w:rFonts w:ascii="Bookman Old Style" w:hAnsi="Bookman Old Style"/>
          <w:b w:val="0"/>
          <w:i/>
          <w:szCs w:val="24"/>
          <w:lang w:val="es-CL"/>
        </w:rPr>
        <w:t>,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 xml:space="preserve"> </w:t>
      </w:r>
      <w:r w:rsidR="00BB4376">
        <w:rPr>
          <w:rFonts w:ascii="Bookman Old Style" w:hAnsi="Bookman Old Style"/>
          <w:b w:val="0"/>
          <w:i/>
          <w:szCs w:val="24"/>
          <w:lang w:val="es-CL"/>
        </w:rPr>
        <w:t>tres veces por semana</w:t>
      </w:r>
      <w:r w:rsidR="003720F7">
        <w:rPr>
          <w:rFonts w:ascii="Bookman Old Style" w:hAnsi="Bookman Old Style"/>
          <w:b w:val="0"/>
          <w:i/>
          <w:szCs w:val="24"/>
          <w:lang w:val="es-CL"/>
        </w:rPr>
        <w:t>, los que no podrán administrarse ni al inicio ni al término de la jornada laboral diaria.</w:t>
      </w:r>
      <w:r w:rsidR="009A38A1">
        <w:rPr>
          <w:rFonts w:ascii="Bookman Old Style" w:hAnsi="Bookman Old Style"/>
          <w:b w:val="0"/>
          <w:i/>
          <w:szCs w:val="24"/>
          <w:lang w:val="es-CL"/>
        </w:rPr>
        <w:t xml:space="preserve"> </w:t>
      </w:r>
    </w:p>
    <w:p w14:paraId="3F635F17" w14:textId="77777777" w:rsidR="001453CA" w:rsidRDefault="009A38A1" w:rsidP="00F04885">
      <w:pPr>
        <w:pStyle w:val="Textoindependiente"/>
        <w:spacing w:line="360" w:lineRule="auto"/>
        <w:ind w:left="2124" w:firstLine="2"/>
        <w:rPr>
          <w:rFonts w:ascii="Bookman Old Style" w:hAnsi="Bookman Old Style"/>
          <w:b w:val="0"/>
          <w:i/>
          <w:szCs w:val="24"/>
          <w:lang w:val="es-CL"/>
        </w:rPr>
      </w:pPr>
      <w:r>
        <w:rPr>
          <w:rFonts w:ascii="Bookman Old Style" w:hAnsi="Bookman Old Style"/>
          <w:b w:val="0"/>
          <w:i/>
          <w:szCs w:val="24"/>
          <w:lang w:val="es-CL"/>
        </w:rPr>
        <w:t xml:space="preserve">Esta </w:t>
      </w:r>
      <w:r w:rsidR="00880095">
        <w:rPr>
          <w:rFonts w:ascii="Bookman Old Style" w:hAnsi="Bookman Old Style"/>
          <w:b w:val="0"/>
          <w:i/>
          <w:szCs w:val="24"/>
          <w:lang w:val="es-CL"/>
        </w:rPr>
        <w:t xml:space="preserve">actividad deportiva </w:t>
      </w:r>
      <w:r w:rsidR="008F1A64">
        <w:rPr>
          <w:rFonts w:ascii="Bookman Old Style" w:hAnsi="Bookman Old Style"/>
          <w:b w:val="0"/>
          <w:i/>
          <w:szCs w:val="24"/>
          <w:lang w:val="es-CL"/>
        </w:rPr>
        <w:t>podrá estar</w:t>
      </w:r>
      <w:r>
        <w:rPr>
          <w:rFonts w:ascii="Bookman Old Style" w:hAnsi="Bookman Old Style"/>
          <w:b w:val="0"/>
          <w:i/>
          <w:szCs w:val="24"/>
          <w:lang w:val="es-CL"/>
        </w:rPr>
        <w:t xml:space="preserve"> dirigida por una persona con conocimientos de la actividad física </w:t>
      </w:r>
      <w:r w:rsidR="00ED04B9">
        <w:rPr>
          <w:rFonts w:ascii="Bookman Old Style" w:hAnsi="Bookman Old Style"/>
          <w:b w:val="0"/>
          <w:i/>
          <w:szCs w:val="24"/>
          <w:lang w:val="es-CL"/>
        </w:rPr>
        <w:t xml:space="preserve">para lo cual el empleador podrá </w:t>
      </w:r>
      <w:r>
        <w:rPr>
          <w:rFonts w:ascii="Bookman Old Style" w:hAnsi="Bookman Old Style"/>
          <w:b w:val="0"/>
          <w:i/>
          <w:szCs w:val="24"/>
          <w:lang w:val="es-CL"/>
        </w:rPr>
        <w:t>celeb</w:t>
      </w:r>
      <w:r w:rsidR="00ED20EF">
        <w:rPr>
          <w:rFonts w:ascii="Bookman Old Style" w:hAnsi="Bookman Old Style"/>
          <w:b w:val="0"/>
          <w:i/>
          <w:szCs w:val="24"/>
          <w:lang w:val="es-CL"/>
        </w:rPr>
        <w:t xml:space="preserve">rar </w:t>
      </w:r>
      <w:r w:rsidR="00ED04B9">
        <w:rPr>
          <w:rFonts w:ascii="Bookman Old Style" w:hAnsi="Bookman Old Style"/>
          <w:b w:val="0"/>
          <w:i/>
          <w:szCs w:val="24"/>
          <w:lang w:val="es-CL"/>
        </w:rPr>
        <w:t xml:space="preserve">convenios </w:t>
      </w:r>
      <w:r>
        <w:rPr>
          <w:rFonts w:ascii="Bookman Old Style" w:hAnsi="Bookman Old Style"/>
          <w:b w:val="0"/>
          <w:i/>
          <w:szCs w:val="24"/>
          <w:lang w:val="es-CL"/>
        </w:rPr>
        <w:t>con las Escuelas de Salud o Deportes de las casas de estudios Técnicas de Nivel Superior o Profesionales</w:t>
      </w:r>
      <w:r w:rsidR="00F018DA">
        <w:rPr>
          <w:rFonts w:ascii="Bookman Old Style" w:hAnsi="Bookman Old Style"/>
          <w:b w:val="0"/>
          <w:i/>
          <w:szCs w:val="24"/>
          <w:lang w:val="es-CL"/>
        </w:rPr>
        <w:t xml:space="preserve"> a fin de que se realice en un espacio físico </w:t>
      </w:r>
      <w:r w:rsidR="00ED04B9">
        <w:rPr>
          <w:rFonts w:ascii="Bookman Old Style" w:hAnsi="Bookman Old Style"/>
          <w:b w:val="0"/>
          <w:i/>
          <w:szCs w:val="24"/>
          <w:lang w:val="es-CL"/>
        </w:rPr>
        <w:t xml:space="preserve">dentro </w:t>
      </w:r>
      <w:r w:rsidR="00F018DA">
        <w:rPr>
          <w:rFonts w:ascii="Bookman Old Style" w:hAnsi="Bookman Old Style"/>
          <w:b w:val="0"/>
          <w:i/>
          <w:szCs w:val="24"/>
          <w:lang w:val="es-CL"/>
        </w:rPr>
        <w:t>de la misma institución o un sitio externo a esta</w:t>
      </w:r>
      <w:r w:rsidR="00ED04B9">
        <w:rPr>
          <w:rFonts w:ascii="Bookman Old Style" w:hAnsi="Bookman Old Style"/>
          <w:b w:val="0"/>
          <w:i/>
          <w:szCs w:val="24"/>
          <w:lang w:val="es-CL"/>
        </w:rPr>
        <w:t>, podrá también proporcionar convenios para sus trabajadores con instituciones especializadas al efecto</w:t>
      </w:r>
      <w:r w:rsidR="00923D4E">
        <w:rPr>
          <w:rFonts w:ascii="Bookman Old Style" w:hAnsi="Bookman Old Style"/>
          <w:b w:val="0"/>
          <w:i/>
          <w:szCs w:val="24"/>
          <w:lang w:val="es-CL"/>
        </w:rPr>
        <w:t xml:space="preserve"> o, proveer libertad al trabajador para ejercer esta función libremente en donde éste lo determine.</w:t>
      </w:r>
      <w:r w:rsidR="00ED04B9">
        <w:rPr>
          <w:rFonts w:ascii="Bookman Old Style" w:hAnsi="Bookman Old Style"/>
          <w:b w:val="0"/>
          <w:i/>
          <w:szCs w:val="24"/>
          <w:lang w:val="es-CL"/>
        </w:rPr>
        <w:t xml:space="preserve"> </w:t>
      </w:r>
    </w:p>
    <w:p w14:paraId="6243BB09" w14:textId="77777777" w:rsidR="009A38A1" w:rsidRPr="00705FF2" w:rsidRDefault="001453CA" w:rsidP="00F04885">
      <w:pPr>
        <w:pStyle w:val="Textoindependiente"/>
        <w:spacing w:line="360" w:lineRule="auto"/>
        <w:ind w:left="2124" w:firstLine="2"/>
        <w:rPr>
          <w:rFonts w:ascii="Bookman Old Style" w:hAnsi="Bookman Old Style"/>
          <w:b w:val="0"/>
          <w:i/>
          <w:szCs w:val="24"/>
          <w:lang w:val="es-CL"/>
        </w:rPr>
      </w:pPr>
      <w:r w:rsidRPr="001453CA">
        <w:rPr>
          <w:rFonts w:ascii="Bookman Old Style" w:hAnsi="Bookman Old Style"/>
          <w:b w:val="0"/>
          <w:i/>
          <w:szCs w:val="24"/>
          <w:lang w:val="es-CL"/>
        </w:rPr>
        <w:t xml:space="preserve">Se podrá reclamar ante la Inspección del Trabajo por la negativa injustificada del empleador a </w:t>
      </w:r>
      <w:r>
        <w:rPr>
          <w:rFonts w:ascii="Bookman Old Style" w:hAnsi="Bookman Old Style"/>
          <w:b w:val="0"/>
          <w:i/>
          <w:szCs w:val="24"/>
          <w:lang w:val="es-CL"/>
        </w:rPr>
        <w:t>cumplir con este deber de protección al trabajador</w:t>
      </w:r>
      <w:r w:rsidR="009A38A1">
        <w:rPr>
          <w:rFonts w:ascii="Bookman Old Style" w:hAnsi="Bookman Old Style"/>
          <w:b w:val="0"/>
          <w:i/>
          <w:szCs w:val="24"/>
          <w:lang w:val="es-CL"/>
        </w:rPr>
        <w:t>”</w:t>
      </w:r>
    </w:p>
    <w:p w14:paraId="5B6B45A0" w14:textId="77777777" w:rsidR="009379A1" w:rsidRDefault="009379A1" w:rsidP="009379A1">
      <w:pPr>
        <w:pStyle w:val="Textoindependiente"/>
        <w:spacing w:line="360" w:lineRule="auto"/>
        <w:ind w:left="851"/>
        <w:rPr>
          <w:rFonts w:ascii="Bookman Old Style" w:hAnsi="Bookman Old Style"/>
          <w:szCs w:val="24"/>
          <w:lang w:val="es-CL"/>
        </w:rPr>
      </w:pPr>
    </w:p>
    <w:p w14:paraId="3D5AE08B" w14:textId="77777777" w:rsidR="009379A1" w:rsidRDefault="009379A1" w:rsidP="009379A1">
      <w:pPr>
        <w:pStyle w:val="Textoindependiente"/>
        <w:spacing w:line="360" w:lineRule="auto"/>
        <w:ind w:left="708" w:hanging="708"/>
        <w:rPr>
          <w:rFonts w:ascii="Bookman Old Style" w:hAnsi="Bookman Old Style"/>
          <w:szCs w:val="24"/>
          <w:lang w:val="es-CL"/>
        </w:rPr>
      </w:pPr>
    </w:p>
    <w:p w14:paraId="62651108" w14:textId="77777777" w:rsidR="00825279" w:rsidRDefault="00825279" w:rsidP="009379A1">
      <w:pPr>
        <w:pStyle w:val="Textoindependiente"/>
        <w:spacing w:line="360" w:lineRule="auto"/>
        <w:ind w:left="708" w:hanging="708"/>
        <w:rPr>
          <w:rFonts w:ascii="Bookman Old Style" w:hAnsi="Bookman Old Style"/>
          <w:szCs w:val="24"/>
          <w:lang w:val="es-CL"/>
        </w:rPr>
      </w:pPr>
    </w:p>
    <w:p w14:paraId="5A4B4642" w14:textId="77777777" w:rsidR="00825279" w:rsidRPr="00514800" w:rsidRDefault="00825279" w:rsidP="009379A1">
      <w:pPr>
        <w:pStyle w:val="Textoindependiente"/>
        <w:spacing w:line="360" w:lineRule="auto"/>
        <w:ind w:left="708" w:hanging="708"/>
        <w:rPr>
          <w:rFonts w:ascii="Bookman Old Style" w:hAnsi="Bookman Old Style"/>
          <w:szCs w:val="24"/>
          <w:lang w:val="es-CL"/>
        </w:rPr>
      </w:pPr>
    </w:p>
    <w:p w14:paraId="14D33077" w14:textId="77777777" w:rsidR="009379A1" w:rsidRPr="00514800" w:rsidRDefault="009379A1" w:rsidP="009379A1">
      <w:pPr>
        <w:pStyle w:val="Textoindependiente"/>
        <w:spacing w:line="360" w:lineRule="auto"/>
        <w:ind w:left="851"/>
        <w:rPr>
          <w:rFonts w:ascii="Bookman Old Style" w:hAnsi="Bookman Old Style"/>
          <w:b w:val="0"/>
          <w:szCs w:val="24"/>
          <w:lang w:val="es-CL"/>
        </w:rPr>
      </w:pPr>
      <w:r w:rsidRPr="00514800">
        <w:rPr>
          <w:rFonts w:ascii="Bookman Old Style" w:hAnsi="Bookman Old Style"/>
          <w:b w:val="0"/>
          <w:szCs w:val="24"/>
          <w:lang w:val="es-CL"/>
        </w:rPr>
        <w:tab/>
      </w:r>
      <w:r w:rsidRPr="00514800">
        <w:rPr>
          <w:rFonts w:ascii="Bookman Old Style" w:hAnsi="Bookman Old Style"/>
          <w:b w:val="0"/>
          <w:szCs w:val="24"/>
          <w:lang w:val="es-CL"/>
        </w:rPr>
        <w:tab/>
      </w:r>
      <w:r w:rsidRPr="00514800">
        <w:rPr>
          <w:rFonts w:ascii="Bookman Old Style" w:hAnsi="Bookman Old Style"/>
          <w:b w:val="0"/>
          <w:szCs w:val="24"/>
          <w:lang w:val="es-CL"/>
        </w:rPr>
        <w:tab/>
      </w:r>
      <w:r w:rsidRPr="00514800">
        <w:rPr>
          <w:rFonts w:ascii="Bookman Old Style" w:hAnsi="Bookman Old Style"/>
          <w:b w:val="0"/>
          <w:szCs w:val="24"/>
          <w:lang w:val="es-CL"/>
        </w:rPr>
        <w:tab/>
      </w:r>
      <w:r>
        <w:rPr>
          <w:rFonts w:ascii="Bookman Old Style" w:hAnsi="Bookman Old Style"/>
          <w:b w:val="0"/>
          <w:szCs w:val="24"/>
          <w:lang w:val="es-CL"/>
        </w:rPr>
        <w:t>Sebastián Keitel B.</w:t>
      </w:r>
      <w:r w:rsidRPr="00514800">
        <w:rPr>
          <w:rFonts w:ascii="Bookman Old Style" w:hAnsi="Bookman Old Style"/>
          <w:b w:val="0"/>
          <w:szCs w:val="24"/>
          <w:lang w:val="es-CL"/>
        </w:rPr>
        <w:t xml:space="preserve"> </w:t>
      </w:r>
    </w:p>
    <w:p w14:paraId="04F6FA95" w14:textId="77777777" w:rsidR="009379A1" w:rsidRPr="00514800" w:rsidRDefault="009379A1" w:rsidP="009379A1">
      <w:pPr>
        <w:pStyle w:val="Textoindependiente"/>
        <w:spacing w:line="360" w:lineRule="auto"/>
        <w:ind w:left="851"/>
        <w:rPr>
          <w:rFonts w:ascii="Bookman Old Style" w:hAnsi="Bookman Old Style"/>
          <w:b w:val="0"/>
          <w:szCs w:val="24"/>
          <w:lang w:val="es-CL"/>
        </w:rPr>
      </w:pPr>
      <w:r>
        <w:rPr>
          <w:rFonts w:ascii="Bookman Old Style" w:hAnsi="Bookman Old Style"/>
          <w:b w:val="0"/>
          <w:szCs w:val="24"/>
          <w:lang w:val="es-CL"/>
        </w:rPr>
        <w:tab/>
      </w:r>
      <w:r>
        <w:rPr>
          <w:rFonts w:ascii="Bookman Old Style" w:hAnsi="Bookman Old Style"/>
          <w:b w:val="0"/>
          <w:szCs w:val="24"/>
          <w:lang w:val="es-CL"/>
        </w:rPr>
        <w:tab/>
      </w:r>
      <w:r>
        <w:rPr>
          <w:rFonts w:ascii="Bookman Old Style" w:hAnsi="Bookman Old Style"/>
          <w:b w:val="0"/>
          <w:szCs w:val="24"/>
          <w:lang w:val="es-CL"/>
        </w:rPr>
        <w:tab/>
      </w:r>
      <w:r>
        <w:rPr>
          <w:rFonts w:ascii="Bookman Old Style" w:hAnsi="Bookman Old Style"/>
          <w:b w:val="0"/>
          <w:szCs w:val="24"/>
          <w:lang w:val="es-CL"/>
        </w:rPr>
        <w:tab/>
        <w:t xml:space="preserve">      Diputado</w:t>
      </w:r>
    </w:p>
    <w:p w14:paraId="11F7E632" w14:textId="77777777" w:rsidR="009379A1" w:rsidRDefault="009379A1" w:rsidP="009379A1"/>
    <w:p w14:paraId="6E46CB40" w14:textId="77777777" w:rsidR="009379A1" w:rsidRDefault="009379A1"/>
    <w:p w14:paraId="2CF05435" w14:textId="77777777" w:rsidR="003836C1" w:rsidRPr="009379A1" w:rsidRDefault="009379A1" w:rsidP="009379A1">
      <w:pPr>
        <w:tabs>
          <w:tab w:val="left" w:pos="7652"/>
        </w:tabs>
      </w:pPr>
      <w:r>
        <w:tab/>
      </w:r>
    </w:p>
    <w:sectPr w:rsidR="003836C1" w:rsidRPr="009379A1" w:rsidSect="00BB4376">
      <w:headerReference w:type="default" r:id="rId7"/>
      <w:footerReference w:type="default" r:id="rId8"/>
      <w:pgSz w:w="12240" w:h="20160" w:code="5"/>
      <w:pgMar w:top="1701" w:right="1701" w:bottom="1701" w:left="1701" w:header="850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2E92" w14:textId="77777777" w:rsidR="00D77B79" w:rsidRDefault="00D77B79" w:rsidP="009379A1">
      <w:r>
        <w:separator/>
      </w:r>
    </w:p>
  </w:endnote>
  <w:endnote w:type="continuationSeparator" w:id="0">
    <w:p w14:paraId="31938D62" w14:textId="77777777" w:rsidR="00D77B79" w:rsidRDefault="00D77B79" w:rsidP="0093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3591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436D1520" w14:textId="77777777" w:rsidR="00DF5471" w:rsidRDefault="00EA1D1B" w:rsidP="00DF5471">
            <w:pPr>
              <w:pStyle w:val="Piedepgina"/>
              <w:rPr>
                <w:b/>
                <w:bCs/>
                <w:szCs w:val="24"/>
              </w:rPr>
            </w:pPr>
            <w:r w:rsidRPr="009379A1">
              <w:rPr>
                <w:sz w:val="20"/>
                <w:lang w:val="es-ES"/>
              </w:rPr>
              <w:t>Valeria Ramírez J. Abogado</w:t>
            </w:r>
            <w:r w:rsidR="009379A1" w:rsidRPr="009379A1">
              <w:rPr>
                <w:sz w:val="20"/>
                <w:lang w:val="es-ES"/>
              </w:rPr>
              <w:t xml:space="preserve">. </w:t>
            </w:r>
            <w:hyperlink r:id="rId1" w:history="1">
              <w:r w:rsidR="00B2151D" w:rsidRPr="00715781">
                <w:rPr>
                  <w:rStyle w:val="Hipervnculo"/>
                  <w:sz w:val="20"/>
                  <w:lang w:val="es-ES"/>
                </w:rPr>
                <w:t>asesora.sebastiankeitel@congreso.cl</w:t>
              </w:r>
            </w:hyperlink>
            <w:r w:rsidR="009379A1">
              <w:rPr>
                <w:sz w:val="16"/>
                <w:szCs w:val="16"/>
                <w:lang w:val="es-ES"/>
              </w:rPr>
              <w:t xml:space="preserve"> </w:t>
            </w:r>
            <w:r w:rsidRPr="00DF5471">
              <w:rPr>
                <w:sz w:val="16"/>
                <w:szCs w:val="16"/>
                <w:lang w:val="es-ES"/>
              </w:rPr>
              <w:t xml:space="preserve"> </w:t>
            </w:r>
            <w:r w:rsidR="009379A1">
              <w:rPr>
                <w:lang w:val="es-ES"/>
              </w:rPr>
              <w:tab/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C4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C4A6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4AD052C0" w14:textId="77777777" w:rsidR="00DF5471" w:rsidRDefault="00CD26A4" w:rsidP="00DF5471">
            <w:pPr>
              <w:pStyle w:val="Piedepgina"/>
            </w:pPr>
          </w:p>
        </w:sdtContent>
      </w:sdt>
    </w:sdtContent>
  </w:sdt>
  <w:p w14:paraId="35037FB2" w14:textId="77777777" w:rsidR="00B15701" w:rsidRDefault="00CD26A4" w:rsidP="00B2151D">
    <w:pPr>
      <w:pStyle w:val="Piedepgina"/>
      <w:tabs>
        <w:tab w:val="clear" w:pos="4419"/>
        <w:tab w:val="clear" w:pos="8838"/>
        <w:tab w:val="left" w:pos="1978"/>
        <w:tab w:val="left" w:pos="295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35C5" w14:textId="77777777" w:rsidR="00D77B79" w:rsidRDefault="00D77B79" w:rsidP="009379A1">
      <w:r>
        <w:separator/>
      </w:r>
    </w:p>
  </w:footnote>
  <w:footnote w:type="continuationSeparator" w:id="0">
    <w:p w14:paraId="375A8FAD" w14:textId="77777777" w:rsidR="00D77B79" w:rsidRDefault="00D77B79" w:rsidP="009379A1">
      <w:r>
        <w:continuationSeparator/>
      </w:r>
    </w:p>
  </w:footnote>
  <w:footnote w:id="1">
    <w:p w14:paraId="7C88B358" w14:textId="77777777" w:rsidR="00F012A8" w:rsidRDefault="00F012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B2B45">
        <w:t xml:space="preserve">El Estado de la Seguridad Alimentaria y la nutrición en el Mundo. Organización de las Naciones Unidas para la alimentación y la Agricultura. </w:t>
      </w:r>
      <w:hyperlink r:id="rId1" w:history="1">
        <w:r w:rsidRPr="00D27F32">
          <w:rPr>
            <w:rStyle w:val="Hipervnculo"/>
          </w:rPr>
          <w:t>http://www.fao.org/3/I9553ES/i9553es.pdf</w:t>
        </w:r>
      </w:hyperlink>
      <w:r>
        <w:t xml:space="preserve"> </w:t>
      </w:r>
    </w:p>
    <w:p w14:paraId="2355354D" w14:textId="77777777" w:rsidR="00F012A8" w:rsidRDefault="00F012A8">
      <w:pPr>
        <w:pStyle w:val="Textonotapie"/>
      </w:pPr>
    </w:p>
    <w:p w14:paraId="16EA880B" w14:textId="77777777" w:rsidR="00F012A8" w:rsidRPr="00F012A8" w:rsidRDefault="00F012A8">
      <w:pPr>
        <w:pStyle w:val="Textonotapie"/>
        <w:rPr>
          <w:lang w:val="es-CL"/>
        </w:rPr>
      </w:pPr>
    </w:p>
  </w:footnote>
  <w:footnote w:id="2">
    <w:p w14:paraId="3E71C2E5" w14:textId="77777777" w:rsidR="00C5783B" w:rsidRPr="006458AA" w:rsidRDefault="00C5783B" w:rsidP="00C5783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6458AA">
        <w:t xml:space="preserve"> </w:t>
      </w:r>
      <w:r>
        <w:t>La OMS alerta de que el sedentarismo pone en peligro a una cuarta parte de la población adulta en el mundo</w:t>
      </w:r>
      <w:r w:rsidR="006458AA">
        <w:t xml:space="preserve">. </w:t>
      </w:r>
      <w:hyperlink r:id="rId2" w:history="1">
        <w:r w:rsidR="006458AA" w:rsidRPr="00D27F32">
          <w:rPr>
            <w:rStyle w:val="Hipervnculo"/>
          </w:rPr>
          <w:t>https://www.elmundo.es/salud/2018/09/05/5b8faa94268e3e03278b4575.html</w:t>
        </w:r>
      </w:hyperlink>
      <w:r w:rsidR="006458AA">
        <w:t xml:space="preserve"> </w:t>
      </w:r>
    </w:p>
  </w:footnote>
  <w:footnote w:id="3">
    <w:p w14:paraId="2D4EAE2C" w14:textId="77777777" w:rsidR="00AB5900" w:rsidRPr="00AB5900" w:rsidRDefault="00AB590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AB5900">
        <w:t xml:space="preserve"> Juan Almonte</w:t>
      </w:r>
      <w:r>
        <w:t xml:space="preserve">, </w:t>
      </w:r>
      <w:r w:rsidR="008A008C" w:rsidRPr="008A008C">
        <w:t>psiquiatra en el Hospital del Trabajador, el académico de la Facultad de Medicina y director de la ONG Médicos Sin Marca</w:t>
      </w:r>
      <w:r w:rsidR="008A008C">
        <w:t xml:space="preserve">. </w:t>
      </w:r>
      <w:hyperlink r:id="rId3" w:history="1">
        <w:r w:rsidR="00111DFC" w:rsidRPr="00FD4A4A">
          <w:rPr>
            <w:rStyle w:val="Hipervnculo"/>
          </w:rPr>
          <w:t>https://radio.uchile.cl/2018/10/10/licencias-psiquiatricas-alcanzan-el-27-por-ciento-del-gasto-por-reposo-medico-en-chile/</w:t>
        </w:r>
      </w:hyperlink>
      <w:r w:rsidR="00111DFC">
        <w:t xml:space="preserve"> </w:t>
      </w:r>
    </w:p>
  </w:footnote>
  <w:footnote w:id="4">
    <w:p w14:paraId="3E7CA5CD" w14:textId="77777777" w:rsidR="00741759" w:rsidRPr="00741759" w:rsidRDefault="00741759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741759">
        <w:t>Estudio calcula que este año Chile gastará 0,5% del PIB por causa de la obesidad</w:t>
      </w:r>
      <w:r>
        <w:t xml:space="preserve"> </w:t>
      </w:r>
      <w:hyperlink r:id="rId4" w:history="1">
        <w:r w:rsidR="0068617E" w:rsidRPr="00FD4A4A">
          <w:rPr>
            <w:rStyle w:val="Hipervnculo"/>
          </w:rPr>
          <w:t>https://www.latercera.com/noticia/estudio-calcula-este-ano-chile-gastara-05-del-pib-causa-la-obesidad/</w:t>
        </w:r>
      </w:hyperlink>
      <w:r>
        <w:t xml:space="preserve"> </w:t>
      </w:r>
    </w:p>
  </w:footnote>
  <w:footnote w:id="5">
    <w:p w14:paraId="4EF17ED1" w14:textId="77777777" w:rsidR="00892437" w:rsidRDefault="00892437">
      <w:pPr>
        <w:pStyle w:val="Textonotapie"/>
      </w:pPr>
      <w:r>
        <w:rPr>
          <w:rStyle w:val="Refdenotaalpie"/>
        </w:rPr>
        <w:footnoteRef/>
      </w:r>
      <w:r>
        <w:t xml:space="preserve"> Organización Mundial de Salud y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. “Prevención de las enfermedades no trasmisibles en el lugar de trabajo a través del régimen alimentario y la actividad física”. Informe sobre un evento conjunto. Disponible en </w:t>
      </w:r>
      <w:hyperlink r:id="rId5" w:history="1">
        <w:r w:rsidRPr="00D27F32">
          <w:rPr>
            <w:rStyle w:val="Hipervnculo"/>
          </w:rPr>
          <w:t>http://www.who.int/dietphysicalactivity/workplace-report-spanish.pdf</w:t>
        </w:r>
      </w:hyperlink>
      <w:r>
        <w:t xml:space="preserve">  </w:t>
      </w:r>
    </w:p>
    <w:p w14:paraId="219AED7F" w14:textId="77777777" w:rsidR="00892437" w:rsidRDefault="00892437">
      <w:pPr>
        <w:pStyle w:val="Textonotapie"/>
      </w:pPr>
    </w:p>
    <w:p w14:paraId="4F95E53F" w14:textId="77777777" w:rsidR="00892437" w:rsidRPr="00892437" w:rsidRDefault="00892437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5ADB" w14:textId="77777777" w:rsidR="00383012" w:rsidRPr="009379A1" w:rsidRDefault="00EA1D1B" w:rsidP="00383012">
    <w:pPr>
      <w:pStyle w:val="Encabezado"/>
      <w:jc w:val="right"/>
      <w:rPr>
        <w:sz w:val="20"/>
      </w:rPr>
    </w:pPr>
    <w:r w:rsidRPr="009379A1">
      <w:rPr>
        <w:noProof/>
        <w:sz w:val="20"/>
        <w:lang w:val="es-CL" w:eastAsia="es-CL"/>
      </w:rPr>
      <w:drawing>
        <wp:anchor distT="0" distB="0" distL="114300" distR="114300" simplePos="0" relativeHeight="251659264" behindDoc="1" locked="0" layoutInCell="1" allowOverlap="1" wp14:anchorId="7221AF5D" wp14:editId="115171D5">
          <wp:simplePos x="0" y="0"/>
          <wp:positionH relativeFrom="margin">
            <wp:posOffset>-978</wp:posOffset>
          </wp:positionH>
          <wp:positionV relativeFrom="paragraph">
            <wp:posOffset>-111211</wp:posOffset>
          </wp:positionV>
          <wp:extent cx="749643" cy="725088"/>
          <wp:effectExtent l="0" t="0" r="0" b="0"/>
          <wp:wrapNone/>
          <wp:docPr id="2" name="Imagen 2" descr="Esc ByN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 ByN Pape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97" cy="740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A1">
      <w:rPr>
        <w:sz w:val="20"/>
      </w:rPr>
      <w:t>Diputado Sebastián Keitel B.</w:t>
    </w:r>
  </w:p>
  <w:p w14:paraId="39FE3AB5" w14:textId="77777777" w:rsidR="00383012" w:rsidRPr="009379A1" w:rsidRDefault="00EA1D1B" w:rsidP="00383012">
    <w:pPr>
      <w:pStyle w:val="Encabezado"/>
      <w:jc w:val="right"/>
      <w:rPr>
        <w:sz w:val="20"/>
      </w:rPr>
    </w:pPr>
    <w:r w:rsidRPr="009379A1">
      <w:rPr>
        <w:sz w:val="20"/>
      </w:rPr>
      <w:t>Cámara de Diputados de Chile</w:t>
    </w:r>
  </w:p>
  <w:p w14:paraId="691EFF9A" w14:textId="77777777" w:rsidR="00383012" w:rsidRPr="009379A1" w:rsidRDefault="00EA1D1B" w:rsidP="00383012">
    <w:pPr>
      <w:pStyle w:val="Encabezado"/>
      <w:jc w:val="right"/>
      <w:rPr>
        <w:sz w:val="20"/>
      </w:rPr>
    </w:pPr>
    <w:r w:rsidRPr="009379A1">
      <w:rPr>
        <w:sz w:val="20"/>
      </w:rPr>
      <w:t xml:space="preserve">Valparaíso, </w:t>
    </w:r>
    <w:r w:rsidR="005B035D">
      <w:rPr>
        <w:sz w:val="20"/>
      </w:rPr>
      <w:t xml:space="preserve">lunes 27 </w:t>
    </w:r>
    <w:r w:rsidR="00FA52F3">
      <w:rPr>
        <w:sz w:val="20"/>
      </w:rPr>
      <w:t xml:space="preserve">de </w:t>
    </w:r>
    <w:proofErr w:type="gramStart"/>
    <w:r w:rsidR="009379A1" w:rsidRPr="009379A1">
      <w:rPr>
        <w:sz w:val="20"/>
      </w:rPr>
      <w:t>Noviembre</w:t>
    </w:r>
    <w:proofErr w:type="gramEnd"/>
    <w:r w:rsidR="009379A1" w:rsidRPr="009379A1">
      <w:rPr>
        <w:sz w:val="20"/>
      </w:rPr>
      <w:t xml:space="preserve"> </w:t>
    </w:r>
    <w:r w:rsidRPr="009379A1">
      <w:rPr>
        <w:sz w:val="20"/>
      </w:rPr>
      <w:t>de 2018</w:t>
    </w:r>
  </w:p>
  <w:p w14:paraId="6540AC95" w14:textId="77777777" w:rsidR="00B15701" w:rsidRDefault="00CD26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A1"/>
    <w:rsid w:val="000939C1"/>
    <w:rsid w:val="000A501B"/>
    <w:rsid w:val="00111DFC"/>
    <w:rsid w:val="0013384C"/>
    <w:rsid w:val="001453CA"/>
    <w:rsid w:val="00165A7C"/>
    <w:rsid w:val="00175456"/>
    <w:rsid w:val="00184488"/>
    <w:rsid w:val="001F6FEA"/>
    <w:rsid w:val="002254D4"/>
    <w:rsid w:val="002A2F54"/>
    <w:rsid w:val="002C4513"/>
    <w:rsid w:val="002D3B9E"/>
    <w:rsid w:val="003720F7"/>
    <w:rsid w:val="00385383"/>
    <w:rsid w:val="003A4BB6"/>
    <w:rsid w:val="003B0872"/>
    <w:rsid w:val="003D26F3"/>
    <w:rsid w:val="00525D75"/>
    <w:rsid w:val="00530E03"/>
    <w:rsid w:val="00565114"/>
    <w:rsid w:val="005B035D"/>
    <w:rsid w:val="005C5BE9"/>
    <w:rsid w:val="006144ED"/>
    <w:rsid w:val="006458AA"/>
    <w:rsid w:val="0068617E"/>
    <w:rsid w:val="006A2D1E"/>
    <w:rsid w:val="006C72D9"/>
    <w:rsid w:val="00705FF2"/>
    <w:rsid w:val="00741759"/>
    <w:rsid w:val="00745848"/>
    <w:rsid w:val="007D1A6E"/>
    <w:rsid w:val="007F62B0"/>
    <w:rsid w:val="00825279"/>
    <w:rsid w:val="00843C21"/>
    <w:rsid w:val="008657BD"/>
    <w:rsid w:val="00880095"/>
    <w:rsid w:val="00892437"/>
    <w:rsid w:val="008A008C"/>
    <w:rsid w:val="008C6604"/>
    <w:rsid w:val="008F1A64"/>
    <w:rsid w:val="00912C61"/>
    <w:rsid w:val="00923D4E"/>
    <w:rsid w:val="00927A41"/>
    <w:rsid w:val="009379A1"/>
    <w:rsid w:val="009709B6"/>
    <w:rsid w:val="00980639"/>
    <w:rsid w:val="009864B2"/>
    <w:rsid w:val="009A38A1"/>
    <w:rsid w:val="00A152CE"/>
    <w:rsid w:val="00A32165"/>
    <w:rsid w:val="00AB5900"/>
    <w:rsid w:val="00AF11E7"/>
    <w:rsid w:val="00B2151D"/>
    <w:rsid w:val="00BB2B45"/>
    <w:rsid w:val="00BB4376"/>
    <w:rsid w:val="00C26BA4"/>
    <w:rsid w:val="00C5783B"/>
    <w:rsid w:val="00C71784"/>
    <w:rsid w:val="00D11B2B"/>
    <w:rsid w:val="00D72009"/>
    <w:rsid w:val="00D77B79"/>
    <w:rsid w:val="00DB37D2"/>
    <w:rsid w:val="00DC4A6E"/>
    <w:rsid w:val="00DF410C"/>
    <w:rsid w:val="00E16DF1"/>
    <w:rsid w:val="00E23F4A"/>
    <w:rsid w:val="00E91C07"/>
    <w:rsid w:val="00E93D25"/>
    <w:rsid w:val="00EA0DC0"/>
    <w:rsid w:val="00EA1D1B"/>
    <w:rsid w:val="00ED04B9"/>
    <w:rsid w:val="00ED20EF"/>
    <w:rsid w:val="00F012A8"/>
    <w:rsid w:val="00F018DA"/>
    <w:rsid w:val="00F04885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997AE"/>
  <w15:docId w15:val="{27732B48-C944-469B-9161-4F957C26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379A1"/>
    <w:pPr>
      <w:jc w:val="both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9379A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37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9A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Style1">
    <w:name w:val="Style 1"/>
    <w:uiPriority w:val="99"/>
    <w:rsid w:val="00937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CL"/>
    </w:rPr>
  </w:style>
  <w:style w:type="paragraph" w:customStyle="1" w:styleId="Style2">
    <w:name w:val="Style 2"/>
    <w:uiPriority w:val="99"/>
    <w:rsid w:val="009379A1"/>
    <w:pPr>
      <w:widowControl w:val="0"/>
      <w:autoSpaceDE w:val="0"/>
      <w:autoSpaceDN w:val="0"/>
      <w:spacing w:before="36" w:after="0" w:line="292" w:lineRule="auto"/>
      <w:ind w:left="2088"/>
      <w:jc w:val="both"/>
    </w:pPr>
    <w:rPr>
      <w:rFonts w:ascii="Bookman Old Style" w:eastAsia="Times New Roman" w:hAnsi="Bookman Old Style" w:cs="Bookman Old Style"/>
      <w:sz w:val="20"/>
      <w:szCs w:val="20"/>
      <w:lang w:val="en-US" w:eastAsia="es-CL"/>
    </w:rPr>
  </w:style>
  <w:style w:type="character" w:customStyle="1" w:styleId="CharacterStyle1">
    <w:name w:val="Character Style 1"/>
    <w:uiPriority w:val="99"/>
    <w:rsid w:val="009379A1"/>
    <w:rPr>
      <w:rFonts w:ascii="Bookman Old Style" w:hAnsi="Bookman Old Style" w:cs="Bookman Old Style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379A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379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A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9A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9A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379A1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1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esora.sebastiankeitel@congreso.c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adio.uchile.cl/2018/10/10/licencias-psiquiatricas-alcanzan-el-27-por-ciento-del-gasto-por-reposo-medico-en-chile/" TargetMode="External"/><Relationship Id="rId2" Type="http://schemas.openxmlformats.org/officeDocument/2006/relationships/hyperlink" Target="https://www.elmundo.es/salud/2018/09/05/5b8faa94268e3e03278b4575.html" TargetMode="External"/><Relationship Id="rId1" Type="http://schemas.openxmlformats.org/officeDocument/2006/relationships/hyperlink" Target="http://www.fao.org/3/I9553ES/i9553es.pdf" TargetMode="External"/><Relationship Id="rId5" Type="http://schemas.openxmlformats.org/officeDocument/2006/relationships/hyperlink" Target="http://www.who.int/dietphysicalactivity/workplace-report-spanish.pdf" TargetMode="External"/><Relationship Id="rId4" Type="http://schemas.openxmlformats.org/officeDocument/2006/relationships/hyperlink" Target="https://www.latercera.com/noticia/estudio-calcula-este-ano-chile-gastara-05-del-pib-causa-la-obes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5E0DCC92F7A4AA652D4C4951943E8" ma:contentTypeVersion="16" ma:contentTypeDescription="Create a new document." ma:contentTypeScope="" ma:versionID="8a651b680244b20fb8e8d5dc851c2c82">
  <xsd:schema xmlns:xsd="http://www.w3.org/2001/XMLSchema" xmlns:xs="http://www.w3.org/2001/XMLSchema" xmlns:p="http://schemas.microsoft.com/office/2006/metadata/properties" xmlns:ns2="9a19e284-066f-4d09-b64f-8a5eac411b4b" xmlns:ns3="bfdd90f3-d40e-4e03-ad18-73ed9d38881c" targetNamespace="http://schemas.microsoft.com/office/2006/metadata/properties" ma:root="true" ma:fieldsID="bf440094d48521403ee04c58bfe2b734" ns2:_="" ns3:_="">
    <xsd:import namespace="9a19e284-066f-4d09-b64f-8a5eac411b4b"/>
    <xsd:import namespace="bfdd90f3-d40e-4e03-ad18-73ed9d388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9e284-066f-4d09-b64f-8a5eac411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ae7bf6-5ac9-4edb-a7e0-886d92fb7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90f3-d40e-4e03-ad18-73ed9d388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f7f74-ce56-4d96-9e24-6dbf7c788749}" ma:internalName="TaxCatchAll" ma:showField="CatchAllData" ma:web="bfdd90f3-d40e-4e03-ad18-73ed9d388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d90f3-d40e-4e03-ad18-73ed9d38881c" xsi:nil="true"/>
    <lcf76f155ced4ddcb4097134ff3c332f xmlns="9a19e284-066f-4d09-b64f-8a5eac411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6B3D2-6462-410E-8ECC-31BD09A10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A55A2-A2B5-4B20-9369-9DDF75823969}"/>
</file>

<file path=customXml/itemProps3.xml><?xml version="1.0" encoding="utf-8"?>
<ds:datastoreItem xmlns:ds="http://schemas.openxmlformats.org/officeDocument/2006/customXml" ds:itemID="{75BF7382-33D6-4061-ACD4-2FDBA60FBE52}"/>
</file>

<file path=customXml/itemProps4.xml><?xml version="1.0" encoding="utf-8"?>
<ds:datastoreItem xmlns:ds="http://schemas.openxmlformats.org/officeDocument/2006/customXml" ds:itemID="{5CB3F821-FA29-49DA-BF1B-8384EFC5D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Valentina Villar</cp:lastModifiedBy>
  <cp:revision>2</cp:revision>
  <cp:lastPrinted>2018-11-20T13:13:00Z</cp:lastPrinted>
  <dcterms:created xsi:type="dcterms:W3CDTF">2022-08-03T14:20:00Z</dcterms:created>
  <dcterms:modified xsi:type="dcterms:W3CDTF">2022-08-03T14:20:00Z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0x0101007A85E0DCC92F7A4AA652D4C4951943E8</vt:lpwstr>
  </property>
</Properties>
</file>