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C9EA" w14:textId="58E8F8D6" w:rsidR="00B76AC1" w:rsidRPr="00223562" w:rsidRDefault="00B76AC1" w:rsidP="00492E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562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 w:rsidR="00D51AC2">
        <w:rPr>
          <w:rFonts w:ascii="Arial" w:hAnsi="Arial" w:cs="Arial"/>
          <w:b/>
          <w:bCs/>
          <w:sz w:val="24"/>
          <w:szCs w:val="24"/>
        </w:rPr>
        <w:t>019</w:t>
      </w:r>
      <w:r w:rsidR="007660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3562">
        <w:rPr>
          <w:rFonts w:ascii="Arial" w:hAnsi="Arial" w:cs="Arial"/>
          <w:b/>
          <w:bCs/>
          <w:sz w:val="24"/>
          <w:szCs w:val="24"/>
        </w:rPr>
        <w:t>DE 202</w:t>
      </w:r>
      <w:r w:rsidR="00655237">
        <w:rPr>
          <w:rFonts w:ascii="Arial" w:hAnsi="Arial" w:cs="Arial"/>
          <w:b/>
          <w:bCs/>
          <w:sz w:val="24"/>
          <w:szCs w:val="24"/>
        </w:rPr>
        <w:t>2</w:t>
      </w:r>
    </w:p>
    <w:p w14:paraId="7FA4C390" w14:textId="77777777" w:rsidR="00B76AC1" w:rsidRPr="00223562" w:rsidRDefault="00B76AC1" w:rsidP="00B76A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EF55EF" w14:textId="7C600BAD" w:rsidR="00B76AC1" w:rsidRPr="00223562" w:rsidRDefault="00B76AC1" w:rsidP="00B76AC1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223562">
        <w:rPr>
          <w:rFonts w:ascii="Arial" w:hAnsi="Arial" w:cs="Arial"/>
          <w:b/>
          <w:bCs/>
          <w:sz w:val="24"/>
          <w:szCs w:val="24"/>
          <w:lang w:val="es-MX"/>
        </w:rPr>
        <w:t xml:space="preserve">( </w:t>
      </w:r>
      <w:r w:rsidR="00D51AC2">
        <w:rPr>
          <w:rFonts w:ascii="Arial" w:hAnsi="Arial" w:cs="Arial"/>
          <w:b/>
          <w:bCs/>
          <w:sz w:val="24"/>
          <w:szCs w:val="24"/>
          <w:lang w:val="es-MX"/>
        </w:rPr>
        <w:t>Julio 29</w:t>
      </w:r>
      <w:r w:rsidRPr="00223562">
        <w:rPr>
          <w:rFonts w:ascii="Arial" w:hAnsi="Arial" w:cs="Arial"/>
          <w:b/>
          <w:bCs/>
          <w:sz w:val="24"/>
          <w:szCs w:val="24"/>
          <w:lang w:val="es-MX"/>
        </w:rPr>
        <w:t xml:space="preserve"> )</w:t>
      </w:r>
    </w:p>
    <w:p w14:paraId="6EC09DF1" w14:textId="77777777" w:rsidR="00B76AC1" w:rsidRPr="00223562" w:rsidRDefault="00B76AC1" w:rsidP="00B76AC1">
      <w:pPr>
        <w:pStyle w:val="Encabezado"/>
        <w:rPr>
          <w:rFonts w:ascii="Arial" w:hAnsi="Arial" w:cs="Arial"/>
          <w:b/>
          <w:bCs/>
          <w:sz w:val="24"/>
          <w:szCs w:val="24"/>
        </w:rPr>
      </w:pPr>
    </w:p>
    <w:p w14:paraId="6E782AF2" w14:textId="77777777" w:rsidR="00B76AC1" w:rsidRPr="00223562" w:rsidRDefault="00B76AC1" w:rsidP="00B76AC1">
      <w:pPr>
        <w:pStyle w:val="Ttulo2"/>
        <w:rPr>
          <w:rFonts w:cs="Arial"/>
          <w:bCs/>
          <w:sz w:val="24"/>
          <w:szCs w:val="24"/>
        </w:rPr>
      </w:pPr>
    </w:p>
    <w:p w14:paraId="1314849F" w14:textId="77777777" w:rsidR="00B76AC1" w:rsidRPr="00223562" w:rsidRDefault="00B76AC1" w:rsidP="00B76AC1">
      <w:pPr>
        <w:pStyle w:val="Ttulo2"/>
        <w:rPr>
          <w:rFonts w:cs="Arial"/>
          <w:bCs/>
          <w:sz w:val="24"/>
          <w:szCs w:val="24"/>
        </w:rPr>
      </w:pPr>
      <w:r w:rsidRPr="00223562">
        <w:rPr>
          <w:rFonts w:cs="Arial"/>
          <w:bCs/>
          <w:sz w:val="24"/>
          <w:szCs w:val="24"/>
        </w:rPr>
        <w:t>Señores</w:t>
      </w:r>
    </w:p>
    <w:p w14:paraId="1530813C" w14:textId="77777777" w:rsidR="00B76AC1" w:rsidRPr="00223562" w:rsidRDefault="00B76AC1" w:rsidP="00B76AC1">
      <w:pPr>
        <w:rPr>
          <w:rFonts w:ascii="Arial" w:hAnsi="Arial" w:cs="Arial"/>
          <w:sz w:val="24"/>
          <w:szCs w:val="24"/>
          <w:lang w:val="es-CO" w:eastAsia="es-CO"/>
        </w:rPr>
      </w:pPr>
    </w:p>
    <w:p w14:paraId="00DA9A7D" w14:textId="77777777" w:rsidR="00B76AC1" w:rsidRPr="00223562" w:rsidRDefault="00B76AC1" w:rsidP="00B76A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223562">
        <w:rPr>
          <w:rFonts w:ascii="Arial" w:hAnsi="Arial" w:cs="Arial"/>
          <w:sz w:val="24"/>
          <w:szCs w:val="24"/>
          <w:lang w:val="es-CO"/>
        </w:rPr>
        <w:t>REPRESENTANTES LEGALES</w:t>
      </w:r>
      <w:r w:rsidR="00027793">
        <w:rPr>
          <w:rFonts w:ascii="Arial" w:hAnsi="Arial" w:cs="Arial"/>
          <w:sz w:val="24"/>
          <w:szCs w:val="24"/>
          <w:lang w:val="es-CO"/>
        </w:rPr>
        <w:t xml:space="preserve"> </w:t>
      </w:r>
      <w:r w:rsidRPr="00223562">
        <w:rPr>
          <w:rFonts w:ascii="Arial" w:hAnsi="Arial" w:cs="Arial"/>
          <w:sz w:val="24"/>
          <w:szCs w:val="24"/>
          <w:lang w:val="es-CO"/>
        </w:rPr>
        <w:t>DE LAS ENTIDADES VIGILADAS</w:t>
      </w:r>
    </w:p>
    <w:p w14:paraId="5D657005" w14:textId="77777777" w:rsidR="00B76AC1" w:rsidRPr="00223562" w:rsidRDefault="00B76AC1" w:rsidP="00B76AC1">
      <w:pPr>
        <w:ind w:left="1410" w:hanging="1410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7875C04" w14:textId="77777777" w:rsidR="00B76AC1" w:rsidRPr="00223562" w:rsidRDefault="00B76AC1" w:rsidP="00B76AC1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</w:p>
    <w:p w14:paraId="3EE1CF7C" w14:textId="1057CE9C" w:rsidR="00655237" w:rsidRDefault="00B76AC1" w:rsidP="00B76AC1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223562">
        <w:rPr>
          <w:rFonts w:ascii="Arial" w:hAnsi="Arial" w:cs="Arial"/>
          <w:b/>
          <w:sz w:val="24"/>
          <w:szCs w:val="24"/>
        </w:rPr>
        <w:t xml:space="preserve">Referencia: </w:t>
      </w:r>
      <w:r w:rsidR="00655237">
        <w:rPr>
          <w:rFonts w:ascii="Arial" w:hAnsi="Arial" w:cs="Arial"/>
          <w:b/>
          <w:sz w:val="24"/>
          <w:szCs w:val="24"/>
        </w:rPr>
        <w:t xml:space="preserve">Instrucciones </w:t>
      </w:r>
      <w:r w:rsidR="002275F7">
        <w:rPr>
          <w:rFonts w:ascii="Arial" w:hAnsi="Arial" w:cs="Arial"/>
          <w:b/>
          <w:sz w:val="24"/>
          <w:szCs w:val="24"/>
        </w:rPr>
        <w:t xml:space="preserve">relativas al reconocimiento </w:t>
      </w:r>
      <w:r w:rsidR="002B7430">
        <w:rPr>
          <w:rFonts w:ascii="Arial" w:hAnsi="Arial" w:cs="Arial"/>
          <w:b/>
          <w:sz w:val="24"/>
          <w:szCs w:val="24"/>
        </w:rPr>
        <w:t xml:space="preserve">de </w:t>
      </w:r>
      <w:r w:rsidR="00557845">
        <w:rPr>
          <w:rFonts w:ascii="Arial" w:hAnsi="Arial" w:cs="Arial"/>
          <w:b/>
          <w:sz w:val="24"/>
          <w:szCs w:val="24"/>
        </w:rPr>
        <w:t xml:space="preserve">Entidades de Contrapartida Central </w:t>
      </w:r>
      <w:r w:rsidR="00027793">
        <w:rPr>
          <w:rFonts w:ascii="Arial" w:hAnsi="Arial" w:cs="Arial"/>
          <w:b/>
          <w:sz w:val="24"/>
          <w:szCs w:val="24"/>
        </w:rPr>
        <w:t xml:space="preserve">extranjeras </w:t>
      </w:r>
      <w:r w:rsidR="00400771">
        <w:rPr>
          <w:rFonts w:ascii="Arial" w:hAnsi="Arial" w:cs="Arial"/>
          <w:b/>
          <w:sz w:val="24"/>
          <w:szCs w:val="24"/>
        </w:rPr>
        <w:t xml:space="preserve">y a la observancia de </w:t>
      </w:r>
      <w:r w:rsidR="00400771" w:rsidRPr="00400771">
        <w:rPr>
          <w:rFonts w:ascii="Arial" w:hAnsi="Arial" w:cs="Arial"/>
          <w:b/>
          <w:sz w:val="24"/>
          <w:szCs w:val="24"/>
        </w:rPr>
        <w:t>los Principios aplicables a las Infraestructuras de los Mercados Financieros</w:t>
      </w:r>
    </w:p>
    <w:p w14:paraId="77E18D34" w14:textId="77777777" w:rsidR="00B76AC1" w:rsidRPr="00223562" w:rsidRDefault="00B76AC1" w:rsidP="00655237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2F2F6D5" w14:textId="77777777" w:rsidR="00B76AC1" w:rsidRPr="00223562" w:rsidRDefault="00B76AC1" w:rsidP="00B76AC1">
      <w:pPr>
        <w:ind w:left="1410" w:hanging="1410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DF4156E" w14:textId="77777777" w:rsidR="00B76AC1" w:rsidRPr="00223562" w:rsidRDefault="00B76AC1" w:rsidP="00B76AC1">
      <w:pPr>
        <w:widowControl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223562">
        <w:rPr>
          <w:rFonts w:ascii="Arial" w:hAnsi="Arial" w:cs="Arial"/>
          <w:color w:val="000000"/>
          <w:sz w:val="24"/>
          <w:szCs w:val="24"/>
        </w:rPr>
        <w:t xml:space="preserve">Apreciados </w:t>
      </w:r>
      <w:r w:rsidR="007D0175">
        <w:rPr>
          <w:rFonts w:ascii="Arial" w:hAnsi="Arial" w:cs="Arial"/>
          <w:color w:val="000000"/>
          <w:sz w:val="24"/>
          <w:szCs w:val="24"/>
        </w:rPr>
        <w:t>s</w:t>
      </w:r>
      <w:r w:rsidRPr="00223562">
        <w:rPr>
          <w:rFonts w:ascii="Arial" w:hAnsi="Arial" w:cs="Arial"/>
          <w:color w:val="000000"/>
          <w:sz w:val="24"/>
          <w:szCs w:val="24"/>
        </w:rPr>
        <w:t>eñores:</w:t>
      </w:r>
    </w:p>
    <w:p w14:paraId="77E704CF" w14:textId="77777777" w:rsidR="00655237" w:rsidRDefault="00655237" w:rsidP="00B76AC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4B06FF5" w14:textId="79D90C7C" w:rsidR="00C66B81" w:rsidRDefault="002275F7" w:rsidP="00B76AC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Cámaras de Riesgo Central de Contraparte </w:t>
      </w:r>
      <w:r w:rsidR="00C66B81">
        <w:rPr>
          <w:rFonts w:ascii="Arial" w:hAnsi="Arial" w:cs="Arial"/>
          <w:sz w:val="24"/>
          <w:szCs w:val="24"/>
          <w:lang w:val="es-ES"/>
        </w:rPr>
        <w:t xml:space="preserve">(CRCC) </w:t>
      </w:r>
      <w:r w:rsidR="005476E2">
        <w:rPr>
          <w:rFonts w:ascii="Arial" w:hAnsi="Arial" w:cs="Arial"/>
          <w:sz w:val="24"/>
          <w:szCs w:val="24"/>
          <w:lang w:val="es-ES"/>
        </w:rPr>
        <w:t xml:space="preserve">o Entidades de Contrapartida Central (ECC) </w:t>
      </w:r>
      <w:r w:rsidR="00C66B81">
        <w:rPr>
          <w:rFonts w:ascii="Arial" w:hAnsi="Arial" w:cs="Arial"/>
          <w:sz w:val="24"/>
          <w:szCs w:val="24"/>
          <w:lang w:val="es-ES"/>
        </w:rPr>
        <w:t>han cobrado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66B81">
        <w:rPr>
          <w:rFonts w:ascii="Arial" w:hAnsi="Arial" w:cs="Arial"/>
          <w:sz w:val="24"/>
          <w:szCs w:val="24"/>
          <w:lang w:val="es-ES"/>
        </w:rPr>
        <w:t xml:space="preserve">especial relevancia </w:t>
      </w:r>
      <w:r>
        <w:rPr>
          <w:rFonts w:ascii="Arial" w:hAnsi="Arial" w:cs="Arial"/>
          <w:sz w:val="24"/>
          <w:szCs w:val="24"/>
          <w:lang w:val="es-ES"/>
        </w:rPr>
        <w:t>en la mitigación del riesgo de contraparte</w:t>
      </w:r>
      <w:r w:rsidR="00565CE8">
        <w:rPr>
          <w:rFonts w:ascii="Arial" w:hAnsi="Arial" w:cs="Arial"/>
          <w:sz w:val="24"/>
          <w:szCs w:val="24"/>
          <w:lang w:val="es-ES"/>
        </w:rPr>
        <w:t xml:space="preserve"> en</w:t>
      </w:r>
      <w:r>
        <w:rPr>
          <w:rFonts w:ascii="Arial" w:hAnsi="Arial" w:cs="Arial"/>
          <w:sz w:val="24"/>
          <w:szCs w:val="24"/>
          <w:lang w:val="es-ES"/>
        </w:rPr>
        <w:t xml:space="preserve"> las operaciones </w:t>
      </w:r>
      <w:r w:rsidR="00565CE8">
        <w:rPr>
          <w:rFonts w:ascii="Arial" w:hAnsi="Arial" w:cs="Arial"/>
          <w:sz w:val="24"/>
          <w:szCs w:val="24"/>
          <w:lang w:val="es-ES"/>
        </w:rPr>
        <w:t xml:space="preserve">expuestas a este riesgo </w:t>
      </w:r>
      <w:r>
        <w:rPr>
          <w:rFonts w:ascii="Arial" w:hAnsi="Arial" w:cs="Arial"/>
          <w:sz w:val="24"/>
          <w:szCs w:val="24"/>
          <w:lang w:val="es-ES"/>
        </w:rPr>
        <w:t xml:space="preserve">realizadas por las entidades vigiladas en los </w:t>
      </w:r>
      <w:r w:rsidR="003F6748">
        <w:rPr>
          <w:rFonts w:ascii="Arial" w:hAnsi="Arial" w:cs="Arial"/>
          <w:sz w:val="24"/>
          <w:szCs w:val="24"/>
          <w:lang w:val="es-ES"/>
        </w:rPr>
        <w:t xml:space="preserve">diferentes </w:t>
      </w:r>
      <w:r>
        <w:rPr>
          <w:rFonts w:ascii="Arial" w:hAnsi="Arial" w:cs="Arial"/>
          <w:sz w:val="24"/>
          <w:szCs w:val="24"/>
          <w:lang w:val="es-ES"/>
        </w:rPr>
        <w:t>mercados</w:t>
      </w:r>
      <w:r w:rsidR="00C66B81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genera</w:t>
      </w:r>
      <w:r w:rsidR="00C66B81">
        <w:rPr>
          <w:rFonts w:ascii="Arial" w:hAnsi="Arial" w:cs="Arial"/>
          <w:sz w:val="24"/>
          <w:szCs w:val="24"/>
          <w:lang w:val="es-ES"/>
        </w:rPr>
        <w:t>ndo a su vez</w:t>
      </w:r>
      <w:r>
        <w:rPr>
          <w:rFonts w:ascii="Arial" w:hAnsi="Arial" w:cs="Arial"/>
          <w:sz w:val="24"/>
          <w:szCs w:val="24"/>
          <w:lang w:val="es-ES"/>
        </w:rPr>
        <w:t xml:space="preserve"> eficiencias operativas y financieras</w:t>
      </w:r>
      <w:r w:rsidR="00C66B81">
        <w:rPr>
          <w:rFonts w:ascii="Arial" w:hAnsi="Arial" w:cs="Arial"/>
          <w:sz w:val="24"/>
          <w:szCs w:val="24"/>
          <w:lang w:val="es-ES"/>
        </w:rPr>
        <w:t xml:space="preserve"> </w:t>
      </w:r>
      <w:r w:rsidR="003F6748">
        <w:rPr>
          <w:rFonts w:ascii="Arial" w:hAnsi="Arial" w:cs="Arial"/>
          <w:sz w:val="24"/>
          <w:szCs w:val="24"/>
          <w:lang w:val="es-ES"/>
        </w:rPr>
        <w:t>a través de</w:t>
      </w:r>
      <w:r w:rsidR="00D975B9">
        <w:rPr>
          <w:rFonts w:ascii="Arial" w:hAnsi="Arial" w:cs="Arial"/>
          <w:sz w:val="24"/>
          <w:szCs w:val="24"/>
          <w:lang w:val="es-ES"/>
        </w:rPr>
        <w:t xml:space="preserve"> su modelo de compensación y liquidación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="00C66B81">
        <w:rPr>
          <w:rFonts w:ascii="Arial" w:hAnsi="Arial" w:cs="Arial"/>
          <w:sz w:val="24"/>
          <w:szCs w:val="24"/>
          <w:lang w:val="es-ES"/>
        </w:rPr>
        <w:t xml:space="preserve">Dada la importancia de las </w:t>
      </w:r>
      <w:r w:rsidR="00492E01">
        <w:rPr>
          <w:rFonts w:ascii="Arial" w:hAnsi="Arial" w:cs="Arial"/>
          <w:sz w:val="24"/>
          <w:szCs w:val="24"/>
          <w:lang w:val="es-ES"/>
        </w:rPr>
        <w:t>ECC</w:t>
      </w:r>
      <w:r w:rsidR="00A373E8">
        <w:rPr>
          <w:rFonts w:ascii="Arial" w:hAnsi="Arial" w:cs="Arial"/>
          <w:sz w:val="24"/>
          <w:szCs w:val="24"/>
          <w:lang w:val="es-ES"/>
        </w:rPr>
        <w:t>, a nivel</w:t>
      </w:r>
      <w:r w:rsidR="00C66B81">
        <w:rPr>
          <w:rFonts w:ascii="Arial" w:hAnsi="Arial" w:cs="Arial"/>
          <w:sz w:val="24"/>
          <w:szCs w:val="24"/>
          <w:lang w:val="es-ES"/>
        </w:rPr>
        <w:t xml:space="preserve"> internacional </w:t>
      </w:r>
      <w:r w:rsidR="00725005">
        <w:rPr>
          <w:rFonts w:ascii="Arial" w:hAnsi="Arial" w:cs="Arial"/>
          <w:sz w:val="24"/>
          <w:szCs w:val="24"/>
          <w:lang w:val="es-ES"/>
        </w:rPr>
        <w:t>se han desarrollado</w:t>
      </w:r>
      <w:r w:rsidR="00C66B81">
        <w:rPr>
          <w:rFonts w:ascii="Arial" w:hAnsi="Arial" w:cs="Arial"/>
          <w:sz w:val="24"/>
          <w:szCs w:val="24"/>
          <w:lang w:val="es-ES"/>
        </w:rPr>
        <w:t xml:space="preserve"> </w:t>
      </w:r>
      <w:r w:rsidR="00725005">
        <w:rPr>
          <w:rFonts w:ascii="Arial" w:hAnsi="Arial" w:cs="Arial"/>
          <w:sz w:val="24"/>
          <w:szCs w:val="24"/>
          <w:lang w:val="es-ES"/>
        </w:rPr>
        <w:t>criterios y estándares</w:t>
      </w:r>
      <w:r w:rsidR="00A373E8">
        <w:rPr>
          <w:rFonts w:ascii="Arial" w:hAnsi="Arial" w:cs="Arial"/>
          <w:sz w:val="24"/>
          <w:szCs w:val="24"/>
          <w:lang w:val="es-ES"/>
        </w:rPr>
        <w:t xml:space="preserve"> regulatorios</w:t>
      </w:r>
      <w:r w:rsidR="00C66B81">
        <w:rPr>
          <w:rFonts w:ascii="Arial" w:hAnsi="Arial" w:cs="Arial"/>
          <w:sz w:val="24"/>
          <w:szCs w:val="24"/>
          <w:lang w:val="es-ES"/>
        </w:rPr>
        <w:t xml:space="preserve"> que deben cumplir estos proveedores de infraestructura del mercado de valores para compensar y liquidar operaciones celebradas en otras jurisdicciones</w:t>
      </w:r>
      <w:r w:rsidR="002F1F2C">
        <w:rPr>
          <w:rFonts w:ascii="Arial" w:hAnsi="Arial" w:cs="Arial"/>
          <w:sz w:val="24"/>
          <w:szCs w:val="24"/>
          <w:lang w:val="es-ES"/>
        </w:rPr>
        <w:t>, con el fin de mitigar de manera adecuada los</w:t>
      </w:r>
      <w:r w:rsidR="00F05175">
        <w:rPr>
          <w:rFonts w:ascii="Arial" w:hAnsi="Arial" w:cs="Arial"/>
          <w:sz w:val="24"/>
          <w:szCs w:val="24"/>
          <w:lang w:val="es-ES"/>
        </w:rPr>
        <w:t xml:space="preserve"> riesgos</w:t>
      </w:r>
      <w:r w:rsidR="002F1F2C">
        <w:rPr>
          <w:rFonts w:ascii="Arial" w:hAnsi="Arial" w:cs="Arial"/>
          <w:sz w:val="24"/>
          <w:szCs w:val="24"/>
          <w:lang w:val="es-ES"/>
        </w:rPr>
        <w:t xml:space="preserve"> asociados a dichas operaciones</w:t>
      </w:r>
      <w:r w:rsidR="00C66B81">
        <w:rPr>
          <w:rFonts w:ascii="Arial" w:hAnsi="Arial" w:cs="Arial"/>
          <w:sz w:val="24"/>
          <w:szCs w:val="24"/>
          <w:lang w:val="es-ES"/>
        </w:rPr>
        <w:t>.</w:t>
      </w:r>
    </w:p>
    <w:p w14:paraId="2FC40676" w14:textId="77777777" w:rsidR="002275F7" w:rsidRDefault="002275F7" w:rsidP="00B76AC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DF24A0" w14:textId="2B1B4EE1" w:rsidR="00522D5C" w:rsidRDefault="00522D5C" w:rsidP="00522D5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Bajo este contexto, con el objetivo de promover una adecuada gestión del riesgo de contraparte y continuar con la convergencia hacia las mejores prácticas y estándares internacionales definidos por el Banco de Pagos Internacionales (BIS, por sus siglas en inglés) y la Organización Internacional de Comisiones de Valores (IOSCO, por sus siglas en inglés),</w:t>
      </w:r>
      <w:r w:rsidRPr="0052676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 Superintendencia Financiera de Colombia (SFC) considera necesario impartir instrucciones con el fin de establecer los criterios para reconocer la equivalencia de ECC extranjeras y</w:t>
      </w:r>
      <w:r w:rsidR="002F1F2C">
        <w:rPr>
          <w:rFonts w:ascii="Arial" w:hAnsi="Arial" w:cs="Arial"/>
          <w:sz w:val="24"/>
          <w:szCs w:val="24"/>
          <w:lang w:val="es-ES"/>
        </w:rPr>
        <w:t xml:space="preserve"> sus efectos</w:t>
      </w:r>
      <w:r w:rsidR="00F05175">
        <w:rPr>
          <w:rFonts w:ascii="Arial" w:hAnsi="Arial" w:cs="Arial"/>
          <w:sz w:val="24"/>
          <w:szCs w:val="24"/>
          <w:lang w:val="es-ES"/>
        </w:rPr>
        <w:t xml:space="preserve"> en</w:t>
      </w:r>
      <w:r>
        <w:rPr>
          <w:rFonts w:ascii="Arial" w:hAnsi="Arial" w:cs="Arial"/>
          <w:sz w:val="24"/>
          <w:szCs w:val="24"/>
          <w:lang w:val="es-ES"/>
        </w:rPr>
        <w:t xml:space="preserve"> materia de ponderación de activos por nivel de riesgo y en los regímenes de inversión de algunas entidades vigiladas </w:t>
      </w:r>
      <w:r w:rsidR="002F1F2C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 xml:space="preserve"> la negociación de instrumentos financieros derivados</w:t>
      </w:r>
      <w:r w:rsidR="009A147C">
        <w:rPr>
          <w:rFonts w:ascii="Arial" w:hAnsi="Arial" w:cs="Arial"/>
          <w:sz w:val="24"/>
          <w:szCs w:val="24"/>
          <w:lang w:val="es-ES"/>
        </w:rPr>
        <w:t xml:space="preserve"> y productos estructurados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128CCBB8" w14:textId="77777777" w:rsidR="00522D5C" w:rsidRDefault="00522D5C" w:rsidP="00522D5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E701129" w14:textId="25701553" w:rsidR="00522D5C" w:rsidRDefault="002F1F2C" w:rsidP="00522D5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Adicionalmente</w:t>
      </w:r>
      <w:r w:rsidR="00522D5C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en el marco dispuesto por la Ley 964 de 2005 y el Decreto 2555 de 2010, el cual </w:t>
      </w:r>
      <w:r w:rsidRPr="00522D5C">
        <w:rPr>
          <w:rFonts w:ascii="Arial" w:hAnsi="Arial" w:cs="Arial"/>
          <w:sz w:val="24"/>
          <w:szCs w:val="24"/>
          <w:lang w:val="es-ES"/>
        </w:rPr>
        <w:t>incorpora estándares internacionales</w:t>
      </w:r>
      <w:r>
        <w:rPr>
          <w:rFonts w:ascii="Arial" w:hAnsi="Arial" w:cs="Arial"/>
          <w:sz w:val="24"/>
          <w:szCs w:val="24"/>
          <w:lang w:val="es-ES"/>
        </w:rPr>
        <w:t xml:space="preserve">, tales como los </w:t>
      </w:r>
      <w:r w:rsidRPr="00C66B81">
        <w:rPr>
          <w:rFonts w:ascii="Arial" w:hAnsi="Arial" w:cs="Arial"/>
          <w:bCs/>
          <w:sz w:val="24"/>
          <w:szCs w:val="24"/>
          <w:lang w:val="es-CO"/>
        </w:rPr>
        <w:t>Principios aplicables a las Infraestructuras de los Mercados Financieros (PFMI, por sus siglas en inglés)</w:t>
      </w:r>
      <w:r>
        <w:rPr>
          <w:rFonts w:ascii="Arial" w:hAnsi="Arial" w:cs="Arial"/>
          <w:bCs/>
          <w:sz w:val="24"/>
          <w:szCs w:val="24"/>
          <w:lang w:val="es-CO"/>
        </w:rPr>
        <w:t>,</w:t>
      </w:r>
      <w:r w:rsidRPr="00522D5C">
        <w:rPr>
          <w:rFonts w:ascii="Arial" w:hAnsi="Arial" w:cs="Arial"/>
          <w:sz w:val="24"/>
          <w:szCs w:val="24"/>
          <w:lang w:val="es-ES"/>
        </w:rPr>
        <w:t xml:space="preserve"> </w:t>
      </w:r>
      <w:r w:rsidR="00522D5C">
        <w:rPr>
          <w:rFonts w:ascii="Arial" w:hAnsi="Arial" w:cs="Arial"/>
          <w:sz w:val="24"/>
          <w:szCs w:val="24"/>
          <w:lang w:val="es-ES"/>
        </w:rPr>
        <w:t xml:space="preserve">esta Superintendencia estima procedente </w:t>
      </w:r>
      <w:r>
        <w:rPr>
          <w:rFonts w:ascii="Arial" w:hAnsi="Arial" w:cs="Arial"/>
          <w:sz w:val="24"/>
          <w:szCs w:val="24"/>
          <w:lang w:val="es-ES"/>
        </w:rPr>
        <w:t>precis</w:t>
      </w:r>
      <w:r w:rsidR="00522D5C">
        <w:rPr>
          <w:rFonts w:ascii="Arial" w:hAnsi="Arial" w:cs="Arial"/>
          <w:sz w:val="24"/>
          <w:szCs w:val="24"/>
          <w:lang w:val="es-ES"/>
        </w:rPr>
        <w:t>ar el alcance del deber de los proveedores de infraestructura del mercado de valores nacionales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522D5C">
        <w:rPr>
          <w:rFonts w:ascii="Arial" w:hAnsi="Arial" w:cs="Arial"/>
          <w:sz w:val="24"/>
          <w:szCs w:val="24"/>
          <w:lang w:val="es-ES"/>
        </w:rPr>
        <w:t xml:space="preserve"> sobre </w:t>
      </w:r>
      <w:r w:rsidR="00F05175">
        <w:rPr>
          <w:rFonts w:ascii="Arial" w:hAnsi="Arial" w:cs="Arial"/>
          <w:sz w:val="24"/>
          <w:szCs w:val="24"/>
          <w:lang w:val="es-ES"/>
        </w:rPr>
        <w:t>el cumplimiento</w:t>
      </w:r>
      <w:r w:rsidR="00522D5C">
        <w:rPr>
          <w:rFonts w:ascii="Arial" w:hAnsi="Arial" w:cs="Arial"/>
          <w:sz w:val="24"/>
          <w:szCs w:val="24"/>
          <w:lang w:val="es-ES"/>
        </w:rPr>
        <w:t xml:space="preserve"> de los</w:t>
      </w:r>
      <w:r>
        <w:rPr>
          <w:rFonts w:ascii="Arial" w:hAnsi="Arial" w:cs="Arial"/>
          <w:sz w:val="24"/>
          <w:szCs w:val="24"/>
          <w:lang w:val="es-ES"/>
        </w:rPr>
        <w:t xml:space="preserve"> PFMI</w:t>
      </w:r>
      <w:r w:rsidR="00F05175">
        <w:rPr>
          <w:rFonts w:ascii="Arial" w:hAnsi="Arial" w:cs="Arial"/>
          <w:sz w:val="24"/>
          <w:szCs w:val="24"/>
          <w:lang w:val="es-ES"/>
        </w:rPr>
        <w:t>,</w:t>
      </w:r>
      <w:r w:rsidR="00522D5C">
        <w:rPr>
          <w:rFonts w:ascii="Arial" w:hAnsi="Arial" w:cs="Arial"/>
          <w:sz w:val="24"/>
          <w:szCs w:val="24"/>
          <w:lang w:val="es-ES"/>
        </w:rPr>
        <w:t xml:space="preserve"> teniendo en consideración el dinamismo de </w:t>
      </w:r>
      <w:r>
        <w:rPr>
          <w:rFonts w:ascii="Arial" w:hAnsi="Arial" w:cs="Arial"/>
          <w:sz w:val="24"/>
          <w:szCs w:val="24"/>
          <w:lang w:val="es-ES"/>
        </w:rPr>
        <w:t>dichos</w:t>
      </w:r>
      <w:r w:rsidR="00522D5C">
        <w:rPr>
          <w:rFonts w:ascii="Arial" w:hAnsi="Arial" w:cs="Arial"/>
          <w:sz w:val="24"/>
          <w:szCs w:val="24"/>
          <w:lang w:val="es-ES"/>
        </w:rPr>
        <w:t xml:space="preserve"> estándares. </w:t>
      </w:r>
    </w:p>
    <w:p w14:paraId="6624D29A" w14:textId="77777777" w:rsidR="0052676F" w:rsidRPr="00223562" w:rsidRDefault="0052676F" w:rsidP="00B76AC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DB058C1" w14:textId="72E3EC19" w:rsidR="00B76AC1" w:rsidRPr="00223562" w:rsidRDefault="00F05175" w:rsidP="00B76AC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virtud de</w:t>
      </w:r>
      <w:r w:rsidR="00B76AC1" w:rsidRPr="00223562">
        <w:rPr>
          <w:rFonts w:ascii="Arial" w:hAnsi="Arial" w:cs="Arial"/>
          <w:sz w:val="24"/>
          <w:szCs w:val="24"/>
          <w:lang w:val="es-ES"/>
        </w:rPr>
        <w:t xml:space="preserve"> lo anterior, esta Superintendencia en ejercicio de sus facultades legales, en especial de las establecidas en el literal a) del numeral 3 del artículo 326 del Estatuto Orgánico del Sistema Financiero y los numerales </w:t>
      </w:r>
      <w:r w:rsidR="00B733A5">
        <w:rPr>
          <w:rFonts w:ascii="Arial" w:hAnsi="Arial" w:cs="Arial"/>
          <w:sz w:val="24"/>
          <w:szCs w:val="24"/>
          <w:lang w:val="es-ES"/>
        </w:rPr>
        <w:t>4</w:t>
      </w:r>
      <w:r w:rsidR="002F1F2C">
        <w:rPr>
          <w:rFonts w:ascii="Arial" w:hAnsi="Arial" w:cs="Arial"/>
          <w:sz w:val="24"/>
          <w:szCs w:val="24"/>
          <w:lang w:val="es-ES"/>
        </w:rPr>
        <w:t xml:space="preserve"> y</w:t>
      </w:r>
      <w:r w:rsidR="00B733A5">
        <w:rPr>
          <w:rFonts w:ascii="Arial" w:hAnsi="Arial" w:cs="Arial"/>
          <w:sz w:val="24"/>
          <w:szCs w:val="24"/>
          <w:lang w:val="es-ES"/>
        </w:rPr>
        <w:t xml:space="preserve"> </w:t>
      </w:r>
      <w:r w:rsidR="00060D4D">
        <w:rPr>
          <w:rFonts w:ascii="Arial" w:hAnsi="Arial" w:cs="Arial"/>
          <w:sz w:val="24"/>
          <w:szCs w:val="24"/>
          <w:lang w:val="es-ES"/>
        </w:rPr>
        <w:t>5</w:t>
      </w:r>
      <w:r w:rsidR="002F1F2C">
        <w:rPr>
          <w:rFonts w:ascii="Arial" w:hAnsi="Arial" w:cs="Arial"/>
          <w:sz w:val="24"/>
          <w:szCs w:val="24"/>
          <w:lang w:val="es-ES"/>
        </w:rPr>
        <w:t xml:space="preserve"> </w:t>
      </w:r>
      <w:r w:rsidR="00B76AC1" w:rsidRPr="00223562">
        <w:rPr>
          <w:rFonts w:ascii="Arial" w:hAnsi="Arial" w:cs="Arial"/>
          <w:sz w:val="24"/>
          <w:szCs w:val="24"/>
          <w:lang w:val="es-ES"/>
        </w:rPr>
        <w:t>del artículo 11.2.1.4.2</w:t>
      </w:r>
      <w:r w:rsidR="00CD2E5B">
        <w:rPr>
          <w:rFonts w:ascii="Arial" w:hAnsi="Arial" w:cs="Arial"/>
          <w:sz w:val="24"/>
          <w:szCs w:val="24"/>
          <w:lang w:val="es-ES"/>
        </w:rPr>
        <w:t>.</w:t>
      </w:r>
      <w:r w:rsidR="00B76AC1" w:rsidRPr="00223562">
        <w:rPr>
          <w:rFonts w:ascii="Arial" w:hAnsi="Arial" w:cs="Arial"/>
          <w:sz w:val="24"/>
          <w:szCs w:val="24"/>
          <w:lang w:val="es-ES"/>
        </w:rPr>
        <w:t xml:space="preserve"> del Decreto 2555 de 2010, considera necesario impartir las siguientes instrucciones:</w:t>
      </w:r>
    </w:p>
    <w:p w14:paraId="6149B2C9" w14:textId="77777777" w:rsidR="00B76AC1" w:rsidRPr="00223562" w:rsidRDefault="00B76AC1" w:rsidP="00B76AC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</w:p>
    <w:p w14:paraId="14D97F18" w14:textId="4166ED1F" w:rsidR="002F1F2C" w:rsidRDefault="00B76AC1" w:rsidP="006552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23562">
        <w:rPr>
          <w:rFonts w:ascii="Arial" w:hAnsi="Arial" w:cs="Arial"/>
          <w:b/>
          <w:bCs/>
          <w:sz w:val="24"/>
          <w:szCs w:val="24"/>
          <w:lang w:val="es-ES"/>
        </w:rPr>
        <w:t xml:space="preserve">PRIMERA: </w:t>
      </w:r>
      <w:bookmarkStart w:id="0" w:name="_Hlk108148038"/>
      <w:r w:rsidR="00612324" w:rsidRPr="00612324">
        <w:rPr>
          <w:rFonts w:ascii="Arial" w:hAnsi="Arial" w:cs="Arial"/>
          <w:sz w:val="24"/>
          <w:szCs w:val="24"/>
        </w:rPr>
        <w:t xml:space="preserve">Modificar el </w:t>
      </w:r>
      <w:proofErr w:type="spellStart"/>
      <w:r w:rsidR="002F1F2C">
        <w:rPr>
          <w:rFonts w:ascii="Arial" w:hAnsi="Arial" w:cs="Arial"/>
          <w:sz w:val="24"/>
          <w:szCs w:val="24"/>
        </w:rPr>
        <w:t>subnumeral</w:t>
      </w:r>
      <w:proofErr w:type="spellEnd"/>
      <w:r w:rsidR="002F1F2C">
        <w:rPr>
          <w:rFonts w:ascii="Arial" w:hAnsi="Arial" w:cs="Arial"/>
          <w:sz w:val="24"/>
          <w:szCs w:val="24"/>
        </w:rPr>
        <w:t xml:space="preserve"> 7.2. del </w:t>
      </w:r>
      <w:r w:rsidR="00612324" w:rsidRPr="00612324">
        <w:rPr>
          <w:rFonts w:ascii="Arial" w:hAnsi="Arial" w:cs="Arial"/>
          <w:sz w:val="24"/>
          <w:szCs w:val="24"/>
        </w:rPr>
        <w:t>Capítulo</w:t>
      </w:r>
      <w:r w:rsidR="007D4638">
        <w:rPr>
          <w:rFonts w:ascii="Arial" w:hAnsi="Arial" w:cs="Arial"/>
          <w:sz w:val="24"/>
          <w:szCs w:val="24"/>
        </w:rPr>
        <w:t xml:space="preserve"> </w:t>
      </w:r>
      <w:r w:rsidR="00612324">
        <w:rPr>
          <w:rFonts w:ascii="Arial" w:hAnsi="Arial" w:cs="Arial"/>
          <w:sz w:val="24"/>
          <w:szCs w:val="24"/>
        </w:rPr>
        <w:t>I</w:t>
      </w:r>
      <w:r w:rsidR="007D4638">
        <w:rPr>
          <w:rFonts w:ascii="Arial" w:hAnsi="Arial" w:cs="Arial"/>
          <w:sz w:val="24"/>
          <w:szCs w:val="24"/>
        </w:rPr>
        <w:t>I</w:t>
      </w:r>
      <w:r w:rsidR="00612324">
        <w:rPr>
          <w:rFonts w:ascii="Arial" w:hAnsi="Arial" w:cs="Arial"/>
          <w:sz w:val="24"/>
          <w:szCs w:val="24"/>
        </w:rPr>
        <w:t xml:space="preserve"> </w:t>
      </w:r>
      <w:r w:rsidR="007D4638">
        <w:rPr>
          <w:rFonts w:ascii="Arial" w:hAnsi="Arial" w:cs="Arial"/>
          <w:sz w:val="24"/>
          <w:szCs w:val="24"/>
        </w:rPr>
        <w:t xml:space="preserve">del Título II de la Parte I </w:t>
      </w:r>
      <w:r w:rsidR="00612324" w:rsidRPr="00612324">
        <w:rPr>
          <w:rFonts w:ascii="Arial" w:hAnsi="Arial" w:cs="Arial"/>
          <w:sz w:val="24"/>
          <w:szCs w:val="24"/>
        </w:rPr>
        <w:t xml:space="preserve">de la Circular Básica </w:t>
      </w:r>
      <w:r w:rsidR="007D4638">
        <w:rPr>
          <w:rFonts w:ascii="Arial" w:hAnsi="Arial" w:cs="Arial"/>
          <w:sz w:val="24"/>
          <w:szCs w:val="24"/>
        </w:rPr>
        <w:t xml:space="preserve">Jurídica </w:t>
      </w:r>
      <w:r w:rsidR="00612324" w:rsidRPr="00612324">
        <w:rPr>
          <w:rFonts w:ascii="Arial" w:hAnsi="Arial" w:cs="Arial"/>
          <w:sz w:val="24"/>
          <w:szCs w:val="24"/>
        </w:rPr>
        <w:t>«</w:t>
      </w:r>
      <w:r w:rsidR="007D4638">
        <w:rPr>
          <w:rFonts w:ascii="Arial" w:hAnsi="Arial" w:cs="Arial"/>
          <w:i/>
          <w:iCs/>
          <w:sz w:val="24"/>
          <w:szCs w:val="24"/>
          <w:lang w:val="es-ES"/>
        </w:rPr>
        <w:t>Prestación Transfronteriza de Servicios Financieros</w:t>
      </w:r>
      <w:r w:rsidR="00612324" w:rsidRPr="00612324">
        <w:rPr>
          <w:rFonts w:ascii="Arial" w:hAnsi="Arial" w:cs="Arial"/>
          <w:sz w:val="24"/>
          <w:szCs w:val="24"/>
        </w:rPr>
        <w:t xml:space="preserve">», con el </w:t>
      </w:r>
      <w:r w:rsidR="002F1F2C">
        <w:rPr>
          <w:rFonts w:ascii="Arial" w:hAnsi="Arial" w:cs="Arial"/>
          <w:sz w:val="24"/>
          <w:szCs w:val="24"/>
        </w:rPr>
        <w:t>propósito</w:t>
      </w:r>
      <w:r w:rsidR="00612324" w:rsidRPr="00612324">
        <w:rPr>
          <w:rFonts w:ascii="Arial" w:hAnsi="Arial" w:cs="Arial"/>
          <w:sz w:val="24"/>
          <w:szCs w:val="24"/>
        </w:rPr>
        <w:t xml:space="preserve"> de</w:t>
      </w:r>
      <w:r w:rsidR="002F1F2C">
        <w:rPr>
          <w:rFonts w:ascii="Arial" w:hAnsi="Arial" w:cs="Arial"/>
          <w:sz w:val="24"/>
          <w:szCs w:val="24"/>
        </w:rPr>
        <w:t xml:space="preserve"> definir </w:t>
      </w:r>
      <w:r w:rsidR="002F1F2C" w:rsidRPr="005476E2">
        <w:rPr>
          <w:rFonts w:ascii="Arial" w:hAnsi="Arial" w:cs="Arial"/>
          <w:sz w:val="24"/>
          <w:szCs w:val="24"/>
          <w:lang w:val="es-ES"/>
        </w:rPr>
        <w:t xml:space="preserve">los criterios </w:t>
      </w:r>
      <w:r w:rsidR="00F05175">
        <w:rPr>
          <w:rFonts w:ascii="Arial" w:hAnsi="Arial" w:cs="Arial"/>
          <w:sz w:val="24"/>
          <w:szCs w:val="24"/>
          <w:lang w:val="es-ES"/>
        </w:rPr>
        <w:t>que deben cumplir las ECC extranjeras para ser reconocidas como equivalentes por la SFC</w:t>
      </w:r>
      <w:r w:rsidR="002F1F2C">
        <w:rPr>
          <w:rFonts w:ascii="Arial" w:hAnsi="Arial" w:cs="Arial"/>
          <w:sz w:val="24"/>
          <w:szCs w:val="24"/>
          <w:lang w:val="es-ES"/>
        </w:rPr>
        <w:t>.</w:t>
      </w:r>
    </w:p>
    <w:p w14:paraId="0C5433E9" w14:textId="77777777" w:rsidR="002F1F2C" w:rsidRDefault="002F1F2C" w:rsidP="006552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70D748F" w14:textId="5BC0D623" w:rsidR="00F05175" w:rsidRDefault="002F1F2C" w:rsidP="006552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223562">
        <w:rPr>
          <w:rFonts w:ascii="Arial" w:hAnsi="Arial" w:cs="Arial"/>
          <w:b/>
          <w:bCs/>
          <w:sz w:val="24"/>
          <w:szCs w:val="24"/>
          <w:lang w:val="es-ES"/>
        </w:rPr>
        <w:t>SEGUNDA: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372551">
        <w:rPr>
          <w:rFonts w:ascii="Arial" w:hAnsi="Arial" w:cs="Arial"/>
          <w:bCs/>
          <w:sz w:val="24"/>
          <w:szCs w:val="24"/>
          <w:lang w:val="es-ES"/>
        </w:rPr>
        <w:t xml:space="preserve">Reenumerar el actual </w:t>
      </w:r>
      <w:proofErr w:type="spellStart"/>
      <w:r w:rsidR="00372551">
        <w:rPr>
          <w:rFonts w:ascii="Arial" w:hAnsi="Arial" w:cs="Arial"/>
          <w:bCs/>
          <w:sz w:val="24"/>
          <w:szCs w:val="24"/>
          <w:lang w:val="es-ES"/>
        </w:rPr>
        <w:t>subnumeral</w:t>
      </w:r>
      <w:proofErr w:type="spellEnd"/>
      <w:r w:rsidR="00372551">
        <w:rPr>
          <w:rFonts w:ascii="Arial" w:hAnsi="Arial" w:cs="Arial"/>
          <w:bCs/>
          <w:sz w:val="24"/>
          <w:szCs w:val="24"/>
          <w:lang w:val="es-ES"/>
        </w:rPr>
        <w:t xml:space="preserve"> 7.2. como</w:t>
      </w:r>
      <w:r w:rsidR="007D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638">
        <w:rPr>
          <w:rFonts w:ascii="Arial" w:hAnsi="Arial" w:cs="Arial"/>
          <w:sz w:val="24"/>
          <w:szCs w:val="24"/>
        </w:rPr>
        <w:t>subnumeral</w:t>
      </w:r>
      <w:proofErr w:type="spellEnd"/>
      <w:r w:rsidR="007D4638">
        <w:rPr>
          <w:rFonts w:ascii="Arial" w:hAnsi="Arial" w:cs="Arial"/>
          <w:sz w:val="24"/>
          <w:szCs w:val="24"/>
        </w:rPr>
        <w:t xml:space="preserve"> 7.3.</w:t>
      </w:r>
      <w:r w:rsidR="00372551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el </w:t>
      </w:r>
      <w:r w:rsidRPr="00612324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II del Título II de la Parte I </w:t>
      </w:r>
      <w:r w:rsidRPr="00612324">
        <w:rPr>
          <w:rFonts w:ascii="Arial" w:hAnsi="Arial" w:cs="Arial"/>
          <w:sz w:val="24"/>
          <w:szCs w:val="24"/>
        </w:rPr>
        <w:t xml:space="preserve">de la Circular Básica </w:t>
      </w:r>
      <w:r>
        <w:rPr>
          <w:rFonts w:ascii="Arial" w:hAnsi="Arial" w:cs="Arial"/>
          <w:sz w:val="24"/>
          <w:szCs w:val="24"/>
        </w:rPr>
        <w:t xml:space="preserve">Jurídica </w:t>
      </w:r>
      <w:r w:rsidRPr="00612324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i/>
          <w:iCs/>
          <w:sz w:val="24"/>
          <w:szCs w:val="24"/>
          <w:lang w:val="es-ES"/>
        </w:rPr>
        <w:t>Prestación Transfronteriza de Servicios Financieros</w:t>
      </w:r>
      <w:r w:rsidRPr="00612324">
        <w:rPr>
          <w:rFonts w:ascii="Arial" w:hAnsi="Arial" w:cs="Arial"/>
          <w:sz w:val="24"/>
          <w:szCs w:val="24"/>
        </w:rPr>
        <w:t>»</w:t>
      </w:r>
      <w:r w:rsidR="005476E2">
        <w:rPr>
          <w:rFonts w:ascii="Arial" w:hAnsi="Arial" w:cs="Arial"/>
          <w:sz w:val="24"/>
          <w:szCs w:val="24"/>
        </w:rPr>
        <w:t>,</w:t>
      </w:r>
      <w:r w:rsidR="00372551">
        <w:rPr>
          <w:rFonts w:ascii="Arial" w:hAnsi="Arial" w:cs="Arial"/>
          <w:sz w:val="24"/>
          <w:szCs w:val="24"/>
        </w:rPr>
        <w:t xml:space="preserve"> y hacer algunas modificaciones</w:t>
      </w:r>
      <w:r w:rsidR="005476E2">
        <w:rPr>
          <w:rFonts w:ascii="Arial" w:hAnsi="Arial" w:cs="Arial"/>
          <w:sz w:val="24"/>
          <w:szCs w:val="24"/>
        </w:rPr>
        <w:t xml:space="preserve"> </w:t>
      </w:r>
      <w:r w:rsidR="00F05175">
        <w:rPr>
          <w:rFonts w:ascii="Arial" w:hAnsi="Arial" w:cs="Arial"/>
          <w:sz w:val="24"/>
          <w:szCs w:val="24"/>
        </w:rPr>
        <w:t>con el fin de</w:t>
      </w:r>
      <w:r>
        <w:rPr>
          <w:rFonts w:ascii="Arial" w:hAnsi="Arial" w:cs="Arial"/>
          <w:sz w:val="24"/>
          <w:szCs w:val="24"/>
        </w:rPr>
        <w:t xml:space="preserve"> señalar que</w:t>
      </w:r>
      <w:r w:rsidR="00F05175" w:rsidRPr="00F05175">
        <w:rPr>
          <w:rFonts w:ascii="Arial" w:hAnsi="Arial" w:cs="Arial"/>
          <w:sz w:val="24"/>
          <w:szCs w:val="24"/>
          <w:lang w:val="es-CO"/>
        </w:rPr>
        <w:t xml:space="preserve"> </w:t>
      </w:r>
      <w:r w:rsidR="00F05175">
        <w:rPr>
          <w:rFonts w:ascii="Arial" w:hAnsi="Arial" w:cs="Arial"/>
          <w:sz w:val="24"/>
          <w:szCs w:val="24"/>
          <w:lang w:val="es-CO"/>
        </w:rPr>
        <w:t>son equivalentes a las CRCC locales autorizadas por la SFC, aquellas ECC extranjeras reconocidas por esta</w:t>
      </w:r>
      <w:r w:rsidR="00F05175">
        <w:rPr>
          <w:rFonts w:ascii="Arial" w:hAnsi="Arial" w:cs="Arial"/>
          <w:sz w:val="24"/>
          <w:szCs w:val="24"/>
          <w:lang w:val="es-ES"/>
        </w:rPr>
        <w:t xml:space="preserve"> </w:t>
      </w:r>
      <w:r w:rsidR="005E7ADB">
        <w:rPr>
          <w:rFonts w:ascii="Arial" w:hAnsi="Arial" w:cs="Arial"/>
          <w:sz w:val="24"/>
          <w:szCs w:val="24"/>
          <w:lang w:val="es-ES"/>
        </w:rPr>
        <w:t xml:space="preserve">entidad </w:t>
      </w:r>
      <w:r w:rsidR="00F05175">
        <w:rPr>
          <w:rFonts w:ascii="Arial" w:hAnsi="Arial" w:cs="Arial"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F05175" w:rsidRPr="00076F34">
        <w:rPr>
          <w:rFonts w:ascii="Arial" w:hAnsi="Arial" w:cs="Arial"/>
          <w:sz w:val="24"/>
          <w:szCs w:val="24"/>
          <w:lang w:val="es-CO"/>
        </w:rPr>
        <w:t>la negociación de instrumentos financieros derivados</w:t>
      </w:r>
      <w:r w:rsidR="00F05175">
        <w:rPr>
          <w:rFonts w:ascii="Arial" w:hAnsi="Arial" w:cs="Arial"/>
          <w:sz w:val="24"/>
          <w:szCs w:val="24"/>
          <w:lang w:val="es-CO"/>
        </w:rPr>
        <w:t xml:space="preserve"> y productos estructurados</w:t>
      </w:r>
      <w:r w:rsidR="00F05175" w:rsidRPr="00076F34">
        <w:rPr>
          <w:rFonts w:ascii="Arial" w:hAnsi="Arial" w:cs="Arial"/>
          <w:sz w:val="24"/>
          <w:szCs w:val="24"/>
          <w:lang w:val="es-CO"/>
        </w:rPr>
        <w:t xml:space="preserve"> con fines de cobertura </w:t>
      </w:r>
      <w:r w:rsidR="00F05175">
        <w:rPr>
          <w:rFonts w:ascii="Arial" w:hAnsi="Arial" w:cs="Arial"/>
          <w:sz w:val="24"/>
          <w:szCs w:val="24"/>
          <w:lang w:val="es-CO"/>
        </w:rPr>
        <w:t xml:space="preserve">o </w:t>
      </w:r>
      <w:r w:rsidR="00F05175" w:rsidRPr="00076F34">
        <w:rPr>
          <w:rFonts w:ascii="Arial" w:hAnsi="Arial" w:cs="Arial"/>
          <w:sz w:val="24"/>
          <w:szCs w:val="24"/>
          <w:lang w:val="es-CO"/>
        </w:rPr>
        <w:t>inversión</w:t>
      </w:r>
      <w:r w:rsidR="00F05175">
        <w:rPr>
          <w:rFonts w:ascii="Arial" w:hAnsi="Arial" w:cs="Arial"/>
          <w:sz w:val="24"/>
          <w:szCs w:val="24"/>
          <w:lang w:val="es-CO"/>
        </w:rPr>
        <w:t>.</w:t>
      </w:r>
    </w:p>
    <w:p w14:paraId="5276A961" w14:textId="77777777" w:rsidR="00F05175" w:rsidRDefault="00F05175" w:rsidP="006552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14:paraId="635CBE95" w14:textId="7F6F1B49" w:rsidR="00B76AC1" w:rsidRPr="00223562" w:rsidRDefault="00F05175" w:rsidP="0065523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CO"/>
        </w:rPr>
        <w:t xml:space="preserve">Lo anterior, </w:t>
      </w:r>
      <w:r>
        <w:rPr>
          <w:rFonts w:ascii="Arial" w:hAnsi="Arial" w:cs="Arial"/>
          <w:sz w:val="24"/>
          <w:szCs w:val="24"/>
          <w:lang w:val="es-ES"/>
        </w:rPr>
        <w:t xml:space="preserve">para efectos </w:t>
      </w:r>
      <w:r w:rsidR="005305CB">
        <w:rPr>
          <w:rFonts w:ascii="Arial" w:hAnsi="Arial" w:cs="Arial"/>
          <w:sz w:val="24"/>
          <w:szCs w:val="24"/>
          <w:lang w:val="es-ES"/>
        </w:rPr>
        <w:t>de los r</w:t>
      </w:r>
      <w:r w:rsidR="005305CB" w:rsidRPr="00076F34">
        <w:rPr>
          <w:rFonts w:ascii="Arial" w:hAnsi="Arial" w:cs="Arial"/>
          <w:sz w:val="24"/>
          <w:szCs w:val="24"/>
          <w:lang w:val="es-ES"/>
        </w:rPr>
        <w:t>egímenes de inversión de las reservas técnicas de las entidades aseguradoras y sociedades de capitalización, de los recursos de los fondos de pensiones obligatorias, y de los recursos del Fondo Nacional de Pensiones de las Entidades Territoriales – FONPET y otros patrimonios autónomos públicos destinados a la garantía y pago de pensiones</w:t>
      </w:r>
      <w:r>
        <w:rPr>
          <w:rFonts w:ascii="Arial" w:hAnsi="Arial" w:cs="Arial"/>
          <w:sz w:val="24"/>
          <w:szCs w:val="24"/>
          <w:lang w:val="es-ES"/>
        </w:rPr>
        <w:t>.</w:t>
      </w:r>
    </w:p>
    <w:bookmarkEnd w:id="0"/>
    <w:p w14:paraId="780833BD" w14:textId="77777777" w:rsidR="00B76AC1" w:rsidRPr="00223562" w:rsidRDefault="00B76AC1" w:rsidP="00B76AC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DB5E327" w14:textId="1E48FF62" w:rsidR="00B76AC1" w:rsidRPr="00223562" w:rsidRDefault="002F1F2C" w:rsidP="00655237">
      <w:pPr>
        <w:jc w:val="both"/>
        <w:rPr>
          <w:rFonts w:ascii="Arial" w:hAnsi="Arial" w:cs="Arial"/>
          <w:sz w:val="24"/>
          <w:szCs w:val="24"/>
        </w:rPr>
      </w:pPr>
      <w:r w:rsidRPr="009B7153">
        <w:rPr>
          <w:rFonts w:ascii="Arial" w:hAnsi="Arial" w:cs="Arial"/>
          <w:b/>
          <w:bCs/>
          <w:sz w:val="24"/>
          <w:szCs w:val="24"/>
          <w:lang w:val="es-ES"/>
        </w:rPr>
        <w:t>TERCERA</w:t>
      </w:r>
      <w:r w:rsidR="00B76AC1" w:rsidRPr="00223562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B76AC1" w:rsidRPr="00223562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bookmarkStart w:id="1" w:name="_Hlk108149043"/>
      <w:r w:rsidR="00F05175">
        <w:rPr>
          <w:rFonts w:ascii="Arial" w:hAnsi="Arial" w:cs="Arial"/>
          <w:bCs/>
          <w:sz w:val="24"/>
          <w:szCs w:val="24"/>
        </w:rPr>
        <w:t>Cre</w:t>
      </w:r>
      <w:r w:rsidR="00941590" w:rsidRPr="00941590">
        <w:rPr>
          <w:rFonts w:ascii="Arial" w:hAnsi="Arial" w:cs="Arial"/>
          <w:bCs/>
          <w:sz w:val="24"/>
          <w:szCs w:val="24"/>
        </w:rPr>
        <w:t xml:space="preserve">ar el Capítulo </w:t>
      </w:r>
      <w:r w:rsidR="002B79A8">
        <w:rPr>
          <w:rFonts w:ascii="Arial" w:hAnsi="Arial" w:cs="Arial"/>
          <w:bCs/>
          <w:sz w:val="24"/>
          <w:szCs w:val="24"/>
        </w:rPr>
        <w:t>X</w:t>
      </w:r>
      <w:r w:rsidR="00941590" w:rsidRPr="00941590">
        <w:rPr>
          <w:rFonts w:ascii="Arial" w:hAnsi="Arial" w:cs="Arial"/>
          <w:bCs/>
          <w:sz w:val="24"/>
          <w:szCs w:val="24"/>
        </w:rPr>
        <w:t xml:space="preserve"> del Título </w:t>
      </w:r>
      <w:r w:rsidR="00577C53" w:rsidRPr="00DE5722">
        <w:rPr>
          <w:rFonts w:ascii="Arial" w:hAnsi="Arial" w:cs="Arial"/>
          <w:bCs/>
          <w:sz w:val="24"/>
          <w:szCs w:val="24"/>
        </w:rPr>
        <w:t>I</w:t>
      </w:r>
      <w:r w:rsidR="002B79A8" w:rsidRPr="00DE5722">
        <w:rPr>
          <w:rFonts w:ascii="Arial" w:hAnsi="Arial" w:cs="Arial"/>
          <w:bCs/>
          <w:sz w:val="24"/>
          <w:szCs w:val="24"/>
        </w:rPr>
        <w:t>V</w:t>
      </w:r>
      <w:r w:rsidR="00941590" w:rsidRPr="00941590">
        <w:rPr>
          <w:rFonts w:ascii="Arial" w:hAnsi="Arial" w:cs="Arial"/>
          <w:bCs/>
          <w:sz w:val="24"/>
          <w:szCs w:val="24"/>
        </w:rPr>
        <w:t xml:space="preserve"> de la Parte I</w:t>
      </w:r>
      <w:r w:rsidR="002B79A8">
        <w:rPr>
          <w:rFonts w:ascii="Arial" w:hAnsi="Arial" w:cs="Arial"/>
          <w:bCs/>
          <w:sz w:val="24"/>
          <w:szCs w:val="24"/>
        </w:rPr>
        <w:t>II</w:t>
      </w:r>
      <w:r w:rsidR="00941590" w:rsidRPr="00941590">
        <w:rPr>
          <w:rFonts w:ascii="Arial" w:hAnsi="Arial" w:cs="Arial"/>
          <w:bCs/>
          <w:sz w:val="24"/>
          <w:szCs w:val="24"/>
        </w:rPr>
        <w:t xml:space="preserve"> de la Circular Básica Jurídica </w:t>
      </w:r>
      <w:r w:rsidR="00F05175">
        <w:rPr>
          <w:rFonts w:ascii="Arial" w:hAnsi="Arial" w:cs="Arial"/>
          <w:bCs/>
          <w:sz w:val="24"/>
          <w:szCs w:val="24"/>
        </w:rPr>
        <w:t xml:space="preserve">denominado </w:t>
      </w:r>
      <w:r w:rsidR="00941590" w:rsidRPr="00941590">
        <w:rPr>
          <w:rFonts w:ascii="Arial" w:hAnsi="Arial" w:cs="Arial"/>
          <w:bCs/>
          <w:sz w:val="24"/>
          <w:szCs w:val="24"/>
        </w:rPr>
        <w:t>«</w:t>
      </w:r>
      <w:r w:rsidR="002B79A8">
        <w:rPr>
          <w:rFonts w:ascii="Arial" w:hAnsi="Arial" w:cs="Arial"/>
          <w:bCs/>
          <w:i/>
          <w:iCs/>
          <w:sz w:val="24"/>
          <w:szCs w:val="24"/>
        </w:rPr>
        <w:t>Principios aplicables a las Infraestructuras de los Mercados Financieros</w:t>
      </w:r>
      <w:r w:rsidR="00941590" w:rsidRPr="00941590">
        <w:rPr>
          <w:rFonts w:ascii="Arial" w:hAnsi="Arial" w:cs="Arial"/>
          <w:bCs/>
          <w:sz w:val="24"/>
          <w:szCs w:val="24"/>
        </w:rPr>
        <w:t>», con el fin de</w:t>
      </w:r>
      <w:r w:rsidR="002B79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precis</w:t>
      </w:r>
      <w:r w:rsidR="00B03580">
        <w:rPr>
          <w:rFonts w:ascii="Arial" w:hAnsi="Arial" w:cs="Arial"/>
          <w:sz w:val="24"/>
          <w:szCs w:val="24"/>
          <w:lang w:val="es-ES"/>
        </w:rPr>
        <w:t xml:space="preserve">ar el alcance del deber </w:t>
      </w:r>
      <w:r w:rsidR="002B79A8">
        <w:rPr>
          <w:rFonts w:ascii="Arial" w:hAnsi="Arial" w:cs="Arial"/>
          <w:sz w:val="24"/>
          <w:szCs w:val="24"/>
        </w:rPr>
        <w:t xml:space="preserve">de los proveedores </w:t>
      </w:r>
      <w:r w:rsidR="002B79A8">
        <w:rPr>
          <w:rFonts w:ascii="Arial" w:hAnsi="Arial" w:cs="Arial"/>
          <w:sz w:val="24"/>
          <w:szCs w:val="24"/>
          <w:lang w:val="es-ES"/>
        </w:rPr>
        <w:t xml:space="preserve">de infraestructura del mercado de valores de </w:t>
      </w:r>
      <w:r>
        <w:rPr>
          <w:rFonts w:ascii="Arial" w:hAnsi="Arial" w:cs="Arial"/>
          <w:sz w:val="24"/>
          <w:szCs w:val="24"/>
          <w:lang w:val="es-ES"/>
        </w:rPr>
        <w:t>cumplir</w:t>
      </w:r>
      <w:r w:rsidR="00DB4816">
        <w:rPr>
          <w:rFonts w:ascii="Arial" w:hAnsi="Arial" w:cs="Arial"/>
          <w:sz w:val="24"/>
          <w:szCs w:val="24"/>
          <w:lang w:val="es-ES"/>
        </w:rPr>
        <w:t>, en lo que resulte</w:t>
      </w:r>
      <w:r>
        <w:rPr>
          <w:rFonts w:ascii="Arial" w:hAnsi="Arial" w:cs="Arial"/>
          <w:sz w:val="24"/>
          <w:szCs w:val="24"/>
          <w:lang w:val="es-ES"/>
        </w:rPr>
        <w:t>n</w:t>
      </w:r>
      <w:r w:rsidR="00DB4816">
        <w:rPr>
          <w:rFonts w:ascii="Arial" w:hAnsi="Arial" w:cs="Arial"/>
          <w:sz w:val="24"/>
          <w:szCs w:val="24"/>
          <w:lang w:val="es-ES"/>
        </w:rPr>
        <w:t xml:space="preserve"> aplicable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DB4816">
        <w:rPr>
          <w:rFonts w:ascii="Arial" w:hAnsi="Arial" w:cs="Arial"/>
          <w:sz w:val="24"/>
          <w:szCs w:val="24"/>
          <w:lang w:val="es-ES"/>
        </w:rPr>
        <w:t>,</w:t>
      </w:r>
      <w:r w:rsidR="002B79A8">
        <w:rPr>
          <w:rFonts w:ascii="Arial" w:hAnsi="Arial" w:cs="Arial"/>
          <w:sz w:val="24"/>
          <w:szCs w:val="24"/>
          <w:lang w:val="es-ES"/>
        </w:rPr>
        <w:t xml:space="preserve"> los PFMI establecidos por</w:t>
      </w:r>
      <w:r w:rsidR="0076604C">
        <w:rPr>
          <w:rFonts w:ascii="Arial" w:hAnsi="Arial" w:cs="Arial"/>
          <w:sz w:val="24"/>
          <w:szCs w:val="24"/>
          <w:lang w:val="es-ES"/>
        </w:rPr>
        <w:t xml:space="preserve"> el</w:t>
      </w:r>
      <w:r w:rsidR="002B79A8">
        <w:rPr>
          <w:rFonts w:ascii="Arial" w:hAnsi="Arial" w:cs="Arial"/>
          <w:sz w:val="24"/>
          <w:szCs w:val="24"/>
          <w:lang w:val="es-ES"/>
        </w:rPr>
        <w:t xml:space="preserve"> </w:t>
      </w:r>
      <w:r w:rsidR="002B79A8" w:rsidRPr="002B79A8">
        <w:rPr>
          <w:rFonts w:ascii="Arial" w:hAnsi="Arial" w:cs="Arial"/>
          <w:sz w:val="24"/>
          <w:szCs w:val="24"/>
          <w:lang w:val="es-ES"/>
        </w:rPr>
        <w:t>Comité de Pagos e Infraestructuras del Mercado</w:t>
      </w:r>
      <w:r w:rsidR="00400771">
        <w:rPr>
          <w:rFonts w:ascii="Arial" w:hAnsi="Arial" w:cs="Arial"/>
          <w:sz w:val="24"/>
          <w:szCs w:val="24"/>
          <w:lang w:val="es-ES"/>
        </w:rPr>
        <w:t xml:space="preserve"> (CPMI, por sus siglas en inglés)</w:t>
      </w:r>
      <w:r w:rsidR="002B79A8" w:rsidRPr="002B79A8">
        <w:rPr>
          <w:rFonts w:ascii="Arial" w:hAnsi="Arial" w:cs="Arial"/>
          <w:sz w:val="24"/>
          <w:szCs w:val="24"/>
          <w:lang w:val="es-ES"/>
        </w:rPr>
        <w:t xml:space="preserve"> del </w:t>
      </w:r>
      <w:r w:rsidR="00400771">
        <w:rPr>
          <w:rFonts w:ascii="Arial" w:hAnsi="Arial" w:cs="Arial"/>
          <w:sz w:val="24"/>
          <w:szCs w:val="24"/>
          <w:lang w:val="es-ES"/>
        </w:rPr>
        <w:t>BIS</w:t>
      </w:r>
      <w:r w:rsidR="0076604C">
        <w:rPr>
          <w:rFonts w:ascii="Arial" w:hAnsi="Arial" w:cs="Arial"/>
          <w:sz w:val="24"/>
          <w:szCs w:val="24"/>
          <w:lang w:val="es-ES"/>
        </w:rPr>
        <w:t xml:space="preserve"> </w:t>
      </w:r>
      <w:r w:rsidR="002B79A8" w:rsidRPr="002B79A8">
        <w:rPr>
          <w:rFonts w:ascii="Arial" w:hAnsi="Arial" w:cs="Arial"/>
          <w:sz w:val="24"/>
          <w:szCs w:val="24"/>
          <w:lang w:val="es-ES"/>
        </w:rPr>
        <w:t>en conjunto con</w:t>
      </w:r>
      <w:r w:rsidR="00400771">
        <w:rPr>
          <w:rFonts w:ascii="Arial" w:hAnsi="Arial" w:cs="Arial"/>
          <w:sz w:val="24"/>
          <w:szCs w:val="24"/>
          <w:lang w:val="es-ES"/>
        </w:rPr>
        <w:t xml:space="preserve"> IOSCO</w:t>
      </w:r>
      <w:r w:rsidR="002B79A8">
        <w:rPr>
          <w:rFonts w:ascii="Arial" w:hAnsi="Arial" w:cs="Arial"/>
          <w:sz w:val="24"/>
          <w:szCs w:val="24"/>
          <w:lang w:val="es-ES"/>
        </w:rPr>
        <w:t>.</w:t>
      </w:r>
      <w:bookmarkEnd w:id="1"/>
    </w:p>
    <w:p w14:paraId="75D834FE" w14:textId="77777777" w:rsidR="00B76AC1" w:rsidRPr="00223562" w:rsidRDefault="00B76AC1" w:rsidP="00B76A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275EEC9" w14:textId="7903B044" w:rsidR="00076F34" w:rsidRPr="00076F34" w:rsidRDefault="002F1F2C" w:rsidP="00B76A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CUARTA</w:t>
      </w:r>
      <w:r w:rsidR="00076F34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743675" w:rsidRPr="00743675">
        <w:rPr>
          <w:rFonts w:ascii="Arial" w:hAnsi="Arial" w:cs="Arial"/>
          <w:sz w:val="24"/>
          <w:szCs w:val="24"/>
          <w:lang w:val="es-ES"/>
        </w:rPr>
        <w:t xml:space="preserve"> </w:t>
      </w:r>
      <w:bookmarkStart w:id="2" w:name="_Hlk108149828"/>
      <w:r w:rsidR="00743675" w:rsidRPr="00076F34">
        <w:rPr>
          <w:rFonts w:ascii="Arial" w:hAnsi="Arial" w:cs="Arial"/>
          <w:sz w:val="24"/>
          <w:szCs w:val="24"/>
          <w:lang w:val="es-ES"/>
        </w:rPr>
        <w:t>Modificar</w:t>
      </w:r>
      <w:r>
        <w:rPr>
          <w:rFonts w:ascii="Arial" w:hAnsi="Arial" w:cs="Arial"/>
          <w:sz w:val="24"/>
          <w:szCs w:val="24"/>
          <w:lang w:val="es-ES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subnumeral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1.2.</w:t>
      </w:r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</w:t>
      </w:r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el Capítulo XIII-12 </w:t>
      </w:r>
      <w:r w:rsidR="00743675">
        <w:rPr>
          <w:rFonts w:ascii="Arial" w:hAnsi="Arial" w:cs="Arial"/>
          <w:sz w:val="24"/>
          <w:szCs w:val="24"/>
          <w:lang w:val="es-ES"/>
        </w:rPr>
        <w:t xml:space="preserve">de la Circular Básica Contable y Financiera </w:t>
      </w:r>
      <w:r w:rsidR="00743675" w:rsidRPr="00076F34">
        <w:rPr>
          <w:rFonts w:ascii="Arial" w:hAnsi="Arial" w:cs="Arial"/>
          <w:bCs/>
          <w:i/>
          <w:iCs/>
          <w:sz w:val="24"/>
          <w:szCs w:val="24"/>
        </w:rPr>
        <w:t>«Relación de Solvencia de las entidades que administran activos de terceros: Sociedades Comisionistas de Bolsa de Valores, Sociedades Administradoras de Inversión, Sociedades Fiduciarias, Sociedades Administradoras de Fondos de Pensiones y Cesantías y Entidades Aseguradoras»</w:t>
      </w:r>
      <w:r w:rsidR="00743675" w:rsidRPr="00941590">
        <w:rPr>
          <w:rFonts w:ascii="Arial" w:hAnsi="Arial" w:cs="Arial"/>
          <w:bCs/>
          <w:sz w:val="24"/>
          <w:szCs w:val="24"/>
        </w:rPr>
        <w:t>,</w:t>
      </w:r>
      <w:r w:rsidR="00743675">
        <w:rPr>
          <w:rFonts w:ascii="Arial" w:hAnsi="Arial" w:cs="Arial"/>
          <w:bCs/>
          <w:sz w:val="24"/>
          <w:szCs w:val="24"/>
        </w:rPr>
        <w:t xml:space="preserve"> con el propósito de</w:t>
      </w:r>
      <w:r w:rsidR="005476E2">
        <w:rPr>
          <w:rFonts w:ascii="Arial" w:hAnsi="Arial" w:cs="Arial"/>
          <w:bCs/>
          <w:sz w:val="24"/>
          <w:szCs w:val="24"/>
        </w:rPr>
        <w:t xml:space="preserve"> </w:t>
      </w:r>
      <w:r w:rsidR="00743675">
        <w:rPr>
          <w:rFonts w:ascii="Arial" w:hAnsi="Arial" w:cs="Arial"/>
          <w:bCs/>
          <w:sz w:val="24"/>
          <w:szCs w:val="24"/>
        </w:rPr>
        <w:t>establecer</w:t>
      </w:r>
      <w:r>
        <w:rPr>
          <w:rFonts w:ascii="Arial" w:hAnsi="Arial" w:cs="Arial"/>
          <w:bCs/>
          <w:sz w:val="24"/>
          <w:szCs w:val="24"/>
        </w:rPr>
        <w:t xml:space="preserve"> el porcentaje</w:t>
      </w:r>
      <w:r w:rsidR="00743675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08149294"/>
      <w:r w:rsidR="00743675" w:rsidRPr="00743675">
        <w:rPr>
          <w:rFonts w:ascii="Arial" w:hAnsi="Arial" w:cs="Arial"/>
          <w:bCs/>
          <w:sz w:val="24"/>
          <w:szCs w:val="24"/>
          <w:lang w:val="es-ES"/>
        </w:rPr>
        <w:t xml:space="preserve">de ponderación </w:t>
      </w:r>
      <w:r w:rsidR="00F05175">
        <w:rPr>
          <w:rFonts w:ascii="Arial" w:hAnsi="Arial" w:cs="Arial"/>
          <w:bCs/>
          <w:sz w:val="24"/>
          <w:szCs w:val="24"/>
          <w:lang w:val="es-ES"/>
        </w:rPr>
        <w:t>por</w:t>
      </w:r>
      <w:r w:rsidR="00743675" w:rsidRPr="00743675">
        <w:rPr>
          <w:rFonts w:ascii="Arial" w:hAnsi="Arial" w:cs="Arial"/>
          <w:bCs/>
          <w:sz w:val="24"/>
          <w:szCs w:val="24"/>
          <w:lang w:val="es-ES"/>
        </w:rPr>
        <w:t xml:space="preserve"> riesgo de crédito </w:t>
      </w:r>
      <w:r w:rsidR="00F05175">
        <w:rPr>
          <w:rFonts w:ascii="Arial" w:hAnsi="Arial" w:cs="Arial"/>
          <w:bCs/>
          <w:sz w:val="24"/>
          <w:szCs w:val="24"/>
          <w:lang w:val="es-ES"/>
        </w:rPr>
        <w:t xml:space="preserve">de las </w:t>
      </w:r>
      <w:r w:rsidR="00743675" w:rsidRPr="00743675">
        <w:rPr>
          <w:rFonts w:ascii="Arial" w:hAnsi="Arial" w:cs="Arial"/>
          <w:bCs/>
          <w:sz w:val="24"/>
          <w:szCs w:val="24"/>
          <w:lang w:val="es-ES"/>
        </w:rPr>
        <w:t xml:space="preserve">exposiciones </w:t>
      </w:r>
      <w:r w:rsidR="00F05175">
        <w:rPr>
          <w:rFonts w:ascii="Arial" w:hAnsi="Arial" w:cs="Arial"/>
          <w:bCs/>
          <w:sz w:val="24"/>
          <w:szCs w:val="24"/>
          <w:lang w:val="es-ES"/>
        </w:rPr>
        <w:t>cuya contraparte es una</w:t>
      </w:r>
      <w:r w:rsidR="00743675" w:rsidRPr="00743675">
        <w:rPr>
          <w:rFonts w:ascii="Arial" w:hAnsi="Arial" w:cs="Arial"/>
          <w:bCs/>
          <w:sz w:val="24"/>
          <w:szCs w:val="24"/>
          <w:lang w:val="es-ES"/>
        </w:rPr>
        <w:t xml:space="preserve"> ECC extranjera reconocida como equivalente por la SFC</w:t>
      </w:r>
      <w:r w:rsidR="00743675">
        <w:rPr>
          <w:rFonts w:ascii="Arial" w:hAnsi="Arial" w:cs="Arial"/>
          <w:bCs/>
          <w:sz w:val="24"/>
          <w:szCs w:val="24"/>
          <w:lang w:val="es-ES"/>
        </w:rPr>
        <w:t>.</w:t>
      </w:r>
      <w:bookmarkEnd w:id="2"/>
    </w:p>
    <w:bookmarkEnd w:id="3"/>
    <w:p w14:paraId="015647E6" w14:textId="77777777" w:rsidR="00076F34" w:rsidRDefault="00076F34" w:rsidP="00B76AC1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61102D8" w14:textId="0FE3D38F" w:rsidR="00076F34" w:rsidRDefault="002F1F2C" w:rsidP="00B76AC1">
      <w:pPr>
        <w:jc w:val="both"/>
        <w:rPr>
          <w:rFonts w:ascii="Arial" w:hAnsi="Arial" w:cs="Arial"/>
          <w:bCs/>
          <w:sz w:val="24"/>
          <w:szCs w:val="24"/>
        </w:rPr>
      </w:pPr>
      <w:r w:rsidRPr="00743675">
        <w:rPr>
          <w:rFonts w:ascii="Arial" w:hAnsi="Arial" w:cs="Arial"/>
          <w:b/>
          <w:sz w:val="24"/>
          <w:szCs w:val="24"/>
        </w:rPr>
        <w:t>QUINTA</w:t>
      </w:r>
      <w:r w:rsidR="00A27A9C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076F3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bookmarkStart w:id="4" w:name="_Hlk108149786"/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Modificar </w:t>
      </w:r>
      <w:r w:rsidR="00B40636">
        <w:rPr>
          <w:rFonts w:ascii="Arial" w:hAnsi="Arial" w:cs="Arial"/>
          <w:sz w:val="24"/>
          <w:szCs w:val="24"/>
          <w:lang w:val="es-ES"/>
        </w:rPr>
        <w:t>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subnumeral</w:t>
      </w:r>
      <w:r w:rsidR="00B40636">
        <w:rPr>
          <w:rFonts w:ascii="Arial" w:hAnsi="Arial" w:cs="Arial"/>
          <w:sz w:val="24"/>
          <w:szCs w:val="24"/>
          <w:lang w:val="es-ES"/>
        </w:rPr>
        <w:t>es</w:t>
      </w:r>
      <w:proofErr w:type="spellEnd"/>
      <w:r w:rsidR="00B40636">
        <w:rPr>
          <w:rFonts w:ascii="Arial" w:hAnsi="Arial" w:cs="Arial"/>
          <w:sz w:val="24"/>
          <w:szCs w:val="24"/>
          <w:lang w:val="es-ES"/>
        </w:rPr>
        <w:t xml:space="preserve"> 2.4.4.1</w:t>
      </w:r>
      <w:r w:rsidR="005E7ADB">
        <w:rPr>
          <w:rFonts w:ascii="Arial" w:hAnsi="Arial" w:cs="Arial"/>
          <w:sz w:val="24"/>
          <w:szCs w:val="24"/>
          <w:lang w:val="es-ES"/>
        </w:rPr>
        <w:t>.</w:t>
      </w:r>
      <w:r w:rsidR="00B40636">
        <w:rPr>
          <w:rFonts w:ascii="Arial" w:hAnsi="Arial" w:cs="Arial"/>
          <w:sz w:val="24"/>
          <w:szCs w:val="24"/>
          <w:lang w:val="es-ES"/>
        </w:rPr>
        <w:t xml:space="preserve"> y</w:t>
      </w:r>
      <w:r>
        <w:rPr>
          <w:rFonts w:ascii="Arial" w:hAnsi="Arial" w:cs="Arial"/>
          <w:sz w:val="24"/>
          <w:szCs w:val="24"/>
          <w:lang w:val="es-ES"/>
        </w:rPr>
        <w:t xml:space="preserve"> 2.4.5. del</w:t>
      </w:r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 Capítulo XIII-1</w:t>
      </w:r>
      <w:r w:rsidR="00743675">
        <w:rPr>
          <w:rFonts w:ascii="Arial" w:hAnsi="Arial" w:cs="Arial"/>
          <w:sz w:val="24"/>
          <w:szCs w:val="24"/>
          <w:lang w:val="es-ES"/>
        </w:rPr>
        <w:t>6</w:t>
      </w:r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 </w:t>
      </w:r>
      <w:r w:rsidR="00743675">
        <w:rPr>
          <w:rFonts w:ascii="Arial" w:hAnsi="Arial" w:cs="Arial"/>
          <w:sz w:val="24"/>
          <w:szCs w:val="24"/>
          <w:lang w:val="es-ES"/>
        </w:rPr>
        <w:t xml:space="preserve">de la Circular Básica Contable y Financiera </w:t>
      </w:r>
      <w:r w:rsidR="00743675" w:rsidRPr="00076F34">
        <w:rPr>
          <w:rFonts w:ascii="Arial" w:hAnsi="Arial" w:cs="Arial"/>
          <w:bCs/>
          <w:i/>
          <w:iCs/>
          <w:sz w:val="24"/>
          <w:szCs w:val="24"/>
        </w:rPr>
        <w:t>«</w:t>
      </w:r>
      <w:proofErr w:type="spellStart"/>
      <w:r w:rsidR="00743675" w:rsidRPr="00743675">
        <w:rPr>
          <w:rFonts w:ascii="Arial" w:hAnsi="Arial" w:cs="Arial"/>
          <w:bCs/>
          <w:i/>
          <w:iCs/>
          <w:sz w:val="24"/>
          <w:szCs w:val="24"/>
        </w:rPr>
        <w:t>Márgen</w:t>
      </w:r>
      <w:proofErr w:type="spellEnd"/>
      <w:r w:rsidR="00743675" w:rsidRPr="00743675">
        <w:rPr>
          <w:rFonts w:ascii="Arial" w:hAnsi="Arial" w:cs="Arial"/>
          <w:bCs/>
          <w:i/>
          <w:iCs/>
          <w:sz w:val="24"/>
          <w:szCs w:val="24"/>
        </w:rPr>
        <w:t xml:space="preserve"> de solvencia y otros requerimientos de patrimonio</w:t>
      </w:r>
      <w:r w:rsidR="00743675" w:rsidRPr="00076F34">
        <w:rPr>
          <w:rFonts w:ascii="Arial" w:hAnsi="Arial" w:cs="Arial"/>
          <w:bCs/>
          <w:i/>
          <w:iCs/>
          <w:sz w:val="24"/>
          <w:szCs w:val="24"/>
        </w:rPr>
        <w:t>»</w:t>
      </w:r>
      <w:r w:rsidR="00743675" w:rsidRPr="00941590">
        <w:rPr>
          <w:rFonts w:ascii="Arial" w:hAnsi="Arial" w:cs="Arial"/>
          <w:bCs/>
          <w:sz w:val="24"/>
          <w:szCs w:val="24"/>
        </w:rPr>
        <w:t>,</w:t>
      </w:r>
      <w:r w:rsidR="00743675">
        <w:rPr>
          <w:rFonts w:ascii="Arial" w:hAnsi="Arial" w:cs="Arial"/>
          <w:bCs/>
          <w:sz w:val="24"/>
          <w:szCs w:val="24"/>
        </w:rPr>
        <w:t xml:space="preserve"> con el propósito</w:t>
      </w:r>
      <w:r w:rsidR="00BE185E">
        <w:rPr>
          <w:rFonts w:ascii="Arial" w:hAnsi="Arial" w:cs="Arial"/>
          <w:bCs/>
          <w:sz w:val="24"/>
          <w:szCs w:val="24"/>
        </w:rPr>
        <w:t xml:space="preserve"> de</w:t>
      </w:r>
      <w:r w:rsidR="0074367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establecer el porcentaje </w:t>
      </w:r>
      <w:r w:rsidRPr="00743675">
        <w:rPr>
          <w:rFonts w:ascii="Arial" w:hAnsi="Arial" w:cs="Arial"/>
          <w:bCs/>
          <w:sz w:val="24"/>
          <w:szCs w:val="24"/>
          <w:lang w:val="es-ES"/>
        </w:rPr>
        <w:t xml:space="preserve">de ponderación </w:t>
      </w:r>
      <w:r w:rsidR="00F05175">
        <w:rPr>
          <w:rFonts w:ascii="Arial" w:hAnsi="Arial" w:cs="Arial"/>
          <w:bCs/>
          <w:sz w:val="24"/>
          <w:szCs w:val="24"/>
          <w:lang w:val="es-ES"/>
        </w:rPr>
        <w:t>por</w:t>
      </w:r>
      <w:r w:rsidRPr="00743675">
        <w:rPr>
          <w:rFonts w:ascii="Arial" w:hAnsi="Arial" w:cs="Arial"/>
          <w:bCs/>
          <w:sz w:val="24"/>
          <w:szCs w:val="24"/>
          <w:lang w:val="es-ES"/>
        </w:rPr>
        <w:t xml:space="preserve"> riesgo de crédito </w:t>
      </w:r>
      <w:r w:rsidR="00F05175">
        <w:rPr>
          <w:rFonts w:ascii="Arial" w:hAnsi="Arial" w:cs="Arial"/>
          <w:bCs/>
          <w:sz w:val="24"/>
          <w:szCs w:val="24"/>
          <w:lang w:val="es-ES"/>
        </w:rPr>
        <w:t xml:space="preserve">de </w:t>
      </w:r>
      <w:r w:rsidRPr="00743675">
        <w:rPr>
          <w:rFonts w:ascii="Arial" w:hAnsi="Arial" w:cs="Arial"/>
          <w:bCs/>
          <w:sz w:val="24"/>
          <w:szCs w:val="24"/>
          <w:lang w:val="es-ES"/>
        </w:rPr>
        <w:t xml:space="preserve">las exposiciones </w:t>
      </w:r>
      <w:r w:rsidR="00F05175">
        <w:rPr>
          <w:rFonts w:ascii="Arial" w:hAnsi="Arial" w:cs="Arial"/>
          <w:bCs/>
          <w:sz w:val="24"/>
          <w:szCs w:val="24"/>
          <w:lang w:val="es-ES"/>
        </w:rPr>
        <w:t>cuya contraparte es una</w:t>
      </w:r>
      <w:r w:rsidRPr="00743675">
        <w:rPr>
          <w:rFonts w:ascii="Arial" w:hAnsi="Arial" w:cs="Arial"/>
          <w:bCs/>
          <w:sz w:val="24"/>
          <w:szCs w:val="24"/>
          <w:lang w:val="es-ES"/>
        </w:rPr>
        <w:t xml:space="preserve"> ECC extranjera reconocida como equivalente por la SFC</w:t>
      </w:r>
      <w:r w:rsidR="00743675">
        <w:rPr>
          <w:rFonts w:ascii="Arial" w:hAnsi="Arial" w:cs="Arial"/>
          <w:bCs/>
          <w:sz w:val="24"/>
          <w:szCs w:val="24"/>
          <w:lang w:val="es-ES"/>
        </w:rPr>
        <w:t>.</w:t>
      </w:r>
      <w:bookmarkEnd w:id="4"/>
    </w:p>
    <w:p w14:paraId="35A70376" w14:textId="77777777" w:rsidR="00743675" w:rsidRDefault="00743675" w:rsidP="00B76AC1">
      <w:pPr>
        <w:jc w:val="both"/>
        <w:rPr>
          <w:rFonts w:ascii="Arial" w:hAnsi="Arial" w:cs="Arial"/>
          <w:bCs/>
          <w:sz w:val="24"/>
          <w:szCs w:val="24"/>
        </w:rPr>
      </w:pPr>
    </w:p>
    <w:p w14:paraId="633C9B49" w14:textId="1522F85A" w:rsidR="00743675" w:rsidRPr="00743675" w:rsidRDefault="002F1F2C" w:rsidP="00B76AC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3675">
        <w:rPr>
          <w:rFonts w:ascii="Arial" w:hAnsi="Arial" w:cs="Arial"/>
          <w:b/>
          <w:bCs/>
          <w:sz w:val="24"/>
          <w:szCs w:val="24"/>
        </w:rPr>
        <w:t>SEXTA</w:t>
      </w:r>
      <w:r w:rsidR="00743675">
        <w:rPr>
          <w:rFonts w:ascii="Arial" w:hAnsi="Arial" w:cs="Arial"/>
          <w:b/>
          <w:sz w:val="24"/>
          <w:szCs w:val="24"/>
        </w:rPr>
        <w:t>:</w:t>
      </w:r>
      <w:r w:rsidR="00743675" w:rsidRPr="00743675">
        <w:rPr>
          <w:rFonts w:ascii="Arial" w:hAnsi="Arial" w:cs="Arial"/>
          <w:sz w:val="24"/>
          <w:szCs w:val="24"/>
          <w:lang w:val="es-ES"/>
        </w:rPr>
        <w:t xml:space="preserve"> </w:t>
      </w:r>
      <w:bookmarkStart w:id="5" w:name="_Hlk108149868"/>
      <w:r w:rsidR="00743675" w:rsidRPr="00076F34">
        <w:rPr>
          <w:rFonts w:ascii="Arial" w:hAnsi="Arial" w:cs="Arial"/>
          <w:sz w:val="24"/>
          <w:szCs w:val="24"/>
          <w:lang w:val="es-ES"/>
        </w:rPr>
        <w:t xml:space="preserve">Modificar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subnumeral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2.3. d</w:t>
      </w:r>
      <w:r w:rsidR="00743675" w:rsidRPr="00076F34">
        <w:rPr>
          <w:rFonts w:ascii="Arial" w:hAnsi="Arial" w:cs="Arial"/>
          <w:sz w:val="24"/>
          <w:szCs w:val="24"/>
          <w:lang w:val="es-ES"/>
        </w:rPr>
        <w:t>e</w:t>
      </w:r>
      <w:r w:rsidR="00743675">
        <w:rPr>
          <w:rFonts w:ascii="Arial" w:hAnsi="Arial" w:cs="Arial"/>
          <w:sz w:val="24"/>
          <w:szCs w:val="24"/>
          <w:lang w:val="es-ES"/>
        </w:rPr>
        <w:t xml:space="preserve">l Capítulo XVIII de la Circular Básica Contable y Financiera </w:t>
      </w:r>
      <w:r w:rsidR="00743675" w:rsidRPr="00941590">
        <w:rPr>
          <w:rFonts w:ascii="Arial" w:hAnsi="Arial" w:cs="Arial"/>
          <w:bCs/>
          <w:sz w:val="24"/>
          <w:szCs w:val="24"/>
        </w:rPr>
        <w:t>«</w:t>
      </w:r>
      <w:r w:rsidR="00743675" w:rsidRPr="00076F34">
        <w:rPr>
          <w:rFonts w:ascii="Arial" w:hAnsi="Arial" w:cs="Arial"/>
          <w:bCs/>
          <w:i/>
          <w:iCs/>
          <w:sz w:val="24"/>
          <w:szCs w:val="24"/>
        </w:rPr>
        <w:t>Instrumentos financieros derivados y productos estructurados</w:t>
      </w:r>
      <w:r w:rsidR="00743675" w:rsidRPr="00941590">
        <w:rPr>
          <w:rFonts w:ascii="Arial" w:hAnsi="Arial" w:cs="Arial"/>
          <w:bCs/>
          <w:sz w:val="24"/>
          <w:szCs w:val="24"/>
        </w:rPr>
        <w:t>»,</w:t>
      </w:r>
      <w:r w:rsidR="00743675">
        <w:rPr>
          <w:rFonts w:ascii="Arial" w:hAnsi="Arial" w:cs="Arial"/>
          <w:bCs/>
          <w:sz w:val="24"/>
          <w:szCs w:val="24"/>
        </w:rPr>
        <w:t xml:space="preserve"> con el propósito </w:t>
      </w:r>
      <w:r w:rsidR="005476E2">
        <w:rPr>
          <w:rFonts w:ascii="Arial" w:hAnsi="Arial" w:cs="Arial"/>
          <w:bCs/>
          <w:sz w:val="24"/>
          <w:szCs w:val="24"/>
        </w:rPr>
        <w:t xml:space="preserve">de </w:t>
      </w:r>
      <w:r w:rsidR="00743675">
        <w:rPr>
          <w:rFonts w:ascii="Arial" w:hAnsi="Arial" w:cs="Arial"/>
          <w:bCs/>
          <w:sz w:val="24"/>
          <w:szCs w:val="24"/>
        </w:rPr>
        <w:t>incluir el concepto de CRCC extranjeras reconocidas por la SFC.</w:t>
      </w:r>
      <w:bookmarkEnd w:id="5"/>
    </w:p>
    <w:p w14:paraId="271E1C0F" w14:textId="77777777" w:rsidR="00076F34" w:rsidRDefault="00076F34" w:rsidP="00B76AC1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9272B70" w14:textId="15A8343D" w:rsidR="00B76AC1" w:rsidRPr="002B79A8" w:rsidRDefault="00743675" w:rsidP="00B76AC1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743675">
        <w:rPr>
          <w:rFonts w:ascii="Arial" w:hAnsi="Arial" w:cs="Arial"/>
          <w:b/>
          <w:bCs/>
          <w:sz w:val="24"/>
          <w:szCs w:val="24"/>
        </w:rPr>
        <w:t>S</w:t>
      </w:r>
      <w:r w:rsidR="002F1F2C">
        <w:rPr>
          <w:rFonts w:ascii="Arial" w:hAnsi="Arial" w:cs="Arial"/>
          <w:b/>
          <w:bCs/>
          <w:sz w:val="24"/>
          <w:szCs w:val="24"/>
        </w:rPr>
        <w:t>ÉPTIM</w:t>
      </w:r>
      <w:r w:rsidRPr="00743675">
        <w:rPr>
          <w:rFonts w:ascii="Arial" w:hAnsi="Arial" w:cs="Arial"/>
          <w:b/>
          <w:bCs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</w:t>
      </w:r>
      <w:r w:rsidR="00B76AC1" w:rsidRPr="00223562">
        <w:rPr>
          <w:rFonts w:ascii="Arial" w:hAnsi="Arial" w:cs="Arial"/>
          <w:sz w:val="24"/>
          <w:szCs w:val="24"/>
        </w:rPr>
        <w:t xml:space="preserve">La presente Circular rige a partir de la fecha de su publicación. </w:t>
      </w:r>
    </w:p>
    <w:p w14:paraId="7EBA462B" w14:textId="77777777" w:rsidR="00B76AC1" w:rsidRPr="00223562" w:rsidRDefault="00B76AC1" w:rsidP="00B76AC1">
      <w:pPr>
        <w:jc w:val="both"/>
        <w:rPr>
          <w:rFonts w:ascii="Arial" w:hAnsi="Arial" w:cs="Arial"/>
          <w:sz w:val="24"/>
          <w:szCs w:val="24"/>
        </w:rPr>
      </w:pPr>
    </w:p>
    <w:p w14:paraId="4B22E1B2" w14:textId="77777777" w:rsidR="00B76AC1" w:rsidRPr="00223562" w:rsidRDefault="00B76AC1" w:rsidP="00B76AC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223562">
        <w:rPr>
          <w:rFonts w:ascii="Arial" w:hAnsi="Arial" w:cs="Arial"/>
          <w:bCs/>
          <w:sz w:val="24"/>
          <w:szCs w:val="24"/>
          <w:lang w:val="es-ES"/>
        </w:rPr>
        <w:t xml:space="preserve">Se anexan los </w:t>
      </w:r>
      <w:r w:rsidRPr="00223562">
        <w:rPr>
          <w:rFonts w:ascii="Arial" w:hAnsi="Arial" w:cs="Arial"/>
          <w:sz w:val="24"/>
          <w:szCs w:val="24"/>
        </w:rPr>
        <w:t>archivos correspondientes.</w:t>
      </w:r>
    </w:p>
    <w:p w14:paraId="14395018" w14:textId="77777777" w:rsidR="00B76AC1" w:rsidRPr="00223562" w:rsidRDefault="00B76AC1" w:rsidP="00B76AC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5C267CE" w14:textId="77777777" w:rsidR="00B76AC1" w:rsidRPr="00223562" w:rsidRDefault="00B76AC1" w:rsidP="00B76AC1">
      <w:pPr>
        <w:jc w:val="both"/>
        <w:rPr>
          <w:rFonts w:ascii="Arial" w:hAnsi="Arial" w:cs="Arial"/>
          <w:sz w:val="24"/>
          <w:szCs w:val="24"/>
        </w:rPr>
      </w:pPr>
      <w:r w:rsidRPr="00223562">
        <w:rPr>
          <w:rFonts w:ascii="Arial" w:hAnsi="Arial" w:cs="Arial"/>
          <w:sz w:val="24"/>
          <w:szCs w:val="24"/>
        </w:rPr>
        <w:t>Cordialmente,</w:t>
      </w:r>
    </w:p>
    <w:p w14:paraId="3E1547CA" w14:textId="77777777" w:rsidR="00B76AC1" w:rsidRPr="00223562" w:rsidRDefault="00B76AC1" w:rsidP="00B76AC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6D87E0" w14:textId="793F2F16" w:rsidR="00B76AC1" w:rsidRDefault="00B76AC1" w:rsidP="00B76AC1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7FE536F" w14:textId="77777777" w:rsidR="007973A6" w:rsidRPr="00223562" w:rsidRDefault="007973A6" w:rsidP="00B76AC1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802819B" w14:textId="77777777" w:rsidR="00B76AC1" w:rsidRPr="00223562" w:rsidRDefault="00B76AC1" w:rsidP="00B76AC1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pt-BR"/>
        </w:rPr>
      </w:pPr>
      <w:r w:rsidRPr="00223562">
        <w:rPr>
          <w:rFonts w:ascii="Arial" w:hAnsi="Arial" w:cs="Arial"/>
          <w:b/>
          <w:bCs/>
          <w:sz w:val="24"/>
          <w:szCs w:val="24"/>
          <w:lang w:val="pt-BR"/>
        </w:rPr>
        <w:t>JORGE CASTAÑO GUTIÉRREZ</w:t>
      </w:r>
    </w:p>
    <w:p w14:paraId="5332D9FE" w14:textId="77777777" w:rsidR="00B76AC1" w:rsidRPr="00223562" w:rsidRDefault="00B76AC1" w:rsidP="00B76AC1">
      <w:pPr>
        <w:ind w:right="-160"/>
        <w:outlineLvl w:val="0"/>
        <w:rPr>
          <w:rFonts w:ascii="Arial" w:hAnsi="Arial" w:cs="Arial"/>
          <w:sz w:val="24"/>
          <w:szCs w:val="24"/>
          <w:lang w:val="pt-BR"/>
        </w:rPr>
      </w:pPr>
      <w:r w:rsidRPr="00223562">
        <w:rPr>
          <w:rFonts w:ascii="Arial" w:hAnsi="Arial" w:cs="Arial"/>
          <w:sz w:val="24"/>
          <w:szCs w:val="24"/>
          <w:lang w:val="pt-BR"/>
        </w:rPr>
        <w:t xml:space="preserve">Superintendente </w:t>
      </w:r>
      <w:r w:rsidRPr="00223562">
        <w:rPr>
          <w:rFonts w:ascii="Arial" w:hAnsi="Arial" w:cs="Arial"/>
          <w:sz w:val="24"/>
          <w:szCs w:val="24"/>
        </w:rPr>
        <w:t>Financiero</w:t>
      </w:r>
      <w:r w:rsidRPr="00223562">
        <w:rPr>
          <w:rFonts w:ascii="Arial" w:hAnsi="Arial" w:cs="Arial"/>
          <w:sz w:val="24"/>
          <w:szCs w:val="24"/>
          <w:lang w:val="pt-BR"/>
        </w:rPr>
        <w:t xml:space="preserve"> de </w:t>
      </w:r>
      <w:r w:rsidRPr="00223562">
        <w:rPr>
          <w:rFonts w:ascii="Arial" w:hAnsi="Arial" w:cs="Arial"/>
          <w:sz w:val="24"/>
          <w:szCs w:val="24"/>
        </w:rPr>
        <w:t>Colombia</w:t>
      </w:r>
      <w:r w:rsidRPr="0022356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0E1D870" w14:textId="77777777" w:rsidR="00B96218" w:rsidRPr="00CE37D9" w:rsidRDefault="00B76AC1" w:rsidP="00EA395C">
      <w:pPr>
        <w:ind w:right="-160"/>
        <w:outlineLvl w:val="0"/>
        <w:rPr>
          <w:rFonts w:ascii="Arial" w:hAnsi="Arial" w:cs="Arial"/>
          <w:sz w:val="18"/>
          <w:szCs w:val="18"/>
        </w:rPr>
      </w:pPr>
      <w:r w:rsidRPr="00CE37D9">
        <w:rPr>
          <w:rFonts w:ascii="Arial" w:hAnsi="Arial" w:cs="Arial"/>
          <w:sz w:val="18"/>
          <w:szCs w:val="18"/>
        </w:rPr>
        <w:t>50000</w:t>
      </w:r>
    </w:p>
    <w:sectPr w:rsidR="00B96218" w:rsidRPr="00CE37D9" w:rsidSect="00492E0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2" w:h="18722" w:code="14"/>
      <w:pgMar w:top="1417" w:right="1701" w:bottom="1417" w:left="1701" w:header="709" w:footer="709" w:gutter="0"/>
      <w:paperSrc w:first="2" w:other="2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1804" w14:textId="77777777" w:rsidR="00A73997" w:rsidRDefault="00A73997">
      <w:r>
        <w:separator/>
      </w:r>
    </w:p>
  </w:endnote>
  <w:endnote w:type="continuationSeparator" w:id="0">
    <w:p w14:paraId="6D2CE5C9" w14:textId="77777777" w:rsidR="00A73997" w:rsidRDefault="00A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D10" w14:textId="77777777" w:rsidR="00A92A22" w:rsidRDefault="00A92A22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36720565" w14:textId="77777777" w:rsidR="00A92A22" w:rsidRDefault="00A92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6A34" w14:textId="77777777" w:rsidR="00A92A22" w:rsidRDefault="00A92A22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8F040A9" w14:textId="77777777" w:rsidR="00A92A22" w:rsidRDefault="00A92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8E2E" w14:textId="77777777" w:rsidR="00A73997" w:rsidRDefault="00A73997">
      <w:r>
        <w:separator/>
      </w:r>
    </w:p>
  </w:footnote>
  <w:footnote w:type="continuationSeparator" w:id="0">
    <w:p w14:paraId="0665559F" w14:textId="77777777" w:rsidR="00A73997" w:rsidRDefault="00A7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8CBD" w14:textId="77777777" w:rsidR="00FA333E" w:rsidRPr="002724A3" w:rsidRDefault="00FA333E" w:rsidP="00FA333E">
    <w:pPr>
      <w:tabs>
        <w:tab w:val="center" w:pos="4419"/>
        <w:tab w:val="right" w:pos="8838"/>
      </w:tabs>
      <w:spacing w:before="120" w:after="120"/>
      <w:jc w:val="center"/>
      <w:rPr>
        <w:rFonts w:ascii="Arial" w:hAnsi="Arial" w:cs="Arial"/>
        <w:b/>
        <w:bCs/>
        <w:sz w:val="22"/>
        <w:szCs w:val="22"/>
        <w:lang w:val="es-ES"/>
      </w:rPr>
    </w:pPr>
    <w:r w:rsidRPr="002724A3">
      <w:rPr>
        <w:rFonts w:ascii="Arial" w:hAnsi="Arial" w:cs="Arial"/>
        <w:b/>
        <w:bCs/>
        <w:sz w:val="22"/>
        <w:szCs w:val="22"/>
        <w:lang w:val="es-ES"/>
      </w:rPr>
      <w:t>SUPERINTENDENCIA FINANCIERA DE COLOMBIA</w:t>
    </w:r>
  </w:p>
  <w:p w14:paraId="38AB06ED" w14:textId="77777777" w:rsidR="00FA333E" w:rsidRPr="002724A3" w:rsidRDefault="00FA333E" w:rsidP="00FA333E">
    <w:pPr>
      <w:tabs>
        <w:tab w:val="center" w:pos="4419"/>
        <w:tab w:val="right" w:pos="8838"/>
      </w:tabs>
      <w:spacing w:before="120" w:after="120"/>
      <w:jc w:val="center"/>
      <w:rPr>
        <w:rFonts w:ascii="Arial" w:hAnsi="Arial" w:cs="Arial"/>
        <w:b/>
        <w:bCs/>
        <w:sz w:val="22"/>
        <w:szCs w:val="22"/>
        <w:lang w:val="es-ES"/>
      </w:rPr>
    </w:pPr>
  </w:p>
  <w:p w14:paraId="14358AE4" w14:textId="77777777" w:rsidR="00FA333E" w:rsidRPr="002724A3" w:rsidRDefault="00FA333E" w:rsidP="00FA333E">
    <w:pPr>
      <w:tabs>
        <w:tab w:val="center" w:pos="4419"/>
        <w:tab w:val="right" w:pos="8838"/>
      </w:tabs>
      <w:spacing w:before="120" w:after="120"/>
      <w:rPr>
        <w:rFonts w:ascii="Arial" w:hAnsi="Arial"/>
        <w:b/>
        <w:bCs/>
        <w:sz w:val="24"/>
      </w:rPr>
    </w:pPr>
    <w:r w:rsidRPr="002724A3">
      <w:rPr>
        <w:rFonts w:ascii="Arial" w:hAnsi="Arial"/>
        <w:b/>
        <w:bCs/>
        <w:sz w:val="24"/>
      </w:rPr>
      <w:t xml:space="preserve">Circular </w:t>
    </w:r>
    <w:proofErr w:type="gramStart"/>
    <w:r w:rsidRPr="002724A3">
      <w:rPr>
        <w:rFonts w:ascii="Arial" w:hAnsi="Arial"/>
        <w:b/>
        <w:bCs/>
        <w:sz w:val="24"/>
      </w:rPr>
      <w:t xml:space="preserve">Externa  </w:t>
    </w:r>
    <w:proofErr w:type="spellStart"/>
    <w:r w:rsidR="00CD2E5B">
      <w:rPr>
        <w:rFonts w:ascii="Arial" w:hAnsi="Arial"/>
        <w:b/>
        <w:bCs/>
        <w:sz w:val="24"/>
      </w:rPr>
      <w:t>xx</w:t>
    </w:r>
    <w:proofErr w:type="spellEnd"/>
    <w:proofErr w:type="gramEnd"/>
    <w:r w:rsidRPr="002724A3">
      <w:rPr>
        <w:rFonts w:ascii="Arial" w:hAnsi="Arial"/>
        <w:b/>
        <w:bCs/>
        <w:sz w:val="24"/>
      </w:rPr>
      <w:t xml:space="preserve">  </w:t>
    </w:r>
    <w:r>
      <w:rPr>
        <w:rFonts w:ascii="Arial" w:hAnsi="Arial"/>
        <w:b/>
        <w:bCs/>
        <w:sz w:val="24"/>
      </w:rPr>
      <w:t xml:space="preserve">de </w:t>
    </w:r>
    <w:proofErr w:type="spellStart"/>
    <w:r w:rsidR="00CD2E5B">
      <w:rPr>
        <w:rFonts w:ascii="Arial" w:hAnsi="Arial"/>
        <w:b/>
        <w:bCs/>
        <w:sz w:val="24"/>
      </w:rPr>
      <w:t>xxxx</w:t>
    </w:r>
    <w:proofErr w:type="spellEnd"/>
    <w:r>
      <w:rPr>
        <w:rFonts w:ascii="Arial" w:hAnsi="Arial"/>
        <w:b/>
        <w:bCs/>
        <w:sz w:val="24"/>
      </w:rPr>
      <w:t xml:space="preserve">               </w:t>
    </w:r>
    <w:r w:rsidRPr="002724A3">
      <w:rPr>
        <w:rFonts w:ascii="Arial" w:hAnsi="Arial"/>
        <w:b/>
        <w:bCs/>
        <w:sz w:val="24"/>
      </w:rPr>
      <w:t xml:space="preserve">                 </w:t>
    </w:r>
    <w:r>
      <w:rPr>
        <w:rFonts w:ascii="Arial" w:hAnsi="Arial"/>
        <w:b/>
        <w:bCs/>
        <w:sz w:val="24"/>
      </w:rPr>
      <w:t xml:space="preserve">                        Página </w:t>
    </w:r>
    <w:r>
      <w:rPr>
        <w:rFonts w:ascii="Arial" w:eastAsia="Arial" w:hAnsi="Arial" w:cs="Arial"/>
        <w:b/>
        <w:bCs/>
        <w:sz w:val="24"/>
      </w:rPr>
      <w:t>3</w:t>
    </w:r>
  </w:p>
  <w:p w14:paraId="651E09AB" w14:textId="77777777" w:rsidR="00FA333E" w:rsidRDefault="00FA33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1472" w14:textId="77777777" w:rsidR="002724A3" w:rsidRDefault="002724A3" w:rsidP="00CE37D9">
    <w:pPr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CE37D9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448D5678" w14:textId="77777777" w:rsidR="00CE37D9" w:rsidRPr="00CE37D9" w:rsidRDefault="00CE37D9" w:rsidP="00CE37D9">
    <w:pPr>
      <w:jc w:val="center"/>
      <w:rPr>
        <w:rFonts w:ascii="Arial" w:hAnsi="Arial" w:cs="Arial"/>
        <w:b/>
        <w:bCs/>
        <w:sz w:val="24"/>
        <w:szCs w:val="24"/>
        <w:lang w:val="es-ES"/>
      </w:rPr>
    </w:pPr>
  </w:p>
  <w:p w14:paraId="7D3B1993" w14:textId="6302C583" w:rsidR="00A92A22" w:rsidRDefault="002724A3" w:rsidP="00CE37D9">
    <w:pPr>
      <w:rPr>
        <w:rFonts w:ascii="Arial" w:eastAsia="Arial" w:hAnsi="Arial" w:cs="Arial"/>
        <w:b/>
        <w:bCs/>
        <w:sz w:val="24"/>
        <w:szCs w:val="24"/>
      </w:rPr>
    </w:pPr>
    <w:r w:rsidRPr="00CE37D9">
      <w:rPr>
        <w:rFonts w:ascii="Arial" w:hAnsi="Arial" w:cs="Arial"/>
        <w:b/>
        <w:bCs/>
        <w:sz w:val="24"/>
        <w:szCs w:val="24"/>
      </w:rPr>
      <w:t xml:space="preserve">Circular </w:t>
    </w:r>
    <w:proofErr w:type="gramStart"/>
    <w:r w:rsidRPr="00CE37D9">
      <w:rPr>
        <w:rFonts w:ascii="Arial" w:hAnsi="Arial" w:cs="Arial"/>
        <w:b/>
        <w:bCs/>
        <w:sz w:val="24"/>
        <w:szCs w:val="24"/>
      </w:rPr>
      <w:t xml:space="preserve">Externa </w:t>
    </w:r>
    <w:r w:rsidR="00AF7D36">
      <w:rPr>
        <w:rFonts w:ascii="Arial" w:hAnsi="Arial" w:cs="Arial"/>
        <w:b/>
        <w:bCs/>
        <w:sz w:val="24"/>
        <w:szCs w:val="24"/>
      </w:rPr>
      <w:t xml:space="preserve"> </w:t>
    </w:r>
    <w:r w:rsidR="00D51AC2">
      <w:rPr>
        <w:rFonts w:ascii="Arial" w:hAnsi="Arial" w:cs="Arial"/>
        <w:b/>
        <w:bCs/>
        <w:sz w:val="24"/>
        <w:szCs w:val="24"/>
      </w:rPr>
      <w:t>019</w:t>
    </w:r>
    <w:proofErr w:type="gramEnd"/>
    <w:r w:rsidRPr="00CE37D9">
      <w:rPr>
        <w:rFonts w:ascii="Arial" w:hAnsi="Arial" w:cs="Arial"/>
        <w:b/>
        <w:bCs/>
        <w:sz w:val="24"/>
        <w:szCs w:val="24"/>
      </w:rPr>
      <w:t xml:space="preserve"> </w:t>
    </w:r>
    <w:r w:rsidR="00FA333E" w:rsidRPr="00CE37D9">
      <w:rPr>
        <w:rFonts w:ascii="Arial" w:hAnsi="Arial" w:cs="Arial"/>
        <w:b/>
        <w:bCs/>
        <w:sz w:val="24"/>
        <w:szCs w:val="24"/>
      </w:rPr>
      <w:t xml:space="preserve">de </w:t>
    </w:r>
    <w:r w:rsidR="00AF7D36">
      <w:rPr>
        <w:rFonts w:ascii="Arial" w:hAnsi="Arial" w:cs="Arial"/>
        <w:b/>
        <w:bCs/>
        <w:sz w:val="24"/>
        <w:szCs w:val="24"/>
      </w:rPr>
      <w:t>2022</w:t>
    </w:r>
    <w:r w:rsidRPr="00CE37D9">
      <w:rPr>
        <w:rFonts w:ascii="Arial" w:hAnsi="Arial" w:cs="Arial"/>
        <w:b/>
        <w:bCs/>
        <w:sz w:val="24"/>
        <w:szCs w:val="24"/>
      </w:rPr>
      <w:t xml:space="preserve">                              </w:t>
    </w:r>
    <w:r w:rsidR="00FA333E" w:rsidRPr="00CE37D9">
      <w:rPr>
        <w:rFonts w:ascii="Arial" w:hAnsi="Arial" w:cs="Arial"/>
        <w:b/>
        <w:bCs/>
        <w:sz w:val="24"/>
        <w:szCs w:val="24"/>
      </w:rPr>
      <w:t xml:space="preserve">                        </w:t>
    </w:r>
    <w:r w:rsidR="00AF7D36">
      <w:rPr>
        <w:rFonts w:ascii="Arial" w:hAnsi="Arial" w:cs="Arial"/>
        <w:b/>
        <w:bCs/>
        <w:sz w:val="24"/>
        <w:szCs w:val="24"/>
      </w:rPr>
      <w:tab/>
    </w:r>
    <w:r w:rsidR="00AF7D36">
      <w:rPr>
        <w:rFonts w:ascii="Arial" w:hAnsi="Arial" w:cs="Arial"/>
        <w:b/>
        <w:bCs/>
        <w:sz w:val="24"/>
        <w:szCs w:val="24"/>
      </w:rPr>
      <w:tab/>
    </w:r>
    <w:r w:rsidR="00FA333E" w:rsidRPr="00CE37D9">
      <w:rPr>
        <w:rFonts w:ascii="Arial" w:hAnsi="Arial" w:cs="Arial"/>
        <w:b/>
        <w:bCs/>
        <w:sz w:val="24"/>
        <w:szCs w:val="24"/>
      </w:rPr>
      <w:t xml:space="preserve">Página </w:t>
    </w:r>
    <w:r w:rsidRPr="00CE37D9">
      <w:rPr>
        <w:rFonts w:ascii="Arial" w:eastAsia="Arial" w:hAnsi="Arial" w:cs="Arial"/>
        <w:b/>
        <w:bCs/>
        <w:sz w:val="24"/>
        <w:szCs w:val="24"/>
      </w:rPr>
      <w:t>2</w:t>
    </w:r>
  </w:p>
  <w:p w14:paraId="3D7AA161" w14:textId="77777777" w:rsidR="002F1F2C" w:rsidRPr="00CE37D9" w:rsidRDefault="002F1F2C" w:rsidP="00CE37D9">
    <w:pPr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E518" w14:textId="77777777" w:rsidR="003F4C38" w:rsidRPr="00492E01" w:rsidRDefault="007F2551" w:rsidP="003F4C38">
    <w:pPr>
      <w:tabs>
        <w:tab w:val="center" w:pos="4419"/>
        <w:tab w:val="right" w:pos="8838"/>
      </w:tabs>
      <w:spacing w:before="120" w:after="120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492E01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A403CF"/>
    <w:multiLevelType w:val="hybridMultilevel"/>
    <w:tmpl w:val="9086F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6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CD679E"/>
    <w:multiLevelType w:val="hybridMultilevel"/>
    <w:tmpl w:val="ACB89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4"/>
  </w:num>
  <w:num w:numId="3">
    <w:abstractNumId w:val="28"/>
  </w:num>
  <w:num w:numId="4">
    <w:abstractNumId w:val="2"/>
  </w:num>
  <w:num w:numId="5">
    <w:abstractNumId w:val="1"/>
  </w:num>
  <w:num w:numId="6">
    <w:abstractNumId w:val="0"/>
  </w:num>
  <w:num w:numId="7">
    <w:abstractNumId w:val="45"/>
  </w:num>
  <w:num w:numId="8">
    <w:abstractNumId w:val="12"/>
  </w:num>
  <w:num w:numId="9">
    <w:abstractNumId w:val="37"/>
  </w:num>
  <w:num w:numId="10">
    <w:abstractNumId w:val="14"/>
  </w:num>
  <w:num w:numId="11">
    <w:abstractNumId w:val="27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7"/>
  </w:num>
  <w:num w:numId="19">
    <w:abstractNumId w:val="39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8"/>
  </w:num>
  <w:num w:numId="26">
    <w:abstractNumId w:val="23"/>
  </w:num>
  <w:num w:numId="27">
    <w:abstractNumId w:val="46"/>
  </w:num>
  <w:num w:numId="28">
    <w:abstractNumId w:val="6"/>
  </w:num>
  <w:num w:numId="29">
    <w:abstractNumId w:val="21"/>
  </w:num>
  <w:num w:numId="30">
    <w:abstractNumId w:val="19"/>
  </w:num>
  <w:num w:numId="31">
    <w:abstractNumId w:val="40"/>
  </w:num>
  <w:num w:numId="32">
    <w:abstractNumId w:val="33"/>
  </w:num>
  <w:num w:numId="33">
    <w:abstractNumId w:val="4"/>
  </w:num>
  <w:num w:numId="34">
    <w:abstractNumId w:val="30"/>
  </w:num>
  <w:num w:numId="35">
    <w:abstractNumId w:val="9"/>
  </w:num>
  <w:num w:numId="36">
    <w:abstractNumId w:val="29"/>
  </w:num>
  <w:num w:numId="37">
    <w:abstractNumId w:val="35"/>
  </w:num>
  <w:num w:numId="38">
    <w:abstractNumId w:val="22"/>
  </w:num>
  <w:num w:numId="39">
    <w:abstractNumId w:val="32"/>
  </w:num>
  <w:num w:numId="40">
    <w:abstractNumId w:val="42"/>
  </w:num>
  <w:num w:numId="41">
    <w:abstractNumId w:val="17"/>
  </w:num>
  <w:num w:numId="42">
    <w:abstractNumId w:val="31"/>
  </w:num>
  <w:num w:numId="43">
    <w:abstractNumId w:val="3"/>
  </w:num>
  <w:num w:numId="44">
    <w:abstractNumId w:val="36"/>
  </w:num>
  <w:num w:numId="45">
    <w:abstractNumId w:val="41"/>
  </w:num>
  <w:num w:numId="46">
    <w:abstractNumId w:val="34"/>
  </w:num>
  <w:num w:numId="47">
    <w:abstractNumId w:val="2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27793"/>
    <w:rsid w:val="00036703"/>
    <w:rsid w:val="00043B3D"/>
    <w:rsid w:val="00044895"/>
    <w:rsid w:val="00047316"/>
    <w:rsid w:val="00057F0D"/>
    <w:rsid w:val="000604FB"/>
    <w:rsid w:val="00060D4D"/>
    <w:rsid w:val="00076F34"/>
    <w:rsid w:val="00093127"/>
    <w:rsid w:val="000B4A3D"/>
    <w:rsid w:val="000C34FC"/>
    <w:rsid w:val="000D147B"/>
    <w:rsid w:val="000E4EF2"/>
    <w:rsid w:val="000F1A3C"/>
    <w:rsid w:val="000F6CB5"/>
    <w:rsid w:val="00120DA4"/>
    <w:rsid w:val="00143636"/>
    <w:rsid w:val="001508CD"/>
    <w:rsid w:val="00153B50"/>
    <w:rsid w:val="001543F0"/>
    <w:rsid w:val="0016332A"/>
    <w:rsid w:val="00165093"/>
    <w:rsid w:val="00176154"/>
    <w:rsid w:val="00190EE7"/>
    <w:rsid w:val="001F4F7F"/>
    <w:rsid w:val="00204351"/>
    <w:rsid w:val="002170C7"/>
    <w:rsid w:val="00223562"/>
    <w:rsid w:val="002275F7"/>
    <w:rsid w:val="002303EE"/>
    <w:rsid w:val="002417CB"/>
    <w:rsid w:val="00247EC4"/>
    <w:rsid w:val="00255557"/>
    <w:rsid w:val="00256488"/>
    <w:rsid w:val="002724A3"/>
    <w:rsid w:val="002B6516"/>
    <w:rsid w:val="002B6E99"/>
    <w:rsid w:val="002B7430"/>
    <w:rsid w:val="002B79A8"/>
    <w:rsid w:val="002C6607"/>
    <w:rsid w:val="002E5ABB"/>
    <w:rsid w:val="002E70C2"/>
    <w:rsid w:val="002F1F2C"/>
    <w:rsid w:val="002F4A2A"/>
    <w:rsid w:val="002F7AB6"/>
    <w:rsid w:val="00316E05"/>
    <w:rsid w:val="00324BEE"/>
    <w:rsid w:val="00341026"/>
    <w:rsid w:val="00347221"/>
    <w:rsid w:val="003547F9"/>
    <w:rsid w:val="00372551"/>
    <w:rsid w:val="00373BAC"/>
    <w:rsid w:val="0037411F"/>
    <w:rsid w:val="00374F5A"/>
    <w:rsid w:val="003760B7"/>
    <w:rsid w:val="00386041"/>
    <w:rsid w:val="003918C3"/>
    <w:rsid w:val="003D4CA2"/>
    <w:rsid w:val="003D6F5C"/>
    <w:rsid w:val="003E3CC3"/>
    <w:rsid w:val="003E3FE8"/>
    <w:rsid w:val="003F4C38"/>
    <w:rsid w:val="003F55F1"/>
    <w:rsid w:val="003F6748"/>
    <w:rsid w:val="00400771"/>
    <w:rsid w:val="00404235"/>
    <w:rsid w:val="004043B0"/>
    <w:rsid w:val="00404420"/>
    <w:rsid w:val="0040661C"/>
    <w:rsid w:val="00410525"/>
    <w:rsid w:val="00410CAB"/>
    <w:rsid w:val="00442D75"/>
    <w:rsid w:val="00446F91"/>
    <w:rsid w:val="00451E47"/>
    <w:rsid w:val="00464FF1"/>
    <w:rsid w:val="00487DD1"/>
    <w:rsid w:val="00492E01"/>
    <w:rsid w:val="004C2087"/>
    <w:rsid w:val="004C2A3C"/>
    <w:rsid w:val="004D5BBF"/>
    <w:rsid w:val="004F09A5"/>
    <w:rsid w:val="00512BBF"/>
    <w:rsid w:val="00513233"/>
    <w:rsid w:val="00515685"/>
    <w:rsid w:val="00516D89"/>
    <w:rsid w:val="00522D5C"/>
    <w:rsid w:val="00525557"/>
    <w:rsid w:val="0052676F"/>
    <w:rsid w:val="005305CB"/>
    <w:rsid w:val="00537E87"/>
    <w:rsid w:val="005476E2"/>
    <w:rsid w:val="00547906"/>
    <w:rsid w:val="00557845"/>
    <w:rsid w:val="00562262"/>
    <w:rsid w:val="00564B20"/>
    <w:rsid w:val="00565095"/>
    <w:rsid w:val="00565CE8"/>
    <w:rsid w:val="00577C53"/>
    <w:rsid w:val="00581497"/>
    <w:rsid w:val="00593DC9"/>
    <w:rsid w:val="00594DDE"/>
    <w:rsid w:val="005A0209"/>
    <w:rsid w:val="005B6B32"/>
    <w:rsid w:val="005D51F0"/>
    <w:rsid w:val="005E2E7B"/>
    <w:rsid w:val="005E7ADB"/>
    <w:rsid w:val="005F3912"/>
    <w:rsid w:val="005F4379"/>
    <w:rsid w:val="00603A39"/>
    <w:rsid w:val="00612324"/>
    <w:rsid w:val="00621A24"/>
    <w:rsid w:val="006414E7"/>
    <w:rsid w:val="0064423D"/>
    <w:rsid w:val="00651275"/>
    <w:rsid w:val="00655237"/>
    <w:rsid w:val="00655C9D"/>
    <w:rsid w:val="00664B83"/>
    <w:rsid w:val="00687FDB"/>
    <w:rsid w:val="006B29A5"/>
    <w:rsid w:val="006B56BB"/>
    <w:rsid w:val="006B6B78"/>
    <w:rsid w:val="006B73AC"/>
    <w:rsid w:val="006C2208"/>
    <w:rsid w:val="006D2615"/>
    <w:rsid w:val="006F70A6"/>
    <w:rsid w:val="007152FC"/>
    <w:rsid w:val="00725005"/>
    <w:rsid w:val="00736168"/>
    <w:rsid w:val="00740B3F"/>
    <w:rsid w:val="00743675"/>
    <w:rsid w:val="0075215C"/>
    <w:rsid w:val="007642C4"/>
    <w:rsid w:val="0076604C"/>
    <w:rsid w:val="007869C1"/>
    <w:rsid w:val="007973A6"/>
    <w:rsid w:val="007A1F46"/>
    <w:rsid w:val="007A55C7"/>
    <w:rsid w:val="007B33D1"/>
    <w:rsid w:val="007C0F8A"/>
    <w:rsid w:val="007C3500"/>
    <w:rsid w:val="007D0175"/>
    <w:rsid w:val="007D4638"/>
    <w:rsid w:val="007E4209"/>
    <w:rsid w:val="007F2551"/>
    <w:rsid w:val="0080522E"/>
    <w:rsid w:val="008078CF"/>
    <w:rsid w:val="008108E4"/>
    <w:rsid w:val="00822F16"/>
    <w:rsid w:val="00824B7C"/>
    <w:rsid w:val="00827E83"/>
    <w:rsid w:val="008335EB"/>
    <w:rsid w:val="00836A72"/>
    <w:rsid w:val="0084010C"/>
    <w:rsid w:val="008868BA"/>
    <w:rsid w:val="00890BB5"/>
    <w:rsid w:val="008930CB"/>
    <w:rsid w:val="008930D7"/>
    <w:rsid w:val="008A693A"/>
    <w:rsid w:val="008B697F"/>
    <w:rsid w:val="008C1B68"/>
    <w:rsid w:val="008C659E"/>
    <w:rsid w:val="008C6AE9"/>
    <w:rsid w:val="008C78C6"/>
    <w:rsid w:val="008D1DF6"/>
    <w:rsid w:val="008E4990"/>
    <w:rsid w:val="008F3EDD"/>
    <w:rsid w:val="00903F36"/>
    <w:rsid w:val="00937FF0"/>
    <w:rsid w:val="00941590"/>
    <w:rsid w:val="00963C75"/>
    <w:rsid w:val="00997CB7"/>
    <w:rsid w:val="009A147C"/>
    <w:rsid w:val="009A55F6"/>
    <w:rsid w:val="009A5F0F"/>
    <w:rsid w:val="009B415E"/>
    <w:rsid w:val="009B62EA"/>
    <w:rsid w:val="009B7153"/>
    <w:rsid w:val="009D052E"/>
    <w:rsid w:val="009D6E7C"/>
    <w:rsid w:val="009F1D8D"/>
    <w:rsid w:val="00A00B14"/>
    <w:rsid w:val="00A02C40"/>
    <w:rsid w:val="00A164B8"/>
    <w:rsid w:val="00A27A9C"/>
    <w:rsid w:val="00A373E8"/>
    <w:rsid w:val="00A57330"/>
    <w:rsid w:val="00A61CAF"/>
    <w:rsid w:val="00A73997"/>
    <w:rsid w:val="00A90C77"/>
    <w:rsid w:val="00A92A22"/>
    <w:rsid w:val="00AB4439"/>
    <w:rsid w:val="00AE585E"/>
    <w:rsid w:val="00AF6E3F"/>
    <w:rsid w:val="00AF7D36"/>
    <w:rsid w:val="00B03580"/>
    <w:rsid w:val="00B04BC4"/>
    <w:rsid w:val="00B05C8F"/>
    <w:rsid w:val="00B311EE"/>
    <w:rsid w:val="00B40636"/>
    <w:rsid w:val="00B42C17"/>
    <w:rsid w:val="00B51F39"/>
    <w:rsid w:val="00B614C8"/>
    <w:rsid w:val="00B733A5"/>
    <w:rsid w:val="00B76AC1"/>
    <w:rsid w:val="00B96218"/>
    <w:rsid w:val="00BB0F01"/>
    <w:rsid w:val="00BB3603"/>
    <w:rsid w:val="00BB37DA"/>
    <w:rsid w:val="00BC13D7"/>
    <w:rsid w:val="00BC7DE0"/>
    <w:rsid w:val="00BE185E"/>
    <w:rsid w:val="00BF7582"/>
    <w:rsid w:val="00C024E2"/>
    <w:rsid w:val="00C254C9"/>
    <w:rsid w:val="00C340E1"/>
    <w:rsid w:val="00C374FF"/>
    <w:rsid w:val="00C41397"/>
    <w:rsid w:val="00C44CDA"/>
    <w:rsid w:val="00C66B81"/>
    <w:rsid w:val="00C8742D"/>
    <w:rsid w:val="00CC461D"/>
    <w:rsid w:val="00CC7B55"/>
    <w:rsid w:val="00CD1E24"/>
    <w:rsid w:val="00CD2E5B"/>
    <w:rsid w:val="00CD33D4"/>
    <w:rsid w:val="00CE37D9"/>
    <w:rsid w:val="00CE5706"/>
    <w:rsid w:val="00D071C4"/>
    <w:rsid w:val="00D122F4"/>
    <w:rsid w:val="00D159C9"/>
    <w:rsid w:val="00D2275C"/>
    <w:rsid w:val="00D22BC7"/>
    <w:rsid w:val="00D3660C"/>
    <w:rsid w:val="00D42D4C"/>
    <w:rsid w:val="00D476F3"/>
    <w:rsid w:val="00D51AC2"/>
    <w:rsid w:val="00D64921"/>
    <w:rsid w:val="00D70598"/>
    <w:rsid w:val="00D975B9"/>
    <w:rsid w:val="00DA4D69"/>
    <w:rsid w:val="00DB4659"/>
    <w:rsid w:val="00DB4816"/>
    <w:rsid w:val="00DD723E"/>
    <w:rsid w:val="00DE5722"/>
    <w:rsid w:val="00DE7C95"/>
    <w:rsid w:val="00DF3624"/>
    <w:rsid w:val="00E16637"/>
    <w:rsid w:val="00E416CF"/>
    <w:rsid w:val="00E435E8"/>
    <w:rsid w:val="00E47787"/>
    <w:rsid w:val="00E47C9B"/>
    <w:rsid w:val="00E530A0"/>
    <w:rsid w:val="00E66DC8"/>
    <w:rsid w:val="00E77E01"/>
    <w:rsid w:val="00E90EC8"/>
    <w:rsid w:val="00E93C1D"/>
    <w:rsid w:val="00E979D9"/>
    <w:rsid w:val="00EA1049"/>
    <w:rsid w:val="00EA1114"/>
    <w:rsid w:val="00EA395C"/>
    <w:rsid w:val="00EB26B9"/>
    <w:rsid w:val="00EB6296"/>
    <w:rsid w:val="00EC6395"/>
    <w:rsid w:val="00EC72EB"/>
    <w:rsid w:val="00ED37AC"/>
    <w:rsid w:val="00ED39DA"/>
    <w:rsid w:val="00EE3537"/>
    <w:rsid w:val="00EE3A4F"/>
    <w:rsid w:val="00F018E5"/>
    <w:rsid w:val="00F05175"/>
    <w:rsid w:val="00F20687"/>
    <w:rsid w:val="00F25836"/>
    <w:rsid w:val="00F2642A"/>
    <w:rsid w:val="00F31872"/>
    <w:rsid w:val="00F32DEC"/>
    <w:rsid w:val="00F5054B"/>
    <w:rsid w:val="00F6044F"/>
    <w:rsid w:val="00F6729E"/>
    <w:rsid w:val="00F70A31"/>
    <w:rsid w:val="00F822C8"/>
    <w:rsid w:val="00F9082E"/>
    <w:rsid w:val="00FA333E"/>
    <w:rsid w:val="00FC1EDB"/>
    <w:rsid w:val="00FC3F04"/>
    <w:rsid w:val="00FD7CA7"/>
    <w:rsid w:val="00FE2806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C400A"/>
  <w15:chartTrackingRefBased/>
  <w15:docId w15:val="{2452102B-458D-4D14-AF42-FAFAF2EB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uiPriority w:val="99"/>
    <w:rsid w:val="00B96218"/>
    <w:rPr>
      <w:lang w:val="es-ES_tradnl" w:eastAsia="es-ES"/>
    </w:rPr>
  </w:style>
  <w:style w:type="character" w:customStyle="1" w:styleId="PiedepginaCar">
    <w:name w:val="Pie de página Car"/>
    <w:link w:val="Piedepgina"/>
    <w:rsid w:val="00B96218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96218"/>
    <w:pPr>
      <w:ind w:left="720"/>
      <w:contextualSpacing/>
    </w:pPr>
  </w:style>
  <w:style w:type="character" w:styleId="Refdecomentario">
    <w:name w:val="annotation reference"/>
    <w:rsid w:val="00890BB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90BB5"/>
    <w:rPr>
      <w:b/>
      <w:bCs/>
      <w:lang w:val="es-ES_tradnl"/>
    </w:rPr>
  </w:style>
  <w:style w:type="character" w:customStyle="1" w:styleId="TextocomentarioCar">
    <w:name w:val="Texto comentario Car"/>
    <w:link w:val="Textocomentario"/>
    <w:semiHidden/>
    <w:rsid w:val="00890BB5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890BB5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076F34"/>
  </w:style>
  <w:style w:type="character" w:customStyle="1" w:styleId="TextonotapieCar">
    <w:name w:val="Texto nota pie Car"/>
    <w:link w:val="Textonotapie"/>
    <w:rsid w:val="00076F34"/>
    <w:rPr>
      <w:lang w:val="es-ES_tradnl" w:eastAsia="es-ES"/>
    </w:rPr>
  </w:style>
  <w:style w:type="character" w:styleId="Refdenotaalpie">
    <w:name w:val="footnote reference"/>
    <w:rsid w:val="00076F34"/>
    <w:rPr>
      <w:vertAlign w:val="superscript"/>
    </w:rPr>
  </w:style>
  <w:style w:type="paragraph" w:styleId="Revisin">
    <w:name w:val="Revision"/>
    <w:hidden/>
    <w:uiPriority w:val="99"/>
    <w:semiHidden/>
    <w:rsid w:val="00CD2E5B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68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1521CFDF844BAE38C64CA8C38B3" ma:contentTypeVersion="13" ma:contentTypeDescription="Create a new document." ma:contentTypeScope="" ma:versionID="fa0b05d4863d75280ea9c5d7b0f9d325">
  <xsd:schema xmlns:xsd="http://www.w3.org/2001/XMLSchema" xmlns:xs="http://www.w3.org/2001/XMLSchema" xmlns:p="http://schemas.microsoft.com/office/2006/metadata/properties" xmlns:ns3="7a60916c-0df2-4b3c-a6c0-429dbed52577" xmlns:ns4="43d38367-3cd9-471f-aad4-a363ece316a3" targetNamespace="http://schemas.microsoft.com/office/2006/metadata/properties" ma:root="true" ma:fieldsID="112e52e6cbfe4d20cdb282667e925279" ns3:_="" ns4:_="">
    <xsd:import namespace="7a60916c-0df2-4b3c-a6c0-429dbed52577"/>
    <xsd:import namespace="43d38367-3cd9-471f-aad4-a363ece31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16c-0df2-4b3c-a6c0-429dbed52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8367-3cd9-471f-aad4-a363ece31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FACEA-2482-49B8-885C-D92994ADB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16c-0df2-4b3c-a6c0-429dbed52577"/>
    <ds:schemaRef ds:uri="43d38367-3cd9-471f-aad4-a363ece3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CFAC3-DF5B-4EC7-83E4-19E568BDE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B5B19-CC11-46C5-AE6B-06EC3948F80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1F923E-E383-4936-BC7D-FFE285B8B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521A45-C36E-49B2-92EF-B4037A9B05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 CE</vt:lpstr>
      <vt:lpstr>Proy CE</vt:lpstr>
    </vt:vector>
  </TitlesOfParts>
  <Company>superfinanciera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Pablo Zapata Cruz</cp:lastModifiedBy>
  <cp:revision>2</cp:revision>
  <cp:lastPrinted>2018-11-02T21:03:00Z</cp:lastPrinted>
  <dcterms:created xsi:type="dcterms:W3CDTF">2022-08-01T15:41:00Z</dcterms:created>
  <dcterms:modified xsi:type="dcterms:W3CDTF">2022-08-01T15:41:00Z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0x010100696321521CFDF844BAE38C64CA8C38B3</vt:lpwstr>
  </property>
  <property fmtid="{D5CDD505-2E9C-101B-9397-08002B2CF9AE}" pid="3" name="display_urn:schemas-microsoft-com:office:office#SharedWithUsers">
    <vt:lpwstr>Diana Carolina Vargas Valencia;Ingrid Juliana Lagos Camargo;Diana Rocio Castañeda Suarez;Camila Adriana Quevedo Vega</vt:lpwstr>
  </property>
  <property fmtid="{D5CDD505-2E9C-101B-9397-08002B2CF9AE}" pid="4" name="SharedWithUsers">
    <vt:lpwstr>12;#Diana Carolina Vargas Valencia;#45;#Ingrid Juliana Lagos Camargo;#41;#Diana Rocio Castañeda Suarez;#20;#Camila Adriana Quevedo Vega</vt:lpwstr>
  </property>
</Properties>
</file>