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98AA" w14:textId="77777777" w:rsidR="004C228A" w:rsidRDefault="004C228A" w:rsidP="005D6B0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lang w:val="es-ES"/>
        </w:rPr>
      </w:pPr>
    </w:p>
    <w:p w14:paraId="7510FB2A" w14:textId="03081A01" w:rsidR="00687EBD" w:rsidRPr="00687EBD" w:rsidRDefault="00687EBD" w:rsidP="005D6B0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lang w:val="es-ES"/>
        </w:rPr>
      </w:pPr>
      <w:r w:rsidRPr="00687EBD">
        <w:rPr>
          <w:rStyle w:val="normaltextrun"/>
          <w:rFonts w:ascii="Arial" w:hAnsi="Arial" w:cs="Arial"/>
          <w:b/>
          <w:bCs/>
          <w:lang w:val="es-ES"/>
        </w:rPr>
        <w:t>CIRCULAR EXTERNA</w:t>
      </w:r>
      <w:r w:rsidR="00BF11F0" w:rsidRPr="00BF11F0">
        <w:rPr>
          <w:rStyle w:val="normaltextrun"/>
          <w:rFonts w:ascii="Arial" w:hAnsi="Arial" w:cs="Arial"/>
          <w:b/>
          <w:bCs/>
        </w:rPr>
        <w:t xml:space="preserve"> 022</w:t>
      </w:r>
      <w:r w:rsidR="00BF11F0" w:rsidRPr="00BF11F0">
        <w:rPr>
          <w:rStyle w:val="tabchar"/>
          <w:rFonts w:ascii="Calibri" w:hAnsi="Calibri" w:cs="Calibri"/>
          <w:b/>
          <w:bCs/>
          <w:lang w:val="es-ES"/>
        </w:rPr>
        <w:t xml:space="preserve"> </w:t>
      </w:r>
      <w:r w:rsidRPr="00687EBD">
        <w:rPr>
          <w:rStyle w:val="normaltextrun"/>
          <w:rFonts w:ascii="Arial" w:hAnsi="Arial" w:cs="Arial"/>
          <w:b/>
          <w:bCs/>
          <w:lang w:val="es-ES"/>
        </w:rPr>
        <w:t>DE 2022</w:t>
      </w:r>
    </w:p>
    <w:p w14:paraId="080645AF" w14:textId="77777777" w:rsidR="00983DD2" w:rsidRPr="00687EBD" w:rsidRDefault="00983DD2" w:rsidP="00CC3B74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lang w:val="es-ES"/>
        </w:rPr>
      </w:pPr>
    </w:p>
    <w:p w14:paraId="73AC0E75" w14:textId="00129799" w:rsidR="00687EBD" w:rsidRPr="00687EBD" w:rsidRDefault="00687EBD" w:rsidP="00687EB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lang w:val="es-ES"/>
        </w:rPr>
      </w:pPr>
      <w:proofErr w:type="gramStart"/>
      <w:r w:rsidRPr="00687EBD">
        <w:rPr>
          <w:rStyle w:val="normaltextrun"/>
          <w:rFonts w:ascii="Arial" w:hAnsi="Arial" w:cs="Arial"/>
          <w:b/>
          <w:bCs/>
          <w:lang w:val="es-ES"/>
        </w:rPr>
        <w:t>(</w:t>
      </w:r>
      <w:r w:rsidR="00983DD2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BF11F0">
        <w:rPr>
          <w:rStyle w:val="normaltextrun"/>
          <w:rFonts w:ascii="Arial" w:hAnsi="Arial" w:cs="Arial"/>
          <w:b/>
          <w:bCs/>
          <w:lang w:val="es-ES"/>
        </w:rPr>
        <w:t>Agosto</w:t>
      </w:r>
      <w:proofErr w:type="gramEnd"/>
      <w:r w:rsidR="00BF11F0">
        <w:rPr>
          <w:rStyle w:val="normaltextrun"/>
          <w:rFonts w:ascii="Arial" w:hAnsi="Arial" w:cs="Arial"/>
          <w:b/>
          <w:bCs/>
          <w:lang w:val="es-ES"/>
        </w:rPr>
        <w:t xml:space="preserve"> 22 </w:t>
      </w:r>
      <w:r w:rsidRPr="00687EBD">
        <w:rPr>
          <w:rStyle w:val="normaltextrun"/>
          <w:rFonts w:ascii="Arial" w:hAnsi="Arial" w:cs="Arial"/>
          <w:b/>
          <w:bCs/>
          <w:lang w:val="es-ES"/>
        </w:rPr>
        <w:t>)</w:t>
      </w:r>
    </w:p>
    <w:p w14:paraId="2AB38E13" w14:textId="77777777" w:rsidR="00687EBD" w:rsidRPr="00687EBD" w:rsidRDefault="00687EBD" w:rsidP="00687EBD">
      <w:pPr>
        <w:pStyle w:val="paragraph"/>
        <w:spacing w:before="0" w:beforeAutospacing="0" w:after="0" w:afterAutospacing="0"/>
        <w:ind w:left="-284"/>
        <w:jc w:val="both"/>
        <w:textAlignment w:val="baseline"/>
        <w:rPr>
          <w:rFonts w:ascii="Arial" w:hAnsi="Arial" w:cs="Arial"/>
          <w:lang w:val="es-ES"/>
        </w:rPr>
      </w:pPr>
    </w:p>
    <w:p w14:paraId="4D9D7862" w14:textId="77777777" w:rsidR="0023304A" w:rsidRDefault="0023304A" w:rsidP="006313D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F49A03" w14:textId="125E7AE6" w:rsidR="006313D3" w:rsidRPr="006313D3" w:rsidRDefault="006313D3" w:rsidP="00631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13D3">
        <w:rPr>
          <w:rFonts w:ascii="Arial" w:hAnsi="Arial" w:cs="Arial"/>
          <w:b/>
          <w:bCs/>
          <w:sz w:val="24"/>
          <w:szCs w:val="24"/>
        </w:rPr>
        <w:t>Señores</w:t>
      </w:r>
    </w:p>
    <w:p w14:paraId="2EC53FC1" w14:textId="77777777" w:rsidR="006313D3" w:rsidRPr="006313D3" w:rsidRDefault="006313D3" w:rsidP="006313D3">
      <w:pPr>
        <w:jc w:val="both"/>
        <w:rPr>
          <w:rFonts w:ascii="Arial" w:hAnsi="Arial" w:cs="Arial"/>
          <w:sz w:val="24"/>
          <w:szCs w:val="24"/>
        </w:rPr>
      </w:pPr>
      <w:r w:rsidRPr="006313D3">
        <w:rPr>
          <w:rFonts w:ascii="Arial" w:hAnsi="Arial" w:cs="Arial"/>
          <w:sz w:val="24"/>
          <w:szCs w:val="24"/>
        </w:rPr>
        <w:t>REPRESENTANTES LEGALES Y REVISORES FISCALES DE LAS ENTIDADES ASEGURADORAS</w:t>
      </w:r>
    </w:p>
    <w:p w14:paraId="602BA0B5" w14:textId="77777777" w:rsidR="006313D3" w:rsidRPr="006313D3" w:rsidRDefault="006313D3" w:rsidP="006313D3">
      <w:pPr>
        <w:jc w:val="both"/>
        <w:rPr>
          <w:rFonts w:ascii="Arial" w:hAnsi="Arial" w:cs="Arial"/>
          <w:sz w:val="24"/>
          <w:szCs w:val="24"/>
        </w:rPr>
      </w:pPr>
    </w:p>
    <w:p w14:paraId="03A2D87C" w14:textId="77777777" w:rsidR="006313D3" w:rsidRPr="006313D3" w:rsidRDefault="006313D3" w:rsidP="006313D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313D3">
        <w:rPr>
          <w:rFonts w:ascii="Arial" w:hAnsi="Arial" w:cs="Arial"/>
          <w:b/>
          <w:bCs/>
          <w:sz w:val="24"/>
          <w:szCs w:val="24"/>
        </w:rPr>
        <w:t>Referencia: Instrucciones relacionadas con la reserva de enfermedad laboral</w:t>
      </w:r>
    </w:p>
    <w:p w14:paraId="1957B210" w14:textId="2F9D2616" w:rsidR="006313D3" w:rsidRDefault="006313D3" w:rsidP="006313D3">
      <w:pPr>
        <w:widowControl w:val="0"/>
        <w:adjustRightInd w:val="0"/>
        <w:ind w:left="1410" w:hanging="1410"/>
        <w:jc w:val="both"/>
        <w:rPr>
          <w:rFonts w:ascii="Arial" w:hAnsi="Arial" w:cs="Arial"/>
          <w:sz w:val="24"/>
          <w:szCs w:val="24"/>
        </w:rPr>
      </w:pPr>
    </w:p>
    <w:p w14:paraId="3ACAF8EE" w14:textId="77777777" w:rsidR="004055C1" w:rsidRPr="006313D3" w:rsidRDefault="004055C1" w:rsidP="006313D3">
      <w:pPr>
        <w:widowControl w:val="0"/>
        <w:adjustRightInd w:val="0"/>
        <w:ind w:left="1410" w:hanging="1410"/>
        <w:jc w:val="both"/>
        <w:rPr>
          <w:rFonts w:ascii="Arial" w:hAnsi="Arial" w:cs="Arial"/>
          <w:sz w:val="24"/>
          <w:szCs w:val="24"/>
        </w:rPr>
      </w:pPr>
    </w:p>
    <w:p w14:paraId="23C1CF30" w14:textId="77777777" w:rsidR="006313D3" w:rsidRPr="006313D3" w:rsidRDefault="006313D3" w:rsidP="006313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313D3">
        <w:rPr>
          <w:rFonts w:ascii="Arial" w:hAnsi="Arial" w:cs="Arial"/>
          <w:sz w:val="24"/>
          <w:szCs w:val="24"/>
        </w:rPr>
        <w:t>Apreciados señores:</w:t>
      </w:r>
    </w:p>
    <w:p w14:paraId="5D363715" w14:textId="77777777" w:rsidR="006313D3" w:rsidRDefault="006313D3" w:rsidP="006313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0F7281F" w14:textId="77777777" w:rsidR="006313D3" w:rsidRPr="006313D3" w:rsidRDefault="006313D3" w:rsidP="006313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313D3">
        <w:rPr>
          <w:rFonts w:ascii="Arial" w:hAnsi="Arial" w:cs="Arial"/>
          <w:sz w:val="24"/>
          <w:szCs w:val="24"/>
        </w:rPr>
        <w:t>De conformidad con lo dispuesto en el parágrafo del artículo 2.31.4.4.8 del Decreto 2555 de 2010, corresponde a la Superintendencia Financiera de Colombia determinar</w:t>
      </w:r>
      <w:r w:rsidRPr="006313D3">
        <w:rPr>
          <w:rFonts w:ascii="Arial" w:hAnsi="Arial" w:cs="Arial"/>
          <w:color w:val="000000"/>
          <w:sz w:val="24"/>
          <w:szCs w:val="24"/>
        </w:rPr>
        <w:t xml:space="preserve"> si, atendiendo el monto cotizado o el saldo alcanzado de la reserva </w:t>
      </w:r>
      <w:r w:rsidRPr="006313D3">
        <w:rPr>
          <w:rFonts w:ascii="Arial" w:hAnsi="Arial" w:cs="Arial"/>
          <w:iCs/>
          <w:color w:val="000000"/>
          <w:sz w:val="24"/>
          <w:szCs w:val="24"/>
        </w:rPr>
        <w:t>de enfermedad laboral</w:t>
      </w:r>
      <w:r w:rsidRPr="006313D3">
        <w:rPr>
          <w:rFonts w:ascii="Arial" w:hAnsi="Arial" w:cs="Arial"/>
          <w:color w:val="000000"/>
          <w:sz w:val="24"/>
          <w:szCs w:val="24"/>
        </w:rPr>
        <w:t xml:space="preserve">, las entidades aseguradoras deben continuar con su </w:t>
      </w:r>
      <w:r w:rsidRPr="006313D3">
        <w:rPr>
          <w:rFonts w:ascii="Arial" w:hAnsi="Arial" w:cs="Arial"/>
          <w:color w:val="000000"/>
          <w:sz w:val="24"/>
          <w:szCs w:val="24"/>
          <w:lang w:val="es-CO"/>
        </w:rPr>
        <w:t xml:space="preserve">constitución, o pueden proceder a su liberación parcial. Asimismo, el </w:t>
      </w:r>
      <w:r w:rsidR="00DA1FFA">
        <w:rPr>
          <w:rFonts w:ascii="Arial" w:hAnsi="Arial" w:cs="Arial"/>
          <w:color w:val="000000"/>
          <w:sz w:val="24"/>
          <w:szCs w:val="24"/>
          <w:lang w:val="es-CO"/>
        </w:rPr>
        <w:t xml:space="preserve">citado </w:t>
      </w:r>
      <w:r w:rsidRPr="006313D3">
        <w:rPr>
          <w:rFonts w:ascii="Arial" w:hAnsi="Arial" w:cs="Arial"/>
          <w:color w:val="000000"/>
          <w:sz w:val="24"/>
          <w:szCs w:val="24"/>
          <w:lang w:val="es-CO"/>
        </w:rPr>
        <w:t>parágrafo</w:t>
      </w:r>
      <w:r w:rsidR="00DA1FFA">
        <w:rPr>
          <w:rFonts w:ascii="Arial" w:hAnsi="Arial" w:cs="Arial"/>
          <w:color w:val="000000"/>
          <w:sz w:val="24"/>
          <w:szCs w:val="24"/>
          <w:lang w:val="es-CO"/>
        </w:rPr>
        <w:t xml:space="preserve"> </w:t>
      </w:r>
      <w:r w:rsidRPr="006313D3">
        <w:rPr>
          <w:rFonts w:ascii="Arial" w:hAnsi="Arial" w:cs="Arial"/>
          <w:color w:val="000000"/>
          <w:sz w:val="24"/>
          <w:szCs w:val="24"/>
          <w:lang w:val="es-CO"/>
        </w:rPr>
        <w:t xml:space="preserve">faculta a </w:t>
      </w:r>
      <w:r w:rsidR="00DA1FFA">
        <w:rPr>
          <w:rFonts w:ascii="Arial" w:hAnsi="Arial" w:cs="Arial"/>
          <w:color w:val="000000"/>
          <w:sz w:val="24"/>
          <w:szCs w:val="24"/>
          <w:lang w:val="es-CO"/>
        </w:rPr>
        <w:t>esta Entidad</w:t>
      </w:r>
      <w:r w:rsidRPr="006313D3">
        <w:rPr>
          <w:rFonts w:ascii="Arial" w:hAnsi="Arial" w:cs="Arial"/>
          <w:color w:val="000000"/>
          <w:sz w:val="24"/>
          <w:szCs w:val="24"/>
          <w:lang w:val="es-CO"/>
        </w:rPr>
        <w:t xml:space="preserve"> para establecer </w:t>
      </w:r>
      <w:r w:rsidRPr="006313D3">
        <w:rPr>
          <w:rFonts w:ascii="Arial" w:hAnsi="Arial" w:cs="Arial"/>
          <w:color w:val="000000"/>
          <w:sz w:val="24"/>
          <w:szCs w:val="24"/>
        </w:rPr>
        <w:t xml:space="preserve">la información que las </w:t>
      </w:r>
      <w:r w:rsidR="00DA1FFA">
        <w:rPr>
          <w:rFonts w:ascii="Arial" w:hAnsi="Arial" w:cs="Arial"/>
          <w:color w:val="000000"/>
          <w:sz w:val="24"/>
          <w:szCs w:val="24"/>
        </w:rPr>
        <w:t>administradoras de riesgos laborales</w:t>
      </w:r>
      <w:r w:rsidRPr="006313D3">
        <w:rPr>
          <w:rFonts w:ascii="Arial" w:hAnsi="Arial" w:cs="Arial"/>
          <w:color w:val="000000"/>
          <w:sz w:val="24"/>
          <w:szCs w:val="24"/>
        </w:rPr>
        <w:t xml:space="preserve"> deben recolectar para contar con estadísticas sobre el comportamiento de la siniestralidad de la enfermedad laboral.</w:t>
      </w:r>
    </w:p>
    <w:p w14:paraId="74CAD785" w14:textId="77777777" w:rsidR="006313D3" w:rsidRPr="006313D3" w:rsidRDefault="006313D3" w:rsidP="006313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24BAF43E" w14:textId="4B173D2E" w:rsidR="006313D3" w:rsidRPr="006313D3" w:rsidRDefault="00DA1FFA" w:rsidP="006313D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virtud de lo anterior, e</w:t>
      </w:r>
      <w:r w:rsidR="006313D3" w:rsidRPr="006313D3">
        <w:rPr>
          <w:rFonts w:ascii="Arial" w:hAnsi="Arial" w:cs="Arial"/>
          <w:color w:val="000000"/>
        </w:rPr>
        <w:t>sta Superintendencia, atendiendo la dinámica que viene presentando el ramo de riesgos laborales y los recobros entre las a</w:t>
      </w:r>
      <w:r w:rsidR="009E206A">
        <w:rPr>
          <w:rFonts w:ascii="Arial" w:hAnsi="Arial" w:cs="Arial"/>
          <w:color w:val="000000"/>
        </w:rPr>
        <w:t>dministradoras</w:t>
      </w:r>
      <w:r w:rsidR="006313D3" w:rsidRPr="006313D3">
        <w:rPr>
          <w:rFonts w:ascii="Arial" w:hAnsi="Arial" w:cs="Arial"/>
          <w:color w:val="000000"/>
        </w:rPr>
        <w:t xml:space="preserve"> y</w:t>
      </w:r>
      <w:r w:rsidR="00461544">
        <w:rPr>
          <w:rFonts w:ascii="Arial" w:hAnsi="Arial" w:cs="Arial"/>
          <w:color w:val="000000"/>
        </w:rPr>
        <w:t>,</w:t>
      </w:r>
      <w:r w:rsidR="006313D3" w:rsidRPr="006313D3">
        <w:rPr>
          <w:rFonts w:ascii="Arial" w:hAnsi="Arial" w:cs="Arial"/>
          <w:color w:val="000000"/>
        </w:rPr>
        <w:t xml:space="preserve"> en desarrollo de las facultades</w:t>
      </w:r>
      <w:r w:rsidR="009E206A">
        <w:rPr>
          <w:rFonts w:ascii="Arial" w:hAnsi="Arial" w:cs="Arial"/>
          <w:color w:val="000000"/>
        </w:rPr>
        <w:t xml:space="preserve"> del </w:t>
      </w:r>
      <w:r w:rsidR="009E206A" w:rsidRPr="006313D3">
        <w:rPr>
          <w:rFonts w:ascii="Arial" w:hAnsi="Arial" w:cs="Arial"/>
        </w:rPr>
        <w:t>parágrafo del artículo 2.31.4.4.8 del Decreto 2555 de 2010</w:t>
      </w:r>
      <w:r w:rsidR="006313D3" w:rsidRPr="006313D3">
        <w:rPr>
          <w:rFonts w:ascii="Arial" w:hAnsi="Arial" w:cs="Arial"/>
          <w:color w:val="000000"/>
        </w:rPr>
        <w:t>, así como de las consagradas en el numeral 4 del artículo 11.2.1.4.2 del Decreto 2555 de 2010 y el literal a</w:t>
      </w:r>
      <w:r>
        <w:rPr>
          <w:rFonts w:ascii="Arial" w:hAnsi="Arial" w:cs="Arial"/>
          <w:color w:val="000000"/>
        </w:rPr>
        <w:t>)</w:t>
      </w:r>
      <w:r w:rsidR="006313D3" w:rsidRPr="006313D3">
        <w:rPr>
          <w:rFonts w:ascii="Arial" w:hAnsi="Arial" w:cs="Arial"/>
          <w:color w:val="000000"/>
        </w:rPr>
        <w:t xml:space="preserve"> del numeral 3 del artículo 326 del Estatuto Orgánico del Sistema Financiero, establece </w:t>
      </w:r>
      <w:r>
        <w:rPr>
          <w:rFonts w:ascii="Arial" w:hAnsi="Arial" w:cs="Arial"/>
          <w:color w:val="000000"/>
        </w:rPr>
        <w:t>l</w:t>
      </w:r>
      <w:r w:rsidR="006313D3" w:rsidRPr="006313D3">
        <w:rPr>
          <w:rFonts w:ascii="Arial" w:hAnsi="Arial" w:cs="Arial"/>
          <w:color w:val="000000"/>
        </w:rPr>
        <w:t xml:space="preserve">a metodología </w:t>
      </w:r>
      <w:r w:rsidR="009E206A">
        <w:rPr>
          <w:rFonts w:ascii="Arial" w:hAnsi="Arial" w:cs="Arial"/>
          <w:color w:val="000000"/>
        </w:rPr>
        <w:t xml:space="preserve">de cálculo de los montos mínimo y máximo </w:t>
      </w:r>
      <w:r w:rsidR="006313D3" w:rsidRPr="006313D3">
        <w:rPr>
          <w:rFonts w:ascii="Arial" w:hAnsi="Arial" w:cs="Arial"/>
          <w:color w:val="000000"/>
        </w:rPr>
        <w:t>de la reserva</w:t>
      </w:r>
      <w:r>
        <w:rPr>
          <w:rFonts w:ascii="Arial" w:hAnsi="Arial" w:cs="Arial"/>
          <w:color w:val="000000"/>
        </w:rPr>
        <w:t xml:space="preserve"> de enfermedad laboral</w:t>
      </w:r>
      <w:r w:rsidR="006313D3" w:rsidRPr="006313D3">
        <w:rPr>
          <w:rFonts w:ascii="Arial" w:hAnsi="Arial" w:cs="Arial"/>
          <w:color w:val="000000"/>
        </w:rPr>
        <w:t>, para lo cual imparte las siguientes instrucciones:</w:t>
      </w:r>
    </w:p>
    <w:p w14:paraId="3338A9CB" w14:textId="77777777" w:rsidR="006313D3" w:rsidRPr="006313D3" w:rsidRDefault="006313D3" w:rsidP="006313D3">
      <w:pPr>
        <w:jc w:val="both"/>
        <w:rPr>
          <w:rFonts w:ascii="Arial" w:hAnsi="Arial" w:cs="Arial"/>
          <w:sz w:val="24"/>
          <w:szCs w:val="24"/>
        </w:rPr>
      </w:pPr>
    </w:p>
    <w:p w14:paraId="1FD69E39" w14:textId="52FFD6E7" w:rsidR="006313D3" w:rsidRDefault="006313D3" w:rsidP="006313D3">
      <w:pPr>
        <w:jc w:val="both"/>
        <w:rPr>
          <w:rFonts w:ascii="Arial" w:hAnsi="Arial" w:cs="Arial"/>
          <w:sz w:val="24"/>
          <w:szCs w:val="24"/>
        </w:rPr>
      </w:pPr>
      <w:r w:rsidRPr="006313D3">
        <w:rPr>
          <w:rFonts w:ascii="Arial" w:hAnsi="Arial" w:cs="Arial"/>
          <w:b/>
          <w:sz w:val="24"/>
          <w:szCs w:val="24"/>
        </w:rPr>
        <w:t xml:space="preserve">PRIMERA: </w:t>
      </w:r>
      <w:r w:rsidRPr="006313D3">
        <w:rPr>
          <w:rFonts w:ascii="Arial" w:hAnsi="Arial" w:cs="Arial"/>
          <w:sz w:val="24"/>
          <w:szCs w:val="24"/>
        </w:rPr>
        <w:t xml:space="preserve">Modificar el </w:t>
      </w:r>
      <w:proofErr w:type="spellStart"/>
      <w:r w:rsidRPr="006313D3">
        <w:rPr>
          <w:rFonts w:ascii="Arial" w:hAnsi="Arial" w:cs="Arial"/>
          <w:sz w:val="24"/>
          <w:szCs w:val="24"/>
        </w:rPr>
        <w:t>subnumeral</w:t>
      </w:r>
      <w:proofErr w:type="spellEnd"/>
      <w:r w:rsidRPr="006313D3">
        <w:rPr>
          <w:rFonts w:ascii="Arial" w:hAnsi="Arial" w:cs="Arial"/>
          <w:sz w:val="24"/>
          <w:szCs w:val="24"/>
        </w:rPr>
        <w:t xml:space="preserve"> 3.4.3 del Capítulo II del Título IV de la Parte II de la Circular Básica Jurídica, relacionado con las </w:t>
      </w:r>
      <w:bookmarkStart w:id="0" w:name="_Toc269950169"/>
      <w:r w:rsidRPr="006313D3">
        <w:rPr>
          <w:rFonts w:ascii="Arial" w:hAnsi="Arial" w:cs="Arial"/>
          <w:sz w:val="24"/>
          <w:szCs w:val="24"/>
        </w:rPr>
        <w:t>reglas aplicables al seguro de riesgos laborales</w:t>
      </w:r>
      <w:bookmarkEnd w:id="0"/>
      <w:r w:rsidR="00DA1FFA">
        <w:rPr>
          <w:rFonts w:ascii="Arial" w:hAnsi="Arial" w:cs="Arial"/>
          <w:sz w:val="24"/>
          <w:szCs w:val="24"/>
        </w:rPr>
        <w:t>, para señalar la metodología de cálculo de</w:t>
      </w:r>
      <w:r w:rsidR="009E206A">
        <w:rPr>
          <w:rFonts w:ascii="Arial" w:hAnsi="Arial" w:cs="Arial"/>
          <w:sz w:val="24"/>
          <w:szCs w:val="24"/>
        </w:rPr>
        <w:t xml:space="preserve"> </w:t>
      </w:r>
      <w:r w:rsidR="00DA1FFA">
        <w:rPr>
          <w:rFonts w:ascii="Arial" w:hAnsi="Arial" w:cs="Arial"/>
          <w:sz w:val="24"/>
          <w:szCs w:val="24"/>
        </w:rPr>
        <w:t>l</w:t>
      </w:r>
      <w:r w:rsidR="009E206A">
        <w:rPr>
          <w:rFonts w:ascii="Arial" w:hAnsi="Arial" w:cs="Arial"/>
          <w:sz w:val="24"/>
          <w:szCs w:val="24"/>
        </w:rPr>
        <w:t>os</w:t>
      </w:r>
      <w:r w:rsidR="00DA1FFA">
        <w:rPr>
          <w:rFonts w:ascii="Arial" w:hAnsi="Arial" w:cs="Arial"/>
          <w:sz w:val="24"/>
          <w:szCs w:val="24"/>
        </w:rPr>
        <w:t xml:space="preserve"> monto</w:t>
      </w:r>
      <w:r w:rsidR="009E206A">
        <w:rPr>
          <w:rFonts w:ascii="Arial" w:hAnsi="Arial" w:cs="Arial"/>
          <w:sz w:val="24"/>
          <w:szCs w:val="24"/>
        </w:rPr>
        <w:t>s</w:t>
      </w:r>
      <w:r w:rsidR="00DA1FFA">
        <w:rPr>
          <w:rFonts w:ascii="Arial" w:hAnsi="Arial" w:cs="Arial"/>
          <w:sz w:val="24"/>
          <w:szCs w:val="24"/>
        </w:rPr>
        <w:t xml:space="preserve"> mínimo y máximo de la reserva de enfermedad laboral, así como los lineamientos aplicables para el intercambio de la información </w:t>
      </w:r>
      <w:r w:rsidR="00461544">
        <w:rPr>
          <w:rFonts w:ascii="Arial" w:hAnsi="Arial" w:cs="Arial"/>
          <w:sz w:val="24"/>
          <w:szCs w:val="24"/>
        </w:rPr>
        <w:t>sobre s</w:t>
      </w:r>
      <w:r w:rsidR="00DA1FFA">
        <w:rPr>
          <w:rFonts w:ascii="Arial" w:hAnsi="Arial" w:cs="Arial"/>
          <w:sz w:val="24"/>
          <w:szCs w:val="24"/>
        </w:rPr>
        <w:t>iniestros y afiliación</w:t>
      </w:r>
      <w:r w:rsidRPr="006313D3">
        <w:rPr>
          <w:rFonts w:ascii="Arial" w:hAnsi="Arial" w:cs="Arial"/>
          <w:sz w:val="24"/>
          <w:szCs w:val="24"/>
        </w:rPr>
        <w:t>.</w:t>
      </w:r>
    </w:p>
    <w:p w14:paraId="0780C382" w14:textId="77777777" w:rsidR="006313D3" w:rsidRPr="006313D3" w:rsidRDefault="006313D3" w:rsidP="006313D3">
      <w:pPr>
        <w:jc w:val="both"/>
        <w:rPr>
          <w:rFonts w:ascii="Arial" w:hAnsi="Arial" w:cs="Arial"/>
          <w:sz w:val="24"/>
          <w:szCs w:val="24"/>
        </w:rPr>
      </w:pPr>
    </w:p>
    <w:p w14:paraId="71D8FAAF" w14:textId="77777777" w:rsidR="006313D3" w:rsidRDefault="006313D3" w:rsidP="006313D3">
      <w:pPr>
        <w:jc w:val="both"/>
        <w:rPr>
          <w:rFonts w:ascii="Arial" w:hAnsi="Arial" w:cs="Arial"/>
          <w:sz w:val="24"/>
          <w:szCs w:val="24"/>
        </w:rPr>
      </w:pPr>
      <w:r w:rsidRPr="006313D3">
        <w:rPr>
          <w:rFonts w:ascii="Arial" w:hAnsi="Arial" w:cs="Arial"/>
          <w:b/>
          <w:bCs/>
          <w:sz w:val="24"/>
          <w:szCs w:val="24"/>
        </w:rPr>
        <w:t>SEGUNDA:</w:t>
      </w:r>
      <w:r w:rsidRPr="006313D3">
        <w:rPr>
          <w:rFonts w:ascii="Arial" w:hAnsi="Arial" w:cs="Arial"/>
          <w:sz w:val="24"/>
          <w:szCs w:val="24"/>
        </w:rPr>
        <w:t xml:space="preserve"> Crear el Anexo 16 del Título IV de la Parte II de la Circular Básica Jurídica denominado “Información estadística sobre el comportamiento de la siniestralidad de la enfermedad laboral”.</w:t>
      </w:r>
    </w:p>
    <w:p w14:paraId="5B645CC4" w14:textId="77777777" w:rsidR="00C409E4" w:rsidRPr="001328AC" w:rsidRDefault="00C409E4" w:rsidP="006313D3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52F8D8C" w14:textId="1A3D2ACD" w:rsidR="0047200C" w:rsidRDefault="00C409E4" w:rsidP="001328AC">
      <w:pPr>
        <w:jc w:val="both"/>
        <w:rPr>
          <w:rFonts w:ascii="Arial" w:hAnsi="Arial" w:cs="Arial"/>
          <w:sz w:val="24"/>
          <w:szCs w:val="24"/>
        </w:rPr>
      </w:pPr>
      <w:r w:rsidRPr="001328AC">
        <w:rPr>
          <w:rFonts w:ascii="Arial" w:hAnsi="Arial" w:cs="Arial"/>
          <w:b/>
          <w:bCs/>
          <w:sz w:val="24"/>
          <w:szCs w:val="24"/>
        </w:rPr>
        <w:t>TERCERA:</w:t>
      </w:r>
      <w:r w:rsidR="001328AC" w:rsidRPr="001328AC">
        <w:rPr>
          <w:rFonts w:ascii="Arial" w:hAnsi="Arial" w:cs="Arial"/>
          <w:sz w:val="24"/>
          <w:szCs w:val="24"/>
        </w:rPr>
        <w:t xml:space="preserve"> </w:t>
      </w:r>
      <w:r w:rsidR="0047200C">
        <w:rPr>
          <w:rFonts w:ascii="Arial" w:hAnsi="Arial" w:cs="Arial"/>
          <w:sz w:val="24"/>
          <w:szCs w:val="24"/>
        </w:rPr>
        <w:t xml:space="preserve">Sin perjuicio del régimen de transición previsto en la instrucción </w:t>
      </w:r>
      <w:r w:rsidR="00084CB7">
        <w:rPr>
          <w:rFonts w:ascii="Arial" w:hAnsi="Arial" w:cs="Arial"/>
          <w:sz w:val="24"/>
          <w:szCs w:val="24"/>
        </w:rPr>
        <w:t>quin</w:t>
      </w:r>
      <w:r w:rsidR="004231D3">
        <w:rPr>
          <w:rFonts w:ascii="Arial" w:hAnsi="Arial" w:cs="Arial"/>
          <w:sz w:val="24"/>
          <w:szCs w:val="24"/>
        </w:rPr>
        <w:t>ta</w:t>
      </w:r>
      <w:r w:rsidR="00611115">
        <w:rPr>
          <w:rFonts w:ascii="Arial" w:hAnsi="Arial" w:cs="Arial"/>
          <w:sz w:val="24"/>
          <w:szCs w:val="24"/>
        </w:rPr>
        <w:t xml:space="preserve">, </w:t>
      </w:r>
      <w:r w:rsidR="0064420D">
        <w:rPr>
          <w:rFonts w:ascii="Arial" w:hAnsi="Arial" w:cs="Arial"/>
          <w:sz w:val="24"/>
          <w:szCs w:val="24"/>
        </w:rPr>
        <w:t xml:space="preserve">a partir de la expedición de la presente Circular </w:t>
      </w:r>
      <w:r w:rsidR="00611115">
        <w:rPr>
          <w:rFonts w:ascii="Arial" w:hAnsi="Arial" w:cs="Arial"/>
          <w:sz w:val="24"/>
          <w:szCs w:val="24"/>
        </w:rPr>
        <w:t>las entidades aseguradoras deben</w:t>
      </w:r>
      <w:r w:rsidR="00611115" w:rsidRPr="00611115">
        <w:rPr>
          <w:rFonts w:ascii="Arial" w:hAnsi="Arial" w:cs="Arial"/>
          <w:sz w:val="24"/>
          <w:szCs w:val="24"/>
        </w:rPr>
        <w:t xml:space="preserve"> </w:t>
      </w:r>
      <w:r w:rsidR="00124A04">
        <w:rPr>
          <w:rFonts w:ascii="Arial" w:hAnsi="Arial" w:cs="Arial"/>
          <w:sz w:val="24"/>
          <w:szCs w:val="24"/>
        </w:rPr>
        <w:t>adoptar</w:t>
      </w:r>
      <w:r w:rsidR="00611115" w:rsidRPr="00611115">
        <w:rPr>
          <w:rFonts w:ascii="Arial" w:hAnsi="Arial" w:cs="Arial"/>
          <w:sz w:val="24"/>
          <w:szCs w:val="24"/>
        </w:rPr>
        <w:t xml:space="preserve"> las medidas necesarias para </w:t>
      </w:r>
      <w:r w:rsidR="00A264AD">
        <w:rPr>
          <w:rFonts w:ascii="Arial" w:hAnsi="Arial" w:cs="Arial"/>
          <w:sz w:val="24"/>
          <w:szCs w:val="24"/>
        </w:rPr>
        <w:t>intercambiar información</w:t>
      </w:r>
      <w:r w:rsidR="009C184A">
        <w:rPr>
          <w:rFonts w:ascii="Arial" w:hAnsi="Arial" w:cs="Arial"/>
          <w:sz w:val="24"/>
          <w:szCs w:val="24"/>
        </w:rPr>
        <w:t xml:space="preserve"> con el </w:t>
      </w:r>
      <w:r w:rsidR="00422881">
        <w:rPr>
          <w:rFonts w:ascii="Arial" w:hAnsi="Arial" w:cs="Arial"/>
          <w:sz w:val="24"/>
          <w:szCs w:val="24"/>
        </w:rPr>
        <w:t xml:space="preserve">fin de </w:t>
      </w:r>
      <w:r w:rsidR="00653237">
        <w:rPr>
          <w:rFonts w:ascii="Arial" w:hAnsi="Arial" w:cs="Arial"/>
          <w:sz w:val="24"/>
          <w:szCs w:val="24"/>
        </w:rPr>
        <w:t>identificar</w:t>
      </w:r>
      <w:r w:rsidR="00422881">
        <w:rPr>
          <w:rFonts w:ascii="Arial" w:hAnsi="Arial" w:cs="Arial"/>
          <w:sz w:val="24"/>
          <w:szCs w:val="24"/>
        </w:rPr>
        <w:t xml:space="preserve"> las prestaciones</w:t>
      </w:r>
      <w:r w:rsidR="00653237">
        <w:rPr>
          <w:rFonts w:ascii="Arial" w:hAnsi="Arial" w:cs="Arial"/>
          <w:sz w:val="24"/>
          <w:szCs w:val="24"/>
        </w:rPr>
        <w:t xml:space="preserve"> por enfermedad laboral</w:t>
      </w:r>
      <w:r w:rsidR="00422881">
        <w:rPr>
          <w:rFonts w:ascii="Arial" w:hAnsi="Arial" w:cs="Arial"/>
          <w:sz w:val="24"/>
          <w:szCs w:val="24"/>
        </w:rPr>
        <w:t xml:space="preserve"> y</w:t>
      </w:r>
      <w:r w:rsidR="008F1716">
        <w:rPr>
          <w:rFonts w:ascii="Arial" w:hAnsi="Arial" w:cs="Arial"/>
          <w:sz w:val="24"/>
          <w:szCs w:val="24"/>
        </w:rPr>
        <w:t xml:space="preserve"> los valores objeto de recobro</w:t>
      </w:r>
      <w:r w:rsidR="00422881">
        <w:rPr>
          <w:rFonts w:ascii="Arial" w:hAnsi="Arial" w:cs="Arial"/>
          <w:sz w:val="24"/>
          <w:szCs w:val="24"/>
        </w:rPr>
        <w:t xml:space="preserve">, de conformidad con </w:t>
      </w:r>
      <w:r w:rsidR="00611115" w:rsidRPr="00611115">
        <w:rPr>
          <w:rFonts w:ascii="Arial" w:hAnsi="Arial" w:cs="Arial"/>
          <w:sz w:val="24"/>
          <w:szCs w:val="24"/>
        </w:rPr>
        <w:t xml:space="preserve">lo señalado en el </w:t>
      </w:r>
      <w:proofErr w:type="spellStart"/>
      <w:r w:rsidR="00611115" w:rsidRPr="00611115">
        <w:rPr>
          <w:rFonts w:ascii="Arial" w:hAnsi="Arial" w:cs="Arial"/>
          <w:sz w:val="24"/>
          <w:szCs w:val="24"/>
        </w:rPr>
        <w:t>subnumeral</w:t>
      </w:r>
      <w:proofErr w:type="spellEnd"/>
      <w:r w:rsidR="00611115" w:rsidRPr="00611115">
        <w:rPr>
          <w:rFonts w:ascii="Arial" w:hAnsi="Arial" w:cs="Arial"/>
          <w:sz w:val="24"/>
          <w:szCs w:val="24"/>
        </w:rPr>
        <w:t xml:space="preserve"> 3.4.3.2 del Capítulo II del Título IV de la Parte II de la Circular Básica Jurídica</w:t>
      </w:r>
      <w:r w:rsidR="008F1716">
        <w:rPr>
          <w:rFonts w:ascii="Arial" w:hAnsi="Arial" w:cs="Arial"/>
          <w:sz w:val="24"/>
          <w:szCs w:val="24"/>
        </w:rPr>
        <w:t>.</w:t>
      </w:r>
    </w:p>
    <w:p w14:paraId="500A2A3A" w14:textId="77777777" w:rsidR="0047200C" w:rsidRDefault="0047200C" w:rsidP="001328AC">
      <w:pPr>
        <w:jc w:val="both"/>
        <w:rPr>
          <w:rFonts w:ascii="Arial" w:hAnsi="Arial" w:cs="Arial"/>
          <w:sz w:val="24"/>
          <w:szCs w:val="24"/>
        </w:rPr>
      </w:pPr>
    </w:p>
    <w:p w14:paraId="7B0E03A5" w14:textId="3CB73717" w:rsidR="001328AC" w:rsidRPr="001328AC" w:rsidRDefault="00653237" w:rsidP="001328AC">
      <w:pPr>
        <w:jc w:val="both"/>
        <w:rPr>
          <w:rFonts w:ascii="Arial" w:hAnsi="Arial" w:cs="Arial"/>
          <w:sz w:val="24"/>
          <w:szCs w:val="24"/>
        </w:rPr>
      </w:pPr>
      <w:r w:rsidRPr="00653237">
        <w:rPr>
          <w:rFonts w:ascii="Arial" w:hAnsi="Arial" w:cs="Arial"/>
          <w:b/>
          <w:bCs/>
          <w:sz w:val="24"/>
          <w:szCs w:val="24"/>
        </w:rPr>
        <w:t>CUARTA:</w:t>
      </w:r>
      <w:r>
        <w:rPr>
          <w:rFonts w:ascii="Arial" w:hAnsi="Arial" w:cs="Arial"/>
          <w:sz w:val="24"/>
          <w:szCs w:val="24"/>
        </w:rPr>
        <w:t xml:space="preserve"> </w:t>
      </w:r>
      <w:r w:rsidR="00143961">
        <w:rPr>
          <w:rFonts w:ascii="Arial" w:hAnsi="Arial" w:cs="Arial"/>
          <w:sz w:val="24"/>
          <w:szCs w:val="24"/>
        </w:rPr>
        <w:t xml:space="preserve">Con el objetivo de que las entidades aseguradoras </w:t>
      </w:r>
      <w:r w:rsidR="00FC0A7A">
        <w:rPr>
          <w:rFonts w:ascii="Arial" w:hAnsi="Arial" w:cs="Arial"/>
          <w:sz w:val="24"/>
          <w:szCs w:val="24"/>
        </w:rPr>
        <w:t>estimen el impacto</w:t>
      </w:r>
      <w:r w:rsidR="006201D7">
        <w:rPr>
          <w:rFonts w:ascii="Arial" w:hAnsi="Arial" w:cs="Arial"/>
          <w:sz w:val="24"/>
          <w:szCs w:val="24"/>
        </w:rPr>
        <w:t xml:space="preserve"> y adopten las medidas </w:t>
      </w:r>
      <w:r w:rsidR="00B76F7F">
        <w:rPr>
          <w:rFonts w:ascii="Arial" w:hAnsi="Arial" w:cs="Arial"/>
          <w:sz w:val="24"/>
          <w:szCs w:val="24"/>
        </w:rPr>
        <w:t xml:space="preserve">pertinentes </w:t>
      </w:r>
      <w:r w:rsidR="006201D7">
        <w:rPr>
          <w:rFonts w:ascii="Arial" w:hAnsi="Arial" w:cs="Arial"/>
          <w:sz w:val="24"/>
          <w:szCs w:val="24"/>
        </w:rPr>
        <w:t xml:space="preserve">para cumplir las instrucciones </w:t>
      </w:r>
      <w:r w:rsidR="00AE5588">
        <w:rPr>
          <w:rFonts w:ascii="Arial" w:hAnsi="Arial" w:cs="Arial"/>
          <w:sz w:val="24"/>
          <w:szCs w:val="24"/>
        </w:rPr>
        <w:t xml:space="preserve">de la presente Circular respecto </w:t>
      </w:r>
      <w:r w:rsidR="00B76F7F">
        <w:rPr>
          <w:rFonts w:ascii="Arial" w:hAnsi="Arial" w:cs="Arial"/>
          <w:sz w:val="24"/>
          <w:szCs w:val="24"/>
        </w:rPr>
        <w:t xml:space="preserve">de los montos mínimo y máximo de la reserva de enfermedad laboral </w:t>
      </w:r>
      <w:r w:rsidR="006201D7">
        <w:rPr>
          <w:rFonts w:ascii="Arial" w:hAnsi="Arial" w:cs="Arial"/>
          <w:sz w:val="24"/>
          <w:szCs w:val="24"/>
        </w:rPr>
        <w:t>en la fecha prevista</w:t>
      </w:r>
      <w:r w:rsidR="00B76F7F">
        <w:rPr>
          <w:rFonts w:ascii="Arial" w:hAnsi="Arial" w:cs="Arial"/>
          <w:sz w:val="24"/>
          <w:szCs w:val="24"/>
        </w:rPr>
        <w:t xml:space="preserve"> en la instrucción </w:t>
      </w:r>
      <w:r w:rsidR="006F6E01">
        <w:rPr>
          <w:rFonts w:ascii="Arial" w:hAnsi="Arial" w:cs="Arial"/>
          <w:sz w:val="24"/>
          <w:szCs w:val="24"/>
        </w:rPr>
        <w:t>quinta</w:t>
      </w:r>
      <w:r w:rsidR="006201D7">
        <w:rPr>
          <w:rFonts w:ascii="Arial" w:hAnsi="Arial" w:cs="Arial"/>
          <w:sz w:val="24"/>
          <w:szCs w:val="24"/>
        </w:rPr>
        <w:t xml:space="preserve">, </w:t>
      </w:r>
      <w:r w:rsidR="001328AC">
        <w:rPr>
          <w:rFonts w:ascii="Arial" w:hAnsi="Arial" w:cs="Arial"/>
          <w:sz w:val="24"/>
          <w:szCs w:val="24"/>
        </w:rPr>
        <w:t>deben r</w:t>
      </w:r>
      <w:r w:rsidR="001328AC" w:rsidRPr="001328AC">
        <w:rPr>
          <w:rFonts w:ascii="Arial" w:hAnsi="Arial" w:cs="Arial"/>
          <w:sz w:val="24"/>
          <w:szCs w:val="24"/>
        </w:rPr>
        <w:t xml:space="preserve">emitir a esta Superintendencia </w:t>
      </w:r>
      <w:r w:rsidR="00293FA9">
        <w:rPr>
          <w:rFonts w:ascii="Arial" w:hAnsi="Arial" w:cs="Arial"/>
          <w:sz w:val="24"/>
          <w:szCs w:val="24"/>
        </w:rPr>
        <w:t>e</w:t>
      </w:r>
      <w:r w:rsidR="00293FA9" w:rsidRPr="001328AC">
        <w:rPr>
          <w:rFonts w:ascii="Arial" w:hAnsi="Arial" w:cs="Arial"/>
          <w:sz w:val="24"/>
          <w:szCs w:val="24"/>
        </w:rPr>
        <w:t>l 31 de julio de 2023</w:t>
      </w:r>
      <w:r w:rsidR="00293FA9">
        <w:rPr>
          <w:rFonts w:ascii="Arial" w:hAnsi="Arial" w:cs="Arial"/>
          <w:sz w:val="24"/>
          <w:szCs w:val="24"/>
        </w:rPr>
        <w:t xml:space="preserve"> </w:t>
      </w:r>
      <w:r w:rsidR="001328AC" w:rsidRPr="001328AC">
        <w:rPr>
          <w:rFonts w:ascii="Arial" w:hAnsi="Arial" w:cs="Arial"/>
          <w:sz w:val="24"/>
          <w:szCs w:val="24"/>
        </w:rPr>
        <w:t>un documento que contenga la siguiente información:</w:t>
      </w:r>
    </w:p>
    <w:p w14:paraId="63AEC5AE" w14:textId="77777777" w:rsidR="001328AC" w:rsidRPr="001328AC" w:rsidRDefault="001328AC" w:rsidP="001328AC">
      <w:pPr>
        <w:jc w:val="both"/>
        <w:rPr>
          <w:rFonts w:ascii="Arial" w:hAnsi="Arial" w:cs="Arial"/>
          <w:sz w:val="24"/>
          <w:szCs w:val="24"/>
        </w:rPr>
      </w:pPr>
    </w:p>
    <w:p w14:paraId="11AE9733" w14:textId="77777777" w:rsidR="001328AC" w:rsidRDefault="001328AC" w:rsidP="00352DDF">
      <w:pPr>
        <w:pStyle w:val="Prrafodelista"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1328AC">
        <w:rPr>
          <w:rFonts w:ascii="Arial" w:hAnsi="Arial" w:cs="Arial"/>
          <w:sz w:val="24"/>
          <w:szCs w:val="24"/>
        </w:rPr>
        <w:lastRenderedPageBreak/>
        <w:t xml:space="preserve">El cálculo de los montos mínimo y máximo de acumulación a que se refiere el </w:t>
      </w:r>
      <w:proofErr w:type="spellStart"/>
      <w:r w:rsidRPr="001328AC">
        <w:rPr>
          <w:rFonts w:ascii="Arial" w:hAnsi="Arial" w:cs="Arial"/>
          <w:sz w:val="24"/>
          <w:szCs w:val="24"/>
        </w:rPr>
        <w:t>subnumeral</w:t>
      </w:r>
      <w:proofErr w:type="spellEnd"/>
      <w:r w:rsidRPr="001328AC">
        <w:rPr>
          <w:rFonts w:ascii="Arial" w:hAnsi="Arial" w:cs="Arial"/>
          <w:sz w:val="24"/>
          <w:szCs w:val="24"/>
        </w:rPr>
        <w:t xml:space="preserve"> 3.4.3.3 con la información con corte a 31 de diciembre de 2022.</w:t>
      </w:r>
    </w:p>
    <w:p w14:paraId="1DC3F1D4" w14:textId="77777777" w:rsidR="001328AC" w:rsidRDefault="001328AC" w:rsidP="001328AC">
      <w:pPr>
        <w:pStyle w:val="Prrafodelista"/>
        <w:ind w:left="567"/>
        <w:jc w:val="both"/>
        <w:rPr>
          <w:rFonts w:ascii="Arial" w:hAnsi="Arial" w:cs="Arial"/>
          <w:sz w:val="24"/>
          <w:szCs w:val="24"/>
        </w:rPr>
      </w:pPr>
    </w:p>
    <w:p w14:paraId="1CD56C70" w14:textId="77777777" w:rsidR="001328AC" w:rsidRDefault="001328AC" w:rsidP="00352DDF">
      <w:pPr>
        <w:pStyle w:val="Prrafodelista"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1328AC">
        <w:rPr>
          <w:rFonts w:ascii="Arial" w:hAnsi="Arial" w:cs="Arial"/>
          <w:sz w:val="24"/>
          <w:szCs w:val="24"/>
        </w:rPr>
        <w:t>Un plan para alcanzar el monto mínimo, detallando las acciones que se adoptarán y el plazo de ejecución, en caso de que aplique.</w:t>
      </w:r>
    </w:p>
    <w:p w14:paraId="6D382949" w14:textId="77777777" w:rsidR="001328AC" w:rsidRDefault="001328AC" w:rsidP="001328AC">
      <w:pPr>
        <w:pStyle w:val="Prrafodelista"/>
        <w:ind w:left="567"/>
        <w:jc w:val="both"/>
        <w:rPr>
          <w:rFonts w:ascii="Arial" w:hAnsi="Arial" w:cs="Arial"/>
          <w:sz w:val="24"/>
          <w:szCs w:val="24"/>
        </w:rPr>
      </w:pPr>
    </w:p>
    <w:p w14:paraId="640D7A9D" w14:textId="6B8B3AE7" w:rsidR="007F2894" w:rsidRPr="00891533" w:rsidRDefault="001328AC" w:rsidP="00FD6321">
      <w:pPr>
        <w:pStyle w:val="Prrafodelista"/>
        <w:numPr>
          <w:ilvl w:val="0"/>
          <w:numId w:val="6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1328AC">
        <w:rPr>
          <w:rFonts w:ascii="Arial" w:hAnsi="Arial" w:cs="Arial"/>
          <w:sz w:val="24"/>
          <w:szCs w:val="24"/>
        </w:rPr>
        <w:t>Una cuantificación de los recursos en exceso del monto máximo de acumulación de la reserva de enfermedad laboral, en caso de que aplique.</w:t>
      </w:r>
      <w:r w:rsidR="00891533">
        <w:rPr>
          <w:rFonts w:ascii="Arial" w:hAnsi="Arial" w:cs="Arial"/>
          <w:sz w:val="24"/>
          <w:szCs w:val="24"/>
        </w:rPr>
        <w:t xml:space="preserve"> </w:t>
      </w:r>
      <w:r w:rsidR="002D5022">
        <w:rPr>
          <w:rFonts w:ascii="Arial" w:hAnsi="Arial" w:cs="Arial"/>
          <w:sz w:val="24"/>
          <w:szCs w:val="24"/>
        </w:rPr>
        <w:t>L</w:t>
      </w:r>
      <w:r w:rsidR="00103F75" w:rsidRPr="00891533">
        <w:rPr>
          <w:rFonts w:ascii="Arial" w:hAnsi="Arial" w:cs="Arial"/>
          <w:sz w:val="24"/>
          <w:szCs w:val="24"/>
        </w:rPr>
        <w:t xml:space="preserve">as entidades podrán </w:t>
      </w:r>
      <w:r w:rsidR="000F6B41" w:rsidRPr="00891533">
        <w:rPr>
          <w:rFonts w:ascii="Arial" w:hAnsi="Arial" w:cs="Arial"/>
          <w:sz w:val="24"/>
          <w:szCs w:val="24"/>
        </w:rPr>
        <w:t xml:space="preserve">liberar </w:t>
      </w:r>
      <w:r w:rsidR="00680BC9">
        <w:rPr>
          <w:rFonts w:ascii="Arial" w:hAnsi="Arial" w:cs="Arial"/>
          <w:sz w:val="24"/>
          <w:szCs w:val="24"/>
        </w:rPr>
        <w:t>dicho</w:t>
      </w:r>
      <w:r w:rsidR="000F6B41" w:rsidRPr="00891533">
        <w:rPr>
          <w:rFonts w:ascii="Arial" w:hAnsi="Arial" w:cs="Arial"/>
          <w:sz w:val="24"/>
          <w:szCs w:val="24"/>
        </w:rPr>
        <w:t xml:space="preserve"> exceso </w:t>
      </w:r>
      <w:r w:rsidR="008C48CB">
        <w:rPr>
          <w:rFonts w:ascii="Arial" w:hAnsi="Arial" w:cs="Arial"/>
          <w:sz w:val="24"/>
          <w:szCs w:val="24"/>
        </w:rPr>
        <w:t>previa no objeción de</w:t>
      </w:r>
      <w:r w:rsidR="00651774" w:rsidRPr="00891533">
        <w:rPr>
          <w:rFonts w:ascii="Arial" w:hAnsi="Arial" w:cs="Arial"/>
          <w:sz w:val="24"/>
          <w:szCs w:val="24"/>
        </w:rPr>
        <w:t xml:space="preserve"> esta Superintendencia.</w:t>
      </w:r>
    </w:p>
    <w:p w14:paraId="7C12017F" w14:textId="77777777" w:rsidR="003C4BEF" w:rsidRDefault="003C4BEF" w:rsidP="00FD6321">
      <w:pPr>
        <w:jc w:val="both"/>
        <w:rPr>
          <w:rFonts w:ascii="Arial" w:hAnsi="Arial" w:cs="Arial"/>
          <w:sz w:val="24"/>
          <w:szCs w:val="24"/>
        </w:rPr>
      </w:pPr>
    </w:p>
    <w:p w14:paraId="29D5577A" w14:textId="1E7A72F4" w:rsidR="003C4BEF" w:rsidRDefault="003C4BEF" w:rsidP="00556908">
      <w:pPr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perjuicio de lo anterior</w:t>
      </w:r>
      <w:r w:rsidRPr="003C4BEF">
        <w:rPr>
          <w:rFonts w:ascii="Arial" w:hAnsi="Arial" w:cs="Arial"/>
          <w:sz w:val="24"/>
          <w:szCs w:val="24"/>
        </w:rPr>
        <w:t xml:space="preserve">, las </w:t>
      </w:r>
      <w:r w:rsidR="00B22352">
        <w:rPr>
          <w:rFonts w:ascii="Arial" w:hAnsi="Arial" w:cs="Arial"/>
          <w:sz w:val="24"/>
          <w:szCs w:val="24"/>
        </w:rPr>
        <w:t>entidades aseguradoras</w:t>
      </w:r>
      <w:r w:rsidRPr="003C4BEF">
        <w:rPr>
          <w:rFonts w:ascii="Arial" w:hAnsi="Arial" w:cs="Arial"/>
          <w:sz w:val="24"/>
          <w:szCs w:val="24"/>
        </w:rPr>
        <w:t xml:space="preserve"> deben continuar la constitución de la reserva de enfermedad laboral </w:t>
      </w:r>
      <w:r w:rsidR="00BE3498">
        <w:rPr>
          <w:rFonts w:ascii="Arial" w:hAnsi="Arial" w:cs="Arial"/>
          <w:sz w:val="24"/>
          <w:szCs w:val="24"/>
        </w:rPr>
        <w:t>con</w:t>
      </w:r>
      <w:r w:rsidRPr="003C4BEF">
        <w:rPr>
          <w:rFonts w:ascii="Arial" w:hAnsi="Arial" w:cs="Arial"/>
          <w:sz w:val="24"/>
          <w:szCs w:val="24"/>
        </w:rPr>
        <w:t xml:space="preserve"> </w:t>
      </w:r>
      <w:r w:rsidR="00BE3498">
        <w:rPr>
          <w:rFonts w:ascii="Arial" w:hAnsi="Arial" w:cs="Arial"/>
          <w:sz w:val="24"/>
          <w:szCs w:val="24"/>
        </w:rPr>
        <w:t>e</w:t>
      </w:r>
      <w:r w:rsidRPr="003C4BEF">
        <w:rPr>
          <w:rFonts w:ascii="Arial" w:hAnsi="Arial" w:cs="Arial"/>
          <w:sz w:val="24"/>
          <w:szCs w:val="24"/>
        </w:rPr>
        <w:t xml:space="preserve">l 2% </w:t>
      </w:r>
      <w:r w:rsidR="00BE3498">
        <w:rPr>
          <w:rFonts w:ascii="Arial" w:hAnsi="Arial" w:cs="Arial"/>
          <w:sz w:val="24"/>
          <w:szCs w:val="24"/>
        </w:rPr>
        <w:t xml:space="preserve">de las </w:t>
      </w:r>
      <w:r w:rsidRPr="003C4BEF">
        <w:rPr>
          <w:rFonts w:ascii="Arial" w:hAnsi="Arial" w:cs="Arial"/>
          <w:sz w:val="24"/>
          <w:szCs w:val="24"/>
        </w:rPr>
        <w:t>primas devengadas mensual</w:t>
      </w:r>
      <w:r w:rsidR="00BE3498">
        <w:rPr>
          <w:rFonts w:ascii="Arial" w:hAnsi="Arial" w:cs="Arial"/>
          <w:sz w:val="24"/>
          <w:szCs w:val="24"/>
        </w:rPr>
        <w:t>mente</w:t>
      </w:r>
      <w:r w:rsidR="00D04F95">
        <w:rPr>
          <w:rFonts w:ascii="Arial" w:hAnsi="Arial" w:cs="Arial"/>
          <w:sz w:val="24"/>
          <w:szCs w:val="24"/>
        </w:rPr>
        <w:t xml:space="preserve">, </w:t>
      </w:r>
      <w:r w:rsidR="004A19D7">
        <w:rPr>
          <w:rFonts w:ascii="Arial" w:hAnsi="Arial" w:cs="Arial"/>
          <w:sz w:val="24"/>
          <w:szCs w:val="24"/>
        </w:rPr>
        <w:t>d</w:t>
      </w:r>
      <w:r w:rsidR="00D04F95" w:rsidRPr="003C4BEF">
        <w:rPr>
          <w:rFonts w:ascii="Arial" w:hAnsi="Arial" w:cs="Arial"/>
          <w:sz w:val="24"/>
          <w:szCs w:val="24"/>
        </w:rPr>
        <w:t>e conformidad con el parágrafo del artículo 2.31.4.4.8 del Decreto 2555 de 2010</w:t>
      </w:r>
      <w:r w:rsidR="006F6E01">
        <w:rPr>
          <w:rFonts w:ascii="Arial" w:hAnsi="Arial" w:cs="Arial"/>
          <w:sz w:val="24"/>
          <w:szCs w:val="24"/>
        </w:rPr>
        <w:t>.</w:t>
      </w:r>
    </w:p>
    <w:p w14:paraId="2F7BF9A4" w14:textId="77777777" w:rsidR="006F6E01" w:rsidRDefault="006F6E01" w:rsidP="00FD6321">
      <w:pPr>
        <w:jc w:val="both"/>
        <w:rPr>
          <w:rFonts w:ascii="Arial" w:hAnsi="Arial" w:cs="Arial"/>
          <w:sz w:val="24"/>
          <w:szCs w:val="24"/>
        </w:rPr>
      </w:pPr>
    </w:p>
    <w:p w14:paraId="3E9CA817" w14:textId="77777777" w:rsidR="006F6E01" w:rsidRDefault="006F6E01" w:rsidP="006F6E01">
      <w:pPr>
        <w:jc w:val="both"/>
        <w:rPr>
          <w:rFonts w:ascii="Arial" w:hAnsi="Arial" w:cs="Arial"/>
          <w:sz w:val="24"/>
          <w:szCs w:val="24"/>
        </w:rPr>
      </w:pPr>
      <w:r w:rsidRPr="001328AC">
        <w:rPr>
          <w:rFonts w:ascii="Arial" w:hAnsi="Arial" w:cs="Arial"/>
          <w:sz w:val="24"/>
          <w:szCs w:val="24"/>
        </w:rPr>
        <w:t xml:space="preserve">En el evento en que con posterioridad al 31 de julio de 2023 una </w:t>
      </w:r>
      <w:r>
        <w:rPr>
          <w:rFonts w:ascii="Arial" w:hAnsi="Arial" w:cs="Arial"/>
          <w:sz w:val="24"/>
          <w:szCs w:val="24"/>
        </w:rPr>
        <w:t xml:space="preserve">entidad aseguradora </w:t>
      </w:r>
      <w:r w:rsidRPr="001328AC">
        <w:rPr>
          <w:rFonts w:ascii="Arial" w:hAnsi="Arial" w:cs="Arial"/>
          <w:sz w:val="24"/>
          <w:szCs w:val="24"/>
        </w:rPr>
        <w:t xml:space="preserve">cuente con información adicional de siniestros, afiliados y recobros efectivamente pagados y recibidos, y con base en dicha información evidencie que el saldo acumulado de la reserva a la fecha de cálculo es inferior al monto mínimo estimado con los nuevos datos, deberá informar a esta </w:t>
      </w:r>
      <w:r>
        <w:rPr>
          <w:rFonts w:ascii="Arial" w:hAnsi="Arial" w:cs="Arial"/>
          <w:sz w:val="24"/>
          <w:szCs w:val="24"/>
        </w:rPr>
        <w:t>Superintendencia</w:t>
      </w:r>
      <w:r w:rsidRPr="001328AC">
        <w:rPr>
          <w:rFonts w:ascii="Arial" w:hAnsi="Arial" w:cs="Arial"/>
          <w:sz w:val="24"/>
          <w:szCs w:val="24"/>
        </w:rPr>
        <w:t xml:space="preserve"> y remitir</w:t>
      </w:r>
      <w:r>
        <w:rPr>
          <w:rFonts w:ascii="Arial" w:hAnsi="Arial" w:cs="Arial"/>
          <w:sz w:val="24"/>
          <w:szCs w:val="24"/>
        </w:rPr>
        <w:t xml:space="preserve"> </w:t>
      </w:r>
      <w:r w:rsidRPr="001328AC">
        <w:rPr>
          <w:rFonts w:ascii="Arial" w:hAnsi="Arial" w:cs="Arial"/>
          <w:sz w:val="24"/>
          <w:szCs w:val="24"/>
        </w:rPr>
        <w:t>un plan para alcanzar el monto mínimo o el plan actualizado incluyendo los ajustes previstos para alcanzar dicho monto. Este plan debe enviarse dentro de los 8 días hábiles siguientes a la fecha en que se cuantificaron los cambios en el monto mínimo.</w:t>
      </w:r>
    </w:p>
    <w:p w14:paraId="17B96677" w14:textId="77777777" w:rsidR="006F6E01" w:rsidRPr="00FD6321" w:rsidRDefault="006F6E01" w:rsidP="00FD6321">
      <w:pPr>
        <w:jc w:val="both"/>
        <w:rPr>
          <w:rFonts w:ascii="Arial" w:hAnsi="Arial" w:cs="Arial"/>
          <w:sz w:val="24"/>
          <w:szCs w:val="24"/>
        </w:rPr>
      </w:pPr>
    </w:p>
    <w:p w14:paraId="10653DBE" w14:textId="118069CC" w:rsidR="0097762A" w:rsidRDefault="00CD6A12" w:rsidP="004A19D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</w:t>
      </w:r>
      <w:r w:rsidR="004A19D7">
        <w:rPr>
          <w:rFonts w:ascii="Arial" w:hAnsi="Arial" w:cs="Arial"/>
          <w:b/>
          <w:bCs/>
          <w:sz w:val="24"/>
          <w:szCs w:val="24"/>
        </w:rPr>
        <w:t>TA</w:t>
      </w:r>
      <w:r w:rsidR="0047200C">
        <w:rPr>
          <w:rFonts w:ascii="Arial" w:hAnsi="Arial" w:cs="Arial"/>
          <w:b/>
          <w:bCs/>
          <w:sz w:val="24"/>
          <w:szCs w:val="24"/>
        </w:rPr>
        <w:t xml:space="preserve">. </w:t>
      </w:r>
      <w:r w:rsidR="0094434C" w:rsidRPr="00A45A32">
        <w:rPr>
          <w:rFonts w:ascii="Arial" w:hAnsi="Arial" w:cs="Arial"/>
          <w:b/>
          <w:sz w:val="24"/>
          <w:szCs w:val="24"/>
        </w:rPr>
        <w:t>RÉGIMEN DE TRANSICIÓN</w:t>
      </w:r>
      <w:r w:rsidR="0094434C" w:rsidRPr="0094434C">
        <w:rPr>
          <w:rFonts w:ascii="Arial" w:hAnsi="Arial" w:cs="Arial"/>
          <w:b/>
          <w:bCs/>
          <w:sz w:val="24"/>
          <w:szCs w:val="24"/>
        </w:rPr>
        <w:t>.</w:t>
      </w:r>
      <w:r w:rsidR="00E204F1">
        <w:rPr>
          <w:rFonts w:ascii="Arial" w:hAnsi="Arial" w:cs="Arial"/>
          <w:b/>
          <w:bCs/>
          <w:sz w:val="24"/>
          <w:szCs w:val="24"/>
        </w:rPr>
        <w:t xml:space="preserve"> </w:t>
      </w:r>
      <w:r w:rsidR="00E204F1" w:rsidRPr="00EB6FA4">
        <w:rPr>
          <w:rFonts w:ascii="Arial" w:hAnsi="Arial" w:cs="Arial"/>
          <w:sz w:val="24"/>
          <w:szCs w:val="24"/>
        </w:rPr>
        <w:t xml:space="preserve">El </w:t>
      </w:r>
      <w:proofErr w:type="spellStart"/>
      <w:r w:rsidR="00E204F1" w:rsidRPr="00EB6FA4">
        <w:rPr>
          <w:rFonts w:ascii="Arial" w:hAnsi="Arial" w:cs="Arial"/>
          <w:sz w:val="24"/>
          <w:szCs w:val="24"/>
        </w:rPr>
        <w:t>subnumeral</w:t>
      </w:r>
      <w:proofErr w:type="spellEnd"/>
      <w:r w:rsidR="00E204F1" w:rsidRPr="00EB6FA4">
        <w:rPr>
          <w:rFonts w:ascii="Arial" w:hAnsi="Arial" w:cs="Arial"/>
          <w:sz w:val="24"/>
          <w:szCs w:val="24"/>
        </w:rPr>
        <w:t xml:space="preserve"> 3.4.3</w:t>
      </w:r>
      <w:r w:rsidR="00E204F1">
        <w:rPr>
          <w:rFonts w:ascii="Arial" w:hAnsi="Arial" w:cs="Arial"/>
          <w:sz w:val="24"/>
          <w:szCs w:val="24"/>
        </w:rPr>
        <w:t>.</w:t>
      </w:r>
      <w:r w:rsidR="00E204F1" w:rsidRPr="00EB6FA4">
        <w:rPr>
          <w:rFonts w:ascii="Arial" w:hAnsi="Arial" w:cs="Arial"/>
          <w:sz w:val="24"/>
          <w:szCs w:val="24"/>
        </w:rPr>
        <w:t xml:space="preserve"> del Capítulo II del Título IV de la Parte II de la Circular Básica Jurídica </w:t>
      </w:r>
      <w:proofErr w:type="gramStart"/>
      <w:r w:rsidR="00E204F1" w:rsidRPr="00EB6FA4">
        <w:rPr>
          <w:rFonts w:ascii="Arial" w:hAnsi="Arial" w:cs="Arial"/>
          <w:sz w:val="24"/>
          <w:szCs w:val="24"/>
        </w:rPr>
        <w:t>entra en vigencia</w:t>
      </w:r>
      <w:proofErr w:type="gramEnd"/>
      <w:r w:rsidR="00E204F1" w:rsidRPr="00EB6FA4">
        <w:rPr>
          <w:rFonts w:ascii="Arial" w:hAnsi="Arial" w:cs="Arial"/>
          <w:sz w:val="24"/>
          <w:szCs w:val="24"/>
        </w:rPr>
        <w:t xml:space="preserve"> </w:t>
      </w:r>
      <w:r w:rsidR="00E204F1">
        <w:rPr>
          <w:rFonts w:ascii="Arial" w:hAnsi="Arial" w:cs="Arial"/>
          <w:sz w:val="24"/>
          <w:szCs w:val="24"/>
        </w:rPr>
        <w:t>a partir del</w:t>
      </w:r>
      <w:r w:rsidR="00E204F1" w:rsidRPr="00EB6FA4">
        <w:rPr>
          <w:rFonts w:ascii="Arial" w:hAnsi="Arial" w:cs="Arial"/>
          <w:sz w:val="24"/>
          <w:szCs w:val="24"/>
        </w:rPr>
        <w:t xml:space="preserve"> 31 de marzo de 2024. Para el </w:t>
      </w:r>
      <w:r w:rsidR="001A6365">
        <w:rPr>
          <w:rFonts w:ascii="Arial" w:hAnsi="Arial" w:cs="Arial"/>
          <w:sz w:val="24"/>
          <w:szCs w:val="24"/>
        </w:rPr>
        <w:t xml:space="preserve">primer </w:t>
      </w:r>
      <w:r w:rsidR="00E204F1" w:rsidRPr="00EB6FA4">
        <w:rPr>
          <w:rFonts w:ascii="Arial" w:hAnsi="Arial" w:cs="Arial"/>
          <w:sz w:val="24"/>
          <w:szCs w:val="24"/>
        </w:rPr>
        <w:t>cálculo</w:t>
      </w:r>
      <w:r w:rsidR="001A6365">
        <w:rPr>
          <w:rFonts w:ascii="Arial" w:hAnsi="Arial" w:cs="Arial"/>
          <w:sz w:val="24"/>
          <w:szCs w:val="24"/>
        </w:rPr>
        <w:t xml:space="preserve"> </w:t>
      </w:r>
      <w:r w:rsidR="00E204F1" w:rsidRPr="00EB6FA4">
        <w:rPr>
          <w:rFonts w:ascii="Arial" w:hAnsi="Arial" w:cs="Arial"/>
          <w:sz w:val="24"/>
          <w:szCs w:val="24"/>
        </w:rPr>
        <w:t xml:space="preserve">de los montos mínimo y máximo de la reserva de enfermedad laboral </w:t>
      </w:r>
      <w:r w:rsidR="00454D4E">
        <w:rPr>
          <w:rFonts w:ascii="Arial" w:hAnsi="Arial" w:cs="Arial"/>
          <w:sz w:val="24"/>
          <w:szCs w:val="24"/>
        </w:rPr>
        <w:t>se debe tomar</w:t>
      </w:r>
      <w:r w:rsidR="00E204F1" w:rsidRPr="00EB6FA4">
        <w:rPr>
          <w:rFonts w:ascii="Arial" w:hAnsi="Arial" w:cs="Arial"/>
          <w:sz w:val="24"/>
          <w:szCs w:val="24"/>
        </w:rPr>
        <w:t xml:space="preserve"> la información con corte al 31 de diciembre de 2023.</w:t>
      </w:r>
      <w:r w:rsidR="00E204F1">
        <w:rPr>
          <w:rFonts w:ascii="Arial" w:hAnsi="Arial" w:cs="Arial"/>
          <w:sz w:val="24"/>
          <w:szCs w:val="24"/>
        </w:rPr>
        <w:t xml:space="preserve"> </w:t>
      </w:r>
      <w:r w:rsidR="00422461">
        <w:rPr>
          <w:rFonts w:ascii="Arial" w:hAnsi="Arial" w:cs="Arial"/>
          <w:sz w:val="24"/>
          <w:szCs w:val="24"/>
        </w:rPr>
        <w:t>Adicionalmente, a</w:t>
      </w:r>
      <w:r w:rsidR="009E206A" w:rsidRPr="002E5461">
        <w:rPr>
          <w:rFonts w:ascii="Arial" w:hAnsi="Arial" w:cs="Arial"/>
          <w:sz w:val="24"/>
          <w:szCs w:val="24"/>
        </w:rPr>
        <w:t xml:space="preserve"> partir del 31 de marzo de 2024</w:t>
      </w:r>
      <w:r w:rsidR="009E206A" w:rsidRPr="009E206A">
        <w:rPr>
          <w:rFonts w:ascii="Arial" w:hAnsi="Arial" w:cs="Arial"/>
          <w:sz w:val="24"/>
          <w:szCs w:val="24"/>
        </w:rPr>
        <w:t xml:space="preserve"> </w:t>
      </w:r>
      <w:r w:rsidR="009E206A" w:rsidRPr="002E5461">
        <w:rPr>
          <w:rFonts w:ascii="Arial" w:hAnsi="Arial" w:cs="Arial"/>
          <w:sz w:val="24"/>
          <w:szCs w:val="24"/>
        </w:rPr>
        <w:t xml:space="preserve">debe mantenerse a disposición de </w:t>
      </w:r>
      <w:r w:rsidR="00692978">
        <w:rPr>
          <w:rFonts w:ascii="Arial" w:hAnsi="Arial" w:cs="Arial"/>
          <w:sz w:val="24"/>
          <w:szCs w:val="24"/>
        </w:rPr>
        <w:t>esta</w:t>
      </w:r>
      <w:r w:rsidR="009E206A" w:rsidRPr="002E5461">
        <w:rPr>
          <w:rFonts w:ascii="Arial" w:hAnsi="Arial" w:cs="Arial"/>
          <w:sz w:val="24"/>
          <w:szCs w:val="24"/>
        </w:rPr>
        <w:t xml:space="preserve"> S</w:t>
      </w:r>
      <w:r w:rsidR="00692978">
        <w:rPr>
          <w:rFonts w:ascii="Arial" w:hAnsi="Arial" w:cs="Arial"/>
          <w:sz w:val="24"/>
          <w:szCs w:val="24"/>
        </w:rPr>
        <w:t xml:space="preserve">uperintendencia </w:t>
      </w:r>
      <w:r w:rsidR="009E206A">
        <w:rPr>
          <w:rFonts w:ascii="Arial" w:hAnsi="Arial" w:cs="Arial"/>
          <w:sz w:val="24"/>
          <w:szCs w:val="24"/>
        </w:rPr>
        <w:t xml:space="preserve">la información </w:t>
      </w:r>
      <w:r w:rsidR="00626D4E">
        <w:rPr>
          <w:rFonts w:ascii="Arial" w:hAnsi="Arial" w:cs="Arial"/>
          <w:sz w:val="24"/>
          <w:szCs w:val="24"/>
        </w:rPr>
        <w:t>de</w:t>
      </w:r>
      <w:r w:rsidR="009E206A">
        <w:rPr>
          <w:rFonts w:ascii="Arial" w:hAnsi="Arial" w:cs="Arial"/>
          <w:sz w:val="24"/>
          <w:szCs w:val="24"/>
        </w:rPr>
        <w:t>l</w:t>
      </w:r>
      <w:r w:rsidR="0097762A" w:rsidRPr="002E5461">
        <w:rPr>
          <w:rFonts w:ascii="Arial" w:hAnsi="Arial" w:cs="Arial"/>
          <w:sz w:val="24"/>
          <w:szCs w:val="24"/>
        </w:rPr>
        <w:t xml:space="preserve"> </w:t>
      </w:r>
      <w:r w:rsidR="00983DD2">
        <w:rPr>
          <w:rFonts w:ascii="Arial" w:hAnsi="Arial" w:cs="Arial"/>
          <w:sz w:val="24"/>
          <w:szCs w:val="24"/>
        </w:rPr>
        <w:t>A</w:t>
      </w:r>
      <w:r w:rsidR="0097762A" w:rsidRPr="002E5461">
        <w:rPr>
          <w:rFonts w:ascii="Arial" w:hAnsi="Arial" w:cs="Arial"/>
          <w:sz w:val="24"/>
          <w:szCs w:val="24"/>
        </w:rPr>
        <w:t xml:space="preserve">nexo </w:t>
      </w:r>
      <w:r w:rsidR="00D41115">
        <w:rPr>
          <w:rFonts w:ascii="Arial" w:hAnsi="Arial" w:cs="Arial"/>
          <w:sz w:val="24"/>
          <w:szCs w:val="24"/>
        </w:rPr>
        <w:t xml:space="preserve">16 que se crea mediante la </w:t>
      </w:r>
      <w:r w:rsidR="00D22F44">
        <w:rPr>
          <w:rFonts w:ascii="Arial" w:hAnsi="Arial" w:cs="Arial"/>
          <w:sz w:val="24"/>
          <w:szCs w:val="24"/>
        </w:rPr>
        <w:t xml:space="preserve">instrucción segunda de la </w:t>
      </w:r>
      <w:r w:rsidR="00D41115">
        <w:rPr>
          <w:rFonts w:ascii="Arial" w:hAnsi="Arial" w:cs="Arial"/>
          <w:sz w:val="24"/>
          <w:szCs w:val="24"/>
        </w:rPr>
        <w:t>presente Circular</w:t>
      </w:r>
      <w:r w:rsidR="009E206A">
        <w:rPr>
          <w:rFonts w:ascii="Arial" w:hAnsi="Arial" w:cs="Arial"/>
          <w:sz w:val="24"/>
          <w:szCs w:val="24"/>
        </w:rPr>
        <w:t>.</w:t>
      </w:r>
    </w:p>
    <w:p w14:paraId="16FE5C65" w14:textId="77777777" w:rsidR="00983DD2" w:rsidRDefault="00983DD2" w:rsidP="00983DD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14733C51" w14:textId="03C862ED" w:rsidR="006313D3" w:rsidRPr="006313D3" w:rsidRDefault="006313D3" w:rsidP="006313D3">
      <w:pPr>
        <w:jc w:val="both"/>
        <w:rPr>
          <w:rFonts w:ascii="Arial" w:hAnsi="Arial" w:cs="Arial"/>
          <w:sz w:val="24"/>
          <w:szCs w:val="24"/>
        </w:rPr>
      </w:pPr>
      <w:r w:rsidRPr="006313D3">
        <w:rPr>
          <w:rFonts w:ascii="Arial" w:hAnsi="Arial" w:cs="Arial"/>
          <w:sz w:val="24"/>
          <w:szCs w:val="24"/>
        </w:rPr>
        <w:t>La presente circular rige a partir de la fecha de su publicación.</w:t>
      </w:r>
    </w:p>
    <w:p w14:paraId="23DDB9C2" w14:textId="77777777" w:rsidR="006313D3" w:rsidRPr="006313D3" w:rsidRDefault="006313D3" w:rsidP="006313D3">
      <w:pPr>
        <w:jc w:val="both"/>
        <w:rPr>
          <w:rFonts w:ascii="Arial" w:hAnsi="Arial" w:cs="Arial"/>
          <w:sz w:val="24"/>
          <w:szCs w:val="24"/>
        </w:rPr>
      </w:pPr>
    </w:p>
    <w:p w14:paraId="0C2C0226" w14:textId="77777777" w:rsidR="006313D3" w:rsidRPr="006313D3" w:rsidRDefault="006313D3" w:rsidP="006313D3">
      <w:pPr>
        <w:tabs>
          <w:tab w:val="left" w:pos="-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6313D3">
        <w:rPr>
          <w:rFonts w:ascii="Arial" w:hAnsi="Arial" w:cs="Arial"/>
          <w:color w:val="000000"/>
          <w:sz w:val="24"/>
          <w:szCs w:val="24"/>
        </w:rPr>
        <w:t>Se anexan las páginas objeto de modificación.</w:t>
      </w:r>
    </w:p>
    <w:p w14:paraId="0F5B27E7" w14:textId="77777777" w:rsidR="006313D3" w:rsidRPr="006313D3" w:rsidRDefault="006313D3" w:rsidP="006313D3">
      <w:pPr>
        <w:tabs>
          <w:tab w:val="left" w:pos="-720"/>
        </w:tabs>
        <w:jc w:val="both"/>
        <w:rPr>
          <w:rFonts w:ascii="Arial" w:hAnsi="Arial" w:cs="Arial"/>
          <w:color w:val="000000"/>
          <w:sz w:val="24"/>
          <w:szCs w:val="24"/>
        </w:rPr>
      </w:pPr>
    </w:p>
    <w:p w14:paraId="37166FF5" w14:textId="77777777" w:rsidR="006313D3" w:rsidRPr="006313D3" w:rsidRDefault="006313D3" w:rsidP="006313D3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6313D3">
        <w:rPr>
          <w:rFonts w:ascii="Arial" w:hAnsi="Arial" w:cs="Arial"/>
          <w:sz w:val="24"/>
          <w:szCs w:val="24"/>
        </w:rPr>
        <w:t>Cordialmente,</w:t>
      </w:r>
    </w:p>
    <w:p w14:paraId="72D1D5D4" w14:textId="042A4AD7" w:rsidR="006313D3" w:rsidRDefault="006313D3" w:rsidP="006313D3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6585C1BE" w14:textId="5766733C" w:rsidR="007645D0" w:rsidRDefault="007645D0" w:rsidP="006313D3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05F9D24" w14:textId="77777777" w:rsidR="007645D0" w:rsidRDefault="007645D0" w:rsidP="006313D3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334DD2B1" w14:textId="77777777" w:rsidR="00E4533B" w:rsidRPr="006313D3" w:rsidRDefault="00E4533B" w:rsidP="006313D3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093B8DA" w14:textId="77777777" w:rsidR="006313D3" w:rsidRPr="006313D3" w:rsidRDefault="006313D3" w:rsidP="006313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313D3">
        <w:rPr>
          <w:rFonts w:ascii="Arial" w:hAnsi="Arial" w:cs="Arial"/>
          <w:b/>
          <w:bCs/>
          <w:sz w:val="24"/>
          <w:szCs w:val="24"/>
        </w:rPr>
        <w:t>JORGE CASTAÑO GUTIÉRREZ</w:t>
      </w:r>
    </w:p>
    <w:p w14:paraId="0E2731CE" w14:textId="77777777" w:rsidR="006313D3" w:rsidRPr="006313D3" w:rsidRDefault="006313D3" w:rsidP="006313D3">
      <w:pPr>
        <w:jc w:val="both"/>
        <w:rPr>
          <w:rFonts w:ascii="Arial" w:hAnsi="Arial" w:cs="Arial"/>
          <w:sz w:val="24"/>
          <w:szCs w:val="24"/>
        </w:rPr>
      </w:pPr>
      <w:r w:rsidRPr="006313D3">
        <w:rPr>
          <w:rFonts w:ascii="Arial" w:hAnsi="Arial" w:cs="Arial"/>
          <w:sz w:val="24"/>
          <w:szCs w:val="24"/>
        </w:rPr>
        <w:t>Superintendente Financiero</w:t>
      </w:r>
    </w:p>
    <w:p w14:paraId="10AE5E91" w14:textId="2D203599" w:rsidR="00B51F39" w:rsidRPr="004055C1" w:rsidRDefault="006313D3" w:rsidP="006313D3">
      <w:pPr>
        <w:ind w:left="-284" w:firstLine="284"/>
        <w:jc w:val="both"/>
        <w:rPr>
          <w:rFonts w:ascii="Arial" w:hAnsi="Arial" w:cs="Arial"/>
          <w:b/>
          <w:bCs/>
          <w:sz w:val="22"/>
          <w:szCs w:val="22"/>
        </w:rPr>
      </w:pPr>
      <w:r w:rsidRPr="004055C1">
        <w:rPr>
          <w:rFonts w:ascii="Arial" w:hAnsi="Arial" w:cs="Arial"/>
          <w:sz w:val="22"/>
          <w:szCs w:val="22"/>
        </w:rPr>
        <w:t>50000</w:t>
      </w:r>
    </w:p>
    <w:sectPr w:rsidR="00B51F39" w:rsidRPr="004055C1" w:rsidSect="0023304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2" w:h="18722" w:code="14"/>
      <w:pgMar w:top="1417" w:right="1701" w:bottom="1417" w:left="1701" w:header="709" w:footer="709" w:gutter="0"/>
      <w:paperSrc w:first="2" w:other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7802" w14:textId="77777777" w:rsidR="00A81660" w:rsidRDefault="00A81660">
      <w:r>
        <w:separator/>
      </w:r>
    </w:p>
  </w:endnote>
  <w:endnote w:type="continuationSeparator" w:id="0">
    <w:p w14:paraId="6D361B07" w14:textId="77777777" w:rsidR="00A81660" w:rsidRDefault="00A8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E1E8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88264C8" w14:textId="77777777" w:rsidR="00564B20" w:rsidRDefault="00564B2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1BD6" w14:textId="77777777" w:rsidR="00564B20" w:rsidRDefault="00564B20">
    <w:pPr>
      <w:widowControl w:val="0"/>
      <w:autoSpaceDE w:val="0"/>
      <w:autoSpaceDN w:val="0"/>
      <w:adjustRightInd w:val="0"/>
      <w:jc w:val="both"/>
      <w:rPr>
        <w:rFonts w:ascii="Arial" w:hAnsi="Arial" w:cs="Arial"/>
        <w:sz w:val="22"/>
        <w:szCs w:val="22"/>
      </w:rPr>
    </w:pPr>
  </w:p>
  <w:p w14:paraId="71C7C990" w14:textId="77777777" w:rsidR="00564B20" w:rsidRDefault="00564B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5742E" w14:textId="77777777" w:rsidR="00A81660" w:rsidRDefault="00A81660">
      <w:r>
        <w:separator/>
      </w:r>
    </w:p>
  </w:footnote>
  <w:footnote w:type="continuationSeparator" w:id="0">
    <w:p w14:paraId="2EB206A2" w14:textId="77777777" w:rsidR="00A81660" w:rsidRDefault="00A81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A21B9" w14:textId="77777777" w:rsidR="00687EBD" w:rsidRDefault="00687EBD" w:rsidP="002E5461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54ACAC85" w14:textId="77777777" w:rsidR="00983DD2" w:rsidRDefault="00983DD2" w:rsidP="002E5461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7F633CE2" w14:textId="77777777" w:rsidR="002E5461" w:rsidRDefault="002E5461" w:rsidP="002E5461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1D23B0C0" w14:textId="2FD03A55" w:rsidR="002E5461" w:rsidRDefault="002E5461" w:rsidP="002E5461">
    <w:pPr>
      <w:pStyle w:val="Encabezad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Circular </w:t>
    </w:r>
    <w:proofErr w:type="gramStart"/>
    <w:r>
      <w:rPr>
        <w:rFonts w:ascii="Arial" w:hAnsi="Arial" w:cs="Arial"/>
        <w:b/>
        <w:sz w:val="24"/>
        <w:szCs w:val="24"/>
      </w:rPr>
      <w:t xml:space="preserve">Externa  </w:t>
    </w:r>
    <w:r w:rsidR="00BF11F0">
      <w:rPr>
        <w:rFonts w:ascii="Arial" w:hAnsi="Arial" w:cs="Arial"/>
        <w:b/>
        <w:sz w:val="24"/>
        <w:szCs w:val="24"/>
      </w:rPr>
      <w:t>022</w:t>
    </w:r>
    <w:proofErr w:type="gramEnd"/>
    <w:r>
      <w:rPr>
        <w:rFonts w:ascii="Arial" w:hAnsi="Arial" w:cs="Arial"/>
        <w:b/>
        <w:sz w:val="24"/>
        <w:szCs w:val="24"/>
      </w:rPr>
      <w:t xml:space="preserve">  de 2022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  <w:t>Página 2</w:t>
    </w:r>
  </w:p>
  <w:p w14:paraId="7D4078F5" w14:textId="77777777" w:rsidR="002E5461" w:rsidRDefault="002E5461" w:rsidP="002E5461">
    <w:pPr>
      <w:pStyle w:val="Encabezado"/>
      <w:jc w:val="both"/>
      <w:rPr>
        <w:rFonts w:ascii="Arial" w:hAnsi="Arial" w:cs="Arial"/>
        <w:b/>
        <w:sz w:val="24"/>
        <w:szCs w:val="24"/>
      </w:rPr>
    </w:pPr>
  </w:p>
  <w:p w14:paraId="2D6D4C96" w14:textId="77777777" w:rsidR="002E5461" w:rsidRPr="002E5461" w:rsidRDefault="002E5461" w:rsidP="002E5461">
    <w:pPr>
      <w:pStyle w:val="Encabezado"/>
      <w:jc w:val="both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6450" w14:textId="77777777" w:rsidR="00564B20" w:rsidRDefault="00564B20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70713889" w14:textId="77777777" w:rsidR="00983DD2" w:rsidRDefault="00983DD2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4292DA0D" w14:textId="77777777" w:rsidR="00564B20" w:rsidRDefault="00564B20" w:rsidP="00687EBD">
    <w:pPr>
      <w:pStyle w:val="Encabezado"/>
      <w:rPr>
        <w:rFonts w:ascii="Arial" w:hAnsi="Arial" w:cs="Arial"/>
        <w:b/>
        <w:bCs/>
        <w:sz w:val="24"/>
        <w:szCs w:val="24"/>
        <w:lang w:val="es-CO"/>
      </w:rPr>
    </w:pPr>
  </w:p>
  <w:p w14:paraId="16C40F59" w14:textId="77777777" w:rsidR="00564B20" w:rsidRDefault="00687EBD" w:rsidP="00687EBD">
    <w:pPr>
      <w:pStyle w:val="Encabezado"/>
      <w:ind w:left="-284"/>
      <w:jc w:val="both"/>
      <w:rPr>
        <w:rFonts w:ascii="Arial" w:hAnsi="Arial" w:cs="Arial"/>
        <w:b/>
        <w:bCs/>
        <w:color w:val="000000"/>
        <w:sz w:val="22"/>
        <w:szCs w:val="22"/>
        <w:shd w:val="clear" w:color="auto" w:fill="FFFFFF"/>
      </w:rPr>
    </w:pPr>
    <w:r>
      <w:rPr>
        <w:rFonts w:ascii="Arial" w:hAnsi="Arial" w:cs="Arial"/>
        <w:b/>
        <w:bCs/>
        <w:color w:val="000000"/>
        <w:sz w:val="22"/>
        <w:szCs w:val="22"/>
        <w:shd w:val="clear" w:color="auto" w:fill="FFFFFF"/>
      </w:rPr>
      <w:t xml:space="preserve">Circular Externa               de 2022 </w:t>
    </w:r>
    <w:r>
      <w:rPr>
        <w:rFonts w:ascii="Arial" w:hAnsi="Arial" w:cs="Arial"/>
        <w:b/>
        <w:bCs/>
        <w:color w:val="000000"/>
        <w:sz w:val="22"/>
        <w:szCs w:val="22"/>
        <w:shd w:val="clear" w:color="auto" w:fill="FFFFFF"/>
      </w:rPr>
      <w:tab/>
    </w:r>
    <w:r>
      <w:rPr>
        <w:rFonts w:ascii="Arial" w:hAnsi="Arial" w:cs="Arial"/>
        <w:b/>
        <w:bCs/>
        <w:color w:val="000000"/>
        <w:sz w:val="22"/>
        <w:szCs w:val="22"/>
        <w:shd w:val="clear" w:color="auto" w:fill="FFFFFF"/>
      </w:rPr>
      <w:tab/>
      <w:t xml:space="preserve">Página </w:t>
    </w:r>
    <w:r w:rsidR="00983DD2">
      <w:rPr>
        <w:rFonts w:ascii="Arial" w:hAnsi="Arial" w:cs="Arial"/>
        <w:b/>
        <w:bCs/>
        <w:color w:val="000000"/>
        <w:sz w:val="22"/>
        <w:szCs w:val="22"/>
        <w:shd w:val="clear" w:color="auto" w:fill="FFFFFF"/>
      </w:rPr>
      <w:t>3</w:t>
    </w:r>
  </w:p>
  <w:p w14:paraId="7A8D8F03" w14:textId="77777777" w:rsidR="00983DD2" w:rsidRDefault="00983DD2" w:rsidP="00687EBD">
    <w:pPr>
      <w:pStyle w:val="Encabezado"/>
      <w:ind w:left="-284"/>
      <w:jc w:val="both"/>
      <w:rPr>
        <w:rFonts w:ascii="Arial" w:hAnsi="Arial" w:cs="Arial"/>
        <w:b/>
        <w:bCs/>
        <w:sz w:val="24"/>
        <w:szCs w:val="24"/>
        <w:lang w:val="es-C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0572F" w14:textId="77777777" w:rsidR="002E5461" w:rsidRDefault="002E5461" w:rsidP="002E5461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3FED853C" w14:textId="77777777" w:rsidR="002E5461" w:rsidRDefault="002E54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3011B0"/>
    <w:multiLevelType w:val="multilevel"/>
    <w:tmpl w:val="8BF00A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BB1EA6"/>
    <w:multiLevelType w:val="hybridMultilevel"/>
    <w:tmpl w:val="92D8009A"/>
    <w:lvl w:ilvl="0" w:tplc="F724B7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469111">
    <w:abstractNumId w:val="2"/>
  </w:num>
  <w:num w:numId="2" w16cid:durableId="131026800">
    <w:abstractNumId w:val="1"/>
  </w:num>
  <w:num w:numId="3" w16cid:durableId="1181700258">
    <w:abstractNumId w:val="0"/>
  </w:num>
  <w:num w:numId="4" w16cid:durableId="828131176">
    <w:abstractNumId w:val="3"/>
  </w:num>
  <w:num w:numId="5" w16cid:durableId="944268647">
    <w:abstractNumId w:val="4"/>
  </w:num>
  <w:num w:numId="6" w16cid:durableId="54625827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evenAndOddHeader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05D37"/>
    <w:rsid w:val="0001095A"/>
    <w:rsid w:val="000213A5"/>
    <w:rsid w:val="0002185B"/>
    <w:rsid w:val="00025664"/>
    <w:rsid w:val="000263B5"/>
    <w:rsid w:val="00043B3D"/>
    <w:rsid w:val="00047316"/>
    <w:rsid w:val="000779CA"/>
    <w:rsid w:val="00084CB7"/>
    <w:rsid w:val="000D0571"/>
    <w:rsid w:val="000D147B"/>
    <w:rsid w:val="000D7364"/>
    <w:rsid w:val="000E2A5A"/>
    <w:rsid w:val="000F6B41"/>
    <w:rsid w:val="000F6CB5"/>
    <w:rsid w:val="00103F75"/>
    <w:rsid w:val="0010497D"/>
    <w:rsid w:val="00120DA4"/>
    <w:rsid w:val="00124A04"/>
    <w:rsid w:val="001258E1"/>
    <w:rsid w:val="001328AC"/>
    <w:rsid w:val="00143961"/>
    <w:rsid w:val="001543F0"/>
    <w:rsid w:val="00190EE7"/>
    <w:rsid w:val="001922C8"/>
    <w:rsid w:val="001A6365"/>
    <w:rsid w:val="001A6B7D"/>
    <w:rsid w:val="001B1FFE"/>
    <w:rsid w:val="00211881"/>
    <w:rsid w:val="00213254"/>
    <w:rsid w:val="002164FA"/>
    <w:rsid w:val="0023304A"/>
    <w:rsid w:val="002811DC"/>
    <w:rsid w:val="00293FA9"/>
    <w:rsid w:val="00295A40"/>
    <w:rsid w:val="002A2A53"/>
    <w:rsid w:val="002B1DA4"/>
    <w:rsid w:val="002B5748"/>
    <w:rsid w:val="002B6E99"/>
    <w:rsid w:val="002C090D"/>
    <w:rsid w:val="002D0FC2"/>
    <w:rsid w:val="002D5022"/>
    <w:rsid w:val="002E5461"/>
    <w:rsid w:val="002F4A2A"/>
    <w:rsid w:val="00305544"/>
    <w:rsid w:val="00316E05"/>
    <w:rsid w:val="003252B5"/>
    <w:rsid w:val="00352DDF"/>
    <w:rsid w:val="0037411F"/>
    <w:rsid w:val="00374F5A"/>
    <w:rsid w:val="003760B7"/>
    <w:rsid w:val="00390BCE"/>
    <w:rsid w:val="003918C3"/>
    <w:rsid w:val="003C1EE7"/>
    <w:rsid w:val="003C4BEF"/>
    <w:rsid w:val="003E3CC3"/>
    <w:rsid w:val="003F7BBD"/>
    <w:rsid w:val="00404235"/>
    <w:rsid w:val="004043B0"/>
    <w:rsid w:val="004055C1"/>
    <w:rsid w:val="0040661C"/>
    <w:rsid w:val="00410CAB"/>
    <w:rsid w:val="004223F7"/>
    <w:rsid w:val="00422461"/>
    <w:rsid w:val="00422881"/>
    <w:rsid w:val="004231D3"/>
    <w:rsid w:val="0044428D"/>
    <w:rsid w:val="00451E47"/>
    <w:rsid w:val="00454D4E"/>
    <w:rsid w:val="00455E36"/>
    <w:rsid w:val="00461544"/>
    <w:rsid w:val="00471AD2"/>
    <w:rsid w:val="0047200C"/>
    <w:rsid w:val="00497B6B"/>
    <w:rsid w:val="004A19D7"/>
    <w:rsid w:val="004C2087"/>
    <w:rsid w:val="004C228A"/>
    <w:rsid w:val="004D5BBF"/>
    <w:rsid w:val="004D6D24"/>
    <w:rsid w:val="004F111A"/>
    <w:rsid w:val="004F4778"/>
    <w:rsid w:val="00513233"/>
    <w:rsid w:val="00532FEF"/>
    <w:rsid w:val="00556908"/>
    <w:rsid w:val="005618DC"/>
    <w:rsid w:val="00564B20"/>
    <w:rsid w:val="005734B7"/>
    <w:rsid w:val="00573590"/>
    <w:rsid w:val="00581497"/>
    <w:rsid w:val="005A483F"/>
    <w:rsid w:val="005B2FF3"/>
    <w:rsid w:val="005D51F0"/>
    <w:rsid w:val="005D6B09"/>
    <w:rsid w:val="006024A3"/>
    <w:rsid w:val="006109E8"/>
    <w:rsid w:val="00611115"/>
    <w:rsid w:val="006201D7"/>
    <w:rsid w:val="00621A24"/>
    <w:rsid w:val="00622A46"/>
    <w:rsid w:val="00626D4E"/>
    <w:rsid w:val="006313D3"/>
    <w:rsid w:val="0064420D"/>
    <w:rsid w:val="0064423D"/>
    <w:rsid w:val="00651774"/>
    <w:rsid w:val="00653237"/>
    <w:rsid w:val="00655C9D"/>
    <w:rsid w:val="00664B83"/>
    <w:rsid w:val="00671726"/>
    <w:rsid w:val="00677455"/>
    <w:rsid w:val="00680BC9"/>
    <w:rsid w:val="00681145"/>
    <w:rsid w:val="00687EBD"/>
    <w:rsid w:val="00692978"/>
    <w:rsid w:val="006A1846"/>
    <w:rsid w:val="006B29A5"/>
    <w:rsid w:val="006B56BB"/>
    <w:rsid w:val="006C2208"/>
    <w:rsid w:val="006D2615"/>
    <w:rsid w:val="006F6E01"/>
    <w:rsid w:val="006F70A6"/>
    <w:rsid w:val="006F7746"/>
    <w:rsid w:val="00716775"/>
    <w:rsid w:val="00720865"/>
    <w:rsid w:val="00742119"/>
    <w:rsid w:val="0075215C"/>
    <w:rsid w:val="007645D0"/>
    <w:rsid w:val="0078561C"/>
    <w:rsid w:val="007A55C7"/>
    <w:rsid w:val="007C0F8A"/>
    <w:rsid w:val="007C5D5D"/>
    <w:rsid w:val="007E08EB"/>
    <w:rsid w:val="007E4209"/>
    <w:rsid w:val="007E7662"/>
    <w:rsid w:val="007F01A7"/>
    <w:rsid w:val="007F2894"/>
    <w:rsid w:val="008078CF"/>
    <w:rsid w:val="00824A9B"/>
    <w:rsid w:val="00824B7C"/>
    <w:rsid w:val="008361B8"/>
    <w:rsid w:val="00836A72"/>
    <w:rsid w:val="0084010C"/>
    <w:rsid w:val="00847FF9"/>
    <w:rsid w:val="00851E35"/>
    <w:rsid w:val="00891533"/>
    <w:rsid w:val="008B697F"/>
    <w:rsid w:val="008C48CB"/>
    <w:rsid w:val="008C78C6"/>
    <w:rsid w:val="008D0484"/>
    <w:rsid w:val="008D1DF6"/>
    <w:rsid w:val="008D37D7"/>
    <w:rsid w:val="008E4990"/>
    <w:rsid w:val="008F1144"/>
    <w:rsid w:val="008F1716"/>
    <w:rsid w:val="008F47D1"/>
    <w:rsid w:val="00903F36"/>
    <w:rsid w:val="00904A52"/>
    <w:rsid w:val="0094434C"/>
    <w:rsid w:val="009500EB"/>
    <w:rsid w:val="0097762A"/>
    <w:rsid w:val="00977D0A"/>
    <w:rsid w:val="00983DD2"/>
    <w:rsid w:val="0099169A"/>
    <w:rsid w:val="00997CB7"/>
    <w:rsid w:val="009A55F6"/>
    <w:rsid w:val="009B3B87"/>
    <w:rsid w:val="009B6131"/>
    <w:rsid w:val="009C184A"/>
    <w:rsid w:val="009D0301"/>
    <w:rsid w:val="009E206A"/>
    <w:rsid w:val="009F12CA"/>
    <w:rsid w:val="00A164B8"/>
    <w:rsid w:val="00A264AD"/>
    <w:rsid w:val="00A45A32"/>
    <w:rsid w:val="00A57330"/>
    <w:rsid w:val="00A61CAF"/>
    <w:rsid w:val="00A81660"/>
    <w:rsid w:val="00AA2ED0"/>
    <w:rsid w:val="00AC0FDE"/>
    <w:rsid w:val="00AC3525"/>
    <w:rsid w:val="00AE5588"/>
    <w:rsid w:val="00B033AD"/>
    <w:rsid w:val="00B03C32"/>
    <w:rsid w:val="00B05C8F"/>
    <w:rsid w:val="00B22352"/>
    <w:rsid w:val="00B51F39"/>
    <w:rsid w:val="00B76F7F"/>
    <w:rsid w:val="00BA2273"/>
    <w:rsid w:val="00BB3603"/>
    <w:rsid w:val="00BB37DA"/>
    <w:rsid w:val="00BC13D7"/>
    <w:rsid w:val="00BC1F2B"/>
    <w:rsid w:val="00BE3498"/>
    <w:rsid w:val="00BF11F0"/>
    <w:rsid w:val="00C02D76"/>
    <w:rsid w:val="00C15410"/>
    <w:rsid w:val="00C1679D"/>
    <w:rsid w:val="00C340E1"/>
    <w:rsid w:val="00C409E4"/>
    <w:rsid w:val="00C76340"/>
    <w:rsid w:val="00C8742D"/>
    <w:rsid w:val="00CB6B33"/>
    <w:rsid w:val="00CC3B74"/>
    <w:rsid w:val="00CD33D4"/>
    <w:rsid w:val="00CD6A12"/>
    <w:rsid w:val="00D04F95"/>
    <w:rsid w:val="00D071C4"/>
    <w:rsid w:val="00D22F44"/>
    <w:rsid w:val="00D41115"/>
    <w:rsid w:val="00D42D4C"/>
    <w:rsid w:val="00D77672"/>
    <w:rsid w:val="00D83C2D"/>
    <w:rsid w:val="00DA1FFA"/>
    <w:rsid w:val="00DA7D02"/>
    <w:rsid w:val="00DC45DD"/>
    <w:rsid w:val="00DE043B"/>
    <w:rsid w:val="00DF3351"/>
    <w:rsid w:val="00DF3624"/>
    <w:rsid w:val="00E136C0"/>
    <w:rsid w:val="00E204F1"/>
    <w:rsid w:val="00E416CF"/>
    <w:rsid w:val="00E435E8"/>
    <w:rsid w:val="00E4533B"/>
    <w:rsid w:val="00E47C9B"/>
    <w:rsid w:val="00E51AE0"/>
    <w:rsid w:val="00E530A0"/>
    <w:rsid w:val="00E66DC8"/>
    <w:rsid w:val="00E77E01"/>
    <w:rsid w:val="00E93C1D"/>
    <w:rsid w:val="00E979D9"/>
    <w:rsid w:val="00EA1049"/>
    <w:rsid w:val="00EB26B9"/>
    <w:rsid w:val="00EB6FA4"/>
    <w:rsid w:val="00EC6395"/>
    <w:rsid w:val="00ED1E89"/>
    <w:rsid w:val="00ED37AC"/>
    <w:rsid w:val="00EE3537"/>
    <w:rsid w:val="00EE38FE"/>
    <w:rsid w:val="00F05891"/>
    <w:rsid w:val="00F16A98"/>
    <w:rsid w:val="00F32DEC"/>
    <w:rsid w:val="00F3420A"/>
    <w:rsid w:val="00F6044F"/>
    <w:rsid w:val="00F6175F"/>
    <w:rsid w:val="00F70A31"/>
    <w:rsid w:val="00F822C8"/>
    <w:rsid w:val="00F84726"/>
    <w:rsid w:val="00F85014"/>
    <w:rsid w:val="00F9082E"/>
    <w:rsid w:val="00F94B23"/>
    <w:rsid w:val="00FC0A7A"/>
    <w:rsid w:val="00FC3F04"/>
    <w:rsid w:val="00FD6321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D0913D"/>
  <w15:chartTrackingRefBased/>
  <w15:docId w15:val="{B89E851C-424D-4F94-B0DC-F586509E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link w:val="TextocomentarioCar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1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2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3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normaltextrun">
    <w:name w:val="normaltextrun"/>
    <w:rsid w:val="00687EBD"/>
  </w:style>
  <w:style w:type="character" w:customStyle="1" w:styleId="eop">
    <w:name w:val="eop"/>
    <w:rsid w:val="00687EBD"/>
  </w:style>
  <w:style w:type="paragraph" w:customStyle="1" w:styleId="paragraph">
    <w:name w:val="paragraph"/>
    <w:basedOn w:val="Normal"/>
    <w:rsid w:val="00687EB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abchar">
    <w:name w:val="tabchar"/>
    <w:rsid w:val="00687EBD"/>
  </w:style>
  <w:style w:type="character" w:customStyle="1" w:styleId="EncabezadoCar">
    <w:name w:val="Encabezado Car"/>
    <w:link w:val="Encabezado"/>
    <w:rsid w:val="00687EBD"/>
    <w:rPr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6313D3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A45A32"/>
    <w:pPr>
      <w:ind w:left="708"/>
    </w:pPr>
  </w:style>
  <w:style w:type="character" w:styleId="Refdecomentario">
    <w:name w:val="annotation reference"/>
    <w:basedOn w:val="Fuentedeprrafopredeter"/>
    <w:rsid w:val="00D22F44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22F44"/>
    <w:rPr>
      <w:b/>
      <w:bCs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22F44"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rsid w:val="00D22F44"/>
    <w:rPr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EDC471B0D4548B347D6D57CF8C79E" ma:contentTypeVersion="4" ma:contentTypeDescription="Create a new document." ma:contentTypeScope="" ma:versionID="1ce8d500f5713115104009b7763e25df">
  <xsd:schema xmlns:xsd="http://www.w3.org/2001/XMLSchema" xmlns:xs="http://www.w3.org/2001/XMLSchema" xmlns:p="http://schemas.microsoft.com/office/2006/metadata/properties" xmlns:ns2="1680885d-203f-4e88-bcd6-3a3ac6aab556" xmlns:ns3="eb6fea64-92b2-4d37-9b88-7189dfe81290" targetNamespace="http://schemas.microsoft.com/office/2006/metadata/properties" ma:root="true" ma:fieldsID="6daa5d74502743c2d2d161eff0287275" ns2:_="" ns3:_="">
    <xsd:import namespace="1680885d-203f-4e88-bcd6-3a3ac6aab556"/>
    <xsd:import namespace="eb6fea64-92b2-4d37-9b88-7189dfe81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0885d-203f-4e88-bcd6-3a3ac6aab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6fea64-92b2-4d37-9b88-7189dfe812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A923A8-CE1F-4052-9EA2-78C67A083A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994A42-CEC8-438B-8DE3-9B9AFC222E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BF2705-8AB7-424F-934A-059EF4DCE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431D5F-463C-4BAB-B29A-B56306A86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0885d-203f-4e88-bcd6-3a3ac6aab556"/>
    <ds:schemaRef ds:uri="eb6fea64-92b2-4d37-9b88-7189dfe81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800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Gabriel Armando Ospina Garcia</cp:lastModifiedBy>
  <cp:revision>109</cp:revision>
  <cp:lastPrinted>2022-07-21T16:48:00Z</cp:lastPrinted>
  <dcterms:created xsi:type="dcterms:W3CDTF">2022-08-17T14:46:00Z</dcterms:created>
  <dcterms:modified xsi:type="dcterms:W3CDTF">2022-08-23T13:15:00Z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0x0101002DBEDC471B0D4548B347D6D57CF8C79E</vt:lpwstr>
  </property>
</Properties>
</file>