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AD46" w14:textId="77777777" w:rsidR="00383D52" w:rsidRPr="00E970A6" w:rsidRDefault="00383D52" w:rsidP="007558D2">
      <w:pPr>
        <w:widowControl w:val="0"/>
        <w:adjustRightInd w:val="0"/>
        <w:jc w:val="center"/>
        <w:rPr>
          <w:rFonts w:ascii="Arial" w:hAnsi="Arial" w:cs="Arial"/>
          <w:b/>
          <w:bCs/>
          <w:sz w:val="24"/>
          <w:szCs w:val="24"/>
          <w:lang w:val="es-ES" w:eastAsia="es-CO"/>
        </w:rPr>
      </w:pPr>
    </w:p>
    <w:p w14:paraId="1D59D65F" w14:textId="77777777" w:rsidR="00E872E1" w:rsidRDefault="00E872E1" w:rsidP="00E872E1">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1A81BF00" w14:textId="77777777" w:rsidR="00E872E1" w:rsidRDefault="00E872E1" w:rsidP="00E872E1">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7E891739"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szCs w:val="24"/>
        </w:rPr>
      </w:pPr>
    </w:p>
    <w:p w14:paraId="6C4CD6B2"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rPr>
      </w:pPr>
    </w:p>
    <w:p w14:paraId="5AD56791" w14:textId="77777777" w:rsidR="00E872E1"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PROYECTO DE</w:t>
      </w:r>
      <w:r>
        <w:rPr>
          <w:rFonts w:ascii="Arial" w:hAnsi="Arial" w:cs="Arial"/>
          <w:bCs/>
          <w:sz w:val="24"/>
          <w:szCs w:val="24"/>
        </w:rPr>
        <w:t xml:space="preserve"> </w:t>
      </w:r>
      <w:r w:rsidRPr="00964900">
        <w:rPr>
          <w:rFonts w:ascii="Arial" w:hAnsi="Arial" w:cs="Arial"/>
          <w:b/>
          <w:sz w:val="24"/>
          <w:szCs w:val="24"/>
        </w:rPr>
        <w:t>CIRCULAR EXTERNA</w:t>
      </w:r>
      <w:r>
        <w:rPr>
          <w:rFonts w:ascii="Arial" w:hAnsi="Arial" w:cs="Arial"/>
          <w:b/>
          <w:bCs/>
          <w:sz w:val="24"/>
          <w:szCs w:val="24"/>
        </w:rPr>
        <w:t>:</w:t>
      </w:r>
      <w:r w:rsidRPr="00E467CC">
        <w:t xml:space="preserve"> </w:t>
      </w:r>
      <w:r w:rsidRPr="00E467CC">
        <w:rPr>
          <w:rFonts w:ascii="Arial" w:hAnsi="Arial" w:cs="Arial"/>
          <w:sz w:val="24"/>
          <w:szCs w:val="24"/>
        </w:rPr>
        <w:t>Actualización de las tarifas del Seguro Obligatorio de Accidentes de Tránsito (SOAT)</w:t>
      </w:r>
      <w:r w:rsidRPr="00E467CC">
        <w:rPr>
          <w:rFonts w:ascii="Arial" w:hAnsi="Arial" w:cs="Arial"/>
          <w:sz w:val="22"/>
          <w:szCs w:val="22"/>
          <w:lang w:val="es-ES"/>
        </w:rPr>
        <w:t>.</w:t>
      </w:r>
    </w:p>
    <w:p w14:paraId="47F31E16" w14:textId="77777777" w:rsidR="00E872E1"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54D607DC" w14:textId="77777777" w:rsidR="00E872E1"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1F862E8" w14:textId="77777777" w:rsidR="00E872E1" w:rsidRPr="00F45D3C"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rPr>
        <w:t xml:space="preserve">PROPÓSITO: </w:t>
      </w:r>
      <w:r>
        <w:rPr>
          <w:rFonts w:ascii="Arial" w:hAnsi="Arial" w:cs="Arial"/>
          <w:sz w:val="24"/>
          <w:szCs w:val="24"/>
        </w:rPr>
        <w:t>Actualizar la tarifa del SOAT para el 2023</w:t>
      </w:r>
      <w:r w:rsidRPr="00F45D3C">
        <w:rPr>
          <w:rFonts w:ascii="Arial" w:hAnsi="Arial" w:cs="Arial"/>
          <w:sz w:val="24"/>
          <w:szCs w:val="24"/>
        </w:rPr>
        <w:t>.</w:t>
      </w:r>
    </w:p>
    <w:p w14:paraId="20F72BE9" w14:textId="77777777" w:rsidR="00E872E1"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55C4404" w14:textId="5164F1FC" w:rsidR="00E872E1" w:rsidRPr="00E467CC" w:rsidRDefault="00E872E1" w:rsidP="00E872E1">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 xml:space="preserve">PLAZO PARA COMENTARIOS: </w:t>
      </w:r>
      <w:r w:rsidR="00EC6CC7">
        <w:rPr>
          <w:rFonts w:ascii="Arial" w:hAnsi="Arial" w:cs="Arial"/>
          <w:sz w:val="24"/>
          <w:szCs w:val="24"/>
        </w:rPr>
        <w:t>H</w:t>
      </w:r>
      <w:r w:rsidRPr="00E467CC">
        <w:rPr>
          <w:rFonts w:ascii="Arial" w:hAnsi="Arial" w:cs="Arial"/>
          <w:sz w:val="24"/>
          <w:szCs w:val="24"/>
        </w:rPr>
        <w:t>asta las 7 am del miércoles 28 de diciembre de 2022</w:t>
      </w:r>
      <w:r w:rsidR="00EC6CC7">
        <w:rPr>
          <w:rFonts w:ascii="Arial" w:hAnsi="Arial" w:cs="Arial"/>
          <w:sz w:val="24"/>
          <w:szCs w:val="24"/>
        </w:rPr>
        <w:t>.</w:t>
      </w:r>
    </w:p>
    <w:p w14:paraId="7FAA1408" w14:textId="77777777" w:rsidR="00E872E1"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ACF7B28" w14:textId="77777777" w:rsidR="00E872E1" w:rsidRDefault="00E872E1" w:rsidP="00E872E1">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44B477EF" w14:textId="77777777" w:rsidR="00E872E1" w:rsidRDefault="00E872E1" w:rsidP="00E872E1">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5A69F3D3" w14:textId="77777777" w:rsidR="00E872E1" w:rsidRDefault="00E872E1" w:rsidP="00E872E1">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2DBBC3FD" w14:textId="77777777" w:rsidR="00E872E1"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t xml:space="preserve"> </w:t>
      </w:r>
    </w:p>
    <w:p w14:paraId="175A8EB0" w14:textId="77777777" w:rsidR="00E872E1" w:rsidRPr="00A164B8" w:rsidRDefault="00E872E1" w:rsidP="00E872E1">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0820BE3F" w14:textId="77777777" w:rsidR="00E872E1" w:rsidRPr="00342400" w:rsidRDefault="00E872E1" w:rsidP="00E872E1">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Pr="00E467CC">
        <w:rPr>
          <w:rFonts w:ascii="Arial" w:hAnsi="Arial" w:cs="Arial"/>
          <w:b/>
          <w:bCs/>
          <w:sz w:val="24"/>
          <w:szCs w:val="24"/>
          <w:lang w:val="es-ES"/>
        </w:rPr>
        <w:t>2022198384</w:t>
      </w:r>
    </w:p>
    <w:p w14:paraId="6B2F353A" w14:textId="77777777" w:rsidR="00E872E1" w:rsidRPr="00E77E01" w:rsidRDefault="00E872E1" w:rsidP="00E872E1">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p>
    <w:p w14:paraId="0D19D0B5" w14:textId="7F3BD19C" w:rsidR="00E872E1" w:rsidRDefault="00E872E1" w:rsidP="00E872E1">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t>Subdirección de Regulación</w:t>
      </w:r>
      <w:r>
        <w:rPr>
          <w:rFonts w:ascii="Arial" w:hAnsi="Arial" w:cs="Arial"/>
          <w:bCs/>
          <w:sz w:val="24"/>
          <w:szCs w:val="24"/>
        </w:rPr>
        <w:t xml:space="preserve"> con el número de radicación.</w:t>
      </w:r>
    </w:p>
    <w:p w14:paraId="3268731E" w14:textId="77777777" w:rsidR="00E872E1" w:rsidRPr="00E77E01" w:rsidRDefault="00E872E1" w:rsidP="00E872E1">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6C1504B0" w14:textId="77777777" w:rsidR="00E872E1" w:rsidRPr="00E77E01" w:rsidRDefault="00E872E1" w:rsidP="00E872E1">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7D61B604"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2890AED1" w14:textId="77777777" w:rsidR="00E872E1" w:rsidRPr="00043B3D" w:rsidRDefault="00E872E1" w:rsidP="00E872E1">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518F490A"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00F1D88F"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590D83D8"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7687E183"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55E36768"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1002F4B3"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5C722A6D"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szCs w:val="24"/>
        </w:rPr>
      </w:pPr>
    </w:p>
    <w:p w14:paraId="22D288AB" w14:textId="77777777" w:rsidR="00E872E1" w:rsidRDefault="00E872E1" w:rsidP="00E872E1">
      <w:pPr>
        <w:pBdr>
          <w:top w:val="single" w:sz="4" w:space="0" w:color="auto"/>
          <w:left w:val="single" w:sz="4" w:space="4" w:color="auto"/>
          <w:bottom w:val="single" w:sz="4" w:space="1" w:color="auto"/>
          <w:right w:val="single" w:sz="4" w:space="4" w:color="auto"/>
        </w:pBdr>
        <w:rPr>
          <w:rFonts w:ascii="Arial" w:hAnsi="Arial" w:cs="Arial"/>
          <w:b/>
          <w:bCs/>
        </w:rPr>
      </w:pPr>
    </w:p>
    <w:p w14:paraId="01D1BF46" w14:textId="77777777" w:rsidR="00E872E1" w:rsidRDefault="00E872E1" w:rsidP="00E872E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66A387EA" w14:textId="77777777" w:rsidR="00E872E1" w:rsidRDefault="00E872E1" w:rsidP="00E872E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2AA211A6" w14:textId="77777777" w:rsidR="00E872E1" w:rsidRDefault="00E872E1" w:rsidP="00E872E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268BDE87" w14:textId="77777777" w:rsidR="00E872E1" w:rsidRDefault="00E872E1" w:rsidP="00E872E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5EE4B6FC" w14:textId="77777777" w:rsidR="00E872E1" w:rsidRDefault="00E872E1" w:rsidP="00E872E1">
      <w:pPr>
        <w:jc w:val="center"/>
        <w:rPr>
          <w:rFonts w:ascii="Arial" w:hAnsi="Arial" w:cs="Arial"/>
          <w:b/>
          <w:bCs/>
          <w:szCs w:val="24"/>
        </w:rPr>
      </w:pPr>
    </w:p>
    <w:p w14:paraId="074CC881" w14:textId="77777777" w:rsidR="00E872E1" w:rsidRDefault="00E872E1" w:rsidP="00E872E1">
      <w:pPr>
        <w:tabs>
          <w:tab w:val="left" w:pos="1816"/>
        </w:tabs>
        <w:rPr>
          <w:rFonts w:ascii="Arial" w:hAnsi="Arial" w:cs="Arial"/>
          <w:b/>
          <w:bCs/>
          <w:szCs w:val="24"/>
        </w:rPr>
      </w:pPr>
    </w:p>
    <w:p w14:paraId="27B4A002" w14:textId="77777777" w:rsidR="00E872E1" w:rsidRPr="00D93B2E" w:rsidRDefault="00E872E1" w:rsidP="00E872E1">
      <w:pPr>
        <w:tabs>
          <w:tab w:val="left" w:pos="1816"/>
        </w:tabs>
        <w:rPr>
          <w:rFonts w:cs="Arial"/>
          <w:sz w:val="22"/>
          <w:szCs w:val="22"/>
        </w:rPr>
        <w:sectPr w:rsidR="00E872E1" w:rsidRPr="00D93B2E" w:rsidSect="00EE3537">
          <w:headerReference w:type="even" r:id="rId12"/>
          <w:headerReference w:type="default" r:id="rId13"/>
          <w:footerReference w:type="default" r:id="rId14"/>
          <w:headerReference w:type="first" r:id="rId15"/>
          <w:footerReference w:type="first" r:id="rId16"/>
          <w:pgSz w:w="12242" w:h="18722" w:code="14"/>
          <w:pgMar w:top="2977" w:right="1701" w:bottom="1701" w:left="2268" w:header="709" w:footer="709" w:gutter="0"/>
          <w:paperSrc w:first="2" w:other="2"/>
          <w:cols w:space="708"/>
          <w:titlePg/>
          <w:docGrid w:linePitch="360"/>
        </w:sectPr>
      </w:pPr>
      <w:r>
        <w:rPr>
          <w:rFonts w:cs="Arial"/>
          <w:sz w:val="22"/>
          <w:szCs w:val="22"/>
        </w:rPr>
        <w:tab/>
      </w:r>
    </w:p>
    <w:p w14:paraId="59FAF25D" w14:textId="77777777" w:rsidR="00E872E1" w:rsidRDefault="00E872E1" w:rsidP="00EF5AAD">
      <w:pPr>
        <w:widowControl w:val="0"/>
        <w:adjustRightInd w:val="0"/>
        <w:jc w:val="center"/>
        <w:rPr>
          <w:rFonts w:ascii="Arial" w:hAnsi="Arial" w:cs="Arial"/>
          <w:b/>
          <w:bCs/>
          <w:sz w:val="24"/>
          <w:szCs w:val="24"/>
          <w:lang w:val="es-ES" w:eastAsia="es-CO"/>
        </w:rPr>
      </w:pPr>
    </w:p>
    <w:p w14:paraId="6A1F47FD" w14:textId="77777777" w:rsidR="00E872E1" w:rsidRDefault="00E872E1" w:rsidP="00EF5AAD">
      <w:pPr>
        <w:widowControl w:val="0"/>
        <w:adjustRightInd w:val="0"/>
        <w:jc w:val="center"/>
        <w:rPr>
          <w:rFonts w:ascii="Arial" w:hAnsi="Arial" w:cs="Arial"/>
          <w:b/>
          <w:bCs/>
          <w:sz w:val="24"/>
          <w:szCs w:val="24"/>
          <w:lang w:val="es-ES" w:eastAsia="es-CO"/>
        </w:rPr>
      </w:pPr>
    </w:p>
    <w:p w14:paraId="1B9056C9" w14:textId="0B30CC6E" w:rsidR="007558D2" w:rsidRPr="00E970A6" w:rsidRDefault="007558D2" w:rsidP="00EF5AAD">
      <w:pPr>
        <w:widowControl w:val="0"/>
        <w:adjustRightInd w:val="0"/>
        <w:jc w:val="center"/>
        <w:rPr>
          <w:rFonts w:ascii="Arial" w:hAnsi="Arial" w:cs="Arial"/>
          <w:b/>
          <w:bCs/>
          <w:sz w:val="24"/>
          <w:szCs w:val="24"/>
          <w:lang w:val="es-ES" w:eastAsia="es-CO"/>
        </w:rPr>
      </w:pPr>
      <w:r w:rsidRPr="00E970A6">
        <w:rPr>
          <w:rFonts w:ascii="Arial" w:hAnsi="Arial" w:cs="Arial"/>
          <w:b/>
          <w:bCs/>
          <w:sz w:val="24"/>
          <w:szCs w:val="24"/>
          <w:lang w:val="es-ES" w:eastAsia="es-CO"/>
        </w:rPr>
        <w:t>CIRCULAR EXTERNA              DE 2022</w:t>
      </w:r>
    </w:p>
    <w:p w14:paraId="0B5E1658" w14:textId="77777777" w:rsidR="00AB3E49" w:rsidRPr="00E970A6" w:rsidRDefault="00AB3E49" w:rsidP="007558D2">
      <w:pPr>
        <w:widowControl w:val="0"/>
        <w:adjustRightInd w:val="0"/>
        <w:jc w:val="center"/>
        <w:rPr>
          <w:rFonts w:ascii="Arial" w:hAnsi="Arial" w:cs="Arial"/>
          <w:b/>
          <w:bCs/>
          <w:sz w:val="24"/>
          <w:szCs w:val="24"/>
          <w:lang w:val="es-ES" w:eastAsia="es-CO"/>
        </w:rPr>
      </w:pPr>
    </w:p>
    <w:p w14:paraId="338BDFB9" w14:textId="77777777" w:rsidR="007558D2" w:rsidRPr="00E970A6" w:rsidRDefault="007558D2" w:rsidP="007558D2">
      <w:pPr>
        <w:widowControl w:val="0"/>
        <w:adjustRightInd w:val="0"/>
        <w:jc w:val="center"/>
        <w:rPr>
          <w:rFonts w:ascii="Arial" w:hAnsi="Arial" w:cs="Arial"/>
          <w:b/>
          <w:bCs/>
          <w:sz w:val="24"/>
          <w:szCs w:val="24"/>
          <w:lang w:val="es-ES" w:eastAsia="es-CO"/>
        </w:rPr>
      </w:pPr>
      <w:r w:rsidRPr="00E970A6">
        <w:rPr>
          <w:rFonts w:ascii="Arial" w:hAnsi="Arial" w:cs="Arial"/>
          <w:b/>
          <w:bCs/>
          <w:sz w:val="24"/>
          <w:szCs w:val="24"/>
          <w:lang w:val="es-ES" w:eastAsia="es-CO"/>
        </w:rPr>
        <w:t>(                             )</w:t>
      </w:r>
    </w:p>
    <w:p w14:paraId="18128710" w14:textId="77777777" w:rsidR="00AB3E49" w:rsidRPr="00E970A6" w:rsidRDefault="00AB3E49" w:rsidP="007558D2">
      <w:pPr>
        <w:widowControl w:val="0"/>
        <w:adjustRightInd w:val="0"/>
        <w:rPr>
          <w:rFonts w:ascii="Arial" w:hAnsi="Arial" w:cs="Arial"/>
          <w:sz w:val="24"/>
          <w:szCs w:val="24"/>
          <w:lang w:val="es-ES" w:eastAsia="es-CO"/>
        </w:rPr>
      </w:pPr>
    </w:p>
    <w:p w14:paraId="19D435E6" w14:textId="77777777" w:rsidR="007558D2" w:rsidRPr="00E970A6" w:rsidRDefault="007558D2" w:rsidP="007558D2">
      <w:pPr>
        <w:widowControl w:val="0"/>
        <w:adjustRightInd w:val="0"/>
        <w:outlineLvl w:val="0"/>
        <w:rPr>
          <w:rFonts w:ascii="Arial" w:hAnsi="Arial" w:cs="Arial"/>
          <w:b/>
          <w:bCs/>
          <w:sz w:val="24"/>
          <w:szCs w:val="24"/>
          <w:lang w:val="es-ES" w:eastAsia="es-CO"/>
        </w:rPr>
      </w:pPr>
      <w:r w:rsidRPr="00E970A6">
        <w:rPr>
          <w:rFonts w:ascii="Arial" w:hAnsi="Arial" w:cs="Arial"/>
          <w:b/>
          <w:bCs/>
          <w:sz w:val="24"/>
          <w:szCs w:val="24"/>
          <w:lang w:val="es-ES" w:eastAsia="es-CO"/>
        </w:rPr>
        <w:t>Señores</w:t>
      </w:r>
    </w:p>
    <w:p w14:paraId="7C08E147" w14:textId="77777777" w:rsidR="000A5501" w:rsidRPr="00E970A6" w:rsidRDefault="000A5501" w:rsidP="007558D2">
      <w:pPr>
        <w:widowControl w:val="0"/>
        <w:adjustRightInd w:val="0"/>
        <w:outlineLvl w:val="0"/>
        <w:rPr>
          <w:rFonts w:ascii="Arial" w:hAnsi="Arial" w:cs="Arial"/>
          <w:b/>
          <w:bCs/>
          <w:sz w:val="24"/>
          <w:szCs w:val="24"/>
          <w:lang w:val="es-ES" w:eastAsia="es-CO"/>
        </w:rPr>
      </w:pPr>
    </w:p>
    <w:p w14:paraId="7BB760B1" w14:textId="77777777" w:rsidR="000A5501" w:rsidRPr="00E970A6" w:rsidRDefault="000A5501" w:rsidP="007558D2">
      <w:pPr>
        <w:widowControl w:val="0"/>
        <w:adjustRightInd w:val="0"/>
        <w:outlineLvl w:val="0"/>
        <w:rPr>
          <w:rFonts w:ascii="Arial" w:hAnsi="Arial" w:cs="Arial"/>
          <w:b/>
          <w:bCs/>
          <w:sz w:val="24"/>
          <w:szCs w:val="24"/>
          <w:lang w:val="es-ES" w:eastAsia="es-CO"/>
        </w:rPr>
      </w:pPr>
    </w:p>
    <w:p w14:paraId="450568E7" w14:textId="77777777" w:rsidR="007558D2" w:rsidRPr="00E970A6" w:rsidRDefault="007558D2" w:rsidP="007558D2">
      <w:pPr>
        <w:widowControl w:val="0"/>
        <w:adjustRightInd w:val="0"/>
        <w:jc w:val="both"/>
        <w:rPr>
          <w:rFonts w:ascii="Arial" w:hAnsi="Arial" w:cs="Arial"/>
          <w:sz w:val="24"/>
          <w:szCs w:val="24"/>
          <w:lang w:val="es-ES" w:eastAsia="es-CO"/>
        </w:rPr>
      </w:pPr>
      <w:r w:rsidRPr="00E970A6">
        <w:rPr>
          <w:rFonts w:ascii="Arial" w:hAnsi="Arial" w:cs="Arial"/>
          <w:sz w:val="24"/>
          <w:szCs w:val="24"/>
          <w:lang w:val="es-ES" w:eastAsia="es-CO"/>
        </w:rPr>
        <w:t>REPRESENTANTES LEGALES Y REVISORES FISCALES DE LAS ENTIDADES ASEGURADORAS</w:t>
      </w:r>
    </w:p>
    <w:p w14:paraId="7B963078" w14:textId="77777777" w:rsidR="007558D2" w:rsidRPr="00E970A6" w:rsidRDefault="007558D2" w:rsidP="007558D2">
      <w:pPr>
        <w:widowControl w:val="0"/>
        <w:adjustRightInd w:val="0"/>
        <w:rPr>
          <w:rFonts w:ascii="Arial" w:hAnsi="Arial" w:cs="Arial"/>
          <w:bCs/>
          <w:sz w:val="24"/>
          <w:szCs w:val="24"/>
          <w:lang w:val="es-ES" w:eastAsia="es-CO"/>
        </w:rPr>
      </w:pPr>
    </w:p>
    <w:p w14:paraId="478074A6" w14:textId="77777777" w:rsidR="000A5501" w:rsidRPr="00E970A6" w:rsidRDefault="000A5501" w:rsidP="007558D2">
      <w:pPr>
        <w:widowControl w:val="0"/>
        <w:adjustRightInd w:val="0"/>
        <w:rPr>
          <w:rFonts w:ascii="Arial" w:hAnsi="Arial" w:cs="Arial"/>
          <w:bCs/>
          <w:sz w:val="24"/>
          <w:szCs w:val="24"/>
          <w:lang w:val="es-ES" w:eastAsia="es-CO"/>
        </w:rPr>
      </w:pPr>
    </w:p>
    <w:p w14:paraId="2607E0C5" w14:textId="77777777" w:rsidR="007558D2" w:rsidRPr="00E970A6" w:rsidRDefault="007558D2" w:rsidP="007558D2">
      <w:pPr>
        <w:jc w:val="both"/>
        <w:rPr>
          <w:rFonts w:ascii="Arial" w:hAnsi="Arial" w:cs="Arial"/>
          <w:b/>
          <w:bCs/>
          <w:sz w:val="24"/>
          <w:szCs w:val="24"/>
          <w:lang w:val="es-ES" w:eastAsia="es-CO"/>
        </w:rPr>
      </w:pPr>
      <w:r w:rsidRPr="00E970A6">
        <w:rPr>
          <w:rFonts w:ascii="Arial" w:hAnsi="Arial" w:cs="Arial"/>
          <w:b/>
          <w:bCs/>
          <w:sz w:val="24"/>
          <w:szCs w:val="24"/>
          <w:lang w:val="es-ES" w:eastAsia="es-CO"/>
        </w:rPr>
        <w:t>Referencia: Actualización de las tarifas del Seguro Obligatorio de Accidentes de Tránsito (SOAT)</w:t>
      </w:r>
    </w:p>
    <w:p w14:paraId="17469E97" w14:textId="77777777" w:rsidR="00307011" w:rsidRPr="00E970A6" w:rsidRDefault="00307011" w:rsidP="007558D2">
      <w:pPr>
        <w:widowControl w:val="0"/>
        <w:adjustRightInd w:val="0"/>
        <w:rPr>
          <w:rFonts w:ascii="Arial" w:hAnsi="Arial" w:cs="Arial"/>
          <w:sz w:val="24"/>
          <w:szCs w:val="24"/>
          <w:lang w:val="es-ES" w:eastAsia="es-CO"/>
        </w:rPr>
      </w:pPr>
    </w:p>
    <w:p w14:paraId="01CF716C" w14:textId="77777777" w:rsidR="000A5501" w:rsidRPr="00E970A6" w:rsidRDefault="000A5501" w:rsidP="007558D2">
      <w:pPr>
        <w:widowControl w:val="0"/>
        <w:adjustRightInd w:val="0"/>
        <w:jc w:val="both"/>
        <w:rPr>
          <w:rFonts w:ascii="Arial" w:hAnsi="Arial" w:cs="Arial"/>
          <w:sz w:val="24"/>
          <w:szCs w:val="24"/>
          <w:lang w:val="es-ES" w:eastAsia="es-CO"/>
        </w:rPr>
      </w:pPr>
    </w:p>
    <w:p w14:paraId="0E3EFFD3" w14:textId="77777777" w:rsidR="007558D2" w:rsidRPr="00E970A6" w:rsidRDefault="007558D2" w:rsidP="007558D2">
      <w:pPr>
        <w:widowControl w:val="0"/>
        <w:adjustRightInd w:val="0"/>
        <w:jc w:val="both"/>
        <w:rPr>
          <w:rFonts w:ascii="Arial" w:hAnsi="Arial" w:cs="Arial"/>
          <w:sz w:val="24"/>
          <w:szCs w:val="24"/>
          <w:lang w:val="es-ES" w:eastAsia="es-CO"/>
        </w:rPr>
      </w:pPr>
      <w:r w:rsidRPr="00E970A6">
        <w:rPr>
          <w:rFonts w:ascii="Arial" w:hAnsi="Arial" w:cs="Arial"/>
          <w:sz w:val="24"/>
          <w:szCs w:val="24"/>
          <w:lang w:val="es-ES" w:eastAsia="es-CO"/>
        </w:rPr>
        <w:t>Apreciados señores:</w:t>
      </w:r>
    </w:p>
    <w:p w14:paraId="21E8EEFD" w14:textId="77777777" w:rsidR="00307011" w:rsidRPr="00E970A6" w:rsidRDefault="00307011" w:rsidP="007558D2">
      <w:pPr>
        <w:jc w:val="both"/>
        <w:rPr>
          <w:rFonts w:ascii="Arial" w:eastAsia="Calibri" w:hAnsi="Arial" w:cs="Arial"/>
          <w:sz w:val="24"/>
          <w:szCs w:val="24"/>
          <w:lang w:val="es-CO" w:eastAsia="es-CO"/>
        </w:rPr>
      </w:pPr>
    </w:p>
    <w:p w14:paraId="00252646" w14:textId="77777777" w:rsidR="00254717" w:rsidRPr="00E970A6" w:rsidRDefault="000A5501" w:rsidP="007558D2">
      <w:pPr>
        <w:jc w:val="both"/>
        <w:rPr>
          <w:rFonts w:ascii="Arial" w:eastAsia="Calibri" w:hAnsi="Arial" w:cs="Arial"/>
          <w:sz w:val="24"/>
          <w:szCs w:val="24"/>
          <w:lang w:val="es-CO" w:eastAsia="es-CO"/>
        </w:rPr>
      </w:pPr>
      <w:r w:rsidRPr="00E970A6">
        <w:rPr>
          <w:rFonts w:ascii="Arial" w:eastAsia="Calibri" w:hAnsi="Arial" w:cs="Arial"/>
          <w:sz w:val="24"/>
          <w:szCs w:val="24"/>
          <w:lang w:val="es-CO" w:eastAsia="es-CO"/>
        </w:rPr>
        <w:t>La Superintendencia Financiera de Colombia (SFC)</w:t>
      </w:r>
      <w:r w:rsidR="007558D2" w:rsidRPr="00E970A6">
        <w:rPr>
          <w:rFonts w:ascii="Arial" w:eastAsia="Calibri" w:hAnsi="Arial" w:cs="Arial"/>
          <w:sz w:val="24"/>
          <w:szCs w:val="24"/>
          <w:lang w:val="es-CO" w:eastAsia="es-CO"/>
        </w:rPr>
        <w:t>, en ejercicio de lo dispuesto en el numeral 5 del artículo 193 del Estatuto Orgánico del Sistema Financiero</w:t>
      </w:r>
      <w:r w:rsidRPr="00E970A6">
        <w:rPr>
          <w:rFonts w:ascii="Arial" w:eastAsia="Calibri" w:hAnsi="Arial" w:cs="Arial"/>
          <w:sz w:val="24"/>
          <w:szCs w:val="24"/>
          <w:lang w:val="es-CO" w:eastAsia="es-CO"/>
        </w:rPr>
        <w:t xml:space="preserve"> (EOSF)</w:t>
      </w:r>
      <w:r w:rsidR="00D7191B" w:rsidRPr="00E970A6">
        <w:rPr>
          <w:rFonts w:ascii="Arial" w:eastAsia="Calibri" w:hAnsi="Arial" w:cs="Arial"/>
          <w:sz w:val="24"/>
          <w:szCs w:val="24"/>
          <w:lang w:val="es-CO" w:eastAsia="es-CO"/>
        </w:rPr>
        <w:t xml:space="preserve"> debe </w:t>
      </w:r>
      <w:r w:rsidR="00254717" w:rsidRPr="00E970A6">
        <w:rPr>
          <w:rFonts w:ascii="Arial" w:eastAsia="Calibri" w:hAnsi="Arial" w:cs="Arial"/>
          <w:sz w:val="24"/>
          <w:szCs w:val="24"/>
          <w:lang w:val="es-CO" w:eastAsia="es-CO"/>
        </w:rPr>
        <w:t>revis</w:t>
      </w:r>
      <w:r w:rsidR="00D7191B" w:rsidRPr="00E970A6">
        <w:rPr>
          <w:rFonts w:ascii="Arial" w:eastAsia="Calibri" w:hAnsi="Arial" w:cs="Arial"/>
          <w:sz w:val="24"/>
          <w:szCs w:val="24"/>
          <w:lang w:val="es-CO" w:eastAsia="es-CO"/>
        </w:rPr>
        <w:t xml:space="preserve">ar de manera </w:t>
      </w:r>
      <w:r w:rsidR="00254717" w:rsidRPr="00E970A6">
        <w:rPr>
          <w:rFonts w:ascii="Arial" w:eastAsia="Calibri" w:hAnsi="Arial" w:cs="Arial"/>
          <w:sz w:val="24"/>
          <w:szCs w:val="24"/>
          <w:lang w:val="es-CO" w:eastAsia="es-CO"/>
        </w:rPr>
        <w:t xml:space="preserve">periódica las condiciones técnicas y financieras de la operación del </w:t>
      </w:r>
      <w:r w:rsidR="00AB3E49" w:rsidRPr="00E970A6">
        <w:rPr>
          <w:rFonts w:ascii="Arial" w:eastAsia="Calibri" w:hAnsi="Arial" w:cs="Arial"/>
          <w:sz w:val="24"/>
          <w:szCs w:val="24"/>
          <w:lang w:val="es-CO" w:eastAsia="es-CO"/>
        </w:rPr>
        <w:t>Seguro Obligatorio de Daños Corporales causados a las Personas en Accidentes de Tránsito (</w:t>
      </w:r>
      <w:r w:rsidR="00D7191B" w:rsidRPr="00E970A6">
        <w:rPr>
          <w:rFonts w:ascii="Arial" w:eastAsia="Calibri" w:hAnsi="Arial" w:cs="Arial"/>
          <w:sz w:val="24"/>
          <w:szCs w:val="24"/>
          <w:lang w:val="es-CO" w:eastAsia="es-CO"/>
        </w:rPr>
        <w:t>SOAT</w:t>
      </w:r>
      <w:r w:rsidR="00AB3E49" w:rsidRPr="00E970A6">
        <w:rPr>
          <w:rFonts w:ascii="Arial" w:eastAsia="Calibri" w:hAnsi="Arial" w:cs="Arial"/>
          <w:sz w:val="24"/>
          <w:szCs w:val="24"/>
          <w:lang w:val="es-CO" w:eastAsia="es-CO"/>
        </w:rPr>
        <w:t>)</w:t>
      </w:r>
      <w:r w:rsidR="00D7191B" w:rsidRPr="00E970A6">
        <w:rPr>
          <w:rFonts w:ascii="Arial" w:eastAsia="Calibri" w:hAnsi="Arial" w:cs="Arial"/>
          <w:sz w:val="24"/>
          <w:szCs w:val="24"/>
          <w:lang w:val="es-CO" w:eastAsia="es-CO"/>
        </w:rPr>
        <w:t xml:space="preserve"> y </w:t>
      </w:r>
      <w:r w:rsidR="00254717" w:rsidRPr="00E970A6">
        <w:rPr>
          <w:rFonts w:ascii="Arial" w:eastAsia="Calibri" w:hAnsi="Arial" w:cs="Arial"/>
          <w:sz w:val="24"/>
          <w:szCs w:val="24"/>
          <w:lang w:val="es-CO" w:eastAsia="es-CO"/>
        </w:rPr>
        <w:t>determinar las tarifas, de acuerdo con los análisis de frecuencia, severidad</w:t>
      </w:r>
      <w:r w:rsidR="008040C4" w:rsidRPr="00E970A6">
        <w:rPr>
          <w:rFonts w:ascii="Arial" w:eastAsia="Calibri" w:hAnsi="Arial" w:cs="Arial"/>
          <w:sz w:val="24"/>
          <w:szCs w:val="24"/>
          <w:lang w:val="es-CO" w:eastAsia="es-CO"/>
        </w:rPr>
        <w:t>,</w:t>
      </w:r>
      <w:r w:rsidR="00254717" w:rsidRPr="00E970A6">
        <w:rPr>
          <w:rFonts w:ascii="Arial" w:eastAsia="Calibri" w:hAnsi="Arial" w:cs="Arial"/>
          <w:sz w:val="24"/>
          <w:szCs w:val="24"/>
          <w:lang w:val="es-CO" w:eastAsia="es-CO"/>
        </w:rPr>
        <w:t xml:space="preserve"> siniestralidad</w:t>
      </w:r>
      <w:r w:rsidR="008040C4" w:rsidRPr="00E970A6">
        <w:rPr>
          <w:rFonts w:ascii="Arial" w:eastAsia="Calibri" w:hAnsi="Arial" w:cs="Arial"/>
          <w:sz w:val="24"/>
          <w:szCs w:val="24"/>
          <w:lang w:val="es-CO" w:eastAsia="es-CO"/>
        </w:rPr>
        <w:t xml:space="preserve"> y suficiencia</w:t>
      </w:r>
      <w:r w:rsidR="00254717" w:rsidRPr="00E970A6">
        <w:rPr>
          <w:rFonts w:ascii="Arial" w:eastAsia="Calibri" w:hAnsi="Arial" w:cs="Arial"/>
          <w:sz w:val="24"/>
          <w:szCs w:val="24"/>
          <w:lang w:val="es-CO" w:eastAsia="es-CO"/>
        </w:rPr>
        <w:t xml:space="preserve"> establecidos en la nota técnica del SOAT, observando los principios de equidad, suficiencia y moderación con el fin de efectuar una debida tarifación del ramo para el </w:t>
      </w:r>
      <w:r w:rsidRPr="00E970A6">
        <w:rPr>
          <w:rFonts w:ascii="Arial" w:eastAsia="Calibri" w:hAnsi="Arial" w:cs="Arial"/>
          <w:sz w:val="24"/>
          <w:szCs w:val="24"/>
          <w:lang w:val="es-CO" w:eastAsia="es-CO"/>
        </w:rPr>
        <w:t xml:space="preserve">año </w:t>
      </w:r>
      <w:r w:rsidR="00254717" w:rsidRPr="00E970A6">
        <w:rPr>
          <w:rFonts w:ascii="Arial" w:eastAsia="Calibri" w:hAnsi="Arial" w:cs="Arial"/>
          <w:sz w:val="24"/>
          <w:szCs w:val="24"/>
          <w:lang w:val="es-CO" w:eastAsia="es-CO"/>
        </w:rPr>
        <w:t>2023.</w:t>
      </w:r>
    </w:p>
    <w:p w14:paraId="2C39EE0C" w14:textId="77777777" w:rsidR="007558D2" w:rsidRPr="00E970A6" w:rsidRDefault="007558D2" w:rsidP="007558D2">
      <w:pPr>
        <w:jc w:val="both"/>
        <w:rPr>
          <w:rFonts w:ascii="Arial" w:eastAsia="Calibri" w:hAnsi="Arial" w:cs="Arial"/>
          <w:sz w:val="24"/>
          <w:szCs w:val="24"/>
          <w:lang w:val="es-CO" w:eastAsia="es-CO"/>
        </w:rPr>
      </w:pPr>
    </w:p>
    <w:p w14:paraId="456E190E" w14:textId="77777777" w:rsidR="000A5501" w:rsidRPr="00E970A6" w:rsidRDefault="000A5501" w:rsidP="00254717">
      <w:pPr>
        <w:jc w:val="both"/>
        <w:rPr>
          <w:rFonts w:ascii="Arial" w:eastAsia="Calibri" w:hAnsi="Arial" w:cs="Arial"/>
          <w:sz w:val="24"/>
          <w:szCs w:val="24"/>
          <w:lang w:val="es-CO" w:eastAsia="es-CO"/>
        </w:rPr>
      </w:pPr>
      <w:r w:rsidRPr="00E970A6">
        <w:rPr>
          <w:rFonts w:ascii="Arial" w:eastAsia="Calibri" w:hAnsi="Arial" w:cs="Arial"/>
          <w:sz w:val="24"/>
          <w:szCs w:val="24"/>
          <w:lang w:val="es-CO" w:eastAsia="es-CO"/>
        </w:rPr>
        <w:t>Para lo anterior debe tenerse en cuenta que e</w:t>
      </w:r>
      <w:r w:rsidR="00292ADA" w:rsidRPr="00E970A6">
        <w:rPr>
          <w:rFonts w:ascii="Arial" w:eastAsia="Calibri" w:hAnsi="Arial" w:cs="Arial"/>
          <w:sz w:val="24"/>
          <w:szCs w:val="24"/>
          <w:lang w:val="es-CO" w:eastAsia="es-CO"/>
        </w:rPr>
        <w:t>l Gobierno Nacional expidió</w:t>
      </w:r>
      <w:r w:rsidR="009311C7" w:rsidRPr="00E970A6">
        <w:rPr>
          <w:rFonts w:ascii="Arial" w:eastAsia="Calibri" w:hAnsi="Arial" w:cs="Arial"/>
          <w:sz w:val="24"/>
          <w:szCs w:val="24"/>
          <w:lang w:val="es-CO" w:eastAsia="es-CO"/>
        </w:rPr>
        <w:t xml:space="preserve"> e</w:t>
      </w:r>
      <w:r w:rsidR="00254717" w:rsidRPr="00E970A6">
        <w:rPr>
          <w:rFonts w:ascii="Arial" w:eastAsia="Calibri" w:hAnsi="Arial" w:cs="Arial"/>
          <w:sz w:val="24"/>
          <w:szCs w:val="24"/>
          <w:lang w:val="es-CO" w:eastAsia="es-CO"/>
        </w:rPr>
        <w:t>l</w:t>
      </w:r>
      <w:r w:rsidR="00292ADA" w:rsidRPr="00E970A6">
        <w:rPr>
          <w:rFonts w:ascii="Arial" w:eastAsia="Calibri" w:hAnsi="Arial" w:cs="Arial"/>
          <w:sz w:val="24"/>
          <w:szCs w:val="24"/>
          <w:lang w:val="es-CO" w:eastAsia="es-CO"/>
        </w:rPr>
        <w:t xml:space="preserve"> Decreto 2497 de 2022</w:t>
      </w:r>
      <w:r w:rsidR="00D7191B" w:rsidRPr="00E970A6">
        <w:rPr>
          <w:rFonts w:ascii="Arial" w:eastAsia="Calibri" w:hAnsi="Arial" w:cs="Arial"/>
          <w:sz w:val="24"/>
          <w:szCs w:val="24"/>
          <w:lang w:val="es-CO" w:eastAsia="es-CO"/>
        </w:rPr>
        <w:t>,</w:t>
      </w:r>
      <w:r w:rsidR="00292ADA" w:rsidRPr="00E970A6">
        <w:rPr>
          <w:rFonts w:ascii="Arial" w:eastAsia="Calibri" w:hAnsi="Arial" w:cs="Arial"/>
          <w:sz w:val="24"/>
          <w:szCs w:val="24"/>
          <w:lang w:val="es-CO" w:eastAsia="es-CO"/>
        </w:rPr>
        <w:t xml:space="preserve"> el cual en </w:t>
      </w:r>
      <w:r w:rsidR="00C427B1" w:rsidRPr="00E970A6">
        <w:rPr>
          <w:rFonts w:ascii="Arial" w:eastAsia="Calibri" w:hAnsi="Arial" w:cs="Arial"/>
          <w:sz w:val="24"/>
          <w:szCs w:val="24"/>
          <w:lang w:val="es-CO" w:eastAsia="es-CO"/>
        </w:rPr>
        <w:t>su artículo</w:t>
      </w:r>
      <w:r w:rsidR="00254717" w:rsidRPr="00E970A6">
        <w:rPr>
          <w:rFonts w:ascii="Arial" w:eastAsia="Calibri" w:hAnsi="Arial" w:cs="Arial"/>
          <w:sz w:val="24"/>
          <w:szCs w:val="24"/>
          <w:lang w:val="es-CO" w:eastAsia="es-CO"/>
        </w:rPr>
        <w:t xml:space="preserve"> 1</w:t>
      </w:r>
      <w:r w:rsidR="00292ADA" w:rsidRPr="00E970A6">
        <w:rPr>
          <w:rFonts w:ascii="Arial" w:eastAsia="Calibri" w:hAnsi="Arial" w:cs="Arial"/>
          <w:sz w:val="24"/>
          <w:szCs w:val="24"/>
          <w:lang w:val="es-CO" w:eastAsia="es-CO"/>
        </w:rPr>
        <w:t xml:space="preserve"> </w:t>
      </w:r>
      <w:r w:rsidR="00254717" w:rsidRPr="00E970A6">
        <w:rPr>
          <w:rFonts w:ascii="Arial" w:eastAsia="Calibri" w:hAnsi="Arial" w:cs="Arial"/>
          <w:sz w:val="24"/>
          <w:szCs w:val="24"/>
          <w:lang w:val="es-CO" w:eastAsia="es-CO"/>
        </w:rPr>
        <w:t>señal</w:t>
      </w:r>
      <w:r w:rsidRPr="00E970A6">
        <w:rPr>
          <w:rFonts w:ascii="Arial" w:eastAsia="Calibri" w:hAnsi="Arial" w:cs="Arial"/>
          <w:sz w:val="24"/>
          <w:szCs w:val="24"/>
          <w:lang w:val="es-CO" w:eastAsia="es-CO"/>
        </w:rPr>
        <w:t>a</w:t>
      </w:r>
      <w:r w:rsidR="00254717" w:rsidRPr="00E970A6">
        <w:rPr>
          <w:rFonts w:ascii="Arial" w:eastAsia="Calibri" w:hAnsi="Arial" w:cs="Arial"/>
          <w:sz w:val="24"/>
          <w:szCs w:val="24"/>
          <w:lang w:val="es-CO" w:eastAsia="es-CO"/>
        </w:rPr>
        <w:t>:</w:t>
      </w:r>
    </w:p>
    <w:p w14:paraId="2BC3F605" w14:textId="77777777" w:rsidR="000A5501" w:rsidRPr="00E970A6" w:rsidRDefault="000A5501" w:rsidP="00254717">
      <w:pPr>
        <w:jc w:val="both"/>
        <w:rPr>
          <w:rFonts w:ascii="Arial" w:eastAsia="Calibri" w:hAnsi="Arial" w:cs="Arial"/>
          <w:sz w:val="24"/>
          <w:szCs w:val="24"/>
          <w:lang w:val="es-CO" w:eastAsia="es-CO"/>
        </w:rPr>
      </w:pPr>
    </w:p>
    <w:p w14:paraId="17C1DFAE" w14:textId="77777777" w:rsidR="00CD7096" w:rsidRPr="00E970A6" w:rsidRDefault="000A5501" w:rsidP="00254717">
      <w:pPr>
        <w:jc w:val="both"/>
        <w:rPr>
          <w:rFonts w:ascii="Arial" w:eastAsia="Calibri" w:hAnsi="Arial" w:cs="Arial"/>
          <w:i/>
          <w:iCs/>
          <w:sz w:val="24"/>
          <w:szCs w:val="24"/>
          <w:lang w:val="es-CO" w:eastAsia="es-CO"/>
        </w:rPr>
      </w:pPr>
      <w:r w:rsidRPr="00E970A6">
        <w:rPr>
          <w:rFonts w:ascii="Arial" w:eastAsia="Calibri" w:hAnsi="Arial" w:cs="Arial"/>
          <w:sz w:val="24"/>
          <w:szCs w:val="24"/>
          <w:lang w:val="es-CO" w:eastAsia="es-CO"/>
        </w:rPr>
        <w:t>«</w:t>
      </w:r>
      <w:r w:rsidR="00254717" w:rsidRPr="00E970A6">
        <w:rPr>
          <w:rFonts w:ascii="Arial" w:eastAsia="Calibri" w:hAnsi="Arial" w:cs="Arial"/>
          <w:b/>
          <w:bCs/>
          <w:i/>
          <w:iCs/>
          <w:sz w:val="24"/>
          <w:szCs w:val="24"/>
          <w:lang w:val="es-CO" w:eastAsia="es-CO"/>
        </w:rPr>
        <w:t>Rango diferencial por riesgo del Seguro Obligatorio de Accidentes de Tránsito -SOAT para algunas categorías de vehículos</w:t>
      </w:r>
      <w:r w:rsidR="00254717" w:rsidRPr="00E970A6">
        <w:rPr>
          <w:rFonts w:ascii="Arial" w:eastAsia="Calibri" w:hAnsi="Arial" w:cs="Arial"/>
          <w:i/>
          <w:iCs/>
          <w:sz w:val="24"/>
          <w:szCs w:val="24"/>
          <w:lang w:val="es-CO" w:eastAsia="es-CO"/>
        </w:rPr>
        <w:t xml:space="preserve">. Para efectos de lo establecido en el literal a) del numeral 1 del artículo 193 del Estatuto Orgánico del Sistema Financiero, los vehículos de las categorías ciclomotor, motos de menos de 100 </w:t>
      </w:r>
      <w:proofErr w:type="spellStart"/>
      <w:r w:rsidR="00254717" w:rsidRPr="00E970A6">
        <w:rPr>
          <w:rFonts w:ascii="Arial" w:eastAsia="Calibri" w:hAnsi="Arial" w:cs="Arial"/>
          <w:i/>
          <w:iCs/>
          <w:sz w:val="24"/>
          <w:szCs w:val="24"/>
          <w:lang w:val="es-CO" w:eastAsia="es-CO"/>
        </w:rPr>
        <w:t>cc</w:t>
      </w:r>
      <w:proofErr w:type="spellEnd"/>
      <w:r w:rsidR="00254717" w:rsidRPr="00E970A6">
        <w:rPr>
          <w:rFonts w:ascii="Arial" w:eastAsia="Calibri" w:hAnsi="Arial" w:cs="Arial"/>
          <w:i/>
          <w:iCs/>
          <w:sz w:val="24"/>
          <w:szCs w:val="24"/>
          <w:lang w:val="es-CO" w:eastAsia="es-CO"/>
        </w:rPr>
        <w:t xml:space="preserve">, motos de 100 </w:t>
      </w:r>
      <w:proofErr w:type="spellStart"/>
      <w:r w:rsidR="00254717" w:rsidRPr="00E970A6">
        <w:rPr>
          <w:rFonts w:ascii="Arial" w:eastAsia="Calibri" w:hAnsi="Arial" w:cs="Arial"/>
          <w:i/>
          <w:iCs/>
          <w:sz w:val="24"/>
          <w:szCs w:val="24"/>
          <w:lang w:val="es-CO" w:eastAsia="es-CO"/>
        </w:rPr>
        <w:t>cc</w:t>
      </w:r>
      <w:proofErr w:type="spellEnd"/>
      <w:r w:rsidR="00254717" w:rsidRPr="00E970A6">
        <w:rPr>
          <w:rFonts w:ascii="Arial" w:eastAsia="Calibri" w:hAnsi="Arial" w:cs="Arial"/>
          <w:i/>
          <w:iCs/>
          <w:sz w:val="24"/>
          <w:szCs w:val="24"/>
          <w:lang w:val="es-CO" w:eastAsia="es-CO"/>
        </w:rPr>
        <w:t xml:space="preserve"> y hasta 200 </w:t>
      </w:r>
      <w:proofErr w:type="spellStart"/>
      <w:r w:rsidR="00254717" w:rsidRPr="00E970A6">
        <w:rPr>
          <w:rFonts w:ascii="Arial" w:eastAsia="Calibri" w:hAnsi="Arial" w:cs="Arial"/>
          <w:i/>
          <w:iCs/>
          <w:sz w:val="24"/>
          <w:szCs w:val="24"/>
          <w:lang w:val="es-CO" w:eastAsia="es-CO"/>
        </w:rPr>
        <w:t>cc</w:t>
      </w:r>
      <w:proofErr w:type="spellEnd"/>
      <w:r w:rsidR="00254717" w:rsidRPr="00E970A6">
        <w:rPr>
          <w:rFonts w:ascii="Arial" w:eastAsia="Calibri" w:hAnsi="Arial" w:cs="Arial"/>
          <w:i/>
          <w:iCs/>
          <w:sz w:val="24"/>
          <w:szCs w:val="24"/>
          <w:lang w:val="es-CO" w:eastAsia="es-CO"/>
        </w:rPr>
        <w:t>, motocarro</w:t>
      </w:r>
      <w:r w:rsidR="00C80E2C" w:rsidRPr="00E970A6">
        <w:rPr>
          <w:rFonts w:ascii="Arial" w:eastAsia="Calibri" w:hAnsi="Arial" w:cs="Arial"/>
          <w:i/>
          <w:iCs/>
          <w:sz w:val="24"/>
          <w:szCs w:val="24"/>
          <w:lang w:val="es-CO" w:eastAsia="es-CO"/>
        </w:rPr>
        <w:t>,</w:t>
      </w:r>
      <w:r w:rsidR="00254717" w:rsidRPr="00E970A6">
        <w:rPr>
          <w:rFonts w:ascii="Arial" w:eastAsia="Calibri" w:hAnsi="Arial" w:cs="Arial"/>
          <w:i/>
          <w:iCs/>
          <w:sz w:val="24"/>
          <w:szCs w:val="24"/>
          <w:lang w:val="es-CO" w:eastAsia="es-CO"/>
        </w:rPr>
        <w:t xml:space="preserve"> </w:t>
      </w:r>
      <w:proofErr w:type="spellStart"/>
      <w:r w:rsidR="00254717" w:rsidRPr="00E970A6">
        <w:rPr>
          <w:rFonts w:ascii="Arial" w:eastAsia="Calibri" w:hAnsi="Arial" w:cs="Arial"/>
          <w:i/>
          <w:iCs/>
          <w:sz w:val="24"/>
          <w:szCs w:val="24"/>
          <w:lang w:val="es-CO" w:eastAsia="es-CO"/>
        </w:rPr>
        <w:t>tricimotos</w:t>
      </w:r>
      <w:proofErr w:type="spellEnd"/>
      <w:r w:rsidR="00254717" w:rsidRPr="00E970A6">
        <w:rPr>
          <w:rFonts w:ascii="Arial" w:eastAsia="Calibri" w:hAnsi="Arial" w:cs="Arial"/>
          <w:i/>
          <w:iCs/>
          <w:sz w:val="24"/>
          <w:szCs w:val="24"/>
          <w:lang w:val="es-CO" w:eastAsia="es-CO"/>
        </w:rPr>
        <w:t xml:space="preserve"> y cuadriciclos, motocarros 5 pasajeros, autos de negocios, taxis y microbuses urbanos, servicio público urbano, buses y busetas y vehículos de servicio público intermunicipal establecidas en el Anexo I del Título IV de la Parte II de la Circular Externa 029 de 2014 de la Superintendencia Financiera de Colombia, o las normas que la modifiquen, adicionen o sustituyan, harán parte de un rango diferencial por riesgo.</w:t>
      </w:r>
      <w:r w:rsidR="00292ADA" w:rsidRPr="00E970A6">
        <w:rPr>
          <w:rFonts w:ascii="Arial" w:eastAsia="Calibri" w:hAnsi="Arial" w:cs="Arial"/>
          <w:i/>
          <w:iCs/>
          <w:sz w:val="24"/>
          <w:szCs w:val="24"/>
          <w:lang w:val="es-CO" w:eastAsia="es-CO"/>
        </w:rPr>
        <w:t xml:space="preserve"> </w:t>
      </w:r>
      <w:r w:rsidR="00254717" w:rsidRPr="00E970A6">
        <w:rPr>
          <w:rFonts w:ascii="Arial" w:eastAsia="Calibri" w:hAnsi="Arial" w:cs="Arial"/>
          <w:i/>
          <w:iCs/>
          <w:sz w:val="24"/>
          <w:szCs w:val="24"/>
          <w:lang w:val="es-CO" w:eastAsia="es-CO"/>
        </w:rPr>
        <w:t>Lo anterior, para efectos de la determinación de la tarifa del Seguro Obligatorio de Accidentes de Tránsito por la Superintendencia Financiera de Colombia.</w:t>
      </w:r>
    </w:p>
    <w:p w14:paraId="03AEE317" w14:textId="77777777" w:rsidR="00B9006B" w:rsidRPr="00E970A6" w:rsidRDefault="00B9006B" w:rsidP="00254717">
      <w:pPr>
        <w:jc w:val="both"/>
        <w:rPr>
          <w:rFonts w:ascii="Arial" w:eastAsia="Calibri" w:hAnsi="Arial" w:cs="Arial"/>
          <w:i/>
          <w:iCs/>
          <w:sz w:val="24"/>
          <w:szCs w:val="24"/>
          <w:lang w:val="es-CO" w:eastAsia="es-CO"/>
        </w:rPr>
      </w:pPr>
    </w:p>
    <w:p w14:paraId="674AAAC4" w14:textId="77777777" w:rsidR="00936ADB" w:rsidRPr="00E970A6" w:rsidRDefault="00254717" w:rsidP="00254717">
      <w:pPr>
        <w:jc w:val="both"/>
        <w:rPr>
          <w:rFonts w:ascii="Arial" w:eastAsia="Calibri" w:hAnsi="Arial" w:cs="Arial"/>
          <w:i/>
          <w:iCs/>
          <w:sz w:val="24"/>
          <w:szCs w:val="24"/>
          <w:lang w:val="es-CO" w:eastAsia="es-CO"/>
        </w:rPr>
      </w:pPr>
      <w:r w:rsidRPr="00E970A6">
        <w:rPr>
          <w:rFonts w:ascii="Arial" w:eastAsia="Calibri" w:hAnsi="Arial" w:cs="Arial"/>
          <w:i/>
          <w:iCs/>
          <w:sz w:val="24"/>
          <w:szCs w:val="24"/>
          <w:lang w:val="es-CO" w:eastAsia="es-CO"/>
        </w:rPr>
        <w:t>Para las categorías antes mencionadas, el valor a pagar equivaldrá aproximadamente al cincuenta (50%) por ciento del precio final vigente al catorce (14) de diciembre de 2022</w:t>
      </w:r>
      <w:r w:rsidR="00D7191B" w:rsidRPr="00E970A6">
        <w:rPr>
          <w:rFonts w:ascii="Arial" w:eastAsia="Calibri" w:hAnsi="Arial" w:cs="Arial"/>
          <w:i/>
          <w:iCs/>
          <w:sz w:val="24"/>
          <w:szCs w:val="24"/>
          <w:lang w:val="es-CO" w:eastAsia="es-CO"/>
        </w:rPr>
        <w:t xml:space="preserve"> (…)</w:t>
      </w:r>
      <w:r w:rsidR="000A5501" w:rsidRPr="00E970A6">
        <w:rPr>
          <w:rFonts w:ascii="Arial" w:eastAsia="Calibri" w:hAnsi="Arial" w:cs="Arial"/>
          <w:i/>
          <w:iCs/>
          <w:sz w:val="24"/>
          <w:szCs w:val="24"/>
          <w:lang w:val="es-CO" w:eastAsia="es-CO"/>
        </w:rPr>
        <w:t>»</w:t>
      </w:r>
    </w:p>
    <w:p w14:paraId="368610FF" w14:textId="77777777" w:rsidR="00254717" w:rsidRPr="00E970A6" w:rsidRDefault="00254717" w:rsidP="007558D2">
      <w:pPr>
        <w:jc w:val="both"/>
        <w:rPr>
          <w:rFonts w:ascii="Arial" w:eastAsia="Calibri" w:hAnsi="Arial" w:cs="Arial"/>
          <w:sz w:val="24"/>
          <w:szCs w:val="24"/>
          <w:lang w:val="es-CO" w:eastAsia="es-CO"/>
        </w:rPr>
      </w:pPr>
    </w:p>
    <w:p w14:paraId="5046E0C6" w14:textId="40C7F40C" w:rsidR="00254717" w:rsidRPr="00E970A6" w:rsidRDefault="00254717" w:rsidP="007558D2">
      <w:pPr>
        <w:jc w:val="both"/>
        <w:rPr>
          <w:rFonts w:ascii="Arial" w:eastAsia="Calibri" w:hAnsi="Arial" w:cs="Arial"/>
          <w:sz w:val="24"/>
          <w:szCs w:val="24"/>
          <w:lang w:val="es-CO" w:eastAsia="es-CO"/>
        </w:rPr>
      </w:pPr>
      <w:r w:rsidRPr="00E970A6">
        <w:rPr>
          <w:rFonts w:ascii="Arial" w:eastAsia="Calibri" w:hAnsi="Arial" w:cs="Arial"/>
          <w:sz w:val="24"/>
          <w:szCs w:val="24"/>
          <w:lang w:val="es-CO" w:eastAsia="es-CO"/>
        </w:rPr>
        <w:t>En cumplimiento de</w:t>
      </w:r>
      <w:r w:rsidR="00D7191B" w:rsidRPr="00E970A6">
        <w:rPr>
          <w:rFonts w:ascii="Arial" w:eastAsia="Calibri" w:hAnsi="Arial" w:cs="Arial"/>
          <w:sz w:val="24"/>
          <w:szCs w:val="24"/>
          <w:lang w:val="es-CO" w:eastAsia="es-CO"/>
        </w:rPr>
        <w:t>l anterior mandato</w:t>
      </w:r>
      <w:r w:rsidRPr="00E970A6">
        <w:rPr>
          <w:rFonts w:ascii="Arial" w:eastAsia="Calibri" w:hAnsi="Arial" w:cs="Arial"/>
          <w:sz w:val="24"/>
          <w:szCs w:val="24"/>
          <w:lang w:val="es-CO" w:eastAsia="es-CO"/>
        </w:rPr>
        <w:t>, la</w:t>
      </w:r>
      <w:r w:rsidR="00C80E2C" w:rsidRPr="00E970A6">
        <w:rPr>
          <w:rFonts w:ascii="Arial" w:eastAsia="Calibri" w:hAnsi="Arial" w:cs="Arial"/>
          <w:sz w:val="24"/>
          <w:szCs w:val="24"/>
          <w:lang w:val="es-CO" w:eastAsia="es-CO"/>
        </w:rPr>
        <w:t xml:space="preserve"> </w:t>
      </w:r>
      <w:r w:rsidR="000A5501" w:rsidRPr="00E970A6">
        <w:rPr>
          <w:rFonts w:ascii="Arial" w:eastAsia="Calibri" w:hAnsi="Arial" w:cs="Arial"/>
          <w:sz w:val="24"/>
          <w:szCs w:val="24"/>
          <w:lang w:val="es-CO" w:eastAsia="es-CO"/>
        </w:rPr>
        <w:t>SFC</w:t>
      </w:r>
      <w:r w:rsidRPr="00E970A6">
        <w:rPr>
          <w:rFonts w:ascii="Arial" w:eastAsia="Calibri" w:hAnsi="Arial" w:cs="Arial"/>
          <w:sz w:val="24"/>
          <w:szCs w:val="24"/>
          <w:lang w:val="es-CO" w:eastAsia="es-CO"/>
        </w:rPr>
        <w:t xml:space="preserve"> expidió la Circular Externa 028 de 2022</w:t>
      </w:r>
      <w:r w:rsidR="00D7191B" w:rsidRPr="00E970A6">
        <w:rPr>
          <w:rFonts w:ascii="Arial" w:eastAsia="Calibri" w:hAnsi="Arial" w:cs="Arial"/>
          <w:sz w:val="24"/>
          <w:szCs w:val="24"/>
          <w:lang w:val="es-CO" w:eastAsia="es-CO"/>
        </w:rPr>
        <w:t xml:space="preserve"> para determinar las </w:t>
      </w:r>
      <w:r w:rsidR="00CD2018" w:rsidRPr="00E970A6">
        <w:rPr>
          <w:rFonts w:ascii="Arial" w:hAnsi="Arial" w:cs="Arial"/>
          <w:sz w:val="24"/>
          <w:szCs w:val="24"/>
          <w:lang w:val="es-ES" w:eastAsia="es-CO"/>
        </w:rPr>
        <w:t xml:space="preserve">tarifas máximas del SOAT para las </w:t>
      </w:r>
      <w:r w:rsidR="00CD2018" w:rsidRPr="00E970A6">
        <w:rPr>
          <w:rFonts w:ascii="Arial" w:eastAsia="Calibri" w:hAnsi="Arial" w:cs="Arial"/>
          <w:sz w:val="24"/>
          <w:szCs w:val="24"/>
          <w:lang w:val="es-CO" w:eastAsia="es-CO"/>
        </w:rPr>
        <w:t>categorías de vehículos que hacen parte del rango diferencial por riesgo.</w:t>
      </w:r>
    </w:p>
    <w:p w14:paraId="4A29F979" w14:textId="77777777" w:rsidR="00C427B1" w:rsidRPr="00E970A6" w:rsidRDefault="00C427B1" w:rsidP="007558D2">
      <w:pPr>
        <w:jc w:val="both"/>
        <w:rPr>
          <w:rFonts w:ascii="Arial" w:hAnsi="Arial" w:cs="Arial"/>
          <w:sz w:val="24"/>
          <w:szCs w:val="24"/>
          <w:lang w:val="es-ES" w:eastAsia="es-CO"/>
        </w:rPr>
      </w:pPr>
    </w:p>
    <w:p w14:paraId="4754863A" w14:textId="77777777" w:rsidR="00C05FA2" w:rsidRPr="00E970A6" w:rsidRDefault="000A5501" w:rsidP="00E642A2">
      <w:pPr>
        <w:jc w:val="both"/>
        <w:rPr>
          <w:rFonts w:ascii="Arial" w:hAnsi="Arial" w:cs="Arial"/>
          <w:sz w:val="24"/>
          <w:szCs w:val="24"/>
          <w:lang w:val="es-ES" w:eastAsia="es-CO"/>
        </w:rPr>
      </w:pPr>
      <w:r w:rsidRPr="00E970A6">
        <w:rPr>
          <w:rFonts w:ascii="Arial" w:hAnsi="Arial" w:cs="Arial"/>
          <w:sz w:val="24"/>
          <w:szCs w:val="24"/>
          <w:lang w:val="es-ES" w:eastAsia="es-CO"/>
        </w:rPr>
        <w:t>De igual manera, e</w:t>
      </w:r>
      <w:r w:rsidR="00C05FA2" w:rsidRPr="00E970A6">
        <w:rPr>
          <w:rFonts w:ascii="Arial" w:hAnsi="Arial" w:cs="Arial"/>
          <w:sz w:val="24"/>
          <w:szCs w:val="24"/>
          <w:lang w:val="es-ES" w:eastAsia="es-CO"/>
        </w:rPr>
        <w:t xml:space="preserve">l Ministerio de Salud y Protección Social expidió el </w:t>
      </w:r>
      <w:r w:rsidR="00E642A2" w:rsidRPr="00E970A6">
        <w:rPr>
          <w:rFonts w:ascii="Arial" w:hAnsi="Arial" w:cs="Arial"/>
          <w:sz w:val="24"/>
          <w:szCs w:val="24"/>
          <w:lang w:val="es-ES" w:eastAsia="es-CO"/>
        </w:rPr>
        <w:t>22</w:t>
      </w:r>
      <w:r w:rsidR="00C05FA2" w:rsidRPr="00E970A6">
        <w:rPr>
          <w:rFonts w:ascii="Arial" w:hAnsi="Arial" w:cs="Arial"/>
          <w:sz w:val="24"/>
          <w:szCs w:val="24"/>
          <w:lang w:val="es-ES" w:eastAsia="es-CO"/>
        </w:rPr>
        <w:t xml:space="preserve"> de diciembre de 2022 la Resolución </w:t>
      </w:r>
      <w:r w:rsidR="00E642A2" w:rsidRPr="00E970A6">
        <w:rPr>
          <w:rFonts w:ascii="Arial" w:hAnsi="Arial" w:cs="Arial"/>
          <w:sz w:val="24"/>
          <w:szCs w:val="24"/>
          <w:lang w:val="es-ES" w:eastAsia="es-CO"/>
        </w:rPr>
        <w:t>2709</w:t>
      </w:r>
      <w:r w:rsidR="00C05FA2" w:rsidRPr="00E970A6">
        <w:rPr>
          <w:rFonts w:ascii="Arial" w:hAnsi="Arial" w:cs="Arial"/>
          <w:sz w:val="24"/>
          <w:szCs w:val="24"/>
          <w:lang w:val="es-ES" w:eastAsia="es-CO"/>
        </w:rPr>
        <w:t xml:space="preserve"> (</w:t>
      </w:r>
      <w:r w:rsidR="00A2224B" w:rsidRPr="00E970A6">
        <w:rPr>
          <w:rFonts w:ascii="Arial" w:hAnsi="Arial" w:cs="Arial"/>
          <w:sz w:val="24"/>
          <w:szCs w:val="24"/>
          <w:lang w:val="es-ES" w:eastAsia="es-CO"/>
        </w:rPr>
        <w:t>m</w:t>
      </w:r>
      <w:r w:rsidR="00C05FA2" w:rsidRPr="00E970A6">
        <w:rPr>
          <w:rFonts w:ascii="Arial" w:hAnsi="Arial" w:cs="Arial"/>
          <w:sz w:val="24"/>
          <w:szCs w:val="24"/>
          <w:lang w:val="es-ES" w:eastAsia="es-CO"/>
        </w:rPr>
        <w:t>odificatoria de la Resolución 1135 de 2012)</w:t>
      </w:r>
      <w:r w:rsidRPr="00E970A6">
        <w:rPr>
          <w:rFonts w:ascii="Arial" w:hAnsi="Arial" w:cs="Arial"/>
          <w:sz w:val="24"/>
          <w:szCs w:val="24"/>
          <w:lang w:val="es-ES" w:eastAsia="es-CO"/>
        </w:rPr>
        <w:t>, «</w:t>
      </w:r>
      <w:r w:rsidR="00E642A2" w:rsidRPr="00E970A6">
        <w:rPr>
          <w:rFonts w:ascii="Arial" w:hAnsi="Arial" w:cs="Arial"/>
          <w:i/>
          <w:iCs/>
          <w:sz w:val="24"/>
          <w:szCs w:val="24"/>
          <w:lang w:val="es-ES" w:eastAsia="es-CO"/>
        </w:rPr>
        <w:t xml:space="preserve">Por la cual se define el porcentaje de la prima del SOAT para el cubrimiento </w:t>
      </w:r>
      <w:r w:rsidR="00E642A2" w:rsidRPr="00E970A6">
        <w:rPr>
          <w:rFonts w:ascii="Arial" w:hAnsi="Arial" w:cs="Arial"/>
          <w:i/>
          <w:iCs/>
          <w:sz w:val="24"/>
          <w:szCs w:val="24"/>
          <w:lang w:val="es-ES" w:eastAsia="es-CO"/>
        </w:rPr>
        <w:lastRenderedPageBreak/>
        <w:t>del pago de las indemnizaciones correspondientes al amparo de gastos médicos, quirúrgicos, farmacéuticos y hospitalarios por lesiones y el total de costos asociados al proceso de reconocimiento de dichas indemnizaciones como consecuencia de accidentes de tránsito</w:t>
      </w:r>
      <w:r w:rsidRPr="00E970A6">
        <w:rPr>
          <w:rFonts w:ascii="Arial" w:hAnsi="Arial" w:cs="Arial"/>
          <w:i/>
          <w:iCs/>
          <w:sz w:val="24"/>
          <w:szCs w:val="24"/>
          <w:lang w:val="es-ES" w:eastAsia="es-CO"/>
        </w:rPr>
        <w:t>»</w:t>
      </w:r>
      <w:r w:rsidR="00C05FA2" w:rsidRPr="00E970A6">
        <w:rPr>
          <w:rFonts w:ascii="Arial" w:hAnsi="Arial" w:cs="Arial"/>
          <w:sz w:val="24"/>
          <w:szCs w:val="24"/>
          <w:lang w:val="es-ES" w:eastAsia="es-CO"/>
        </w:rPr>
        <w:t xml:space="preserve">, </w:t>
      </w:r>
      <w:r w:rsidRPr="00E970A6">
        <w:rPr>
          <w:rFonts w:ascii="Arial" w:hAnsi="Arial" w:cs="Arial"/>
          <w:sz w:val="24"/>
          <w:szCs w:val="24"/>
          <w:lang w:val="es-ES" w:eastAsia="es-CO"/>
        </w:rPr>
        <w:t xml:space="preserve">en cuyo </w:t>
      </w:r>
      <w:r w:rsidR="00C05FA2" w:rsidRPr="00E970A6">
        <w:rPr>
          <w:rFonts w:ascii="Arial" w:hAnsi="Arial" w:cs="Arial"/>
          <w:sz w:val="24"/>
          <w:szCs w:val="24"/>
          <w:lang w:val="es-ES" w:eastAsia="es-CO"/>
        </w:rPr>
        <w:t>artículo 1</w:t>
      </w:r>
      <w:r w:rsidRPr="00E970A6">
        <w:rPr>
          <w:rFonts w:ascii="Arial" w:hAnsi="Arial" w:cs="Arial"/>
          <w:sz w:val="24"/>
          <w:szCs w:val="24"/>
          <w:lang w:val="es-ES" w:eastAsia="es-CO"/>
        </w:rPr>
        <w:t xml:space="preserve"> señala</w:t>
      </w:r>
      <w:r w:rsidR="00C05FA2" w:rsidRPr="00E970A6">
        <w:rPr>
          <w:rFonts w:ascii="Arial" w:hAnsi="Arial" w:cs="Arial"/>
          <w:sz w:val="24"/>
          <w:szCs w:val="24"/>
          <w:lang w:val="es-ES" w:eastAsia="es-CO"/>
        </w:rPr>
        <w:t xml:space="preserve"> lo siguiente:</w:t>
      </w:r>
    </w:p>
    <w:p w14:paraId="10AE2ECC" w14:textId="77777777" w:rsidR="00594DB4" w:rsidRPr="00E970A6" w:rsidRDefault="00594DB4" w:rsidP="00C05FA2">
      <w:pPr>
        <w:jc w:val="both"/>
        <w:rPr>
          <w:rFonts w:ascii="Arial" w:hAnsi="Arial" w:cs="Arial"/>
          <w:sz w:val="24"/>
          <w:szCs w:val="24"/>
          <w:lang w:val="es-ES" w:eastAsia="es-CO"/>
        </w:rPr>
      </w:pPr>
    </w:p>
    <w:p w14:paraId="054605C7" w14:textId="77777777" w:rsidR="00C05FA2" w:rsidRPr="00E970A6" w:rsidRDefault="000A5501" w:rsidP="00E642A2">
      <w:pPr>
        <w:jc w:val="both"/>
        <w:rPr>
          <w:rFonts w:ascii="Arial" w:hAnsi="Arial" w:cs="Arial"/>
          <w:i/>
          <w:iCs/>
          <w:sz w:val="24"/>
          <w:szCs w:val="24"/>
          <w:lang w:val="es-ES" w:eastAsia="es-CO"/>
        </w:rPr>
      </w:pPr>
      <w:r w:rsidRPr="00E970A6">
        <w:rPr>
          <w:rFonts w:ascii="Arial" w:hAnsi="Arial" w:cs="Arial"/>
          <w:i/>
          <w:iCs/>
          <w:sz w:val="24"/>
          <w:szCs w:val="24"/>
          <w:lang w:val="es-ES" w:eastAsia="es-CO"/>
        </w:rPr>
        <w:t>«</w:t>
      </w:r>
      <w:r w:rsidR="00C05FA2" w:rsidRPr="00E970A6">
        <w:rPr>
          <w:rFonts w:ascii="Arial" w:hAnsi="Arial" w:cs="Arial"/>
          <w:i/>
          <w:iCs/>
          <w:sz w:val="24"/>
          <w:szCs w:val="24"/>
          <w:lang w:val="es-ES" w:eastAsia="es-CO"/>
        </w:rPr>
        <w:t>Artículo 1.</w:t>
      </w:r>
      <w:r w:rsidR="00E642A2" w:rsidRPr="00E970A6">
        <w:rPr>
          <w:i/>
          <w:iCs/>
          <w:sz w:val="24"/>
          <w:szCs w:val="24"/>
        </w:rPr>
        <w:t xml:space="preserve"> </w:t>
      </w:r>
      <w:r w:rsidR="00E642A2" w:rsidRPr="00E970A6">
        <w:rPr>
          <w:rFonts w:ascii="Arial" w:hAnsi="Arial" w:cs="Arial"/>
          <w:i/>
          <w:iCs/>
          <w:sz w:val="24"/>
          <w:szCs w:val="24"/>
          <w:lang w:val="es-ES" w:eastAsia="es-CO"/>
        </w:rPr>
        <w:t>Las compañías autorizadas para expedir la póliza SOAT deberán destinar el 52,5% de los recursos a que refiere el literal a) del numeral 1 del artículo 199 del Decreto Ley 1993, en concordancia con el literal a) del artículo 223 de la Ley 100 de 1993, para financiar las indemnizaciones por concepto de gastos médicos, quirúrgicos, farmacéuticos y hospitalarios por lesiones y el total de costos asociados al proceso de reconocimiento y pago de dichas indemnizaciones</w:t>
      </w:r>
      <w:r w:rsidRPr="00E970A6">
        <w:rPr>
          <w:rFonts w:ascii="Arial" w:hAnsi="Arial" w:cs="Arial"/>
          <w:i/>
          <w:iCs/>
          <w:sz w:val="24"/>
          <w:szCs w:val="24"/>
          <w:lang w:val="es-ES" w:eastAsia="es-CO"/>
        </w:rPr>
        <w:t>»</w:t>
      </w:r>
      <w:r w:rsidR="00C05FA2" w:rsidRPr="00E970A6">
        <w:rPr>
          <w:rFonts w:ascii="Arial" w:hAnsi="Arial" w:cs="Arial"/>
          <w:i/>
          <w:iCs/>
          <w:sz w:val="24"/>
          <w:szCs w:val="24"/>
          <w:lang w:val="es-ES" w:eastAsia="es-CO"/>
        </w:rPr>
        <w:t xml:space="preserve">. </w:t>
      </w:r>
    </w:p>
    <w:p w14:paraId="6A586993" w14:textId="77777777" w:rsidR="00C05FA2" w:rsidRPr="00E970A6" w:rsidRDefault="00C05FA2" w:rsidP="00C05FA2">
      <w:pPr>
        <w:jc w:val="both"/>
        <w:rPr>
          <w:rFonts w:ascii="Arial" w:hAnsi="Arial" w:cs="Arial"/>
          <w:sz w:val="24"/>
          <w:szCs w:val="24"/>
          <w:lang w:val="es-ES" w:eastAsia="es-CO"/>
        </w:rPr>
      </w:pPr>
    </w:p>
    <w:p w14:paraId="5CD714C7" w14:textId="77777777" w:rsidR="007558D2" w:rsidRPr="00E970A6" w:rsidRDefault="00C05FA2" w:rsidP="00C05FA2">
      <w:pPr>
        <w:jc w:val="both"/>
        <w:rPr>
          <w:rFonts w:ascii="Arial" w:hAnsi="Arial" w:cs="Arial"/>
          <w:sz w:val="24"/>
          <w:szCs w:val="24"/>
          <w:lang w:val="es-ES" w:eastAsia="es-CO"/>
        </w:rPr>
      </w:pPr>
      <w:r w:rsidRPr="00E970A6">
        <w:rPr>
          <w:rFonts w:ascii="Arial" w:hAnsi="Arial" w:cs="Arial"/>
          <w:sz w:val="24"/>
          <w:szCs w:val="24"/>
          <w:lang w:val="es-ES" w:eastAsia="es-CO"/>
        </w:rPr>
        <w:t>En consecuencia, dicha Resolución modifica el porcentaje de transferencia que las entidades aseguradoras realizan al Fondo de Solidaridad y Garantía en Salud, FOSYGA (hoy ADRES, Administradora de los Recursos del Sistema General de Seguridad Social en Salud)</w:t>
      </w:r>
      <w:r w:rsidR="00BC3E10" w:rsidRPr="00E970A6">
        <w:rPr>
          <w:rFonts w:ascii="Arial" w:hAnsi="Arial" w:cs="Arial"/>
          <w:sz w:val="24"/>
          <w:szCs w:val="24"/>
          <w:lang w:val="es-ES" w:eastAsia="es-CO"/>
        </w:rPr>
        <w:t>.</w:t>
      </w:r>
    </w:p>
    <w:p w14:paraId="4244F11B" w14:textId="77777777" w:rsidR="00C05FA2" w:rsidRPr="00E970A6" w:rsidRDefault="00C05FA2" w:rsidP="00C05FA2">
      <w:pPr>
        <w:jc w:val="both"/>
        <w:rPr>
          <w:rFonts w:ascii="Arial" w:hAnsi="Arial" w:cs="Arial"/>
          <w:sz w:val="24"/>
          <w:szCs w:val="24"/>
          <w:highlight w:val="yellow"/>
          <w:lang w:val="es-ES" w:eastAsia="es-CO"/>
        </w:rPr>
      </w:pPr>
    </w:p>
    <w:p w14:paraId="69E27857" w14:textId="77777777" w:rsidR="0093206E" w:rsidRPr="00E970A6" w:rsidRDefault="003F1C66" w:rsidP="0093206E">
      <w:pPr>
        <w:jc w:val="both"/>
        <w:rPr>
          <w:rFonts w:ascii="Arial" w:hAnsi="Arial" w:cs="Arial"/>
          <w:i/>
          <w:iCs/>
          <w:sz w:val="24"/>
          <w:szCs w:val="24"/>
          <w:u w:val="single"/>
          <w:lang w:val="es-ES" w:eastAsia="es-CO"/>
        </w:rPr>
      </w:pPr>
      <w:r w:rsidRPr="00E970A6">
        <w:rPr>
          <w:rFonts w:ascii="Arial" w:hAnsi="Arial" w:cs="Arial"/>
          <w:sz w:val="24"/>
          <w:szCs w:val="24"/>
          <w:lang w:val="es-ES" w:eastAsia="es-CO"/>
        </w:rPr>
        <w:t>Adicionalmente, la Corte Constitucional mediante comunicado de prensa 37 de 9 de noviembre de 2022 informó que declaró inexequible</w:t>
      </w:r>
      <w:r w:rsidR="0093206E" w:rsidRPr="00E970A6">
        <w:rPr>
          <w:rFonts w:ascii="Arial" w:hAnsi="Arial" w:cs="Arial"/>
          <w:sz w:val="24"/>
          <w:szCs w:val="24"/>
          <w:lang w:val="es-ES" w:eastAsia="es-CO"/>
        </w:rPr>
        <w:t xml:space="preserve">, entre otros, </w:t>
      </w:r>
      <w:r w:rsidRPr="00E970A6">
        <w:rPr>
          <w:rFonts w:ascii="Arial" w:hAnsi="Arial" w:cs="Arial"/>
          <w:sz w:val="24"/>
          <w:szCs w:val="24"/>
          <w:lang w:val="es-ES" w:eastAsia="es-CO"/>
        </w:rPr>
        <w:t>el parágrafo 3 del artículo 2 de la Ley 2161 de 2021</w:t>
      </w:r>
      <w:r w:rsidR="0093206E" w:rsidRPr="00E970A6">
        <w:rPr>
          <w:rFonts w:ascii="Arial" w:hAnsi="Arial" w:cs="Arial"/>
          <w:sz w:val="24"/>
          <w:szCs w:val="24"/>
          <w:lang w:val="es-ES" w:eastAsia="es-CO"/>
        </w:rPr>
        <w:t xml:space="preserve"> que disponía lo siguiente: </w:t>
      </w:r>
      <w:r w:rsidR="000A5501" w:rsidRPr="00E970A6">
        <w:rPr>
          <w:rFonts w:ascii="Arial" w:hAnsi="Arial" w:cs="Arial"/>
          <w:i/>
          <w:iCs/>
          <w:sz w:val="24"/>
          <w:szCs w:val="24"/>
          <w:lang w:val="es-ES" w:eastAsia="es-CO"/>
        </w:rPr>
        <w:t>«</w:t>
      </w:r>
      <w:r w:rsidR="0093206E" w:rsidRPr="00E970A6">
        <w:rPr>
          <w:rFonts w:ascii="Arial" w:hAnsi="Arial" w:cs="Arial"/>
          <w:i/>
          <w:iCs/>
          <w:sz w:val="24"/>
          <w:szCs w:val="24"/>
          <w:lang w:val="es-ES" w:eastAsia="es-CO"/>
        </w:rPr>
        <w:t>Parágrafo 3°. A partir del 2022, las compañías aseguradoras reconocerán un máximo del 5% de las primas mensuales emitidas por cargos de intermediación por venta del SOAT</w:t>
      </w:r>
      <w:r w:rsidR="000A5501" w:rsidRPr="00E970A6">
        <w:rPr>
          <w:rFonts w:ascii="Arial" w:hAnsi="Arial" w:cs="Arial"/>
          <w:i/>
          <w:iCs/>
          <w:sz w:val="24"/>
          <w:szCs w:val="24"/>
          <w:lang w:val="es-ES" w:eastAsia="es-CO"/>
        </w:rPr>
        <w:t>»</w:t>
      </w:r>
      <w:r w:rsidR="0093206E" w:rsidRPr="00E970A6">
        <w:rPr>
          <w:rFonts w:ascii="Arial" w:hAnsi="Arial" w:cs="Arial"/>
          <w:i/>
          <w:iCs/>
          <w:sz w:val="24"/>
          <w:szCs w:val="24"/>
          <w:lang w:val="es-ES" w:eastAsia="es-CO"/>
        </w:rPr>
        <w:t xml:space="preserve">. </w:t>
      </w:r>
      <w:r w:rsidR="0093206E" w:rsidRPr="00E970A6">
        <w:rPr>
          <w:rFonts w:ascii="Arial" w:hAnsi="Arial" w:cs="Arial"/>
          <w:sz w:val="24"/>
          <w:szCs w:val="24"/>
          <w:lang w:val="es-ES" w:eastAsia="es-CO"/>
        </w:rPr>
        <w:t>En particular, la Corte decidió</w:t>
      </w:r>
      <w:r w:rsidR="0093206E" w:rsidRPr="00E970A6">
        <w:rPr>
          <w:rFonts w:ascii="Arial" w:hAnsi="Arial" w:cs="Arial"/>
          <w:i/>
          <w:iCs/>
          <w:sz w:val="24"/>
          <w:szCs w:val="24"/>
          <w:lang w:val="es-ES" w:eastAsia="es-CO"/>
        </w:rPr>
        <w:t xml:space="preserve"> “Declarar </w:t>
      </w:r>
      <w:r w:rsidR="0093206E" w:rsidRPr="00E970A6">
        <w:rPr>
          <w:rFonts w:ascii="Arial" w:hAnsi="Arial" w:cs="Arial"/>
          <w:b/>
          <w:bCs/>
          <w:i/>
          <w:iCs/>
          <w:sz w:val="24"/>
          <w:szCs w:val="24"/>
          <w:lang w:val="es-ES" w:eastAsia="es-CO"/>
        </w:rPr>
        <w:t>EXEQUIBLE</w:t>
      </w:r>
      <w:r w:rsidR="0093206E" w:rsidRPr="00E970A6">
        <w:rPr>
          <w:rFonts w:ascii="Arial" w:hAnsi="Arial" w:cs="Arial"/>
          <w:i/>
          <w:iCs/>
          <w:sz w:val="24"/>
          <w:szCs w:val="24"/>
          <w:lang w:val="es-ES" w:eastAsia="es-CO"/>
        </w:rPr>
        <w:t xml:space="preserve">, por el cargo analizado, el artículo 2° de la Ley 2161 de 2021, excepto por la expresión “del diez por ciento (10%)” contenida en el parágrafo 1° </w:t>
      </w:r>
      <w:r w:rsidR="0093206E" w:rsidRPr="00E970A6">
        <w:rPr>
          <w:rFonts w:ascii="Arial" w:hAnsi="Arial" w:cs="Arial"/>
          <w:i/>
          <w:iCs/>
          <w:sz w:val="24"/>
          <w:szCs w:val="24"/>
          <w:u w:val="single"/>
          <w:lang w:val="es-ES" w:eastAsia="es-CO"/>
        </w:rPr>
        <w:t xml:space="preserve">y todo el parágrafo 3°, que se declaran </w:t>
      </w:r>
      <w:r w:rsidR="0093206E" w:rsidRPr="00E970A6">
        <w:rPr>
          <w:rFonts w:ascii="Arial" w:hAnsi="Arial" w:cs="Arial"/>
          <w:b/>
          <w:bCs/>
          <w:i/>
          <w:iCs/>
          <w:sz w:val="24"/>
          <w:szCs w:val="24"/>
          <w:u w:val="single"/>
          <w:lang w:val="es-ES" w:eastAsia="es-CO"/>
        </w:rPr>
        <w:t>INEXEQUIBLES</w:t>
      </w:r>
      <w:r w:rsidR="0093206E" w:rsidRPr="00E970A6">
        <w:rPr>
          <w:rFonts w:ascii="Arial" w:hAnsi="Arial" w:cs="Arial"/>
          <w:i/>
          <w:iCs/>
          <w:sz w:val="24"/>
          <w:szCs w:val="24"/>
          <w:u w:val="single"/>
          <w:lang w:val="es-ES" w:eastAsia="es-CO"/>
        </w:rPr>
        <w:t>”</w:t>
      </w:r>
      <w:r w:rsidR="0093206E" w:rsidRPr="00E970A6">
        <w:rPr>
          <w:rFonts w:ascii="Arial" w:hAnsi="Arial" w:cs="Arial"/>
          <w:i/>
          <w:iCs/>
          <w:sz w:val="24"/>
          <w:szCs w:val="24"/>
          <w:lang w:val="es-ES" w:eastAsia="es-CO"/>
        </w:rPr>
        <w:t xml:space="preserve"> </w:t>
      </w:r>
      <w:r w:rsidR="0093206E" w:rsidRPr="00E970A6">
        <w:rPr>
          <w:rFonts w:ascii="Arial" w:hAnsi="Arial" w:cs="Arial"/>
          <w:sz w:val="24"/>
          <w:szCs w:val="24"/>
          <w:lang w:val="es-ES" w:eastAsia="es-CO"/>
        </w:rPr>
        <w:t>(</w:t>
      </w:r>
      <w:r w:rsidR="00432607" w:rsidRPr="00E970A6">
        <w:rPr>
          <w:rFonts w:ascii="Arial" w:hAnsi="Arial" w:cs="Arial"/>
          <w:sz w:val="24"/>
          <w:szCs w:val="24"/>
          <w:lang w:val="es-ES" w:eastAsia="es-CO"/>
        </w:rPr>
        <w:t>s</w:t>
      </w:r>
      <w:r w:rsidR="0093206E" w:rsidRPr="00E970A6">
        <w:rPr>
          <w:rFonts w:ascii="Arial" w:hAnsi="Arial" w:cs="Arial"/>
          <w:sz w:val="24"/>
          <w:szCs w:val="24"/>
          <w:lang w:val="es-ES" w:eastAsia="es-CO"/>
        </w:rPr>
        <w:t>e subraya).</w:t>
      </w:r>
    </w:p>
    <w:p w14:paraId="302F9226" w14:textId="77777777" w:rsidR="003F1C66" w:rsidRPr="00E970A6" w:rsidRDefault="003F1C66" w:rsidP="003F1C66">
      <w:pPr>
        <w:jc w:val="both"/>
        <w:rPr>
          <w:rFonts w:ascii="Arial" w:hAnsi="Arial" w:cs="Arial"/>
          <w:sz w:val="24"/>
          <w:szCs w:val="24"/>
          <w:lang w:val="es-ES" w:eastAsia="es-CO"/>
        </w:rPr>
      </w:pPr>
    </w:p>
    <w:p w14:paraId="54B89912" w14:textId="4203CAA9" w:rsidR="00C24277" w:rsidRPr="00E970A6" w:rsidRDefault="00C24277" w:rsidP="00C24277">
      <w:pPr>
        <w:jc w:val="both"/>
        <w:rPr>
          <w:rFonts w:ascii="Arial" w:hAnsi="Arial" w:cs="Arial"/>
          <w:sz w:val="24"/>
          <w:szCs w:val="24"/>
          <w:lang w:val="es-ES" w:eastAsia="es-CO"/>
        </w:rPr>
      </w:pPr>
      <w:r w:rsidRPr="002A503D">
        <w:rPr>
          <w:rFonts w:ascii="Arial" w:hAnsi="Arial" w:cs="Arial"/>
          <w:sz w:val="24"/>
          <w:szCs w:val="24"/>
          <w:lang w:val="es-ES" w:eastAsia="es-CO"/>
        </w:rPr>
        <w:t xml:space="preserve">En consecuencia, al incorporar los efectos de las anteriores disposiciones en el análisis y luego de aplicar un proceso de optimización, se obtuvo como </w:t>
      </w:r>
      <w:r w:rsidR="00CA2B3E" w:rsidRPr="002A503D">
        <w:rPr>
          <w:rFonts w:ascii="Arial" w:hAnsi="Arial" w:cs="Arial"/>
          <w:sz w:val="24"/>
          <w:szCs w:val="24"/>
          <w:lang w:val="es-ES" w:eastAsia="es-CO"/>
        </w:rPr>
        <w:t xml:space="preserve">resultado una </w:t>
      </w:r>
      <w:r w:rsidRPr="002A503D">
        <w:rPr>
          <w:rFonts w:ascii="Arial" w:hAnsi="Arial" w:cs="Arial"/>
          <w:sz w:val="24"/>
          <w:szCs w:val="24"/>
          <w:lang w:val="es-ES" w:eastAsia="es-CO"/>
        </w:rPr>
        <w:t xml:space="preserve">suficiencia de prima de 57% </w:t>
      </w:r>
      <w:r w:rsidR="00CA2B3E" w:rsidRPr="002A503D">
        <w:rPr>
          <w:rFonts w:ascii="Arial" w:hAnsi="Arial" w:cs="Arial"/>
          <w:sz w:val="24"/>
          <w:szCs w:val="24"/>
          <w:lang w:val="es-ES" w:eastAsia="es-CO"/>
        </w:rPr>
        <w:t>para las categorías del rango diferencial y de</w:t>
      </w:r>
      <w:r w:rsidR="0065171E">
        <w:rPr>
          <w:rFonts w:ascii="Arial" w:hAnsi="Arial" w:cs="Arial"/>
          <w:sz w:val="24"/>
          <w:szCs w:val="24"/>
          <w:lang w:val="es-ES" w:eastAsia="es-CO"/>
        </w:rPr>
        <w:t xml:space="preserve"> </w:t>
      </w:r>
      <w:r w:rsidR="00CA2B3E" w:rsidRPr="002A503D">
        <w:rPr>
          <w:rFonts w:ascii="Arial" w:hAnsi="Arial" w:cs="Arial"/>
          <w:sz w:val="24"/>
          <w:szCs w:val="24"/>
          <w:lang w:val="es-ES" w:eastAsia="es-CO"/>
        </w:rPr>
        <w:t>3.67% para las demás categorías</w:t>
      </w:r>
      <w:r w:rsidRPr="002A503D">
        <w:rPr>
          <w:rFonts w:ascii="Arial" w:hAnsi="Arial" w:cs="Arial"/>
          <w:sz w:val="24"/>
          <w:szCs w:val="24"/>
          <w:lang w:val="es-ES" w:eastAsia="es-CO"/>
        </w:rPr>
        <w:t xml:space="preserve">, razón por la cual resulta necesario ajustar las tarifas máximas expresadas en Salarios Mínimos Diarios Legales Vigentes (SMDLV) que serán aplicables para </w:t>
      </w:r>
      <w:r w:rsidR="00E970A6" w:rsidRPr="002A503D">
        <w:rPr>
          <w:rFonts w:ascii="Arial" w:hAnsi="Arial" w:cs="Arial"/>
          <w:sz w:val="24"/>
          <w:szCs w:val="24"/>
          <w:lang w:val="es-ES" w:eastAsia="es-CO"/>
        </w:rPr>
        <w:t xml:space="preserve">el año </w:t>
      </w:r>
      <w:r w:rsidRPr="002A503D">
        <w:rPr>
          <w:rFonts w:ascii="Arial" w:hAnsi="Arial" w:cs="Arial"/>
          <w:sz w:val="24"/>
          <w:szCs w:val="24"/>
          <w:lang w:val="es-ES" w:eastAsia="es-CO"/>
        </w:rPr>
        <w:t>2023, con el fin de mantener la estabilidad del esquema en cumplimiento de los principios de equidad, suficiencia y moderación que deben regir la determinación de las tarifas establecidos en la Ley.</w:t>
      </w:r>
    </w:p>
    <w:p w14:paraId="1BDC2EE1" w14:textId="68FF3930" w:rsidR="00C24277" w:rsidRPr="00E970A6" w:rsidRDefault="00C24277" w:rsidP="003F1C66">
      <w:pPr>
        <w:jc w:val="both"/>
        <w:rPr>
          <w:rFonts w:ascii="Arial" w:hAnsi="Arial" w:cs="Arial"/>
          <w:sz w:val="24"/>
          <w:szCs w:val="24"/>
          <w:lang w:val="es-ES" w:eastAsia="es-CO"/>
        </w:rPr>
      </w:pPr>
    </w:p>
    <w:p w14:paraId="5DD4A243" w14:textId="2F233586" w:rsidR="007558D2" w:rsidRPr="00E970A6" w:rsidRDefault="00845E12" w:rsidP="007558D2">
      <w:pPr>
        <w:jc w:val="both"/>
        <w:rPr>
          <w:rFonts w:ascii="Arial" w:hAnsi="Arial" w:cs="Arial"/>
          <w:sz w:val="24"/>
          <w:szCs w:val="24"/>
          <w:lang w:val="es-CO" w:eastAsia="es-CO"/>
        </w:rPr>
      </w:pPr>
      <w:r>
        <w:rPr>
          <w:rFonts w:ascii="Arial" w:eastAsia="Calibri" w:hAnsi="Arial" w:cs="Arial"/>
          <w:sz w:val="24"/>
          <w:szCs w:val="24"/>
          <w:lang w:val="es-CO" w:eastAsia="es-CO"/>
        </w:rPr>
        <w:t>De acuerdo con</w:t>
      </w:r>
      <w:r w:rsidR="007558D2" w:rsidRPr="00E970A6">
        <w:rPr>
          <w:rFonts w:ascii="Arial" w:eastAsia="Calibri" w:hAnsi="Arial" w:cs="Arial"/>
          <w:sz w:val="24"/>
          <w:szCs w:val="24"/>
          <w:lang w:val="es-CO" w:eastAsia="es-CO"/>
        </w:rPr>
        <w:t xml:space="preserve"> lo anterior y en</w:t>
      </w:r>
      <w:r w:rsidR="007558D2" w:rsidRPr="00E970A6">
        <w:rPr>
          <w:rFonts w:ascii="Arial" w:hAnsi="Arial" w:cs="Arial"/>
          <w:sz w:val="24"/>
          <w:szCs w:val="24"/>
          <w:lang w:val="es-CO" w:eastAsia="es-CO"/>
        </w:rPr>
        <w:t xml:space="preserve"> ejercicio de</w:t>
      </w:r>
      <w:r w:rsidR="007558D2" w:rsidRPr="00E970A6">
        <w:rPr>
          <w:rFonts w:ascii="Arial" w:hAnsi="Arial" w:cs="Arial"/>
          <w:sz w:val="24"/>
          <w:szCs w:val="24"/>
          <w:lang w:val="es-ES" w:eastAsia="es-CO"/>
        </w:rPr>
        <w:t xml:space="preserve"> las facultades otorgadas a esta Superintendencia </w:t>
      </w:r>
      <w:r w:rsidR="00D7191B" w:rsidRPr="00E970A6">
        <w:rPr>
          <w:rFonts w:ascii="Arial" w:hAnsi="Arial" w:cs="Arial"/>
          <w:sz w:val="24"/>
          <w:szCs w:val="24"/>
          <w:lang w:val="es-ES" w:eastAsia="es-CO"/>
        </w:rPr>
        <w:t>en virtud de las cuales le corresponde</w:t>
      </w:r>
      <w:r w:rsidR="007558D2" w:rsidRPr="00E970A6">
        <w:rPr>
          <w:rFonts w:ascii="Arial" w:hAnsi="Arial" w:cs="Arial"/>
          <w:sz w:val="24"/>
          <w:szCs w:val="24"/>
          <w:lang w:val="es-ES" w:eastAsia="es-CO"/>
        </w:rPr>
        <w:t xml:space="preserve"> </w:t>
      </w:r>
      <w:r w:rsidR="00CF0A40" w:rsidRPr="00E970A6">
        <w:rPr>
          <w:rFonts w:ascii="Arial" w:hAnsi="Arial" w:cs="Arial"/>
          <w:sz w:val="24"/>
          <w:szCs w:val="24"/>
          <w:lang w:val="es-ES" w:eastAsia="es-CO"/>
        </w:rPr>
        <w:t xml:space="preserve">revisar periódicamente las condiciones técnicas y financieras de ramo del </w:t>
      </w:r>
      <w:r w:rsidR="007558D2" w:rsidRPr="00E970A6">
        <w:rPr>
          <w:rFonts w:ascii="Arial" w:hAnsi="Arial" w:cs="Arial"/>
          <w:sz w:val="24"/>
          <w:szCs w:val="24"/>
          <w:lang w:val="es-ES" w:eastAsia="es-CO"/>
        </w:rPr>
        <w:t>SOAT consagrada</w:t>
      </w:r>
      <w:r w:rsidR="000A5501" w:rsidRPr="00E970A6">
        <w:rPr>
          <w:rFonts w:ascii="Arial" w:hAnsi="Arial" w:cs="Arial"/>
          <w:sz w:val="24"/>
          <w:szCs w:val="24"/>
          <w:lang w:val="es-ES" w:eastAsia="es-CO"/>
        </w:rPr>
        <w:t>s</w:t>
      </w:r>
      <w:r w:rsidR="007558D2" w:rsidRPr="00E970A6">
        <w:rPr>
          <w:rFonts w:ascii="Arial" w:hAnsi="Arial" w:cs="Arial"/>
          <w:sz w:val="24"/>
          <w:szCs w:val="24"/>
          <w:lang w:val="es-ES" w:eastAsia="es-CO"/>
        </w:rPr>
        <w:t xml:space="preserve"> en el numeral 5 del artículo 193 del EOSF, así como las facultades establecidas en el </w:t>
      </w:r>
      <w:r w:rsidR="007558D2" w:rsidRPr="00E970A6">
        <w:rPr>
          <w:rFonts w:ascii="Arial" w:eastAsia="Calibri" w:hAnsi="Arial" w:cs="Arial"/>
          <w:sz w:val="24"/>
          <w:szCs w:val="24"/>
          <w:lang w:val="x-none" w:eastAsia="es-CO"/>
        </w:rPr>
        <w:t>literal a) del numeral 3 del artículo 326 del</w:t>
      </w:r>
      <w:r w:rsidR="007558D2" w:rsidRPr="00E970A6">
        <w:rPr>
          <w:rFonts w:ascii="Arial" w:hAnsi="Arial" w:cs="Arial"/>
          <w:sz w:val="24"/>
          <w:szCs w:val="24"/>
          <w:lang w:val="es-ES" w:eastAsia="es-CO"/>
        </w:rPr>
        <w:t xml:space="preserve"> </w:t>
      </w:r>
      <w:r w:rsidR="000A5501" w:rsidRPr="00E970A6">
        <w:rPr>
          <w:rFonts w:ascii="Arial" w:hAnsi="Arial" w:cs="Arial"/>
          <w:sz w:val="24"/>
          <w:szCs w:val="24"/>
          <w:lang w:val="es-ES" w:eastAsia="es-CO"/>
        </w:rPr>
        <w:t>mismo estatuto</w:t>
      </w:r>
      <w:r w:rsidR="00C93BFC" w:rsidRPr="00E970A6">
        <w:rPr>
          <w:rFonts w:ascii="Arial" w:hAnsi="Arial" w:cs="Arial"/>
          <w:sz w:val="24"/>
          <w:szCs w:val="24"/>
          <w:lang w:val="es-ES" w:eastAsia="es-CO"/>
        </w:rPr>
        <w:t xml:space="preserve">, </w:t>
      </w:r>
      <w:r w:rsidR="007558D2" w:rsidRPr="00E970A6">
        <w:rPr>
          <w:rFonts w:ascii="Arial" w:eastAsia="Calibri" w:hAnsi="Arial" w:cs="Arial"/>
          <w:sz w:val="24"/>
          <w:szCs w:val="24"/>
          <w:lang w:val="x-none" w:eastAsia="es-CO"/>
        </w:rPr>
        <w:t xml:space="preserve">el numeral </w:t>
      </w:r>
      <w:r w:rsidR="007558D2" w:rsidRPr="00E970A6">
        <w:rPr>
          <w:rFonts w:ascii="Arial" w:eastAsia="Calibri" w:hAnsi="Arial" w:cs="Arial"/>
          <w:sz w:val="24"/>
          <w:szCs w:val="24"/>
          <w:lang w:val="es-CO" w:eastAsia="es-CO"/>
        </w:rPr>
        <w:t>4</w:t>
      </w:r>
      <w:r w:rsidR="007558D2" w:rsidRPr="00E970A6">
        <w:rPr>
          <w:rFonts w:ascii="Arial" w:eastAsia="Calibri" w:hAnsi="Arial" w:cs="Arial"/>
          <w:sz w:val="24"/>
          <w:szCs w:val="24"/>
          <w:lang w:val="x-none" w:eastAsia="es-CO"/>
        </w:rPr>
        <w:t xml:space="preserve"> del artículo 11.2.1.4.2 del Decreto 2555 de 2010</w:t>
      </w:r>
      <w:r w:rsidR="00C93BFC" w:rsidRPr="00E970A6">
        <w:rPr>
          <w:rFonts w:ascii="Arial" w:eastAsia="Calibri" w:hAnsi="Arial" w:cs="Arial"/>
          <w:sz w:val="24"/>
          <w:szCs w:val="24"/>
          <w:lang w:val="es-CO" w:eastAsia="es-CO"/>
        </w:rPr>
        <w:t xml:space="preserve"> y el artículo 1 del Decreto 2497 de 2022, </w:t>
      </w:r>
      <w:r w:rsidR="007558D2" w:rsidRPr="00E970A6">
        <w:rPr>
          <w:rFonts w:ascii="Arial" w:eastAsia="Calibri" w:hAnsi="Arial" w:cs="Arial"/>
          <w:sz w:val="24"/>
          <w:szCs w:val="24"/>
          <w:lang w:val="es-CO" w:eastAsia="es-CO"/>
        </w:rPr>
        <w:t>se impa</w:t>
      </w:r>
      <w:r w:rsidR="007558D2" w:rsidRPr="00E970A6">
        <w:rPr>
          <w:rFonts w:ascii="Arial" w:hAnsi="Arial" w:cs="Arial"/>
          <w:sz w:val="24"/>
          <w:szCs w:val="24"/>
          <w:lang w:val="es-CO" w:eastAsia="es-CO"/>
        </w:rPr>
        <w:t>rte</w:t>
      </w:r>
      <w:r w:rsidR="008339AB" w:rsidRPr="00E970A6">
        <w:rPr>
          <w:rFonts w:ascii="Arial" w:hAnsi="Arial" w:cs="Arial"/>
          <w:sz w:val="24"/>
          <w:szCs w:val="24"/>
          <w:lang w:val="es-CO" w:eastAsia="es-CO"/>
        </w:rPr>
        <w:t>n</w:t>
      </w:r>
      <w:r w:rsidR="007558D2" w:rsidRPr="00E970A6">
        <w:rPr>
          <w:rFonts w:ascii="Arial" w:hAnsi="Arial" w:cs="Arial"/>
          <w:sz w:val="24"/>
          <w:szCs w:val="24"/>
          <w:lang w:val="es-CO" w:eastAsia="es-CO"/>
        </w:rPr>
        <w:t xml:space="preserve"> las siguientes instrucciones:</w:t>
      </w:r>
    </w:p>
    <w:p w14:paraId="4161DD93" w14:textId="77777777" w:rsidR="007558D2" w:rsidRPr="00E970A6" w:rsidRDefault="007558D2" w:rsidP="007558D2">
      <w:pPr>
        <w:jc w:val="both"/>
        <w:rPr>
          <w:rFonts w:ascii="Arial" w:hAnsi="Arial" w:cs="Arial"/>
          <w:sz w:val="24"/>
          <w:szCs w:val="24"/>
          <w:lang w:val="es-CO" w:eastAsia="es-CO"/>
        </w:rPr>
      </w:pPr>
    </w:p>
    <w:p w14:paraId="627E2632" w14:textId="74C9228E" w:rsidR="00DC07B8" w:rsidRPr="00E970A6" w:rsidRDefault="007558D2" w:rsidP="007558D2">
      <w:pPr>
        <w:jc w:val="both"/>
        <w:rPr>
          <w:rFonts w:ascii="Arial" w:eastAsia="Calibri" w:hAnsi="Arial" w:cs="Arial"/>
          <w:sz w:val="24"/>
          <w:szCs w:val="24"/>
          <w:lang w:val="es-CO" w:eastAsia="es-CO"/>
        </w:rPr>
      </w:pPr>
      <w:r w:rsidRPr="00E970A6">
        <w:rPr>
          <w:rFonts w:ascii="Arial" w:hAnsi="Arial" w:cs="Arial"/>
          <w:b/>
          <w:sz w:val="24"/>
          <w:szCs w:val="24"/>
          <w:lang w:val="es-CO" w:eastAsia="es-CO"/>
        </w:rPr>
        <w:t xml:space="preserve">PRIMERA: </w:t>
      </w:r>
      <w:r w:rsidRPr="00E970A6">
        <w:rPr>
          <w:rFonts w:ascii="Arial" w:hAnsi="Arial" w:cs="Arial"/>
          <w:sz w:val="24"/>
          <w:szCs w:val="24"/>
          <w:lang w:val="es-ES" w:eastAsia="es-CO"/>
        </w:rPr>
        <w:t xml:space="preserve">Modificar el Anexo 1 </w:t>
      </w:r>
      <w:r w:rsidRPr="00E970A6">
        <w:rPr>
          <w:rFonts w:ascii="Arial" w:hAnsi="Arial" w:cs="Arial"/>
          <w:sz w:val="24"/>
          <w:szCs w:val="24"/>
          <w:lang w:val="es-CO" w:eastAsia="es-CO"/>
        </w:rPr>
        <w:t>del</w:t>
      </w:r>
      <w:r w:rsidRPr="00E970A6">
        <w:rPr>
          <w:rFonts w:ascii="Arial" w:eastAsia="Calibri" w:hAnsi="Arial" w:cs="Arial"/>
          <w:sz w:val="24"/>
          <w:szCs w:val="24"/>
          <w:lang w:val="x-none" w:eastAsia="es-CO"/>
        </w:rPr>
        <w:t xml:space="preserve"> Título IV de la Parte II de la </w:t>
      </w:r>
      <w:r w:rsidRPr="00E970A6">
        <w:rPr>
          <w:rFonts w:ascii="Arial" w:eastAsia="Calibri" w:hAnsi="Arial" w:cs="Arial"/>
          <w:sz w:val="24"/>
          <w:szCs w:val="24"/>
          <w:lang w:val="es-CO" w:eastAsia="es-CO"/>
        </w:rPr>
        <w:t>Circular Básica Jurídica, denominado Tarifa Máxima Anual en Salarios Mínimos Legales Diarios Vigentes del Seguro Obligatorio de Accidentes de Tránsito (SOAT)</w:t>
      </w:r>
      <w:r w:rsidR="00845E12">
        <w:rPr>
          <w:rFonts w:ascii="Arial" w:eastAsia="Calibri" w:hAnsi="Arial" w:cs="Arial"/>
          <w:sz w:val="24"/>
          <w:szCs w:val="24"/>
          <w:lang w:val="es-CO" w:eastAsia="es-CO"/>
        </w:rPr>
        <w:t>,</w:t>
      </w:r>
      <w:r w:rsidR="00DC07B8" w:rsidRPr="00E970A6">
        <w:rPr>
          <w:rFonts w:ascii="Arial" w:eastAsia="Calibri" w:hAnsi="Arial" w:cs="Arial"/>
          <w:sz w:val="24"/>
          <w:szCs w:val="24"/>
          <w:lang w:val="es-CO" w:eastAsia="es-CO"/>
        </w:rPr>
        <w:t xml:space="preserve"> con el objetivo de fijar las tarifas máximas aplicables</w:t>
      </w:r>
      <w:r w:rsidR="00181069" w:rsidRPr="00E970A6">
        <w:rPr>
          <w:rFonts w:ascii="Arial" w:eastAsia="Calibri" w:hAnsi="Arial" w:cs="Arial"/>
          <w:sz w:val="24"/>
          <w:szCs w:val="24"/>
          <w:lang w:val="es-CO" w:eastAsia="es-CO"/>
        </w:rPr>
        <w:t>.</w:t>
      </w:r>
    </w:p>
    <w:p w14:paraId="1C8C252E" w14:textId="77777777" w:rsidR="00DC07B8" w:rsidRPr="00E970A6" w:rsidRDefault="00DC07B8" w:rsidP="007558D2">
      <w:pPr>
        <w:jc w:val="both"/>
        <w:rPr>
          <w:rFonts w:ascii="Arial" w:eastAsia="Calibri" w:hAnsi="Arial" w:cs="Arial"/>
          <w:sz w:val="24"/>
          <w:szCs w:val="24"/>
          <w:lang w:val="es-CO" w:eastAsia="es-CO"/>
        </w:rPr>
      </w:pPr>
    </w:p>
    <w:p w14:paraId="477B2775" w14:textId="47BE8E44" w:rsidR="00CA2B3E" w:rsidRPr="00E970A6" w:rsidRDefault="00266EDB" w:rsidP="00CA2B3E">
      <w:pPr>
        <w:jc w:val="both"/>
        <w:rPr>
          <w:rFonts w:ascii="Arial" w:eastAsia="Calibri" w:hAnsi="Arial" w:cs="Arial"/>
          <w:sz w:val="24"/>
          <w:szCs w:val="24"/>
          <w:lang w:val="es-CO" w:eastAsia="es-CO"/>
        </w:rPr>
      </w:pPr>
      <w:r w:rsidRPr="00E970A6">
        <w:rPr>
          <w:rFonts w:ascii="Arial" w:eastAsia="Calibri" w:hAnsi="Arial" w:cs="Arial"/>
          <w:b/>
          <w:bCs/>
          <w:sz w:val="24"/>
          <w:szCs w:val="24"/>
          <w:lang w:val="es-CO" w:eastAsia="es-CO"/>
        </w:rPr>
        <w:t>SEGUNDA:</w:t>
      </w:r>
      <w:r w:rsidR="00305A71" w:rsidRPr="00E970A6">
        <w:rPr>
          <w:rFonts w:ascii="Arial" w:eastAsia="Calibri" w:hAnsi="Arial" w:cs="Arial"/>
          <w:sz w:val="24"/>
          <w:szCs w:val="24"/>
          <w:lang w:val="es-CO" w:eastAsia="es-CO"/>
        </w:rPr>
        <w:t xml:space="preserve"> </w:t>
      </w:r>
      <w:r w:rsidR="00E970A6" w:rsidRPr="00E970A6">
        <w:rPr>
          <w:rFonts w:ascii="Arial" w:eastAsia="Calibri" w:hAnsi="Arial" w:cs="Arial"/>
          <w:sz w:val="24"/>
          <w:szCs w:val="24"/>
          <w:lang w:val="es-CO" w:eastAsia="es-CO"/>
        </w:rPr>
        <w:t>E</w:t>
      </w:r>
      <w:r w:rsidR="00CA2B3E" w:rsidRPr="00E970A6">
        <w:rPr>
          <w:rFonts w:ascii="Arial" w:eastAsia="Calibri" w:hAnsi="Arial" w:cs="Arial"/>
          <w:sz w:val="24"/>
          <w:szCs w:val="24"/>
          <w:lang w:val="es-CO" w:eastAsia="es-CO"/>
        </w:rPr>
        <w:t xml:space="preserve">n relación con las categorías </w:t>
      </w:r>
      <w:r w:rsidR="00C24277" w:rsidRPr="00E970A6">
        <w:rPr>
          <w:rFonts w:ascii="Arial" w:eastAsia="Calibri" w:hAnsi="Arial" w:cs="Arial"/>
          <w:sz w:val="24"/>
          <w:szCs w:val="24"/>
          <w:lang w:val="es-CO" w:eastAsia="es-CO"/>
        </w:rPr>
        <w:t xml:space="preserve">que pertenecen al </w:t>
      </w:r>
      <w:r w:rsidR="00CA2B3E" w:rsidRPr="00E970A6">
        <w:rPr>
          <w:rFonts w:ascii="Arial" w:eastAsia="Calibri" w:hAnsi="Arial" w:cs="Arial"/>
          <w:sz w:val="24"/>
          <w:szCs w:val="24"/>
          <w:lang w:val="es-CO" w:eastAsia="es-CO"/>
        </w:rPr>
        <w:t>rango diferencial por riesgo definidas en el artículo 1 del Decreto 2497 de 2022</w:t>
      </w:r>
      <w:r w:rsidR="00C24277" w:rsidRPr="00E970A6">
        <w:rPr>
          <w:rFonts w:ascii="Arial" w:eastAsia="Calibri" w:hAnsi="Arial" w:cs="Arial"/>
          <w:sz w:val="24"/>
          <w:szCs w:val="24"/>
          <w:lang w:val="es-CO" w:eastAsia="es-CO"/>
        </w:rPr>
        <w:t>, y de conformidad con las disposiciones allí contenidas</w:t>
      </w:r>
      <w:r w:rsidR="00E970A6">
        <w:rPr>
          <w:rFonts w:ascii="Arial" w:eastAsia="Calibri" w:hAnsi="Arial" w:cs="Arial"/>
          <w:sz w:val="24"/>
          <w:szCs w:val="24"/>
          <w:lang w:val="es-CO" w:eastAsia="es-CO"/>
        </w:rPr>
        <w:t>,</w:t>
      </w:r>
      <w:r w:rsidR="00C24277" w:rsidRPr="00E970A6">
        <w:rPr>
          <w:rFonts w:ascii="Arial" w:eastAsia="Calibri" w:hAnsi="Arial" w:cs="Arial"/>
          <w:sz w:val="24"/>
          <w:szCs w:val="24"/>
          <w:lang w:val="es-CO" w:eastAsia="es-CO"/>
        </w:rPr>
        <w:t xml:space="preserve"> el valor a pagar equivaldrá aproximadamente al</w:t>
      </w:r>
      <w:r w:rsidR="00845E12">
        <w:rPr>
          <w:rFonts w:ascii="Arial" w:eastAsia="Calibri" w:hAnsi="Arial" w:cs="Arial"/>
          <w:sz w:val="24"/>
          <w:szCs w:val="24"/>
          <w:lang w:val="es-CO" w:eastAsia="es-CO"/>
        </w:rPr>
        <w:t xml:space="preserve"> </w:t>
      </w:r>
      <w:r w:rsidR="00C24277" w:rsidRPr="00E970A6">
        <w:rPr>
          <w:rFonts w:ascii="Arial" w:eastAsia="Calibri" w:hAnsi="Arial" w:cs="Arial"/>
          <w:sz w:val="24"/>
          <w:szCs w:val="24"/>
          <w:lang w:val="es-CO" w:eastAsia="es-CO"/>
        </w:rPr>
        <w:t xml:space="preserve">50% del precio final </w:t>
      </w:r>
      <w:r w:rsidR="006C0FA7">
        <w:rPr>
          <w:rFonts w:ascii="Arial" w:eastAsia="Calibri" w:hAnsi="Arial" w:cs="Arial"/>
          <w:sz w:val="24"/>
          <w:szCs w:val="24"/>
          <w:lang w:val="es-CO" w:eastAsia="es-CO"/>
        </w:rPr>
        <w:t xml:space="preserve">en pesos </w:t>
      </w:r>
      <w:r w:rsidR="00C24277" w:rsidRPr="00E970A6">
        <w:rPr>
          <w:rFonts w:ascii="Arial" w:eastAsia="Calibri" w:hAnsi="Arial" w:cs="Arial"/>
          <w:sz w:val="24"/>
          <w:szCs w:val="24"/>
          <w:lang w:val="es-CO" w:eastAsia="es-CO"/>
        </w:rPr>
        <w:t>vigente al</w:t>
      </w:r>
      <w:r w:rsidR="00845E12">
        <w:rPr>
          <w:rFonts w:ascii="Arial" w:eastAsia="Calibri" w:hAnsi="Arial" w:cs="Arial"/>
          <w:sz w:val="24"/>
          <w:szCs w:val="24"/>
          <w:lang w:val="es-CO" w:eastAsia="es-CO"/>
        </w:rPr>
        <w:t xml:space="preserve"> </w:t>
      </w:r>
      <w:r w:rsidR="00C24277" w:rsidRPr="00E970A6">
        <w:rPr>
          <w:rFonts w:ascii="Arial" w:eastAsia="Calibri" w:hAnsi="Arial" w:cs="Arial"/>
          <w:sz w:val="24"/>
          <w:szCs w:val="24"/>
          <w:lang w:val="es-CO" w:eastAsia="es-CO"/>
        </w:rPr>
        <w:t>14</w:t>
      </w:r>
      <w:r w:rsidR="00845E12">
        <w:rPr>
          <w:rFonts w:ascii="Arial" w:eastAsia="Calibri" w:hAnsi="Arial" w:cs="Arial"/>
          <w:sz w:val="24"/>
          <w:szCs w:val="24"/>
          <w:lang w:val="es-CO" w:eastAsia="es-CO"/>
        </w:rPr>
        <w:t xml:space="preserve"> </w:t>
      </w:r>
      <w:r w:rsidR="00C24277" w:rsidRPr="00E970A6">
        <w:rPr>
          <w:rFonts w:ascii="Arial" w:eastAsia="Calibri" w:hAnsi="Arial" w:cs="Arial"/>
          <w:sz w:val="24"/>
          <w:szCs w:val="24"/>
          <w:lang w:val="es-CO" w:eastAsia="es-CO"/>
        </w:rPr>
        <w:t>de diciembre de 2022.</w:t>
      </w:r>
    </w:p>
    <w:p w14:paraId="5AA593DC" w14:textId="77777777" w:rsidR="00CA2B3E" w:rsidRPr="00E970A6" w:rsidRDefault="00CA2B3E" w:rsidP="00CA2B3E">
      <w:pPr>
        <w:jc w:val="both"/>
        <w:rPr>
          <w:rFonts w:ascii="Arial" w:eastAsia="Calibri" w:hAnsi="Arial" w:cs="Arial"/>
          <w:sz w:val="24"/>
          <w:szCs w:val="24"/>
          <w:lang w:val="es-CO" w:eastAsia="es-CO"/>
        </w:rPr>
      </w:pPr>
    </w:p>
    <w:p w14:paraId="1D264F64" w14:textId="45B5E930" w:rsidR="00CA2B3E" w:rsidRPr="00E970A6" w:rsidRDefault="00CA2B3E" w:rsidP="00CA2B3E">
      <w:pPr>
        <w:jc w:val="both"/>
        <w:rPr>
          <w:rFonts w:ascii="Arial" w:eastAsia="Calibri" w:hAnsi="Arial" w:cs="Arial"/>
          <w:sz w:val="24"/>
          <w:szCs w:val="24"/>
          <w:lang w:val="es-CO" w:eastAsia="es-CO"/>
        </w:rPr>
      </w:pPr>
      <w:r w:rsidRPr="00E970A6">
        <w:rPr>
          <w:rFonts w:ascii="Arial" w:eastAsia="Calibri" w:hAnsi="Arial" w:cs="Arial"/>
          <w:sz w:val="24"/>
          <w:szCs w:val="24"/>
          <w:lang w:val="es-CO" w:eastAsia="es-CO"/>
        </w:rPr>
        <w:t>Para el caso de las demás categorías, el valor final a pagar en pesos a partir del 1 de enero 2023</w:t>
      </w:r>
      <w:r w:rsidR="00C24277" w:rsidRPr="00E970A6">
        <w:rPr>
          <w:rFonts w:ascii="Arial" w:eastAsia="Calibri" w:hAnsi="Arial" w:cs="Arial"/>
          <w:sz w:val="24"/>
          <w:szCs w:val="24"/>
          <w:lang w:val="es-CO" w:eastAsia="es-CO"/>
        </w:rPr>
        <w:t xml:space="preserve"> </w:t>
      </w:r>
      <w:r w:rsidRPr="00E970A6">
        <w:rPr>
          <w:rFonts w:ascii="Arial" w:eastAsia="Calibri" w:hAnsi="Arial" w:cs="Arial"/>
          <w:sz w:val="24"/>
          <w:szCs w:val="24"/>
          <w:lang w:val="es-CO" w:eastAsia="es-CO"/>
        </w:rPr>
        <w:t xml:space="preserve">tendrá un incremento aproximado del 11.7% con respecto al valor pagado en 2022. </w:t>
      </w:r>
    </w:p>
    <w:p w14:paraId="6EBFBC43" w14:textId="4CA650C6" w:rsidR="00C24277" w:rsidRPr="00E970A6" w:rsidRDefault="00C24277" w:rsidP="00CA2B3E">
      <w:pPr>
        <w:jc w:val="both"/>
        <w:rPr>
          <w:rFonts w:ascii="Arial" w:eastAsia="Calibri" w:hAnsi="Arial" w:cs="Arial"/>
          <w:sz w:val="24"/>
          <w:szCs w:val="24"/>
          <w:lang w:val="es-CO" w:eastAsia="es-CO"/>
        </w:rPr>
      </w:pPr>
    </w:p>
    <w:p w14:paraId="2B52EC8F" w14:textId="60F8C73B" w:rsidR="00C24277" w:rsidRPr="00E970A6" w:rsidRDefault="00C24277" w:rsidP="00C24277">
      <w:pPr>
        <w:jc w:val="both"/>
        <w:rPr>
          <w:rFonts w:ascii="Arial" w:eastAsia="Calibri" w:hAnsi="Arial" w:cs="Arial"/>
          <w:sz w:val="24"/>
          <w:szCs w:val="24"/>
          <w:lang w:val="es-CO" w:eastAsia="es-CO"/>
        </w:rPr>
      </w:pPr>
      <w:r w:rsidRPr="00E970A6">
        <w:rPr>
          <w:rFonts w:ascii="Arial" w:eastAsia="Calibri" w:hAnsi="Arial" w:cs="Arial"/>
          <w:sz w:val="24"/>
          <w:szCs w:val="24"/>
          <w:lang w:val="es-CO" w:eastAsia="es-CO"/>
        </w:rPr>
        <w:t xml:space="preserve">El valor final a pagar es el resultado de sumar la tarifa máxima señalada en la instrucción primera expresada en pesos de acuerdo con el valor del salario mínimo aplicable a 2023, la contribución equivalente al 52% a la ADRES de conformidad con el literal b) del artículo 223 de la Ley 100 de 1993, modificado por el artículo 3 de la Ley 2161 de 2021, y la tasa RUNT, </w:t>
      </w:r>
      <w:r w:rsidRPr="001A293E">
        <w:rPr>
          <w:rFonts w:ascii="Arial" w:eastAsia="Calibri" w:hAnsi="Arial" w:cs="Arial"/>
          <w:sz w:val="24"/>
          <w:szCs w:val="24"/>
          <w:lang w:val="es-CO" w:eastAsia="es-CO"/>
        </w:rPr>
        <w:t>atendiendo a lo previsto en la Resolución 20223040055235 del 13 de septiembre 2022 del Ministerio de Transporte.</w:t>
      </w:r>
      <w:r w:rsidRPr="00E970A6">
        <w:rPr>
          <w:rFonts w:ascii="Arial" w:eastAsia="Calibri" w:hAnsi="Arial" w:cs="Arial"/>
          <w:sz w:val="24"/>
          <w:szCs w:val="24"/>
          <w:lang w:val="es-CO" w:eastAsia="es-CO"/>
        </w:rPr>
        <w:t xml:space="preserve"> </w:t>
      </w:r>
    </w:p>
    <w:p w14:paraId="61C07B74" w14:textId="77777777" w:rsidR="00FD55D5" w:rsidRPr="00E970A6" w:rsidRDefault="00FD55D5" w:rsidP="007558D2">
      <w:pPr>
        <w:jc w:val="both"/>
        <w:rPr>
          <w:rFonts w:ascii="Arial" w:eastAsia="Calibri" w:hAnsi="Arial" w:cs="Arial"/>
          <w:sz w:val="24"/>
          <w:szCs w:val="24"/>
          <w:highlight w:val="yellow"/>
          <w:lang w:val="es-CO" w:eastAsia="es-CO"/>
        </w:rPr>
      </w:pPr>
    </w:p>
    <w:p w14:paraId="304CFFF6" w14:textId="77777777" w:rsidR="007558D2" w:rsidRPr="00E970A6" w:rsidRDefault="00266EDB" w:rsidP="007558D2">
      <w:pPr>
        <w:jc w:val="both"/>
        <w:rPr>
          <w:rFonts w:ascii="Arial" w:eastAsia="Calibri" w:hAnsi="Arial" w:cs="Arial"/>
          <w:sz w:val="24"/>
          <w:szCs w:val="24"/>
          <w:lang w:val="es-CO" w:eastAsia="es-CO"/>
        </w:rPr>
      </w:pPr>
      <w:r w:rsidRPr="00E970A6">
        <w:rPr>
          <w:rFonts w:ascii="Arial" w:eastAsia="Calibri" w:hAnsi="Arial" w:cs="Arial"/>
          <w:b/>
          <w:bCs/>
          <w:sz w:val="24"/>
          <w:szCs w:val="24"/>
          <w:lang w:val="es-CO" w:eastAsia="es-CO"/>
        </w:rPr>
        <w:t>TERCERA</w:t>
      </w:r>
      <w:r w:rsidR="007558D2" w:rsidRPr="00E970A6">
        <w:rPr>
          <w:rFonts w:ascii="Arial" w:eastAsia="Calibri" w:hAnsi="Arial" w:cs="Arial"/>
          <w:b/>
          <w:bCs/>
          <w:sz w:val="24"/>
          <w:szCs w:val="24"/>
          <w:lang w:val="es-CO" w:eastAsia="es-CO"/>
        </w:rPr>
        <w:t>:</w:t>
      </w:r>
      <w:r w:rsidR="00FD55D5" w:rsidRPr="00E970A6">
        <w:rPr>
          <w:rFonts w:ascii="Arial" w:eastAsia="Calibri" w:hAnsi="Arial" w:cs="Arial"/>
          <w:b/>
          <w:bCs/>
          <w:sz w:val="24"/>
          <w:szCs w:val="24"/>
          <w:lang w:val="es-CO" w:eastAsia="es-CO"/>
        </w:rPr>
        <w:t xml:space="preserve"> </w:t>
      </w:r>
      <w:r w:rsidR="00D7191B" w:rsidRPr="00E970A6">
        <w:rPr>
          <w:rFonts w:ascii="Arial" w:eastAsia="Calibri" w:hAnsi="Arial" w:cs="Arial"/>
          <w:b/>
          <w:bCs/>
          <w:sz w:val="24"/>
          <w:szCs w:val="24"/>
          <w:lang w:val="es-CO" w:eastAsia="es-CO"/>
        </w:rPr>
        <w:t>V</w:t>
      </w:r>
      <w:r w:rsidR="00FD55D5" w:rsidRPr="00E970A6">
        <w:rPr>
          <w:rFonts w:ascii="Arial" w:eastAsia="Calibri" w:hAnsi="Arial" w:cs="Arial"/>
          <w:b/>
          <w:bCs/>
          <w:sz w:val="24"/>
          <w:szCs w:val="24"/>
          <w:lang w:val="es-CO" w:eastAsia="es-CO"/>
        </w:rPr>
        <w:t>igencia.</w:t>
      </w:r>
      <w:r w:rsidR="008939C5" w:rsidRPr="00E970A6">
        <w:rPr>
          <w:rFonts w:ascii="Arial" w:eastAsia="Calibri" w:hAnsi="Arial" w:cs="Arial"/>
          <w:b/>
          <w:bCs/>
          <w:sz w:val="24"/>
          <w:szCs w:val="24"/>
          <w:lang w:val="es-CO" w:eastAsia="es-CO"/>
        </w:rPr>
        <w:t xml:space="preserve"> </w:t>
      </w:r>
      <w:r w:rsidR="007558D2" w:rsidRPr="00E970A6">
        <w:rPr>
          <w:rFonts w:ascii="Arial" w:hAnsi="Arial" w:cs="Arial"/>
          <w:sz w:val="24"/>
          <w:szCs w:val="24"/>
        </w:rPr>
        <w:t>La presente circular rige a partir del 1 de enero de 2023.</w:t>
      </w:r>
    </w:p>
    <w:p w14:paraId="15044CA6" w14:textId="77777777" w:rsidR="00C80E2C" w:rsidRPr="00E970A6" w:rsidRDefault="00C80E2C" w:rsidP="007558D2">
      <w:pPr>
        <w:jc w:val="both"/>
        <w:rPr>
          <w:rFonts w:ascii="Arial" w:hAnsi="Arial" w:cs="Arial"/>
          <w:sz w:val="24"/>
          <w:szCs w:val="24"/>
          <w:lang w:val="es-ES" w:eastAsia="es-CO"/>
        </w:rPr>
      </w:pPr>
    </w:p>
    <w:p w14:paraId="60FD2C55" w14:textId="77777777" w:rsidR="007558D2" w:rsidRPr="00E970A6" w:rsidRDefault="007558D2" w:rsidP="007558D2">
      <w:pPr>
        <w:jc w:val="both"/>
        <w:rPr>
          <w:rFonts w:ascii="Arial" w:hAnsi="Arial" w:cs="Arial"/>
          <w:sz w:val="24"/>
          <w:szCs w:val="24"/>
          <w:lang w:val="es-CO" w:eastAsia="es-CO"/>
        </w:rPr>
      </w:pPr>
      <w:r w:rsidRPr="00E970A6">
        <w:rPr>
          <w:rFonts w:ascii="Arial" w:hAnsi="Arial" w:cs="Arial"/>
          <w:sz w:val="24"/>
          <w:szCs w:val="24"/>
          <w:lang w:val="x-none" w:eastAsia="es-CO"/>
        </w:rPr>
        <w:t xml:space="preserve">Se </w:t>
      </w:r>
      <w:r w:rsidRPr="00E970A6">
        <w:rPr>
          <w:rFonts w:ascii="Arial" w:hAnsi="Arial" w:cs="Arial"/>
          <w:sz w:val="24"/>
          <w:szCs w:val="24"/>
          <w:lang w:val="es-CO" w:eastAsia="es-CO"/>
        </w:rPr>
        <w:t>adjunta</w:t>
      </w:r>
      <w:r w:rsidRPr="00E970A6">
        <w:rPr>
          <w:rFonts w:ascii="Arial" w:hAnsi="Arial" w:cs="Arial"/>
          <w:sz w:val="24"/>
          <w:szCs w:val="24"/>
          <w:lang w:val="x-none" w:eastAsia="es-CO"/>
        </w:rPr>
        <w:t xml:space="preserve"> </w:t>
      </w:r>
      <w:r w:rsidRPr="00E970A6">
        <w:rPr>
          <w:rFonts w:ascii="Arial" w:hAnsi="Arial" w:cs="Arial"/>
          <w:sz w:val="24"/>
          <w:szCs w:val="24"/>
          <w:lang w:val="es-CO" w:eastAsia="es-CO"/>
        </w:rPr>
        <w:t>el anexo modificado.</w:t>
      </w:r>
    </w:p>
    <w:p w14:paraId="6B9AA346" w14:textId="77777777" w:rsidR="00C80E2C" w:rsidRPr="00E970A6" w:rsidRDefault="00C80E2C" w:rsidP="007558D2">
      <w:pPr>
        <w:widowControl w:val="0"/>
        <w:adjustRightInd w:val="0"/>
        <w:jc w:val="both"/>
        <w:rPr>
          <w:rFonts w:ascii="Arial" w:hAnsi="Arial" w:cs="Arial"/>
          <w:sz w:val="24"/>
          <w:szCs w:val="24"/>
          <w:lang w:val="es-CO" w:eastAsia="es-CO"/>
        </w:rPr>
      </w:pPr>
    </w:p>
    <w:p w14:paraId="2676B1F0" w14:textId="77777777" w:rsidR="007558D2" w:rsidRPr="00E970A6" w:rsidRDefault="007558D2" w:rsidP="007558D2">
      <w:pPr>
        <w:widowControl w:val="0"/>
        <w:adjustRightInd w:val="0"/>
        <w:jc w:val="both"/>
        <w:rPr>
          <w:rFonts w:ascii="Arial" w:hAnsi="Arial" w:cs="Arial"/>
          <w:sz w:val="24"/>
          <w:szCs w:val="24"/>
          <w:lang w:val="pt-BR" w:eastAsia="es-CO"/>
        </w:rPr>
      </w:pPr>
      <w:r w:rsidRPr="00E970A6">
        <w:rPr>
          <w:rFonts w:ascii="Arial" w:hAnsi="Arial" w:cs="Arial"/>
          <w:sz w:val="24"/>
          <w:szCs w:val="24"/>
          <w:lang w:val="pt-BR" w:eastAsia="es-CO"/>
        </w:rPr>
        <w:t>Cordialmente,</w:t>
      </w:r>
    </w:p>
    <w:p w14:paraId="32950141" w14:textId="77777777" w:rsidR="00C72D5E" w:rsidRPr="00E970A6" w:rsidRDefault="00C72D5E" w:rsidP="007558D2">
      <w:pPr>
        <w:widowControl w:val="0"/>
        <w:adjustRightInd w:val="0"/>
        <w:rPr>
          <w:rFonts w:ascii="Arial" w:hAnsi="Arial" w:cs="Arial"/>
          <w:sz w:val="24"/>
          <w:szCs w:val="24"/>
          <w:lang w:val="pt-BR" w:eastAsia="es-CO"/>
        </w:rPr>
      </w:pPr>
    </w:p>
    <w:p w14:paraId="195DF5E1" w14:textId="495B492D" w:rsidR="00594DB4" w:rsidRDefault="00594DB4" w:rsidP="007558D2">
      <w:pPr>
        <w:widowControl w:val="0"/>
        <w:adjustRightInd w:val="0"/>
        <w:rPr>
          <w:rFonts w:ascii="Arial" w:hAnsi="Arial" w:cs="Arial"/>
          <w:sz w:val="24"/>
          <w:szCs w:val="24"/>
          <w:lang w:val="pt-BR" w:eastAsia="es-CO"/>
        </w:rPr>
      </w:pPr>
    </w:p>
    <w:p w14:paraId="4E1315FE" w14:textId="77777777" w:rsidR="00E970A6" w:rsidRPr="00E970A6" w:rsidRDefault="00E970A6" w:rsidP="007558D2">
      <w:pPr>
        <w:widowControl w:val="0"/>
        <w:adjustRightInd w:val="0"/>
        <w:rPr>
          <w:rFonts w:ascii="Arial" w:hAnsi="Arial" w:cs="Arial"/>
          <w:sz w:val="24"/>
          <w:szCs w:val="24"/>
          <w:lang w:val="pt-BR" w:eastAsia="es-CO"/>
        </w:rPr>
      </w:pPr>
    </w:p>
    <w:p w14:paraId="44AE755B" w14:textId="77777777" w:rsidR="00EF5AAD" w:rsidRPr="00E970A6" w:rsidRDefault="00EF5AAD" w:rsidP="007558D2">
      <w:pPr>
        <w:widowControl w:val="0"/>
        <w:adjustRightInd w:val="0"/>
        <w:rPr>
          <w:rFonts w:ascii="Arial" w:hAnsi="Arial" w:cs="Arial"/>
          <w:sz w:val="24"/>
          <w:szCs w:val="24"/>
          <w:lang w:val="pt-BR" w:eastAsia="es-CO"/>
        </w:rPr>
      </w:pPr>
    </w:p>
    <w:p w14:paraId="73D8FBDF" w14:textId="77777777" w:rsidR="007558D2" w:rsidRPr="00E970A6" w:rsidRDefault="000A5501" w:rsidP="007558D2">
      <w:pPr>
        <w:widowControl w:val="0"/>
        <w:adjustRightInd w:val="0"/>
        <w:outlineLvl w:val="0"/>
        <w:rPr>
          <w:rFonts w:ascii="Arial" w:hAnsi="Arial" w:cs="Arial"/>
          <w:b/>
          <w:bCs/>
          <w:sz w:val="24"/>
          <w:szCs w:val="24"/>
          <w:lang w:val="pt-BR" w:eastAsia="es-CO"/>
        </w:rPr>
      </w:pPr>
      <w:r w:rsidRPr="00E970A6">
        <w:rPr>
          <w:rFonts w:ascii="Arial" w:hAnsi="Arial" w:cs="Arial"/>
          <w:b/>
          <w:bCs/>
          <w:sz w:val="24"/>
          <w:szCs w:val="24"/>
          <w:lang w:val="pt-BR" w:eastAsia="es-CO"/>
        </w:rPr>
        <w:t xml:space="preserve">JUAN CARLOS MENDOZA GUTIÉRREZ DE PIÑERES </w:t>
      </w:r>
    </w:p>
    <w:p w14:paraId="664395B7" w14:textId="77777777" w:rsidR="007558D2" w:rsidRPr="00E970A6" w:rsidRDefault="007558D2" w:rsidP="007558D2">
      <w:pPr>
        <w:ind w:right="-160"/>
        <w:outlineLvl w:val="0"/>
        <w:rPr>
          <w:rFonts w:ascii="Arial" w:hAnsi="Arial" w:cs="Arial"/>
          <w:sz w:val="24"/>
          <w:szCs w:val="24"/>
          <w:lang w:val="pt-BR" w:eastAsia="es-CO"/>
        </w:rPr>
      </w:pPr>
      <w:r w:rsidRPr="00E970A6">
        <w:rPr>
          <w:rFonts w:ascii="Arial" w:hAnsi="Arial" w:cs="Arial"/>
          <w:sz w:val="24"/>
          <w:szCs w:val="24"/>
          <w:lang w:val="pt-BR" w:eastAsia="es-CO"/>
        </w:rPr>
        <w:t xml:space="preserve">Superintendente </w:t>
      </w:r>
      <w:r w:rsidRPr="00E970A6">
        <w:rPr>
          <w:rFonts w:ascii="Arial" w:hAnsi="Arial" w:cs="Arial"/>
          <w:sz w:val="24"/>
          <w:szCs w:val="24"/>
          <w:lang w:val="es-ES" w:eastAsia="es-CO"/>
        </w:rPr>
        <w:t>Financiero</w:t>
      </w:r>
      <w:r w:rsidR="000A5501" w:rsidRPr="00E970A6">
        <w:rPr>
          <w:rFonts w:ascii="Arial" w:hAnsi="Arial" w:cs="Arial"/>
          <w:sz w:val="24"/>
          <w:szCs w:val="24"/>
          <w:lang w:val="es-ES" w:eastAsia="es-CO"/>
        </w:rPr>
        <w:t xml:space="preserve"> (e)</w:t>
      </w:r>
    </w:p>
    <w:p w14:paraId="49D3897D" w14:textId="77777777" w:rsidR="007558D2" w:rsidRPr="00E970A6" w:rsidRDefault="007558D2" w:rsidP="007558D2">
      <w:pPr>
        <w:ind w:right="-160"/>
        <w:rPr>
          <w:rFonts w:ascii="Arial" w:hAnsi="Arial" w:cs="Arial"/>
          <w:b/>
          <w:sz w:val="24"/>
          <w:szCs w:val="24"/>
        </w:rPr>
      </w:pPr>
      <w:r w:rsidRPr="00E970A6">
        <w:rPr>
          <w:rFonts w:ascii="Arial" w:hAnsi="Arial" w:cs="Arial"/>
          <w:sz w:val="24"/>
          <w:szCs w:val="24"/>
          <w:lang w:val="pt-BR" w:eastAsia="es-CO"/>
        </w:rPr>
        <w:t>50000</w:t>
      </w:r>
    </w:p>
    <w:p w14:paraId="534E4B7D" w14:textId="77777777" w:rsidR="00F87400" w:rsidRPr="007558D2" w:rsidRDefault="00F87400" w:rsidP="007558D2"/>
    <w:sectPr w:rsidR="00F87400" w:rsidRPr="007558D2" w:rsidSect="00A373F5">
      <w:headerReference w:type="default" r:id="rId17"/>
      <w:headerReference w:type="first" r:id="rId18"/>
      <w:pgSz w:w="12242" w:h="18722" w:code="14"/>
      <w:pgMar w:top="1418" w:right="1752" w:bottom="1928" w:left="1701" w:header="720" w:footer="851"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1CE4" w14:textId="77777777" w:rsidR="00A54A73" w:rsidRDefault="00A54A73">
      <w:r>
        <w:separator/>
      </w:r>
    </w:p>
  </w:endnote>
  <w:endnote w:type="continuationSeparator" w:id="0">
    <w:p w14:paraId="493ECBF4" w14:textId="77777777" w:rsidR="00A54A73" w:rsidRDefault="00A5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689C" w14:textId="77777777" w:rsidR="00E872E1" w:rsidRDefault="00E872E1">
    <w:pPr>
      <w:widowControl w:val="0"/>
      <w:autoSpaceDE w:val="0"/>
      <w:autoSpaceDN w:val="0"/>
      <w:adjustRightInd w:val="0"/>
      <w:jc w:val="both"/>
      <w:rPr>
        <w:rFonts w:ascii="Arial" w:hAnsi="Arial" w:cs="Arial"/>
        <w:sz w:val="22"/>
        <w:szCs w:val="22"/>
      </w:rPr>
    </w:pPr>
  </w:p>
  <w:p w14:paraId="28D0CC90" w14:textId="77777777" w:rsidR="00E872E1" w:rsidRDefault="00E872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CB90" w14:textId="77777777" w:rsidR="00E872E1" w:rsidRDefault="00E872E1">
    <w:pPr>
      <w:widowControl w:val="0"/>
      <w:autoSpaceDE w:val="0"/>
      <w:autoSpaceDN w:val="0"/>
      <w:adjustRightInd w:val="0"/>
      <w:jc w:val="both"/>
      <w:rPr>
        <w:rFonts w:ascii="Arial" w:hAnsi="Arial" w:cs="Arial"/>
        <w:sz w:val="22"/>
        <w:szCs w:val="22"/>
      </w:rPr>
    </w:pPr>
  </w:p>
  <w:p w14:paraId="395F2AFB" w14:textId="77777777" w:rsidR="00E872E1" w:rsidRDefault="00E872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7398" w14:textId="77777777" w:rsidR="00A54A73" w:rsidRDefault="00A54A73">
      <w:r>
        <w:separator/>
      </w:r>
    </w:p>
  </w:footnote>
  <w:footnote w:type="continuationSeparator" w:id="0">
    <w:p w14:paraId="5A2643E9" w14:textId="77777777" w:rsidR="00A54A73" w:rsidRDefault="00A5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2778" w14:textId="77777777" w:rsidR="00E872E1" w:rsidRPr="00966903" w:rsidRDefault="00E872E1" w:rsidP="00D93B2E">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44D61005" w14:textId="77777777" w:rsidR="00E872E1" w:rsidRDefault="00E872E1" w:rsidP="00D93B2E">
    <w:pPr>
      <w:pStyle w:val="Encabezado"/>
      <w:jc w:val="center"/>
      <w:rPr>
        <w:rFonts w:cs="Arial"/>
        <w:b/>
        <w:bCs/>
        <w:sz w:val="22"/>
        <w:szCs w:val="22"/>
        <w:lang w:val="es-ES"/>
      </w:rPr>
    </w:pPr>
  </w:p>
  <w:p w14:paraId="63315918" w14:textId="77777777" w:rsidR="00E872E1" w:rsidRPr="00966903" w:rsidRDefault="00E872E1" w:rsidP="00D93B2E">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2</w:t>
    </w:r>
    <w:r w:rsidRPr="00966903">
      <w:rPr>
        <w:rFonts w:ascii="Arial" w:hAnsi="Arial" w:cs="Arial"/>
        <w:b/>
        <w:bCs/>
        <w:sz w:val="24"/>
        <w:szCs w:val="24"/>
      </w:rPr>
      <w:t xml:space="preserve">                                                                Página </w:t>
    </w:r>
    <w:r>
      <w:rPr>
        <w:rFonts w:ascii="Arial" w:hAnsi="Arial" w:cs="Arial"/>
        <w:b/>
        <w:bCs/>
        <w:sz w:val="24"/>
        <w:szCs w:val="24"/>
      </w:rPr>
      <w:t>3</w:t>
    </w:r>
  </w:p>
  <w:p w14:paraId="7733E048" w14:textId="77777777" w:rsidR="00E872E1" w:rsidRDefault="00E872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4F11" w14:textId="77777777" w:rsidR="00E872E1" w:rsidRDefault="00E872E1">
    <w:pPr>
      <w:pStyle w:val="Encabezado"/>
      <w:jc w:val="center"/>
      <w:rPr>
        <w:rFonts w:ascii="Arial" w:hAnsi="Arial" w:cs="Arial"/>
        <w:b/>
        <w:sz w:val="24"/>
        <w:szCs w:val="24"/>
      </w:rPr>
    </w:pPr>
  </w:p>
  <w:p w14:paraId="0D543C4F" w14:textId="77777777" w:rsidR="00E872E1" w:rsidRDefault="00E872E1">
    <w:pPr>
      <w:pStyle w:val="Encabezado"/>
      <w:jc w:val="center"/>
      <w:rPr>
        <w:rFonts w:ascii="Arial" w:hAnsi="Arial" w:cs="Arial"/>
        <w:b/>
        <w:sz w:val="24"/>
        <w:szCs w:val="24"/>
      </w:rPr>
    </w:pPr>
  </w:p>
  <w:p w14:paraId="739A635C" w14:textId="77777777" w:rsidR="00E872E1" w:rsidRDefault="00E872E1">
    <w:pPr>
      <w:pStyle w:val="Encabezado"/>
      <w:jc w:val="center"/>
      <w:rPr>
        <w:rFonts w:ascii="Arial" w:hAnsi="Arial" w:cs="Arial"/>
        <w:b/>
        <w:sz w:val="24"/>
        <w:szCs w:val="24"/>
      </w:rPr>
    </w:pPr>
  </w:p>
  <w:p w14:paraId="04E2B743" w14:textId="77777777" w:rsidR="00E872E1" w:rsidRDefault="00E872E1">
    <w:pPr>
      <w:pStyle w:val="Encabezado"/>
      <w:jc w:val="center"/>
      <w:rPr>
        <w:rFonts w:ascii="Arial" w:hAnsi="Arial" w:cs="Arial"/>
        <w:b/>
        <w:sz w:val="24"/>
        <w:szCs w:val="24"/>
      </w:rPr>
    </w:pPr>
    <w:r>
      <w:rPr>
        <w:rFonts w:ascii="Arial" w:hAnsi="Arial" w:cs="Arial"/>
        <w:b/>
        <w:sz w:val="24"/>
        <w:szCs w:val="24"/>
      </w:rPr>
      <w:t>SUPERINTENDENCIA FINANCIERA DE COLOMBIA</w:t>
    </w:r>
  </w:p>
  <w:p w14:paraId="089D3C1E" w14:textId="77777777" w:rsidR="00E872E1" w:rsidRDefault="00E872E1">
    <w:pPr>
      <w:pStyle w:val="Encabezado"/>
      <w:jc w:val="center"/>
      <w:rPr>
        <w:rFonts w:ascii="Arial" w:hAnsi="Arial" w:cs="Arial"/>
        <w:b/>
        <w:bCs/>
        <w:sz w:val="24"/>
        <w:szCs w:val="24"/>
        <w:lang w:val="es-CO"/>
      </w:rPr>
    </w:pPr>
  </w:p>
  <w:p w14:paraId="1317F5E9" w14:textId="77777777" w:rsidR="00E872E1" w:rsidRDefault="00E872E1">
    <w:pPr>
      <w:pStyle w:val="Encabezado"/>
      <w:jc w:val="both"/>
      <w:rPr>
        <w:rFonts w:ascii="Arial" w:hAnsi="Arial" w:cs="Arial"/>
        <w:b/>
        <w:bCs/>
        <w:sz w:val="24"/>
        <w:szCs w:val="24"/>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6"/>
      <w:gridCol w:w="4399"/>
      <w:gridCol w:w="2052"/>
    </w:tblGrid>
    <w:tr w:rsidR="00E872E1" w14:paraId="36208D2B" w14:textId="77777777" w:rsidTr="0044428D">
      <w:trPr>
        <w:cantSplit/>
        <w:trHeight w:val="699"/>
      </w:trPr>
      <w:tc>
        <w:tcPr>
          <w:tcW w:w="2055" w:type="dxa"/>
          <w:vMerge w:val="restart"/>
          <w:noWrap/>
          <w:vAlign w:val="bottom"/>
        </w:tcPr>
        <w:p w14:paraId="797D6B73" w14:textId="77777777" w:rsidR="00E872E1" w:rsidRDefault="00E872E1" w:rsidP="000F6CB5">
          <w:pPr>
            <w:rPr>
              <w:rFonts w:cs="Arial"/>
              <w:sz w:val="2"/>
              <w:szCs w:val="2"/>
              <w:lang w:val="es-CO"/>
            </w:rPr>
          </w:pPr>
        </w:p>
        <w:p w14:paraId="5B900E3E" w14:textId="77777777" w:rsidR="00E872E1" w:rsidRDefault="00E872E1" w:rsidP="000F6CB5">
          <w:pPr>
            <w:rPr>
              <w:rFonts w:cs="Arial"/>
              <w:sz w:val="2"/>
              <w:szCs w:val="2"/>
              <w:lang w:val="es-CO"/>
            </w:rPr>
          </w:pPr>
        </w:p>
        <w:p w14:paraId="407F36EB" w14:textId="77777777" w:rsidR="00E872E1" w:rsidRDefault="00E872E1" w:rsidP="000F6CB5">
          <w:pPr>
            <w:rPr>
              <w:rFonts w:cs="Arial"/>
              <w:sz w:val="2"/>
              <w:szCs w:val="2"/>
              <w:lang w:val="es-CO"/>
            </w:rPr>
          </w:pPr>
        </w:p>
        <w:p w14:paraId="6B6A9967" w14:textId="77777777" w:rsidR="00E872E1" w:rsidRDefault="00E872E1" w:rsidP="000F6CB5">
          <w:pPr>
            <w:rPr>
              <w:rFonts w:cs="Arial"/>
              <w:sz w:val="2"/>
              <w:szCs w:val="2"/>
              <w:lang w:val="es-CO"/>
            </w:rPr>
          </w:pPr>
        </w:p>
        <w:p w14:paraId="738C01EC" w14:textId="77777777" w:rsidR="00E872E1" w:rsidRDefault="00E872E1" w:rsidP="000F6CB5">
          <w:pPr>
            <w:rPr>
              <w:rFonts w:cs="Arial"/>
              <w:sz w:val="2"/>
              <w:szCs w:val="2"/>
              <w:lang w:val="es-CO"/>
            </w:rPr>
          </w:pPr>
          <w:r>
            <w:rPr>
              <w:rFonts w:ascii="Arial" w:hAnsi="Arial" w:cs="Arial"/>
              <w:noProof/>
              <w:color w:val="000000"/>
              <w:lang w:eastAsia="es-CO"/>
            </w:rPr>
            <w:drawing>
              <wp:inline distT="0" distB="0" distL="0" distR="0" wp14:anchorId="1B03CCAB" wp14:editId="7BCF7F7A">
                <wp:extent cx="1343660" cy="485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485140"/>
                        </a:xfrm>
                        <a:prstGeom prst="rect">
                          <a:avLst/>
                        </a:prstGeom>
                        <a:noFill/>
                        <a:ln>
                          <a:noFill/>
                        </a:ln>
                      </pic:spPr>
                    </pic:pic>
                  </a:graphicData>
                </a:graphic>
              </wp:inline>
            </w:drawing>
          </w:r>
        </w:p>
      </w:tc>
      <w:tc>
        <w:tcPr>
          <w:tcW w:w="4399" w:type="dxa"/>
          <w:shd w:val="clear" w:color="auto" w:fill="FFFFFF"/>
          <w:noWrap/>
          <w:vAlign w:val="center"/>
        </w:tcPr>
        <w:p w14:paraId="5D329E2A" w14:textId="77777777" w:rsidR="00E872E1" w:rsidRDefault="00E872E1"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79EA8C98" w14:textId="77777777" w:rsidR="00E872E1" w:rsidRDefault="00E872E1" w:rsidP="000F6CB5">
          <w:pPr>
            <w:jc w:val="center"/>
            <w:rPr>
              <w:rFonts w:ascii="Arial" w:hAnsi="Arial" w:cs="Arial"/>
              <w:lang w:val="es-CO"/>
            </w:rPr>
          </w:pPr>
          <w:r>
            <w:rPr>
              <w:rFonts w:ascii="Arial" w:hAnsi="Arial" w:cs="Arial"/>
              <w:bCs/>
            </w:rPr>
            <w:t>E-PI-DDS-002</w:t>
          </w:r>
        </w:p>
      </w:tc>
    </w:tr>
    <w:tr w:rsidR="00E872E1" w14:paraId="0C38F1B0" w14:textId="77777777" w:rsidTr="00043B3D">
      <w:trPr>
        <w:cantSplit/>
        <w:trHeight w:val="378"/>
      </w:trPr>
      <w:tc>
        <w:tcPr>
          <w:tcW w:w="2055" w:type="dxa"/>
          <w:vMerge/>
          <w:noWrap/>
          <w:vAlign w:val="bottom"/>
        </w:tcPr>
        <w:p w14:paraId="19D47E78" w14:textId="77777777" w:rsidR="00E872E1" w:rsidRDefault="00E872E1" w:rsidP="000F6CB5">
          <w:pPr>
            <w:rPr>
              <w:rFonts w:cs="Arial"/>
              <w:color w:val="FFFFFF"/>
              <w:lang w:val="es-CO"/>
            </w:rPr>
          </w:pPr>
        </w:p>
      </w:tc>
      <w:tc>
        <w:tcPr>
          <w:tcW w:w="4399" w:type="dxa"/>
          <w:vAlign w:val="center"/>
        </w:tcPr>
        <w:p w14:paraId="08047EE4" w14:textId="77777777" w:rsidR="00E872E1" w:rsidRDefault="00E872E1" w:rsidP="00564B20">
          <w:pPr>
            <w:pStyle w:val="Ttulo2"/>
            <w:jc w:val="center"/>
            <w:rPr>
              <w:rFonts w:cs="Arial"/>
            </w:rPr>
          </w:pPr>
          <w:r>
            <w:rPr>
              <w:rFonts w:cs="Arial"/>
            </w:rPr>
            <w:t>PUBLICACIÓN PARA COMENTARIOS NORMA</w:t>
          </w:r>
        </w:p>
      </w:tc>
      <w:tc>
        <w:tcPr>
          <w:tcW w:w="2052" w:type="dxa"/>
          <w:shd w:val="clear" w:color="auto" w:fill="FFFFFF"/>
          <w:noWrap/>
          <w:vAlign w:val="center"/>
        </w:tcPr>
        <w:p w14:paraId="2F849445" w14:textId="77777777" w:rsidR="00E872E1" w:rsidRDefault="00E872E1" w:rsidP="000F6CB5">
          <w:pPr>
            <w:jc w:val="center"/>
            <w:rPr>
              <w:rFonts w:ascii="Arial" w:hAnsi="Arial" w:cs="Arial"/>
              <w:lang w:val="es-CO"/>
            </w:rPr>
          </w:pPr>
          <w:r>
            <w:rPr>
              <w:rFonts w:ascii="Arial" w:hAnsi="Arial" w:cs="Arial"/>
              <w:bCs/>
            </w:rPr>
            <w:t>Versión 5</w:t>
          </w:r>
        </w:p>
      </w:tc>
    </w:tr>
  </w:tbl>
  <w:p w14:paraId="7F9C9F83" w14:textId="77777777" w:rsidR="00E872E1" w:rsidRDefault="00E872E1" w:rsidP="00564B20">
    <w:pPr>
      <w:pStyle w:val="Encabezado"/>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C8D" w14:textId="77777777" w:rsidR="008517FF" w:rsidRPr="000A5501" w:rsidRDefault="008517FF" w:rsidP="001B2FBD">
    <w:pPr>
      <w:pStyle w:val="Piedepgina"/>
      <w:tabs>
        <w:tab w:val="clear" w:pos="4419"/>
        <w:tab w:val="clear" w:pos="8838"/>
        <w:tab w:val="center" w:pos="2340"/>
        <w:tab w:val="right" w:pos="9180"/>
      </w:tabs>
      <w:jc w:val="center"/>
      <w:rPr>
        <w:rFonts w:ascii="Arial" w:hAnsi="Arial" w:cs="Arial"/>
        <w:b/>
        <w:bCs/>
        <w:sz w:val="24"/>
        <w:szCs w:val="24"/>
      </w:rPr>
    </w:pPr>
    <w:r w:rsidRPr="000A5501">
      <w:rPr>
        <w:rFonts w:ascii="Arial" w:hAnsi="Arial" w:cs="Arial"/>
        <w:b/>
        <w:bCs/>
        <w:sz w:val="24"/>
        <w:szCs w:val="24"/>
      </w:rPr>
      <w:t>SUPERINTENDENCIA FINANCIERA DE COLOMBIA</w:t>
    </w:r>
  </w:p>
  <w:p w14:paraId="1991481E" w14:textId="77777777" w:rsidR="008517FF" w:rsidRDefault="008517FF" w:rsidP="001B2FBD">
    <w:pPr>
      <w:pStyle w:val="Piedepgina"/>
      <w:tabs>
        <w:tab w:val="clear" w:pos="4419"/>
        <w:tab w:val="clear" w:pos="8838"/>
        <w:tab w:val="center" w:pos="2340"/>
        <w:tab w:val="right" w:pos="9180"/>
      </w:tabs>
      <w:rPr>
        <w:rFonts w:ascii="Arial" w:hAnsi="Arial" w:cs="Arial"/>
        <w:b/>
        <w:bCs/>
        <w:sz w:val="22"/>
        <w:szCs w:val="22"/>
      </w:rPr>
    </w:pPr>
  </w:p>
  <w:p w14:paraId="758877E5" w14:textId="77777777" w:rsidR="008517FF" w:rsidRDefault="008517FF" w:rsidP="001B2FBD">
    <w:pPr>
      <w:pStyle w:val="Piedepgina"/>
      <w:tabs>
        <w:tab w:val="clear" w:pos="4419"/>
        <w:tab w:val="clear" w:pos="8838"/>
        <w:tab w:val="center" w:pos="2340"/>
        <w:tab w:val="right" w:pos="9180"/>
      </w:tabs>
      <w:rPr>
        <w:rFonts w:ascii="Arial" w:hAnsi="Arial" w:cs="Arial"/>
        <w:b/>
        <w:bCs/>
        <w:sz w:val="22"/>
        <w:szCs w:val="22"/>
      </w:rPr>
    </w:pPr>
  </w:p>
  <w:p w14:paraId="0F6C7399" w14:textId="77777777" w:rsidR="008517FF" w:rsidRPr="000A5501" w:rsidRDefault="008517FF" w:rsidP="000A5501">
    <w:pPr>
      <w:pStyle w:val="Piedepgina"/>
      <w:tabs>
        <w:tab w:val="clear" w:pos="4419"/>
        <w:tab w:val="clear" w:pos="8838"/>
        <w:tab w:val="center" w:pos="2340"/>
        <w:tab w:val="right" w:pos="8789"/>
      </w:tabs>
      <w:rPr>
        <w:rFonts w:ascii="Arial" w:hAnsi="Arial" w:cs="Arial"/>
        <w:b/>
        <w:bCs/>
      </w:rPr>
    </w:pPr>
    <w:r w:rsidRPr="000A5501">
      <w:rPr>
        <w:rFonts w:ascii="Arial" w:hAnsi="Arial" w:cs="Arial"/>
        <w:b/>
        <w:bCs/>
      </w:rPr>
      <w:t xml:space="preserve">Circular Externa </w:t>
    </w:r>
    <w:r w:rsidR="00307011" w:rsidRPr="000A5501">
      <w:rPr>
        <w:rFonts w:ascii="Arial" w:hAnsi="Arial" w:cs="Arial"/>
        <w:b/>
        <w:bCs/>
      </w:rPr>
      <w:t xml:space="preserve">         </w:t>
    </w:r>
    <w:r w:rsidRPr="000A5501">
      <w:rPr>
        <w:rFonts w:ascii="Arial" w:hAnsi="Arial" w:cs="Arial"/>
        <w:b/>
        <w:bCs/>
      </w:rPr>
      <w:tab/>
      <w:t>de 202</w:t>
    </w:r>
    <w:r w:rsidR="00307011" w:rsidRPr="000A5501">
      <w:rPr>
        <w:rFonts w:ascii="Arial" w:hAnsi="Arial" w:cs="Arial"/>
        <w:b/>
        <w:bCs/>
      </w:rPr>
      <w:t>2</w:t>
    </w:r>
    <w:r w:rsidRPr="000A5501">
      <w:rPr>
        <w:rFonts w:ascii="Arial" w:hAnsi="Arial" w:cs="Arial"/>
        <w:b/>
        <w:bCs/>
      </w:rPr>
      <w:tab/>
      <w:t xml:space="preserve">Página </w:t>
    </w:r>
    <w:r w:rsidRPr="000A5501">
      <w:rPr>
        <w:rFonts w:ascii="Arial" w:hAnsi="Arial" w:cs="Arial"/>
        <w:b/>
        <w:bCs/>
      </w:rPr>
      <w:fldChar w:fldCharType="begin"/>
    </w:r>
    <w:r w:rsidRPr="000A5501">
      <w:rPr>
        <w:rFonts w:ascii="Arial" w:hAnsi="Arial" w:cs="Arial"/>
        <w:b/>
        <w:bCs/>
      </w:rPr>
      <w:instrText xml:space="preserve"> </w:instrText>
    </w:r>
    <w:r w:rsidR="00162F39" w:rsidRPr="000A5501">
      <w:rPr>
        <w:rFonts w:ascii="Arial" w:hAnsi="Arial" w:cs="Arial"/>
        <w:b/>
        <w:bCs/>
      </w:rPr>
      <w:instrText>PAGE</w:instrText>
    </w:r>
    <w:r w:rsidRPr="000A5501">
      <w:rPr>
        <w:rFonts w:ascii="Arial" w:hAnsi="Arial" w:cs="Arial"/>
        <w:b/>
        <w:bCs/>
      </w:rPr>
      <w:instrText xml:space="preserve"> </w:instrText>
    </w:r>
    <w:r w:rsidRPr="000A5501">
      <w:rPr>
        <w:rFonts w:ascii="Arial" w:hAnsi="Arial" w:cs="Arial"/>
        <w:b/>
        <w:bCs/>
      </w:rPr>
      <w:fldChar w:fldCharType="separate"/>
    </w:r>
    <w:r w:rsidR="00446F76" w:rsidRPr="000A5501">
      <w:rPr>
        <w:rFonts w:ascii="Arial" w:hAnsi="Arial" w:cs="Arial"/>
        <w:b/>
        <w:bCs/>
        <w:noProof/>
      </w:rPr>
      <w:t>2</w:t>
    </w:r>
    <w:r w:rsidRPr="000A5501">
      <w:rPr>
        <w:rFonts w:ascii="Arial" w:hAnsi="Arial" w:cs="Arial"/>
        <w:b/>
        <w:bCs/>
      </w:rPr>
      <w:fldChar w:fldCharType="end"/>
    </w:r>
  </w:p>
  <w:p w14:paraId="4E9B5B2B" w14:textId="77777777" w:rsidR="008517FF" w:rsidRDefault="008517FF" w:rsidP="001B2FBD">
    <w:pPr>
      <w:pStyle w:val="Piedepgin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2E76" w14:textId="77777777" w:rsidR="00BD1BDE" w:rsidRDefault="00BD1BDE" w:rsidP="001B2FBD">
    <w:pPr>
      <w:jc w:val="center"/>
      <w:rPr>
        <w:rFonts w:ascii="Arial" w:hAnsi="Arial" w:cs="Arial"/>
        <w:b/>
        <w:bCs/>
      </w:rPr>
    </w:pPr>
  </w:p>
  <w:p w14:paraId="09991905" w14:textId="77777777" w:rsidR="008517FF" w:rsidRPr="000A5501" w:rsidRDefault="008517FF" w:rsidP="001B2FBD">
    <w:pPr>
      <w:jc w:val="center"/>
      <w:rPr>
        <w:sz w:val="24"/>
        <w:szCs w:val="24"/>
      </w:rPr>
    </w:pPr>
    <w:r w:rsidRPr="000A5501">
      <w:rPr>
        <w:rFonts w:ascii="Arial" w:hAnsi="Arial" w:cs="Arial"/>
        <w:b/>
        <w:bCs/>
        <w:sz w:val="24"/>
        <w:szCs w:val="24"/>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8CF2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4D1121"/>
    <w:multiLevelType w:val="hybridMultilevel"/>
    <w:tmpl w:val="A9944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7"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5"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7"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62863475">
    <w:abstractNumId w:val="12"/>
  </w:num>
  <w:num w:numId="2" w16cid:durableId="1953901044">
    <w:abstractNumId w:val="44"/>
  </w:num>
  <w:num w:numId="3" w16cid:durableId="657851673">
    <w:abstractNumId w:val="29"/>
  </w:num>
  <w:num w:numId="4" w16cid:durableId="868959117">
    <w:abstractNumId w:val="3"/>
  </w:num>
  <w:num w:numId="5" w16cid:durableId="1071586125">
    <w:abstractNumId w:val="2"/>
  </w:num>
  <w:num w:numId="6" w16cid:durableId="387267997">
    <w:abstractNumId w:val="1"/>
  </w:num>
  <w:num w:numId="7" w16cid:durableId="2082212737">
    <w:abstractNumId w:val="45"/>
  </w:num>
  <w:num w:numId="8" w16cid:durableId="266426546">
    <w:abstractNumId w:val="14"/>
  </w:num>
  <w:num w:numId="9" w16cid:durableId="2090687326">
    <w:abstractNumId w:val="38"/>
  </w:num>
  <w:num w:numId="10" w16cid:durableId="2080051178">
    <w:abstractNumId w:val="16"/>
  </w:num>
  <w:num w:numId="11" w16cid:durableId="617832317">
    <w:abstractNumId w:val="28"/>
  </w:num>
  <w:num w:numId="12" w16cid:durableId="475487000">
    <w:abstractNumId w:val="6"/>
  </w:num>
  <w:num w:numId="13" w16cid:durableId="20016972">
    <w:abstractNumId w:val="20"/>
  </w:num>
  <w:num w:numId="14" w16cid:durableId="376321747">
    <w:abstractNumId w:val="27"/>
  </w:num>
  <w:num w:numId="15" w16cid:durableId="1947226080">
    <w:abstractNumId w:val="13"/>
  </w:num>
  <w:num w:numId="16" w16cid:durableId="468132638">
    <w:abstractNumId w:val="15"/>
  </w:num>
  <w:num w:numId="17" w16cid:durableId="1861238955">
    <w:abstractNumId w:val="10"/>
  </w:num>
  <w:num w:numId="18" w16cid:durableId="310253696">
    <w:abstractNumId w:val="47"/>
  </w:num>
  <w:num w:numId="19" w16cid:durableId="750348756">
    <w:abstractNumId w:val="40"/>
  </w:num>
  <w:num w:numId="20" w16cid:durableId="736392010">
    <w:abstractNumId w:val="22"/>
  </w:num>
  <w:num w:numId="21" w16cid:durableId="716125547">
    <w:abstractNumId w:val="17"/>
  </w:num>
  <w:num w:numId="22" w16cid:durableId="2144498923">
    <w:abstractNumId w:val="18"/>
  </w:num>
  <w:num w:numId="23" w16cid:durableId="784422264">
    <w:abstractNumId w:val="9"/>
  </w:num>
  <w:num w:numId="24" w16cid:durableId="787240061">
    <w:abstractNumId w:val="26"/>
  </w:num>
  <w:num w:numId="25" w16cid:durableId="2051631">
    <w:abstractNumId w:val="39"/>
  </w:num>
  <w:num w:numId="26" w16cid:durableId="606153904">
    <w:abstractNumId w:val="25"/>
  </w:num>
  <w:num w:numId="27" w16cid:durableId="75323239">
    <w:abstractNumId w:val="46"/>
  </w:num>
  <w:num w:numId="28" w16cid:durableId="1185749063">
    <w:abstractNumId w:val="7"/>
  </w:num>
  <w:num w:numId="29" w16cid:durableId="493037029">
    <w:abstractNumId w:val="23"/>
  </w:num>
  <w:num w:numId="30" w16cid:durableId="1961951412">
    <w:abstractNumId w:val="21"/>
  </w:num>
  <w:num w:numId="31" w16cid:durableId="664741707">
    <w:abstractNumId w:val="41"/>
  </w:num>
  <w:num w:numId="32" w16cid:durableId="775635712">
    <w:abstractNumId w:val="34"/>
  </w:num>
  <w:num w:numId="33" w16cid:durableId="292291596">
    <w:abstractNumId w:val="5"/>
  </w:num>
  <w:num w:numId="34" w16cid:durableId="1940871118">
    <w:abstractNumId w:val="31"/>
  </w:num>
  <w:num w:numId="35" w16cid:durableId="1361006005">
    <w:abstractNumId w:val="11"/>
  </w:num>
  <w:num w:numId="36" w16cid:durableId="1388869430">
    <w:abstractNumId w:val="30"/>
  </w:num>
  <w:num w:numId="37" w16cid:durableId="704405604">
    <w:abstractNumId w:val="36"/>
  </w:num>
  <w:num w:numId="38" w16cid:durableId="643045887">
    <w:abstractNumId w:val="24"/>
  </w:num>
  <w:num w:numId="39" w16cid:durableId="97258673">
    <w:abstractNumId w:val="33"/>
  </w:num>
  <w:num w:numId="40" w16cid:durableId="603810025">
    <w:abstractNumId w:val="43"/>
  </w:num>
  <w:num w:numId="41" w16cid:durableId="54285149">
    <w:abstractNumId w:val="19"/>
  </w:num>
  <w:num w:numId="42" w16cid:durableId="1414082246">
    <w:abstractNumId w:val="32"/>
  </w:num>
  <w:num w:numId="43" w16cid:durableId="509951972">
    <w:abstractNumId w:val="4"/>
  </w:num>
  <w:num w:numId="44" w16cid:durableId="1446801596">
    <w:abstractNumId w:val="37"/>
  </w:num>
  <w:num w:numId="45" w16cid:durableId="927273270">
    <w:abstractNumId w:val="42"/>
  </w:num>
  <w:num w:numId="46" w16cid:durableId="1799294278">
    <w:abstractNumId w:val="35"/>
  </w:num>
  <w:num w:numId="47" w16cid:durableId="1909416787">
    <w:abstractNumId w:val="8"/>
  </w:num>
  <w:num w:numId="48" w16cid:durableId="7401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06728"/>
    <w:rsid w:val="00022709"/>
    <w:rsid w:val="000271DE"/>
    <w:rsid w:val="00043B3D"/>
    <w:rsid w:val="00047316"/>
    <w:rsid w:val="000554B3"/>
    <w:rsid w:val="00066339"/>
    <w:rsid w:val="00067BB4"/>
    <w:rsid w:val="000A5501"/>
    <w:rsid w:val="000B24B6"/>
    <w:rsid w:val="000D147B"/>
    <w:rsid w:val="000D500C"/>
    <w:rsid w:val="000F6CB5"/>
    <w:rsid w:val="00105575"/>
    <w:rsid w:val="00105DD3"/>
    <w:rsid w:val="00120DA4"/>
    <w:rsid w:val="00142537"/>
    <w:rsid w:val="001543F0"/>
    <w:rsid w:val="00162F39"/>
    <w:rsid w:val="001717D0"/>
    <w:rsid w:val="00180336"/>
    <w:rsid w:val="00181069"/>
    <w:rsid w:val="00190EE7"/>
    <w:rsid w:val="001925CB"/>
    <w:rsid w:val="0019442A"/>
    <w:rsid w:val="001A293E"/>
    <w:rsid w:val="001A4824"/>
    <w:rsid w:val="001B2FBD"/>
    <w:rsid w:val="001F71B3"/>
    <w:rsid w:val="0021176C"/>
    <w:rsid w:val="00236F29"/>
    <w:rsid w:val="0024104A"/>
    <w:rsid w:val="002532CA"/>
    <w:rsid w:val="00254717"/>
    <w:rsid w:val="00266EDB"/>
    <w:rsid w:val="00281839"/>
    <w:rsid w:val="00292ADA"/>
    <w:rsid w:val="002A503D"/>
    <w:rsid w:val="002B6E99"/>
    <w:rsid w:val="002D097D"/>
    <w:rsid w:val="002F4A2A"/>
    <w:rsid w:val="00300C1D"/>
    <w:rsid w:val="00305A71"/>
    <w:rsid w:val="00307011"/>
    <w:rsid w:val="003141F1"/>
    <w:rsid w:val="00316E05"/>
    <w:rsid w:val="00350C72"/>
    <w:rsid w:val="003520A1"/>
    <w:rsid w:val="00355A47"/>
    <w:rsid w:val="00364F60"/>
    <w:rsid w:val="0037411F"/>
    <w:rsid w:val="00374F5A"/>
    <w:rsid w:val="003760B7"/>
    <w:rsid w:val="00383D52"/>
    <w:rsid w:val="003918C3"/>
    <w:rsid w:val="003B77AB"/>
    <w:rsid w:val="003C3A59"/>
    <w:rsid w:val="003D6CD2"/>
    <w:rsid w:val="003E3CC3"/>
    <w:rsid w:val="003F1C66"/>
    <w:rsid w:val="00404235"/>
    <w:rsid w:val="004043B0"/>
    <w:rsid w:val="0040661C"/>
    <w:rsid w:val="00410CAB"/>
    <w:rsid w:val="00411C01"/>
    <w:rsid w:val="0042226E"/>
    <w:rsid w:val="00432607"/>
    <w:rsid w:val="00446F76"/>
    <w:rsid w:val="00451E47"/>
    <w:rsid w:val="004856EA"/>
    <w:rsid w:val="00490E74"/>
    <w:rsid w:val="004C1B80"/>
    <w:rsid w:val="004C2087"/>
    <w:rsid w:val="004D4692"/>
    <w:rsid w:val="004D5BBF"/>
    <w:rsid w:val="004E1077"/>
    <w:rsid w:val="004F3504"/>
    <w:rsid w:val="004F42B7"/>
    <w:rsid w:val="00507CE6"/>
    <w:rsid w:val="00513233"/>
    <w:rsid w:val="005158D5"/>
    <w:rsid w:val="00523DB1"/>
    <w:rsid w:val="00536EC5"/>
    <w:rsid w:val="00564B20"/>
    <w:rsid w:val="00565644"/>
    <w:rsid w:val="00575B02"/>
    <w:rsid w:val="00581497"/>
    <w:rsid w:val="00594DB4"/>
    <w:rsid w:val="00594F7E"/>
    <w:rsid w:val="005A6C30"/>
    <w:rsid w:val="005C399F"/>
    <w:rsid w:val="005D3E48"/>
    <w:rsid w:val="005D51F0"/>
    <w:rsid w:val="005D56E4"/>
    <w:rsid w:val="005F151F"/>
    <w:rsid w:val="005F2A4E"/>
    <w:rsid w:val="005F2AB3"/>
    <w:rsid w:val="005F49FF"/>
    <w:rsid w:val="005F5073"/>
    <w:rsid w:val="0060131B"/>
    <w:rsid w:val="00621A24"/>
    <w:rsid w:val="00630185"/>
    <w:rsid w:val="0064423D"/>
    <w:rsid w:val="0064680E"/>
    <w:rsid w:val="00650D57"/>
    <w:rsid w:val="0065171E"/>
    <w:rsid w:val="00651C99"/>
    <w:rsid w:val="00655C9D"/>
    <w:rsid w:val="00664B83"/>
    <w:rsid w:val="00677263"/>
    <w:rsid w:val="006B29A5"/>
    <w:rsid w:val="006B56BB"/>
    <w:rsid w:val="006C0FA7"/>
    <w:rsid w:val="006C2208"/>
    <w:rsid w:val="006C3856"/>
    <w:rsid w:val="006C71E2"/>
    <w:rsid w:val="006D2615"/>
    <w:rsid w:val="006D729E"/>
    <w:rsid w:val="006E395D"/>
    <w:rsid w:val="006E77B5"/>
    <w:rsid w:val="006F70A6"/>
    <w:rsid w:val="00706C97"/>
    <w:rsid w:val="007079D2"/>
    <w:rsid w:val="00713CB4"/>
    <w:rsid w:val="00725847"/>
    <w:rsid w:val="0074124D"/>
    <w:rsid w:val="0075215C"/>
    <w:rsid w:val="007558D2"/>
    <w:rsid w:val="007A4CED"/>
    <w:rsid w:val="007A55C7"/>
    <w:rsid w:val="007C0F8A"/>
    <w:rsid w:val="007C60E4"/>
    <w:rsid w:val="007E4209"/>
    <w:rsid w:val="008040C4"/>
    <w:rsid w:val="008078CF"/>
    <w:rsid w:val="0082088B"/>
    <w:rsid w:val="00824B7C"/>
    <w:rsid w:val="008339AB"/>
    <w:rsid w:val="00833AF8"/>
    <w:rsid w:val="00836A72"/>
    <w:rsid w:val="0084010C"/>
    <w:rsid w:val="00840192"/>
    <w:rsid w:val="00845E12"/>
    <w:rsid w:val="00846D3D"/>
    <w:rsid w:val="008517FF"/>
    <w:rsid w:val="008569E3"/>
    <w:rsid w:val="0086556F"/>
    <w:rsid w:val="00865CF7"/>
    <w:rsid w:val="008851D0"/>
    <w:rsid w:val="008939C5"/>
    <w:rsid w:val="00896D3F"/>
    <w:rsid w:val="008B697F"/>
    <w:rsid w:val="008C3D7D"/>
    <w:rsid w:val="008C78C6"/>
    <w:rsid w:val="008D1DF6"/>
    <w:rsid w:val="008D591E"/>
    <w:rsid w:val="008E4990"/>
    <w:rsid w:val="00903F36"/>
    <w:rsid w:val="00905054"/>
    <w:rsid w:val="009311C7"/>
    <w:rsid w:val="0093206E"/>
    <w:rsid w:val="009329C5"/>
    <w:rsid w:val="00935D94"/>
    <w:rsid w:val="00936ADB"/>
    <w:rsid w:val="00940E1D"/>
    <w:rsid w:val="00943F0C"/>
    <w:rsid w:val="009501EE"/>
    <w:rsid w:val="0095485C"/>
    <w:rsid w:val="00976010"/>
    <w:rsid w:val="00987935"/>
    <w:rsid w:val="00997CB7"/>
    <w:rsid w:val="009A147F"/>
    <w:rsid w:val="009A55F6"/>
    <w:rsid w:val="009B571B"/>
    <w:rsid w:val="009B5CE9"/>
    <w:rsid w:val="009B6AEB"/>
    <w:rsid w:val="009B74D7"/>
    <w:rsid w:val="009E46B0"/>
    <w:rsid w:val="00A00D29"/>
    <w:rsid w:val="00A067FA"/>
    <w:rsid w:val="00A164B8"/>
    <w:rsid w:val="00A21081"/>
    <w:rsid w:val="00A2224B"/>
    <w:rsid w:val="00A373F5"/>
    <w:rsid w:val="00A525B9"/>
    <w:rsid w:val="00A53CBA"/>
    <w:rsid w:val="00A54A73"/>
    <w:rsid w:val="00A567F0"/>
    <w:rsid w:val="00A57330"/>
    <w:rsid w:val="00A61CAF"/>
    <w:rsid w:val="00A662F8"/>
    <w:rsid w:val="00AA54A1"/>
    <w:rsid w:val="00AA571C"/>
    <w:rsid w:val="00AB264A"/>
    <w:rsid w:val="00AB3E49"/>
    <w:rsid w:val="00AC4C24"/>
    <w:rsid w:val="00AD5548"/>
    <w:rsid w:val="00AD5EAD"/>
    <w:rsid w:val="00AE395F"/>
    <w:rsid w:val="00AE6539"/>
    <w:rsid w:val="00B05C8F"/>
    <w:rsid w:val="00B30E9F"/>
    <w:rsid w:val="00B51F39"/>
    <w:rsid w:val="00B554EC"/>
    <w:rsid w:val="00B5653E"/>
    <w:rsid w:val="00B61C8B"/>
    <w:rsid w:val="00B84D43"/>
    <w:rsid w:val="00B9006B"/>
    <w:rsid w:val="00B97BF0"/>
    <w:rsid w:val="00BB3603"/>
    <w:rsid w:val="00BB37DA"/>
    <w:rsid w:val="00BC13D7"/>
    <w:rsid w:val="00BC3E10"/>
    <w:rsid w:val="00BD1BDE"/>
    <w:rsid w:val="00BE39E3"/>
    <w:rsid w:val="00C0496C"/>
    <w:rsid w:val="00C05FA2"/>
    <w:rsid w:val="00C06248"/>
    <w:rsid w:val="00C1575B"/>
    <w:rsid w:val="00C22C03"/>
    <w:rsid w:val="00C24277"/>
    <w:rsid w:val="00C27B50"/>
    <w:rsid w:val="00C31881"/>
    <w:rsid w:val="00C340E1"/>
    <w:rsid w:val="00C427B1"/>
    <w:rsid w:val="00C5240A"/>
    <w:rsid w:val="00C576DD"/>
    <w:rsid w:val="00C72D5E"/>
    <w:rsid w:val="00C80E2C"/>
    <w:rsid w:val="00C831F6"/>
    <w:rsid w:val="00C8742D"/>
    <w:rsid w:val="00C93BFC"/>
    <w:rsid w:val="00CA2B3E"/>
    <w:rsid w:val="00CA44FB"/>
    <w:rsid w:val="00CA5E50"/>
    <w:rsid w:val="00CB2623"/>
    <w:rsid w:val="00CD2018"/>
    <w:rsid w:val="00CD33D4"/>
    <w:rsid w:val="00CD7096"/>
    <w:rsid w:val="00CF0A40"/>
    <w:rsid w:val="00D04E17"/>
    <w:rsid w:val="00D058A6"/>
    <w:rsid w:val="00D071C4"/>
    <w:rsid w:val="00D16C5E"/>
    <w:rsid w:val="00D400E2"/>
    <w:rsid w:val="00D42D4C"/>
    <w:rsid w:val="00D477A1"/>
    <w:rsid w:val="00D7191B"/>
    <w:rsid w:val="00DB4C82"/>
    <w:rsid w:val="00DC07B8"/>
    <w:rsid w:val="00DC4A91"/>
    <w:rsid w:val="00DD0978"/>
    <w:rsid w:val="00DD7085"/>
    <w:rsid w:val="00DE5740"/>
    <w:rsid w:val="00DF3624"/>
    <w:rsid w:val="00DF6CF4"/>
    <w:rsid w:val="00E144A5"/>
    <w:rsid w:val="00E413D5"/>
    <w:rsid w:val="00E416CF"/>
    <w:rsid w:val="00E435E8"/>
    <w:rsid w:val="00E47C9B"/>
    <w:rsid w:val="00E530A0"/>
    <w:rsid w:val="00E642A2"/>
    <w:rsid w:val="00E66DC8"/>
    <w:rsid w:val="00E77E01"/>
    <w:rsid w:val="00E872E1"/>
    <w:rsid w:val="00E93C1D"/>
    <w:rsid w:val="00E970A6"/>
    <w:rsid w:val="00E979D9"/>
    <w:rsid w:val="00EA1049"/>
    <w:rsid w:val="00EA4B49"/>
    <w:rsid w:val="00EA4B95"/>
    <w:rsid w:val="00EA748E"/>
    <w:rsid w:val="00EB26B9"/>
    <w:rsid w:val="00EC226C"/>
    <w:rsid w:val="00EC56C5"/>
    <w:rsid w:val="00EC6395"/>
    <w:rsid w:val="00EC6CC7"/>
    <w:rsid w:val="00ED37AC"/>
    <w:rsid w:val="00EE3537"/>
    <w:rsid w:val="00EF5AAD"/>
    <w:rsid w:val="00F171FE"/>
    <w:rsid w:val="00F32DEC"/>
    <w:rsid w:val="00F450A3"/>
    <w:rsid w:val="00F55B7C"/>
    <w:rsid w:val="00F6044F"/>
    <w:rsid w:val="00F61F6E"/>
    <w:rsid w:val="00F70A31"/>
    <w:rsid w:val="00F7367E"/>
    <w:rsid w:val="00F822C8"/>
    <w:rsid w:val="00F8305E"/>
    <w:rsid w:val="00F87400"/>
    <w:rsid w:val="00F9082E"/>
    <w:rsid w:val="00FC3F04"/>
    <w:rsid w:val="00FD55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428DD"/>
  <w15:chartTrackingRefBased/>
  <w15:docId w15:val="{D9731ED0-15CD-48D1-995D-DAF2C468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styleId="Ttulo">
    <w:name w:val="Title"/>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link w:val="TextocomentarioCar"/>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BodyText22">
    <w:name w:val="Body Text 22"/>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rsid w:val="00575B02"/>
    <w:rPr>
      <w:lang w:val="es-ES_tradnl" w:eastAsia="es-ES"/>
    </w:rPr>
  </w:style>
  <w:style w:type="character" w:customStyle="1" w:styleId="PiedepginaCar">
    <w:name w:val="Pie de página Car"/>
    <w:link w:val="Piedepgina"/>
    <w:locked/>
    <w:rsid w:val="00A00D29"/>
    <w:rPr>
      <w:lang w:val="es-ES_tradnl" w:eastAsia="es-ES"/>
    </w:rPr>
  </w:style>
  <w:style w:type="character" w:customStyle="1" w:styleId="TextocomentarioCar">
    <w:name w:val="Texto comentario Car"/>
    <w:link w:val="Textocomentario"/>
    <w:rsid w:val="00A00D29"/>
    <w:rPr>
      <w:lang w:val="es-ES" w:eastAsia="es-ES"/>
    </w:rPr>
  </w:style>
  <w:style w:type="paragraph" w:customStyle="1" w:styleId="xmsonormal">
    <w:name w:val="x_msonormal"/>
    <w:basedOn w:val="Normal"/>
    <w:rsid w:val="00A00D29"/>
    <w:rPr>
      <w:rFonts w:ascii="Calibri" w:eastAsia="Calibri" w:hAnsi="Calibri" w:cs="Calibri"/>
      <w:sz w:val="22"/>
      <w:szCs w:val="22"/>
      <w:lang w:val="es-CO" w:eastAsia="es-CO"/>
    </w:rPr>
  </w:style>
  <w:style w:type="character" w:styleId="Refdecomentario">
    <w:name w:val="annotation reference"/>
    <w:rsid w:val="001717D0"/>
    <w:rPr>
      <w:sz w:val="16"/>
      <w:szCs w:val="16"/>
    </w:rPr>
  </w:style>
  <w:style w:type="paragraph" w:styleId="Asuntodelcomentario">
    <w:name w:val="annotation subject"/>
    <w:basedOn w:val="Textocomentario"/>
    <w:next w:val="Textocomentario"/>
    <w:link w:val="AsuntodelcomentarioCar"/>
    <w:rsid w:val="001717D0"/>
    <w:rPr>
      <w:b/>
      <w:bCs/>
      <w:lang w:val="es-ES_tradnl"/>
    </w:rPr>
  </w:style>
  <w:style w:type="character" w:customStyle="1" w:styleId="AsuntodelcomentarioCar">
    <w:name w:val="Asunto del comentario Car"/>
    <w:link w:val="Asuntodelcomentario"/>
    <w:rsid w:val="001717D0"/>
    <w:rPr>
      <w:b/>
      <w:bCs/>
      <w:lang w:val="es-ES_tradnl" w:eastAsia="es-ES"/>
    </w:rPr>
  </w:style>
  <w:style w:type="character" w:customStyle="1" w:styleId="normaltextrun">
    <w:name w:val="normaltextrun"/>
    <w:basedOn w:val="Fuentedeprrafopredeter"/>
    <w:rsid w:val="00254717"/>
  </w:style>
  <w:style w:type="character" w:customStyle="1" w:styleId="eop">
    <w:name w:val="eop"/>
    <w:basedOn w:val="Fuentedeprrafopredeter"/>
    <w:rsid w:val="0025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15785">
      <w:bodyDiv w:val="1"/>
      <w:marLeft w:val="0"/>
      <w:marRight w:val="0"/>
      <w:marTop w:val="0"/>
      <w:marBottom w:val="0"/>
      <w:divBdr>
        <w:top w:val="none" w:sz="0" w:space="0" w:color="auto"/>
        <w:left w:val="none" w:sz="0" w:space="0" w:color="auto"/>
        <w:bottom w:val="none" w:sz="0" w:space="0" w:color="auto"/>
        <w:right w:val="none" w:sz="0" w:space="0" w:color="auto"/>
      </w:divBdr>
    </w:div>
    <w:div w:id="213956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EDC471B0D4548B347D6D57CF8C79E" ma:contentTypeVersion="4" ma:contentTypeDescription="Create a new document." ma:contentTypeScope="" ma:versionID="1ce8d500f5713115104009b7763e25df">
  <xsd:schema xmlns:xsd="http://www.w3.org/2001/XMLSchema" xmlns:xs="http://www.w3.org/2001/XMLSchema" xmlns:p="http://schemas.microsoft.com/office/2006/metadata/properties" xmlns:ns2="1680885d-203f-4e88-bcd6-3a3ac6aab556" xmlns:ns3="eb6fea64-92b2-4d37-9b88-7189dfe81290" targetNamespace="http://schemas.microsoft.com/office/2006/metadata/properties" ma:root="true" ma:fieldsID="6daa5d74502743c2d2d161eff0287275" ns2:_="" ns3:_="">
    <xsd:import namespace="1680885d-203f-4e88-bcd6-3a3ac6aab556"/>
    <xsd:import namespace="eb6fea64-92b2-4d37-9b88-7189dfe81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0885d-203f-4e88-bcd6-3a3ac6aab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fea64-92b2-4d37-9b88-7189dfe81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D43A-FE37-AD4D-8E61-B9F5AECF68EA}">
  <ds:schemaRefs>
    <ds:schemaRef ds:uri="http://schemas.microsoft.com/sharepoint/v3/contenttype/forms"/>
  </ds:schemaRefs>
</ds:datastoreItem>
</file>

<file path=customXml/itemProps2.xml><?xml version="1.0" encoding="utf-8"?>
<ds:datastoreItem xmlns:ds="http://schemas.openxmlformats.org/officeDocument/2006/customXml" ds:itemID="{A43349A2-BF27-4E06-9412-1AE986281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5B8C5-53C6-40D3-80B6-9ACAF223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0885d-203f-4e88-bcd6-3a3ac6aab556"/>
    <ds:schemaRef ds:uri="eb6fea64-92b2-4d37-9b88-7189dfe81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B47B3-DA4B-F748-9372-6063CC58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1228</Words>
  <Characters>6758</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 CE</vt:lpstr>
      <vt:lpstr>Proy CE</vt:lpstr>
    </vt:vector>
  </TitlesOfParts>
  <Company>superfinanciera</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Juan Francisco López Vergara</cp:lastModifiedBy>
  <cp:revision>10</cp:revision>
  <cp:lastPrinted>2016-09-26T16:13:00Z</cp:lastPrinted>
  <dcterms:created xsi:type="dcterms:W3CDTF">2022-12-27T01:54:00Z</dcterms:created>
  <dcterms:modified xsi:type="dcterms:W3CDTF">2022-12-27T03:52:00Z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0x0101007A8D7D613AEC44408A1FBEE461E50E4E</vt:lpwstr>
  </property>
</Properties>
</file>