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9BA6"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4FC904B9"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6DC709B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07CDA461"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7727D582" w14:textId="5E477415"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PROYECTO DE</w:t>
      </w:r>
      <w:r w:rsidR="00964900">
        <w:rPr>
          <w:rFonts w:ascii="Arial" w:hAnsi="Arial" w:cs="Arial"/>
          <w:bCs/>
          <w:sz w:val="24"/>
          <w:szCs w:val="24"/>
        </w:rPr>
        <w:t xml:space="preserve"> </w:t>
      </w:r>
      <w:r w:rsidR="00964900" w:rsidRPr="00964900">
        <w:rPr>
          <w:rFonts w:ascii="Arial" w:hAnsi="Arial" w:cs="Arial"/>
          <w:b/>
          <w:sz w:val="24"/>
          <w:szCs w:val="24"/>
        </w:rPr>
        <w:t>CIRCULAR EXTERNA</w:t>
      </w:r>
      <w:r>
        <w:rPr>
          <w:rFonts w:ascii="Arial" w:hAnsi="Arial" w:cs="Arial"/>
          <w:b/>
          <w:bCs/>
          <w:sz w:val="24"/>
          <w:szCs w:val="24"/>
        </w:rPr>
        <w:t>:</w:t>
      </w:r>
      <w:r w:rsidR="00DE218E" w:rsidRPr="00DE218E">
        <w:rPr>
          <w:rFonts w:ascii="Arial" w:hAnsi="Arial" w:cs="Arial"/>
          <w:b/>
          <w:bCs/>
          <w:sz w:val="24"/>
          <w:szCs w:val="24"/>
        </w:rPr>
        <w:t xml:space="preserve"> </w:t>
      </w:r>
      <w:r w:rsidR="00DE218E" w:rsidRPr="00DE218E">
        <w:rPr>
          <w:rFonts w:ascii="Arial" w:hAnsi="Arial" w:cs="Arial"/>
          <w:sz w:val="24"/>
          <w:szCs w:val="24"/>
        </w:rPr>
        <w:t xml:space="preserve">Por medio de la cual </w:t>
      </w:r>
      <w:bookmarkStart w:id="0" w:name="_Hlk124252881"/>
      <w:r w:rsidR="00DE218E" w:rsidRPr="00DE218E">
        <w:rPr>
          <w:rFonts w:ascii="Arial" w:hAnsi="Arial" w:cs="Arial"/>
          <w:sz w:val="24"/>
          <w:szCs w:val="24"/>
        </w:rPr>
        <w:t>se imparten instrucciones relativas a los derivados de crédito que celebran las entidades vigiladas y la metodología de cálculo de la exposición crediticia en derivados financieros y productos estructurados</w:t>
      </w:r>
      <w:r w:rsidR="00DE218E">
        <w:rPr>
          <w:rFonts w:ascii="Arial" w:hAnsi="Arial" w:cs="Arial"/>
          <w:sz w:val="24"/>
          <w:szCs w:val="24"/>
        </w:rPr>
        <w:t>.</w:t>
      </w:r>
      <w:bookmarkEnd w:id="0"/>
    </w:p>
    <w:p w14:paraId="4E36C5E0"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p>
    <w:p w14:paraId="265200B6"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2F213E5" w14:textId="40030A12" w:rsidR="00B51F39" w:rsidRPr="00342400"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b/>
          <w:bCs/>
          <w:sz w:val="24"/>
          <w:szCs w:val="24"/>
        </w:rPr>
        <w:t>PROPÓSITO:</w:t>
      </w:r>
      <w:r w:rsidR="00342400">
        <w:rPr>
          <w:rFonts w:ascii="Arial" w:hAnsi="Arial" w:cs="Arial"/>
          <w:b/>
          <w:bCs/>
          <w:sz w:val="24"/>
          <w:szCs w:val="24"/>
        </w:rPr>
        <w:t xml:space="preserve"> </w:t>
      </w:r>
      <w:r w:rsidR="00342400" w:rsidRPr="00DE218E">
        <w:rPr>
          <w:rFonts w:ascii="Arial" w:hAnsi="Arial" w:cs="Arial"/>
          <w:sz w:val="24"/>
          <w:szCs w:val="24"/>
        </w:rPr>
        <w:t>Impartir instrucciones relativas</w:t>
      </w:r>
      <w:r w:rsidR="00DE218E" w:rsidRPr="00DE218E">
        <w:rPr>
          <w:rFonts w:ascii="Arial" w:hAnsi="Arial" w:cs="Arial"/>
          <w:sz w:val="24"/>
          <w:szCs w:val="24"/>
        </w:rPr>
        <w:t xml:space="preserve"> a los derivados de crédito que celebran las entidades vigiladas y la metodología de cálculo de la exposición crediticia en derivados financieros y productos estructurados.</w:t>
      </w:r>
    </w:p>
    <w:p w14:paraId="0BF20080"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E09ECD7"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DCFD2BE" w14:textId="068A1864" w:rsidR="00964900" w:rsidRDefault="00B51F39"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Pr>
          <w:rFonts w:ascii="Arial" w:hAnsi="Arial" w:cs="Arial"/>
          <w:b/>
          <w:bCs/>
          <w:sz w:val="24"/>
          <w:szCs w:val="24"/>
        </w:rPr>
        <w:t>PLAZO PARA COMENTARIOS:</w:t>
      </w:r>
      <w:r w:rsidR="00964900">
        <w:rPr>
          <w:rFonts w:ascii="Arial" w:hAnsi="Arial" w:cs="Arial"/>
          <w:b/>
          <w:bCs/>
          <w:sz w:val="24"/>
          <w:szCs w:val="24"/>
        </w:rPr>
        <w:t xml:space="preserve"> </w:t>
      </w:r>
      <w:r w:rsidR="00964900" w:rsidRPr="005A4D86">
        <w:rPr>
          <w:rFonts w:ascii="Arial" w:hAnsi="Arial" w:cs="Arial"/>
          <w:sz w:val="24"/>
          <w:szCs w:val="24"/>
        </w:rPr>
        <w:t xml:space="preserve">Hasta </w:t>
      </w:r>
      <w:r w:rsidR="003964FA" w:rsidRPr="005A4D86">
        <w:rPr>
          <w:rFonts w:ascii="Arial" w:hAnsi="Arial" w:cs="Arial"/>
          <w:sz w:val="24"/>
          <w:szCs w:val="24"/>
        </w:rPr>
        <w:t>las 5:00pm</w:t>
      </w:r>
      <w:r w:rsidR="00172C51" w:rsidRPr="005A4D86">
        <w:rPr>
          <w:rFonts w:ascii="Arial" w:hAnsi="Arial" w:cs="Arial"/>
          <w:sz w:val="24"/>
          <w:szCs w:val="24"/>
        </w:rPr>
        <w:t xml:space="preserve"> </w:t>
      </w:r>
      <w:r w:rsidR="003964FA" w:rsidRPr="005A4D86">
        <w:rPr>
          <w:rFonts w:ascii="Arial" w:hAnsi="Arial" w:cs="Arial"/>
          <w:sz w:val="24"/>
          <w:szCs w:val="24"/>
        </w:rPr>
        <w:t>d</w:t>
      </w:r>
      <w:r w:rsidR="00172C51" w:rsidRPr="005A4D86">
        <w:rPr>
          <w:rFonts w:ascii="Arial" w:hAnsi="Arial" w:cs="Arial"/>
          <w:sz w:val="24"/>
          <w:szCs w:val="24"/>
        </w:rPr>
        <w:t xml:space="preserve">el </w:t>
      </w:r>
      <w:r w:rsidR="00307633" w:rsidRPr="005A4D86">
        <w:rPr>
          <w:rFonts w:ascii="Arial" w:hAnsi="Arial" w:cs="Arial"/>
          <w:sz w:val="24"/>
          <w:szCs w:val="24"/>
        </w:rPr>
        <w:t>m</w:t>
      </w:r>
      <w:r w:rsidR="005A4D86" w:rsidRPr="005A4D86">
        <w:rPr>
          <w:rFonts w:ascii="Arial" w:hAnsi="Arial" w:cs="Arial"/>
          <w:sz w:val="24"/>
          <w:szCs w:val="24"/>
        </w:rPr>
        <w:t>iércoles</w:t>
      </w:r>
      <w:r w:rsidR="00966903" w:rsidRPr="005A4D86">
        <w:rPr>
          <w:rFonts w:ascii="Arial" w:hAnsi="Arial" w:cs="Arial"/>
          <w:sz w:val="24"/>
          <w:szCs w:val="24"/>
        </w:rPr>
        <w:t xml:space="preserve"> </w:t>
      </w:r>
      <w:r w:rsidR="005A4D86" w:rsidRPr="005A4D86">
        <w:rPr>
          <w:rFonts w:ascii="Arial" w:hAnsi="Arial" w:cs="Arial"/>
          <w:sz w:val="24"/>
          <w:szCs w:val="24"/>
        </w:rPr>
        <w:t>18</w:t>
      </w:r>
      <w:r w:rsidR="007A075C" w:rsidRPr="005A4D86">
        <w:rPr>
          <w:rFonts w:ascii="Arial" w:hAnsi="Arial" w:cs="Arial"/>
          <w:sz w:val="24"/>
          <w:szCs w:val="24"/>
        </w:rPr>
        <w:t xml:space="preserve"> </w:t>
      </w:r>
      <w:r w:rsidR="00964900" w:rsidRPr="005A4D86">
        <w:rPr>
          <w:rFonts w:ascii="Arial" w:hAnsi="Arial" w:cs="Arial"/>
          <w:sz w:val="24"/>
          <w:szCs w:val="24"/>
        </w:rPr>
        <w:t xml:space="preserve">de </w:t>
      </w:r>
      <w:r w:rsidR="005A4D86" w:rsidRPr="005A4D86">
        <w:rPr>
          <w:rFonts w:ascii="Arial" w:hAnsi="Arial" w:cs="Arial"/>
          <w:sz w:val="24"/>
          <w:szCs w:val="24"/>
        </w:rPr>
        <w:t>enero</w:t>
      </w:r>
      <w:r w:rsidR="00964900" w:rsidRPr="005A4D86">
        <w:rPr>
          <w:rFonts w:ascii="Arial" w:hAnsi="Arial" w:cs="Arial"/>
          <w:sz w:val="24"/>
          <w:szCs w:val="24"/>
        </w:rPr>
        <w:t xml:space="preserve"> de 202</w:t>
      </w:r>
      <w:r w:rsidR="00DE218E" w:rsidRPr="005A4D86">
        <w:rPr>
          <w:rFonts w:ascii="Arial" w:hAnsi="Arial" w:cs="Arial"/>
          <w:sz w:val="24"/>
          <w:szCs w:val="24"/>
        </w:rPr>
        <w:t>3</w:t>
      </w:r>
      <w:r w:rsidR="00964900" w:rsidRPr="005A4D86">
        <w:rPr>
          <w:rFonts w:ascii="Arial" w:hAnsi="Arial" w:cs="Arial"/>
          <w:sz w:val="24"/>
          <w:szCs w:val="24"/>
        </w:rPr>
        <w:t>.</w:t>
      </w:r>
      <w:r w:rsidR="00964900">
        <w:rPr>
          <w:rFonts w:ascii="Arial" w:hAnsi="Arial" w:cs="Arial"/>
          <w:sz w:val="24"/>
          <w:szCs w:val="24"/>
        </w:rPr>
        <w:t xml:space="preserve"> </w:t>
      </w:r>
    </w:p>
    <w:p w14:paraId="68D4864F" w14:textId="77777777" w:rsidR="00964900" w:rsidRDefault="00964900"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p>
    <w:p w14:paraId="3C3162E2"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DAB5E4E"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424DA6E2" w14:textId="2CD0E408"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p>
    <w:p w14:paraId="3808100F"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11"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285CCEC4"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0B74FB57"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21DAECAF" w14:textId="23F71597" w:rsidR="00B51F39" w:rsidRPr="00342400" w:rsidRDefault="006F70A6" w:rsidP="00964900">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r w:rsidR="00DE218E" w:rsidRPr="00DE218E">
        <w:rPr>
          <w:rFonts w:ascii="Arial" w:hAnsi="Arial" w:cs="Arial"/>
          <w:b/>
          <w:bCs/>
          <w:sz w:val="24"/>
          <w:szCs w:val="24"/>
          <w:lang w:val="es-ES"/>
        </w:rPr>
        <w:t>2021097189</w:t>
      </w:r>
    </w:p>
    <w:p w14:paraId="66B6B244" w14:textId="77777777" w:rsidR="00964900" w:rsidRPr="00E77E01" w:rsidRDefault="00964900" w:rsidP="00964900">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p>
    <w:p w14:paraId="09E1B97E" w14:textId="31992787"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proofErr w:type="gramStart"/>
      <w:r w:rsidR="00824B7C">
        <w:rPr>
          <w:rFonts w:ascii="Arial" w:hAnsi="Arial" w:cs="Arial"/>
          <w:b/>
          <w:bCs/>
          <w:sz w:val="24"/>
          <w:szCs w:val="24"/>
        </w:rPr>
        <w:t>Subdirector</w:t>
      </w:r>
      <w:r w:rsidR="00964900">
        <w:rPr>
          <w:rFonts w:ascii="Arial" w:hAnsi="Arial" w:cs="Arial"/>
          <w:b/>
          <w:bCs/>
          <w:sz w:val="24"/>
          <w:szCs w:val="24"/>
        </w:rPr>
        <w:t>a</w:t>
      </w:r>
      <w:proofErr w:type="gramEnd"/>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xml:space="preserve"> con el número de radicación.</w:t>
      </w:r>
    </w:p>
    <w:p w14:paraId="3395C1A2"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133239CC"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08E007B4"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15942789" w14:textId="2AC8A368"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w:t>
      </w:r>
      <w:r w:rsidR="00DF669A">
        <w:rPr>
          <w:rFonts w:ascii="Arial" w:hAnsi="Arial" w:cs="Arial"/>
          <w:bCs/>
          <w:sz w:val="24"/>
          <w:szCs w:val="24"/>
        </w:rPr>
        <w:t xml:space="preserve"> </w:t>
      </w:r>
      <w:r w:rsidRPr="00043B3D">
        <w:rPr>
          <w:rFonts w:ascii="Arial" w:hAnsi="Arial" w:cs="Arial"/>
          <w:bCs/>
          <w:sz w:val="24"/>
          <w:szCs w:val="24"/>
        </w:rPr>
        <w:t>la referencia señalada.</w:t>
      </w:r>
    </w:p>
    <w:p w14:paraId="6FBD6D83"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11F2403"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2B576CF"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69BB65E"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EB025D0"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6A78B88"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4A0BA9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552433E9"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68E85CDD" w14:textId="77777777" w:rsidR="00E77E01" w:rsidRDefault="00B51F39">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353F87B7" w14:textId="77777777" w:rsidR="00B51F39"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__________________</w:t>
      </w:r>
    </w:p>
    <w:p w14:paraId="614653DE"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620C4410"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6B988B2C" w14:textId="77777777" w:rsidR="00964900" w:rsidRDefault="00964900">
      <w:pPr>
        <w:jc w:val="center"/>
        <w:rPr>
          <w:rFonts w:ascii="Arial" w:hAnsi="Arial" w:cs="Arial"/>
          <w:b/>
          <w:bCs/>
          <w:szCs w:val="24"/>
        </w:rPr>
      </w:pPr>
    </w:p>
    <w:p w14:paraId="74A17C27" w14:textId="0B994ADA" w:rsidR="00D93B2E" w:rsidRDefault="00D93B2E" w:rsidP="00D93B2E">
      <w:pPr>
        <w:tabs>
          <w:tab w:val="left" w:pos="1816"/>
        </w:tabs>
        <w:rPr>
          <w:rFonts w:ascii="Arial" w:hAnsi="Arial" w:cs="Arial"/>
          <w:b/>
          <w:bCs/>
          <w:szCs w:val="24"/>
        </w:rPr>
      </w:pPr>
    </w:p>
    <w:p w14:paraId="0B9C008B" w14:textId="7224DF59" w:rsidR="00D93B2E" w:rsidRPr="00D93B2E" w:rsidRDefault="00D93B2E" w:rsidP="00D93B2E">
      <w:pPr>
        <w:tabs>
          <w:tab w:val="left" w:pos="1816"/>
        </w:tabs>
        <w:rPr>
          <w:rFonts w:cs="Arial"/>
          <w:sz w:val="22"/>
          <w:szCs w:val="22"/>
        </w:rPr>
        <w:sectPr w:rsidR="00D93B2E" w:rsidRPr="00D93B2E" w:rsidSect="00EE3537">
          <w:headerReference w:type="even" r:id="rId12"/>
          <w:headerReference w:type="default" r:id="rId13"/>
          <w:footerReference w:type="default" r:id="rId14"/>
          <w:headerReference w:type="first" r:id="rId15"/>
          <w:footerReference w:type="first" r:id="rId16"/>
          <w:pgSz w:w="12242" w:h="18722" w:code="14"/>
          <w:pgMar w:top="2977" w:right="1701" w:bottom="1701" w:left="2268" w:header="709" w:footer="709" w:gutter="0"/>
          <w:paperSrc w:first="2" w:other="2"/>
          <w:cols w:space="708"/>
          <w:titlePg/>
          <w:docGrid w:linePitch="360"/>
        </w:sectPr>
      </w:pPr>
      <w:r>
        <w:rPr>
          <w:rFonts w:cs="Arial"/>
          <w:sz w:val="22"/>
          <w:szCs w:val="22"/>
        </w:rPr>
        <w:tab/>
      </w:r>
    </w:p>
    <w:p w14:paraId="3A3AADDE" w14:textId="4F74E62A" w:rsidR="00DE218E" w:rsidRPr="007C6545" w:rsidRDefault="00DE218E" w:rsidP="00DE218E">
      <w:pPr>
        <w:jc w:val="center"/>
        <w:rPr>
          <w:rFonts w:ascii="Arial" w:hAnsi="Arial" w:cs="Arial"/>
          <w:b/>
          <w:sz w:val="24"/>
          <w:szCs w:val="24"/>
        </w:rPr>
      </w:pPr>
      <w:r w:rsidRPr="007C6545">
        <w:rPr>
          <w:rFonts w:ascii="Arial" w:hAnsi="Arial" w:cs="Arial"/>
          <w:b/>
          <w:sz w:val="24"/>
          <w:szCs w:val="24"/>
        </w:rPr>
        <w:lastRenderedPageBreak/>
        <w:t xml:space="preserve">CIRCULAR EXTERNA </w:t>
      </w:r>
      <w:r>
        <w:rPr>
          <w:rFonts w:ascii="Arial" w:hAnsi="Arial" w:cs="Arial"/>
          <w:b/>
          <w:sz w:val="24"/>
          <w:szCs w:val="24"/>
        </w:rPr>
        <w:t xml:space="preserve">       </w:t>
      </w:r>
      <w:r w:rsidRPr="007C6545">
        <w:rPr>
          <w:rFonts w:ascii="Arial" w:hAnsi="Arial" w:cs="Arial"/>
          <w:b/>
          <w:sz w:val="24"/>
          <w:szCs w:val="24"/>
        </w:rPr>
        <w:t xml:space="preserve"> DE 202</w:t>
      </w:r>
      <w:r>
        <w:rPr>
          <w:rFonts w:ascii="Arial" w:hAnsi="Arial" w:cs="Arial"/>
          <w:b/>
          <w:sz w:val="24"/>
          <w:szCs w:val="24"/>
        </w:rPr>
        <w:t>3</w:t>
      </w:r>
    </w:p>
    <w:p w14:paraId="782CFFCD" w14:textId="77777777" w:rsidR="00DE218E" w:rsidRPr="007C6545" w:rsidRDefault="00DE218E" w:rsidP="00DE218E">
      <w:pPr>
        <w:jc w:val="center"/>
        <w:rPr>
          <w:rFonts w:ascii="Arial" w:hAnsi="Arial" w:cs="Arial"/>
          <w:b/>
          <w:bCs/>
          <w:sz w:val="24"/>
          <w:szCs w:val="24"/>
        </w:rPr>
      </w:pPr>
    </w:p>
    <w:p w14:paraId="715E59B9" w14:textId="54F0CF7E" w:rsidR="00DE218E" w:rsidRPr="007C6545" w:rsidRDefault="00DE218E" w:rsidP="00DE218E">
      <w:pPr>
        <w:jc w:val="center"/>
        <w:rPr>
          <w:rFonts w:ascii="Arial" w:hAnsi="Arial" w:cs="Arial"/>
          <w:b/>
          <w:bCs/>
          <w:sz w:val="24"/>
          <w:szCs w:val="24"/>
        </w:rPr>
      </w:pPr>
      <w:r w:rsidRPr="007C6545">
        <w:rPr>
          <w:rFonts w:ascii="Arial" w:hAnsi="Arial" w:cs="Arial"/>
          <w:b/>
          <w:bCs/>
          <w:sz w:val="24"/>
          <w:szCs w:val="24"/>
        </w:rPr>
        <w:t>(</w:t>
      </w:r>
      <w:r>
        <w:rPr>
          <w:rFonts w:ascii="Arial" w:hAnsi="Arial" w:cs="Arial"/>
          <w:b/>
          <w:bCs/>
          <w:sz w:val="24"/>
          <w:szCs w:val="24"/>
        </w:rPr>
        <w:t xml:space="preserve">              </w:t>
      </w:r>
      <w:r w:rsidRPr="007C6545">
        <w:rPr>
          <w:rFonts w:ascii="Arial" w:hAnsi="Arial" w:cs="Arial"/>
          <w:b/>
          <w:bCs/>
          <w:sz w:val="24"/>
          <w:szCs w:val="24"/>
        </w:rPr>
        <w:t>)</w:t>
      </w:r>
    </w:p>
    <w:p w14:paraId="4BA510F5" w14:textId="77777777" w:rsidR="00DE218E" w:rsidRPr="007C6545" w:rsidRDefault="00DE218E" w:rsidP="00DE218E">
      <w:pPr>
        <w:jc w:val="center"/>
        <w:rPr>
          <w:rFonts w:ascii="Arial" w:hAnsi="Arial" w:cs="Arial"/>
          <w:b/>
          <w:bCs/>
          <w:sz w:val="24"/>
          <w:szCs w:val="24"/>
        </w:rPr>
      </w:pPr>
    </w:p>
    <w:p w14:paraId="16885F7F" w14:textId="77777777" w:rsidR="00DE218E" w:rsidRDefault="00DE218E" w:rsidP="00DE218E">
      <w:pPr>
        <w:rPr>
          <w:rFonts w:ascii="Arial" w:hAnsi="Arial" w:cs="Arial"/>
          <w:b/>
          <w:sz w:val="24"/>
          <w:szCs w:val="24"/>
        </w:rPr>
      </w:pPr>
    </w:p>
    <w:p w14:paraId="08C45279" w14:textId="77777777" w:rsidR="00DE218E" w:rsidRDefault="00DE218E" w:rsidP="00DE218E">
      <w:pPr>
        <w:rPr>
          <w:rFonts w:ascii="Arial" w:hAnsi="Arial" w:cs="Arial"/>
          <w:b/>
          <w:sz w:val="24"/>
          <w:szCs w:val="24"/>
        </w:rPr>
      </w:pPr>
    </w:p>
    <w:p w14:paraId="6E9C9C6F" w14:textId="77777777" w:rsidR="00DE218E" w:rsidRPr="007C6545" w:rsidRDefault="00DE218E" w:rsidP="00DE218E">
      <w:pPr>
        <w:rPr>
          <w:rFonts w:ascii="Arial" w:hAnsi="Arial" w:cs="Arial"/>
          <w:b/>
          <w:sz w:val="24"/>
          <w:szCs w:val="24"/>
        </w:rPr>
      </w:pPr>
      <w:r w:rsidRPr="007C6545">
        <w:rPr>
          <w:rFonts w:ascii="Arial" w:hAnsi="Arial" w:cs="Arial"/>
          <w:b/>
          <w:sz w:val="24"/>
          <w:szCs w:val="24"/>
        </w:rPr>
        <w:t>Señores</w:t>
      </w:r>
    </w:p>
    <w:p w14:paraId="092A3C2C" w14:textId="77777777" w:rsidR="00DE218E" w:rsidRPr="007C6545" w:rsidRDefault="00DE218E" w:rsidP="00DE218E">
      <w:pPr>
        <w:rPr>
          <w:rFonts w:ascii="Arial" w:hAnsi="Arial" w:cs="Arial"/>
          <w:b/>
          <w:sz w:val="24"/>
          <w:szCs w:val="24"/>
        </w:rPr>
      </w:pPr>
    </w:p>
    <w:p w14:paraId="3453228D" w14:textId="77777777" w:rsidR="00DE218E" w:rsidRPr="007C6545" w:rsidRDefault="00DE218E" w:rsidP="00DE218E">
      <w:pPr>
        <w:jc w:val="both"/>
        <w:rPr>
          <w:rFonts w:ascii="Arial" w:hAnsi="Arial" w:cs="Arial"/>
          <w:sz w:val="24"/>
          <w:szCs w:val="24"/>
        </w:rPr>
      </w:pPr>
      <w:r w:rsidRPr="007C6545">
        <w:rPr>
          <w:rFonts w:ascii="Arial" w:hAnsi="Arial" w:cs="Arial"/>
          <w:sz w:val="24"/>
          <w:szCs w:val="24"/>
        </w:rPr>
        <w:t>REPRESENTANTE</w:t>
      </w:r>
      <w:r>
        <w:rPr>
          <w:rFonts w:ascii="Arial" w:hAnsi="Arial" w:cs="Arial"/>
          <w:sz w:val="24"/>
          <w:szCs w:val="24"/>
        </w:rPr>
        <w:t>S</w:t>
      </w:r>
      <w:r w:rsidRPr="007C6545">
        <w:rPr>
          <w:rFonts w:ascii="Arial" w:hAnsi="Arial" w:cs="Arial"/>
          <w:sz w:val="24"/>
          <w:szCs w:val="24"/>
        </w:rPr>
        <w:t xml:space="preserve"> LEGAL</w:t>
      </w:r>
      <w:r>
        <w:rPr>
          <w:rFonts w:ascii="Arial" w:hAnsi="Arial" w:cs="Arial"/>
          <w:sz w:val="24"/>
          <w:szCs w:val="24"/>
        </w:rPr>
        <w:t>ES DE LAS ENTIDADES VIGILADAS</w:t>
      </w:r>
    </w:p>
    <w:p w14:paraId="74614865" w14:textId="77777777" w:rsidR="00DE218E" w:rsidRPr="007C6545" w:rsidRDefault="00DE218E" w:rsidP="00DE218E">
      <w:pPr>
        <w:jc w:val="both"/>
        <w:rPr>
          <w:rFonts w:ascii="Arial" w:hAnsi="Arial" w:cs="Arial"/>
          <w:sz w:val="24"/>
          <w:szCs w:val="24"/>
        </w:rPr>
      </w:pPr>
    </w:p>
    <w:p w14:paraId="53234E57" w14:textId="77777777" w:rsidR="00DE218E" w:rsidRPr="007C6545" w:rsidRDefault="00DE218E" w:rsidP="00DE218E">
      <w:pPr>
        <w:jc w:val="both"/>
        <w:rPr>
          <w:rFonts w:ascii="Arial" w:hAnsi="Arial" w:cs="Arial"/>
          <w:b/>
          <w:bCs/>
          <w:sz w:val="24"/>
          <w:szCs w:val="24"/>
        </w:rPr>
      </w:pPr>
      <w:r w:rsidRPr="007C6545">
        <w:rPr>
          <w:rFonts w:ascii="Arial" w:hAnsi="Arial" w:cs="Arial"/>
          <w:b/>
          <w:bCs/>
          <w:sz w:val="24"/>
          <w:szCs w:val="24"/>
        </w:rPr>
        <w:t xml:space="preserve">Referencia: Por medio de la cual se </w:t>
      </w:r>
      <w:r>
        <w:rPr>
          <w:rFonts w:ascii="Arial" w:hAnsi="Arial" w:cs="Arial"/>
          <w:b/>
          <w:bCs/>
          <w:sz w:val="24"/>
          <w:szCs w:val="24"/>
        </w:rPr>
        <w:t xml:space="preserve">imparten instrucciones relativas a los derivados de crédito que celebran las entidades vigiladas y la </w:t>
      </w:r>
      <w:r w:rsidRPr="00BF7E96">
        <w:rPr>
          <w:rFonts w:ascii="Arial" w:hAnsi="Arial" w:cs="Arial"/>
          <w:b/>
          <w:bCs/>
          <w:sz w:val="24"/>
          <w:szCs w:val="24"/>
        </w:rPr>
        <w:t>metodología de cálculo de la exposición crediticia en derivados financieros</w:t>
      </w:r>
      <w:r>
        <w:rPr>
          <w:rFonts w:ascii="Arial" w:hAnsi="Arial" w:cs="Arial"/>
          <w:b/>
          <w:bCs/>
          <w:sz w:val="24"/>
          <w:szCs w:val="24"/>
        </w:rPr>
        <w:t xml:space="preserve"> y productos estructurados</w:t>
      </w:r>
    </w:p>
    <w:p w14:paraId="0C813EFE" w14:textId="77777777" w:rsidR="00DE218E" w:rsidRPr="007C6545" w:rsidRDefault="00DE218E" w:rsidP="00DE218E">
      <w:pPr>
        <w:jc w:val="both"/>
        <w:rPr>
          <w:rFonts w:ascii="Arial" w:hAnsi="Arial" w:cs="Arial"/>
          <w:b/>
          <w:sz w:val="24"/>
          <w:szCs w:val="24"/>
        </w:rPr>
      </w:pPr>
    </w:p>
    <w:p w14:paraId="555A5284" w14:textId="77777777" w:rsidR="00DE218E" w:rsidRPr="007C6545" w:rsidRDefault="00DE218E" w:rsidP="00DE218E">
      <w:pPr>
        <w:widowControl w:val="0"/>
        <w:adjustRightInd w:val="0"/>
        <w:ind w:left="1410" w:hanging="1410"/>
        <w:jc w:val="both"/>
        <w:rPr>
          <w:rFonts w:ascii="Arial" w:hAnsi="Arial" w:cs="Arial"/>
          <w:b/>
          <w:bCs/>
          <w:sz w:val="24"/>
          <w:szCs w:val="24"/>
        </w:rPr>
      </w:pPr>
    </w:p>
    <w:p w14:paraId="051C6D4B" w14:textId="77777777" w:rsidR="00DE218E" w:rsidRPr="007C6545" w:rsidRDefault="00DE218E" w:rsidP="00DE218E">
      <w:pPr>
        <w:widowControl w:val="0"/>
        <w:adjustRightInd w:val="0"/>
        <w:jc w:val="both"/>
        <w:rPr>
          <w:rFonts w:ascii="Arial" w:hAnsi="Arial" w:cs="Arial"/>
          <w:sz w:val="24"/>
          <w:szCs w:val="24"/>
        </w:rPr>
      </w:pPr>
      <w:r w:rsidRPr="007C6545">
        <w:rPr>
          <w:rFonts w:ascii="Arial" w:hAnsi="Arial" w:cs="Arial"/>
          <w:sz w:val="24"/>
          <w:szCs w:val="24"/>
        </w:rPr>
        <w:t>Apreciados señores:</w:t>
      </w:r>
    </w:p>
    <w:p w14:paraId="2E9999D5" w14:textId="77777777" w:rsidR="00DE218E" w:rsidRPr="007C6545" w:rsidRDefault="00DE218E" w:rsidP="00DE218E">
      <w:pPr>
        <w:pStyle w:val="Textoindependiente"/>
      </w:pPr>
    </w:p>
    <w:p w14:paraId="55AF5413" w14:textId="34C7B77C" w:rsidR="00DE218E" w:rsidRDefault="00DE218E" w:rsidP="00DE218E">
      <w:pPr>
        <w:jc w:val="both"/>
        <w:rPr>
          <w:rFonts w:ascii="Arial" w:hAnsi="Arial" w:cs="Arial"/>
          <w:sz w:val="24"/>
          <w:szCs w:val="24"/>
        </w:rPr>
      </w:pPr>
      <w:r>
        <w:rPr>
          <w:rFonts w:ascii="Arial" w:hAnsi="Arial" w:cs="Arial"/>
          <w:sz w:val="24"/>
          <w:szCs w:val="24"/>
        </w:rPr>
        <w:t>Como es de su conocimiento, mediante la Resolución Externa 10 del 16 de diciembre de 2022</w:t>
      </w:r>
      <w:r w:rsidR="002E60F2">
        <w:rPr>
          <w:rFonts w:ascii="Arial" w:hAnsi="Arial" w:cs="Arial"/>
          <w:sz w:val="24"/>
          <w:szCs w:val="24"/>
        </w:rPr>
        <w:t>,</w:t>
      </w:r>
      <w:r>
        <w:rPr>
          <w:rFonts w:ascii="Arial" w:hAnsi="Arial" w:cs="Arial"/>
          <w:sz w:val="24"/>
          <w:szCs w:val="24"/>
        </w:rPr>
        <w:t xml:space="preserve"> la Junta Directiva del Banco de la República modificó el artículo 65 de la Resolución Externa 1 de 2018 para permitir que las entidades vigiladas por la Superintendencia Financiera de Colombia (SFC) puedan </w:t>
      </w:r>
      <w:r w:rsidRPr="00CC7275">
        <w:rPr>
          <w:rFonts w:ascii="Arial" w:hAnsi="Arial" w:cs="Arial"/>
          <w:sz w:val="24"/>
          <w:szCs w:val="24"/>
        </w:rPr>
        <w:t>celebrar derivados de crédito</w:t>
      </w:r>
      <w:r>
        <w:rPr>
          <w:rFonts w:ascii="Arial" w:hAnsi="Arial" w:cs="Arial"/>
          <w:sz w:val="24"/>
          <w:szCs w:val="24"/>
        </w:rPr>
        <w:t xml:space="preserve"> con agentes del exterior autorizados</w:t>
      </w:r>
      <w:r w:rsidRPr="00CC7275">
        <w:rPr>
          <w:rFonts w:ascii="Arial" w:hAnsi="Arial" w:cs="Arial"/>
          <w:sz w:val="24"/>
          <w:szCs w:val="24"/>
        </w:rPr>
        <w:t>,</w:t>
      </w:r>
      <w:r>
        <w:rPr>
          <w:rFonts w:ascii="Arial" w:hAnsi="Arial" w:cs="Arial"/>
          <w:sz w:val="24"/>
          <w:szCs w:val="24"/>
        </w:rPr>
        <w:t xml:space="preserve"> siempre que se trate de </w:t>
      </w:r>
      <w:r w:rsidRPr="006048A0">
        <w:rPr>
          <w:rFonts w:ascii="Arial" w:hAnsi="Arial" w:cs="Arial"/>
          <w:sz w:val="24"/>
          <w:szCs w:val="24"/>
        </w:rPr>
        <w:t>contratos emitidos en moneda extranjera o en moneda legal por emisores externos sobre activos externos o locales</w:t>
      </w:r>
      <w:r>
        <w:rPr>
          <w:rFonts w:ascii="Arial" w:hAnsi="Arial" w:cs="Arial"/>
          <w:sz w:val="24"/>
          <w:szCs w:val="24"/>
        </w:rPr>
        <w:t>. En tal virtu</w:t>
      </w:r>
      <w:r w:rsidR="002E60F2">
        <w:rPr>
          <w:rFonts w:ascii="Arial" w:hAnsi="Arial" w:cs="Arial"/>
          <w:sz w:val="24"/>
          <w:szCs w:val="24"/>
        </w:rPr>
        <w:t>d y para dar cumplimiento a lo dispuesto en la citada Resolución</w:t>
      </w:r>
      <w:r>
        <w:rPr>
          <w:rFonts w:ascii="Arial" w:hAnsi="Arial" w:cs="Arial"/>
          <w:sz w:val="24"/>
          <w:szCs w:val="24"/>
        </w:rPr>
        <w:t xml:space="preserve">, esta Superintendencia </w:t>
      </w:r>
      <w:r w:rsidR="002E60F2">
        <w:rPr>
          <w:rFonts w:ascii="Arial" w:hAnsi="Arial" w:cs="Arial"/>
          <w:sz w:val="24"/>
          <w:szCs w:val="24"/>
        </w:rPr>
        <w:t xml:space="preserve">considera necesario </w:t>
      </w:r>
      <w:r>
        <w:rPr>
          <w:rFonts w:ascii="Arial" w:hAnsi="Arial" w:cs="Arial"/>
          <w:sz w:val="24"/>
          <w:szCs w:val="24"/>
        </w:rPr>
        <w:t>modificar las instrucciones en materia de derivados de crédito</w:t>
      </w:r>
      <w:r w:rsidR="002E60F2">
        <w:rPr>
          <w:rFonts w:ascii="Arial" w:hAnsi="Arial" w:cs="Arial"/>
          <w:sz w:val="24"/>
          <w:szCs w:val="24"/>
        </w:rPr>
        <w:t>.</w:t>
      </w:r>
      <w:r>
        <w:rPr>
          <w:rFonts w:ascii="Arial" w:hAnsi="Arial" w:cs="Arial"/>
          <w:sz w:val="24"/>
          <w:szCs w:val="24"/>
        </w:rPr>
        <w:t xml:space="preserve"> </w:t>
      </w:r>
    </w:p>
    <w:p w14:paraId="4239329F" w14:textId="77777777" w:rsidR="00DE218E" w:rsidRDefault="00DE218E" w:rsidP="00DE218E">
      <w:pPr>
        <w:jc w:val="both"/>
        <w:rPr>
          <w:rFonts w:ascii="Arial" w:hAnsi="Arial" w:cs="Arial"/>
          <w:sz w:val="24"/>
          <w:szCs w:val="24"/>
        </w:rPr>
      </w:pPr>
    </w:p>
    <w:p w14:paraId="2757CFCF" w14:textId="06C1DDC5" w:rsidR="00DE218E" w:rsidRPr="00CC7275" w:rsidRDefault="00DE218E" w:rsidP="00DE218E">
      <w:pPr>
        <w:jc w:val="both"/>
        <w:rPr>
          <w:rFonts w:ascii="Arial" w:hAnsi="Arial" w:cs="Arial"/>
          <w:sz w:val="24"/>
          <w:szCs w:val="24"/>
        </w:rPr>
      </w:pPr>
      <w:r>
        <w:rPr>
          <w:rFonts w:ascii="Arial" w:hAnsi="Arial" w:cs="Arial"/>
          <w:sz w:val="24"/>
          <w:szCs w:val="24"/>
        </w:rPr>
        <w:t xml:space="preserve">De otro lado y </w:t>
      </w:r>
      <w:r w:rsidRPr="00E75F92">
        <w:rPr>
          <w:rFonts w:ascii="Arial" w:hAnsi="Arial" w:cs="Arial"/>
          <w:sz w:val="24"/>
          <w:szCs w:val="24"/>
          <w:lang w:val="es-ES"/>
        </w:rPr>
        <w:t xml:space="preserve">con el objetivo de promover una adecuada gestión del riesgo de </w:t>
      </w:r>
      <w:r>
        <w:rPr>
          <w:rFonts w:ascii="Arial" w:hAnsi="Arial" w:cs="Arial"/>
          <w:sz w:val="24"/>
          <w:szCs w:val="24"/>
          <w:lang w:val="es-ES"/>
        </w:rPr>
        <w:t>crédito en las operaciones con instrumentos financieros derivados y productos estructurados</w:t>
      </w:r>
      <w:r w:rsidRPr="00E75F92">
        <w:rPr>
          <w:rFonts w:ascii="Arial" w:hAnsi="Arial" w:cs="Arial"/>
          <w:sz w:val="24"/>
          <w:szCs w:val="24"/>
          <w:lang w:val="es-ES"/>
        </w:rPr>
        <w:t xml:space="preserve"> y</w:t>
      </w:r>
      <w:r>
        <w:rPr>
          <w:rFonts w:ascii="Arial" w:hAnsi="Arial" w:cs="Arial"/>
          <w:sz w:val="24"/>
          <w:szCs w:val="24"/>
          <w:lang w:val="es-ES"/>
        </w:rPr>
        <w:t>,</w:t>
      </w:r>
      <w:r w:rsidRPr="00E75F92">
        <w:rPr>
          <w:rFonts w:ascii="Arial" w:hAnsi="Arial" w:cs="Arial"/>
          <w:sz w:val="24"/>
          <w:szCs w:val="24"/>
          <w:lang w:val="es-ES"/>
        </w:rPr>
        <w:t xml:space="preserve"> </w:t>
      </w:r>
      <w:r>
        <w:rPr>
          <w:rFonts w:ascii="Arial" w:hAnsi="Arial" w:cs="Arial"/>
          <w:sz w:val="24"/>
          <w:szCs w:val="24"/>
          <w:lang w:val="es-ES"/>
        </w:rPr>
        <w:t xml:space="preserve">con ello, </w:t>
      </w:r>
      <w:r w:rsidRPr="00E75F92">
        <w:rPr>
          <w:rFonts w:ascii="Arial" w:hAnsi="Arial" w:cs="Arial"/>
          <w:sz w:val="24"/>
          <w:szCs w:val="24"/>
          <w:lang w:val="es-ES"/>
        </w:rPr>
        <w:t xml:space="preserve">continuar con la convergencia hacia las mejores prácticas y estándares internacionales definidos por </w:t>
      </w:r>
      <w:r>
        <w:rPr>
          <w:rFonts w:ascii="Arial" w:hAnsi="Arial" w:cs="Arial"/>
          <w:sz w:val="24"/>
          <w:szCs w:val="24"/>
          <w:lang w:val="es-ES"/>
        </w:rPr>
        <w:t>el Comité de Supervisión Bancaria de Basilea</w:t>
      </w:r>
      <w:r>
        <w:rPr>
          <w:rFonts w:ascii="Arial" w:hAnsi="Arial" w:cs="Arial"/>
          <w:sz w:val="24"/>
          <w:szCs w:val="24"/>
        </w:rPr>
        <w:t>, esta Superintendencia considera necesario modificar la metodología de cálculo de la exposición crediticia en operaciones de derivados financieros y productos estructurados</w:t>
      </w:r>
      <w:r w:rsidR="002E60F2">
        <w:rPr>
          <w:rFonts w:ascii="Arial" w:hAnsi="Arial" w:cs="Arial"/>
          <w:sz w:val="24"/>
          <w:szCs w:val="24"/>
        </w:rPr>
        <w:t xml:space="preserve"> con el objetivo de estimar con mayor precisión dicha exposición</w:t>
      </w:r>
      <w:r>
        <w:rPr>
          <w:rFonts w:ascii="Arial" w:hAnsi="Arial" w:cs="Arial"/>
          <w:sz w:val="24"/>
          <w:szCs w:val="24"/>
        </w:rPr>
        <w:t xml:space="preserve">. </w:t>
      </w:r>
    </w:p>
    <w:p w14:paraId="6ECC0E11" w14:textId="77777777" w:rsidR="00DE218E" w:rsidRDefault="00DE218E" w:rsidP="00DE218E">
      <w:pPr>
        <w:jc w:val="both"/>
        <w:rPr>
          <w:rFonts w:ascii="Arial" w:hAnsi="Arial" w:cs="Arial"/>
          <w:sz w:val="24"/>
          <w:szCs w:val="24"/>
        </w:rPr>
      </w:pPr>
    </w:p>
    <w:p w14:paraId="25448229" w14:textId="77777777" w:rsidR="00DE218E" w:rsidRPr="007C6545" w:rsidRDefault="00DE218E" w:rsidP="00DE218E">
      <w:pPr>
        <w:jc w:val="both"/>
        <w:rPr>
          <w:rFonts w:ascii="Arial" w:hAnsi="Arial" w:cs="Arial"/>
          <w:sz w:val="24"/>
          <w:szCs w:val="24"/>
        </w:rPr>
      </w:pPr>
      <w:r>
        <w:rPr>
          <w:rFonts w:ascii="Arial" w:hAnsi="Arial" w:cs="Arial"/>
          <w:sz w:val="24"/>
          <w:szCs w:val="24"/>
        </w:rPr>
        <w:t>En consideración de todo lo expuesto, y en ejercicio de las facultades previstas en el literal a) del numeral 3 del artículo 326 del Estatuto Orgánico del Sistema Financiero y en los numerales 4 y 5 del artículo 11.2.1.4.2. del Decreto 2555 de 2010, esta Superintendencia se permite impartir las siguientes instrucciones</w:t>
      </w:r>
      <w:r w:rsidRPr="007C6545">
        <w:rPr>
          <w:rFonts w:ascii="Arial" w:hAnsi="Arial" w:cs="Arial"/>
          <w:sz w:val="24"/>
          <w:szCs w:val="24"/>
        </w:rPr>
        <w:t xml:space="preserve">: </w:t>
      </w:r>
    </w:p>
    <w:p w14:paraId="50422C98" w14:textId="77777777" w:rsidR="00DE218E" w:rsidRPr="007C6545" w:rsidRDefault="00DE218E" w:rsidP="00DE218E">
      <w:pPr>
        <w:jc w:val="both"/>
        <w:rPr>
          <w:rFonts w:ascii="Arial" w:hAnsi="Arial" w:cs="Arial"/>
          <w:sz w:val="24"/>
          <w:szCs w:val="24"/>
        </w:rPr>
      </w:pPr>
    </w:p>
    <w:p w14:paraId="15B5AAEC" w14:textId="72DC89C5" w:rsidR="00DE218E" w:rsidRDefault="00DE218E" w:rsidP="00DE218E">
      <w:pPr>
        <w:jc w:val="both"/>
        <w:rPr>
          <w:rFonts w:ascii="Arial" w:hAnsi="Arial" w:cs="Arial"/>
          <w:snapToGrid w:val="0"/>
          <w:sz w:val="24"/>
          <w:szCs w:val="24"/>
        </w:rPr>
      </w:pPr>
      <w:r>
        <w:rPr>
          <w:rFonts w:ascii="Arial" w:hAnsi="Arial" w:cs="Arial"/>
          <w:b/>
          <w:sz w:val="24"/>
          <w:szCs w:val="24"/>
        </w:rPr>
        <w:t>PRIMERA:</w:t>
      </w:r>
      <w:r>
        <w:rPr>
          <w:rFonts w:ascii="Arial" w:hAnsi="Arial" w:cs="Arial"/>
          <w:snapToGrid w:val="0"/>
          <w:sz w:val="24"/>
          <w:szCs w:val="24"/>
        </w:rPr>
        <w:t xml:space="preserve"> Modificar el </w:t>
      </w:r>
      <w:proofErr w:type="spellStart"/>
      <w:r>
        <w:rPr>
          <w:rFonts w:ascii="Arial" w:hAnsi="Arial" w:cs="Arial"/>
          <w:snapToGrid w:val="0"/>
          <w:sz w:val="24"/>
          <w:szCs w:val="24"/>
        </w:rPr>
        <w:t>subnumeral</w:t>
      </w:r>
      <w:proofErr w:type="spellEnd"/>
      <w:r>
        <w:rPr>
          <w:rFonts w:ascii="Arial" w:hAnsi="Arial" w:cs="Arial"/>
          <w:snapToGrid w:val="0"/>
          <w:sz w:val="24"/>
          <w:szCs w:val="24"/>
        </w:rPr>
        <w:t xml:space="preserve"> 5.2. del Capítulo XVIII de la Circular Básica Contable y Financiera </w:t>
      </w:r>
      <w:r>
        <w:rPr>
          <w:rFonts w:ascii="Arial" w:hAnsi="Arial" w:cs="Arial"/>
          <w:sz w:val="24"/>
          <w:szCs w:val="24"/>
        </w:rPr>
        <w:t>«</w:t>
      </w:r>
      <w:r>
        <w:rPr>
          <w:rFonts w:ascii="Arial" w:hAnsi="Arial" w:cs="Arial"/>
          <w:i/>
          <w:iCs/>
          <w:sz w:val="24"/>
          <w:szCs w:val="24"/>
          <w:lang w:val="es-ES"/>
        </w:rPr>
        <w:t>Instrumentos financieros derivados y productos estructurados</w:t>
      </w:r>
      <w:r>
        <w:rPr>
          <w:rFonts w:ascii="Arial" w:hAnsi="Arial" w:cs="Arial"/>
          <w:sz w:val="24"/>
          <w:szCs w:val="24"/>
        </w:rPr>
        <w:t xml:space="preserve">» </w:t>
      </w:r>
      <w:r>
        <w:rPr>
          <w:rFonts w:ascii="Arial" w:hAnsi="Arial" w:cs="Arial"/>
          <w:snapToGrid w:val="0"/>
          <w:sz w:val="24"/>
          <w:szCs w:val="24"/>
        </w:rPr>
        <w:t xml:space="preserve">con el objetivo </w:t>
      </w:r>
      <w:r w:rsidR="002E60F2">
        <w:rPr>
          <w:rFonts w:ascii="Arial" w:hAnsi="Arial" w:cs="Arial"/>
          <w:snapToGrid w:val="0"/>
          <w:sz w:val="24"/>
          <w:szCs w:val="24"/>
        </w:rPr>
        <w:t xml:space="preserve">atender </w:t>
      </w:r>
      <w:r>
        <w:rPr>
          <w:rFonts w:ascii="Arial" w:hAnsi="Arial" w:cs="Arial"/>
          <w:snapToGrid w:val="0"/>
          <w:sz w:val="24"/>
          <w:szCs w:val="24"/>
        </w:rPr>
        <w:t xml:space="preserve">la modificación realizada por la Junta Directiva del Banco de la República en la Resolución Externa 10 del 16 de diciembre de 2022 en relación con los derivados de crédito que pueden celebrar las entidades vigiladas por la SFC. </w:t>
      </w:r>
    </w:p>
    <w:p w14:paraId="756AE231" w14:textId="77777777" w:rsidR="00DE218E" w:rsidRDefault="00DE218E" w:rsidP="00DE218E">
      <w:pPr>
        <w:jc w:val="both"/>
        <w:rPr>
          <w:rFonts w:ascii="Arial" w:hAnsi="Arial" w:cs="Arial"/>
          <w:snapToGrid w:val="0"/>
          <w:sz w:val="24"/>
          <w:szCs w:val="24"/>
        </w:rPr>
      </w:pPr>
    </w:p>
    <w:p w14:paraId="2074766D" w14:textId="7E9BFCBB" w:rsidR="00DE218E" w:rsidRDefault="00DE218E" w:rsidP="00DE218E">
      <w:pPr>
        <w:jc w:val="both"/>
        <w:rPr>
          <w:rFonts w:ascii="Arial" w:hAnsi="Arial" w:cs="Arial"/>
          <w:sz w:val="24"/>
          <w:szCs w:val="24"/>
        </w:rPr>
      </w:pPr>
      <w:r>
        <w:rPr>
          <w:rFonts w:ascii="Arial" w:hAnsi="Arial" w:cs="Arial"/>
          <w:b/>
          <w:sz w:val="24"/>
          <w:szCs w:val="24"/>
        </w:rPr>
        <w:t xml:space="preserve">SEGUNDA: </w:t>
      </w:r>
      <w:r>
        <w:rPr>
          <w:rFonts w:ascii="Arial" w:hAnsi="Arial" w:cs="Arial"/>
          <w:snapToGrid w:val="0"/>
          <w:sz w:val="24"/>
          <w:szCs w:val="24"/>
        </w:rPr>
        <w:t xml:space="preserve">Modificar el numeral 1 del Anexo 3 del Capítulo XVIII de la Circular Básica Contable y Financiera </w:t>
      </w:r>
      <w:r>
        <w:rPr>
          <w:rFonts w:ascii="Arial" w:hAnsi="Arial" w:cs="Arial"/>
          <w:sz w:val="24"/>
          <w:szCs w:val="24"/>
        </w:rPr>
        <w:t>«</w:t>
      </w:r>
      <w:r>
        <w:rPr>
          <w:rFonts w:ascii="Arial" w:hAnsi="Arial" w:cs="Arial"/>
          <w:i/>
          <w:iCs/>
          <w:sz w:val="24"/>
          <w:szCs w:val="24"/>
          <w:lang w:val="es-ES"/>
        </w:rPr>
        <w:t>Instrumentos financieros derivados y productos estructurados</w:t>
      </w:r>
      <w:r>
        <w:rPr>
          <w:rFonts w:ascii="Arial" w:hAnsi="Arial" w:cs="Arial"/>
          <w:sz w:val="24"/>
          <w:szCs w:val="24"/>
        </w:rPr>
        <w:t>»</w:t>
      </w:r>
      <w:r>
        <w:rPr>
          <w:rFonts w:ascii="Arial" w:hAnsi="Arial" w:cs="Arial"/>
          <w:snapToGrid w:val="0"/>
          <w:sz w:val="24"/>
          <w:szCs w:val="24"/>
        </w:rPr>
        <w:t xml:space="preserve"> para ajustar </w:t>
      </w:r>
      <w:r>
        <w:rPr>
          <w:rFonts w:ascii="Arial" w:hAnsi="Arial" w:cs="Arial"/>
          <w:sz w:val="24"/>
          <w:szCs w:val="24"/>
        </w:rPr>
        <w:t>la metodología de cálculo de la exposición crediticia en operaciones de instrumentos financieros derivados y productos estructurados</w:t>
      </w:r>
      <w:r>
        <w:rPr>
          <w:rFonts w:ascii="Arial" w:hAnsi="Arial" w:cs="Arial"/>
          <w:snapToGrid w:val="0"/>
          <w:sz w:val="24"/>
          <w:szCs w:val="24"/>
        </w:rPr>
        <w:t xml:space="preserve">, de conformidad con </w:t>
      </w:r>
      <w:r>
        <w:rPr>
          <w:rFonts w:ascii="Arial" w:hAnsi="Arial" w:cs="Arial"/>
          <w:sz w:val="24"/>
          <w:szCs w:val="24"/>
        </w:rPr>
        <w:t xml:space="preserve">la aproximación estandarizada para el cálculo de la exposición ante </w:t>
      </w:r>
      <w:r w:rsidR="002E60F2">
        <w:rPr>
          <w:rFonts w:ascii="Arial" w:hAnsi="Arial" w:cs="Arial"/>
          <w:sz w:val="24"/>
          <w:szCs w:val="24"/>
        </w:rPr>
        <w:t xml:space="preserve">el </w:t>
      </w:r>
      <w:r>
        <w:rPr>
          <w:rFonts w:ascii="Arial" w:hAnsi="Arial" w:cs="Arial"/>
          <w:sz w:val="24"/>
          <w:szCs w:val="24"/>
        </w:rPr>
        <w:t xml:space="preserve">incumplimiento establecida por el Comité de Supervisión Bancaria de Basilea. </w:t>
      </w:r>
    </w:p>
    <w:p w14:paraId="2EEFFA8E" w14:textId="77777777" w:rsidR="00DE218E" w:rsidRDefault="00DE218E" w:rsidP="00DE218E">
      <w:pPr>
        <w:jc w:val="both"/>
        <w:rPr>
          <w:rFonts w:ascii="Arial" w:hAnsi="Arial" w:cs="Arial"/>
          <w:sz w:val="24"/>
          <w:szCs w:val="24"/>
        </w:rPr>
      </w:pPr>
    </w:p>
    <w:p w14:paraId="476BF3F3" w14:textId="77777777" w:rsidR="00DE218E" w:rsidRPr="003415D1" w:rsidRDefault="00DE218E" w:rsidP="00DE218E">
      <w:pPr>
        <w:jc w:val="both"/>
        <w:rPr>
          <w:rFonts w:ascii="Arial" w:hAnsi="Arial" w:cs="Arial"/>
          <w:snapToGrid w:val="0"/>
          <w:sz w:val="24"/>
          <w:szCs w:val="24"/>
        </w:rPr>
      </w:pPr>
      <w:r w:rsidRPr="00F3357F">
        <w:rPr>
          <w:rFonts w:ascii="Arial" w:hAnsi="Arial" w:cs="Arial"/>
          <w:b/>
          <w:bCs/>
          <w:sz w:val="24"/>
          <w:szCs w:val="24"/>
        </w:rPr>
        <w:lastRenderedPageBreak/>
        <w:t>TERCERA:</w:t>
      </w:r>
      <w:r>
        <w:rPr>
          <w:rFonts w:ascii="Arial" w:hAnsi="Arial" w:cs="Arial"/>
          <w:b/>
          <w:bCs/>
          <w:sz w:val="24"/>
          <w:szCs w:val="24"/>
        </w:rPr>
        <w:t xml:space="preserve"> </w:t>
      </w:r>
      <w:r>
        <w:rPr>
          <w:rFonts w:ascii="Arial" w:hAnsi="Arial" w:cs="Arial"/>
          <w:snapToGrid w:val="0"/>
          <w:sz w:val="24"/>
          <w:szCs w:val="24"/>
        </w:rPr>
        <w:t xml:space="preserve">Modificar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2.1., 2.1.1.1. y 2.1.7. del Anexo 1,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1.1.1., 1.6., 1.9., 1.9.1 y 1.9.2. del Anexo 2 y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1.1., 1.1.1.1. y 1.1.7. del Anexo 3 del Capítulo XXI de la Circular Básica Contable y Financiera </w:t>
      </w:r>
      <w:r>
        <w:rPr>
          <w:rFonts w:ascii="Arial" w:hAnsi="Arial" w:cs="Arial"/>
          <w:sz w:val="24"/>
          <w:szCs w:val="24"/>
        </w:rPr>
        <w:t>«</w:t>
      </w:r>
      <w:r w:rsidRPr="00841D12">
        <w:rPr>
          <w:rFonts w:ascii="Arial" w:hAnsi="Arial" w:cs="Arial"/>
          <w:i/>
          <w:iCs/>
          <w:sz w:val="24"/>
          <w:szCs w:val="24"/>
        </w:rPr>
        <w:t>Reglas relativas al sistema de administración de riesgo de mercado</w:t>
      </w:r>
      <w:r>
        <w:rPr>
          <w:rFonts w:ascii="Arial" w:hAnsi="Arial" w:cs="Arial"/>
          <w:sz w:val="24"/>
          <w:szCs w:val="24"/>
        </w:rPr>
        <w:t>»,</w:t>
      </w:r>
      <w:r>
        <w:rPr>
          <w:rFonts w:ascii="Arial" w:hAnsi="Arial" w:cs="Arial"/>
          <w:snapToGrid w:val="0"/>
          <w:sz w:val="24"/>
          <w:szCs w:val="24"/>
        </w:rPr>
        <w:t xml:space="preserve"> relacionados con la administración del riesgo de mercado de los derivados de crédito, en virtud de la modificación realizada por la Junta Directiva del Banco de la República en la citada Resolución</w:t>
      </w:r>
      <w:r>
        <w:rPr>
          <w:rFonts w:ascii="Arial" w:hAnsi="Arial" w:cs="Arial"/>
          <w:sz w:val="24"/>
          <w:szCs w:val="24"/>
        </w:rPr>
        <w:t xml:space="preserve">. </w:t>
      </w:r>
    </w:p>
    <w:p w14:paraId="137A8D5E" w14:textId="77777777" w:rsidR="00DE218E" w:rsidRDefault="00DE218E" w:rsidP="00DE218E">
      <w:pPr>
        <w:jc w:val="both"/>
        <w:rPr>
          <w:rFonts w:ascii="Arial" w:hAnsi="Arial" w:cs="Arial"/>
          <w:b/>
          <w:bCs/>
          <w:sz w:val="24"/>
          <w:szCs w:val="24"/>
        </w:rPr>
      </w:pPr>
    </w:p>
    <w:p w14:paraId="5F8E0BB0" w14:textId="77777777" w:rsidR="00DE218E" w:rsidRPr="003415D1" w:rsidRDefault="00DE218E" w:rsidP="00DE218E">
      <w:pPr>
        <w:jc w:val="both"/>
        <w:rPr>
          <w:rFonts w:ascii="Arial" w:hAnsi="Arial" w:cs="Arial"/>
          <w:snapToGrid w:val="0"/>
          <w:sz w:val="24"/>
          <w:szCs w:val="24"/>
        </w:rPr>
      </w:pPr>
      <w:r>
        <w:rPr>
          <w:rFonts w:ascii="Arial" w:hAnsi="Arial" w:cs="Arial"/>
          <w:b/>
          <w:bCs/>
          <w:sz w:val="24"/>
          <w:szCs w:val="24"/>
        </w:rPr>
        <w:t>CUARTA:</w:t>
      </w:r>
      <w:r w:rsidRPr="00F11D83">
        <w:rPr>
          <w:rFonts w:ascii="Arial" w:hAnsi="Arial" w:cs="Arial"/>
          <w:snapToGrid w:val="0"/>
          <w:sz w:val="24"/>
          <w:szCs w:val="24"/>
        </w:rPr>
        <w:t xml:space="preserve"> </w:t>
      </w:r>
      <w:r>
        <w:rPr>
          <w:rFonts w:ascii="Arial" w:hAnsi="Arial" w:cs="Arial"/>
          <w:snapToGrid w:val="0"/>
          <w:sz w:val="24"/>
          <w:szCs w:val="24"/>
        </w:rPr>
        <w:t xml:space="preserve">Modificar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2.1., 2.1.1.1., y 2.1.7. del Anexo 6, el numeral 2 y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2.1.1., 2.6., 2.9., 2.9.1. y 2.9.2. del Anexo 7, y el numeral 2 y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2.1.1. y 2.7. del Anexo 8 del Capítulo XXXI de la Circular Básica Contable y Financiera </w:t>
      </w:r>
      <w:r>
        <w:rPr>
          <w:rFonts w:ascii="Arial" w:hAnsi="Arial" w:cs="Arial"/>
          <w:sz w:val="24"/>
          <w:szCs w:val="24"/>
        </w:rPr>
        <w:t>«</w:t>
      </w:r>
      <w:r w:rsidRPr="001A64E9">
        <w:rPr>
          <w:rFonts w:ascii="Arial" w:hAnsi="Arial" w:cs="Arial"/>
          <w:i/>
          <w:iCs/>
          <w:sz w:val="24"/>
          <w:szCs w:val="24"/>
        </w:rPr>
        <w:t>Sistema Integral de Administración de Riesgos (SIAR)»</w:t>
      </w:r>
      <w:r>
        <w:rPr>
          <w:rFonts w:ascii="Arial" w:hAnsi="Arial" w:cs="Arial"/>
          <w:snapToGrid w:val="0"/>
          <w:sz w:val="24"/>
          <w:szCs w:val="24"/>
        </w:rPr>
        <w:t xml:space="preserve"> relacionados con la administración del riesgo de mercado de los derivados de crédito en virtud de la modificación realizada por la Junta Directiva del Banco de la República en la Resolución mencionada</w:t>
      </w:r>
      <w:r>
        <w:rPr>
          <w:rFonts w:ascii="Arial" w:hAnsi="Arial" w:cs="Arial"/>
          <w:sz w:val="24"/>
          <w:szCs w:val="24"/>
        </w:rPr>
        <w:t xml:space="preserve">. </w:t>
      </w:r>
    </w:p>
    <w:p w14:paraId="67635625" w14:textId="77777777" w:rsidR="00DE218E" w:rsidRDefault="00DE218E" w:rsidP="00DE218E">
      <w:pPr>
        <w:jc w:val="both"/>
        <w:rPr>
          <w:rFonts w:ascii="Arial" w:hAnsi="Arial" w:cs="Arial"/>
          <w:b/>
          <w:bCs/>
          <w:sz w:val="24"/>
          <w:szCs w:val="24"/>
        </w:rPr>
      </w:pPr>
    </w:p>
    <w:p w14:paraId="68ECC944" w14:textId="6F752D86" w:rsidR="00DE218E" w:rsidRDefault="00DE218E" w:rsidP="00DE218E">
      <w:pPr>
        <w:jc w:val="both"/>
        <w:rPr>
          <w:rFonts w:ascii="Arial" w:hAnsi="Arial" w:cs="Arial"/>
          <w:b/>
          <w:sz w:val="24"/>
          <w:szCs w:val="24"/>
          <w:lang w:val="es-MX"/>
        </w:rPr>
      </w:pPr>
      <w:r>
        <w:rPr>
          <w:rFonts w:ascii="Arial" w:hAnsi="Arial" w:cs="Arial"/>
          <w:b/>
          <w:bCs/>
          <w:sz w:val="24"/>
          <w:szCs w:val="24"/>
        </w:rPr>
        <w:t xml:space="preserve">QUINTA: Vigencia. </w:t>
      </w:r>
      <w:r>
        <w:rPr>
          <w:rFonts w:ascii="Arial" w:hAnsi="Arial" w:cs="Arial"/>
          <w:bCs/>
          <w:sz w:val="24"/>
          <w:szCs w:val="24"/>
          <w:lang w:val="es-MX"/>
        </w:rPr>
        <w:t xml:space="preserve">Para efectos de la </w:t>
      </w:r>
      <w:proofErr w:type="gramStart"/>
      <w:r w:rsidR="002E60F2">
        <w:rPr>
          <w:rFonts w:ascii="Arial" w:hAnsi="Arial" w:cs="Arial"/>
          <w:bCs/>
          <w:sz w:val="24"/>
          <w:szCs w:val="24"/>
          <w:lang w:val="es-MX"/>
        </w:rPr>
        <w:t>entrada en vigencia</w:t>
      </w:r>
      <w:proofErr w:type="gramEnd"/>
      <w:r w:rsidR="002E60F2">
        <w:rPr>
          <w:rFonts w:ascii="Arial" w:hAnsi="Arial" w:cs="Arial"/>
          <w:bCs/>
          <w:sz w:val="24"/>
          <w:szCs w:val="24"/>
          <w:lang w:val="es-MX"/>
        </w:rPr>
        <w:t xml:space="preserve"> d</w:t>
      </w:r>
      <w:r>
        <w:rPr>
          <w:rFonts w:ascii="Arial" w:hAnsi="Arial" w:cs="Arial"/>
          <w:bCs/>
          <w:sz w:val="24"/>
          <w:szCs w:val="24"/>
          <w:lang w:val="es-MX"/>
        </w:rPr>
        <w:t>e las instrucciones de la presente Circular se tendrá en cuenta lo siguiente:</w:t>
      </w:r>
    </w:p>
    <w:p w14:paraId="5EF23142" w14:textId="77777777" w:rsidR="00DE218E" w:rsidRDefault="00DE218E" w:rsidP="00DE218E">
      <w:pPr>
        <w:jc w:val="both"/>
        <w:rPr>
          <w:rFonts w:ascii="Arial" w:hAnsi="Arial" w:cs="Arial"/>
          <w:b/>
          <w:bCs/>
          <w:sz w:val="24"/>
          <w:szCs w:val="24"/>
        </w:rPr>
      </w:pPr>
    </w:p>
    <w:p w14:paraId="0C589EFA" w14:textId="7C9D5D13" w:rsidR="00DE218E" w:rsidRPr="00D32824" w:rsidRDefault="00DE218E" w:rsidP="00DE218E">
      <w:pPr>
        <w:jc w:val="both"/>
        <w:rPr>
          <w:rFonts w:ascii="Arial" w:hAnsi="Arial" w:cs="Arial"/>
          <w:sz w:val="24"/>
          <w:szCs w:val="24"/>
        </w:rPr>
      </w:pPr>
      <w:r>
        <w:rPr>
          <w:rFonts w:ascii="Arial" w:hAnsi="Arial" w:cs="Arial"/>
          <w:b/>
          <w:bCs/>
          <w:sz w:val="24"/>
          <w:szCs w:val="24"/>
        </w:rPr>
        <w:t xml:space="preserve">5.1. </w:t>
      </w:r>
      <w:r w:rsidRPr="00D32824">
        <w:rPr>
          <w:rFonts w:ascii="Arial" w:hAnsi="Arial" w:cs="Arial"/>
          <w:sz w:val="24"/>
          <w:szCs w:val="24"/>
        </w:rPr>
        <w:t xml:space="preserve">La instrucción segunda empezará a regir a partir </w:t>
      </w:r>
      <w:r>
        <w:rPr>
          <w:rFonts w:ascii="Arial" w:hAnsi="Arial" w:cs="Arial"/>
          <w:sz w:val="24"/>
          <w:szCs w:val="24"/>
        </w:rPr>
        <w:t xml:space="preserve">del </w:t>
      </w:r>
      <w:r w:rsidR="002E60F2">
        <w:rPr>
          <w:rFonts w:ascii="Arial" w:hAnsi="Arial" w:cs="Arial"/>
          <w:sz w:val="24"/>
          <w:szCs w:val="24"/>
        </w:rPr>
        <w:t xml:space="preserve">1 </w:t>
      </w:r>
      <w:r>
        <w:rPr>
          <w:rFonts w:ascii="Arial" w:hAnsi="Arial" w:cs="Arial"/>
          <w:sz w:val="24"/>
          <w:szCs w:val="24"/>
        </w:rPr>
        <w:t xml:space="preserve">de febrero de 2024. </w:t>
      </w:r>
    </w:p>
    <w:p w14:paraId="3ED782CF" w14:textId="77777777" w:rsidR="00DE218E" w:rsidRDefault="00DE218E" w:rsidP="00DE218E">
      <w:pPr>
        <w:jc w:val="both"/>
        <w:rPr>
          <w:rFonts w:ascii="Arial" w:hAnsi="Arial" w:cs="Arial"/>
          <w:b/>
          <w:bCs/>
          <w:sz w:val="24"/>
          <w:szCs w:val="24"/>
        </w:rPr>
      </w:pPr>
    </w:p>
    <w:p w14:paraId="6CC21C8F" w14:textId="1889C78F" w:rsidR="00DE218E" w:rsidRPr="00D32824" w:rsidRDefault="00DE218E" w:rsidP="00DE218E">
      <w:pPr>
        <w:jc w:val="both"/>
        <w:rPr>
          <w:rFonts w:ascii="Arial" w:hAnsi="Arial" w:cs="Arial"/>
          <w:b/>
          <w:bCs/>
          <w:sz w:val="24"/>
          <w:szCs w:val="24"/>
        </w:rPr>
      </w:pPr>
      <w:r>
        <w:rPr>
          <w:rFonts w:ascii="Arial" w:hAnsi="Arial" w:cs="Arial"/>
          <w:b/>
          <w:bCs/>
          <w:sz w:val="24"/>
          <w:szCs w:val="24"/>
        </w:rPr>
        <w:t xml:space="preserve">5.2. </w:t>
      </w:r>
      <w:r w:rsidRPr="00D32824">
        <w:rPr>
          <w:rFonts w:ascii="Arial" w:hAnsi="Arial" w:cs="Arial"/>
          <w:sz w:val="24"/>
          <w:szCs w:val="24"/>
        </w:rPr>
        <w:t>Las instrucciones primera, tercera y cuarta rigen a partir de</w:t>
      </w:r>
      <w:r>
        <w:rPr>
          <w:rFonts w:ascii="Arial" w:hAnsi="Arial" w:cs="Arial"/>
          <w:sz w:val="24"/>
          <w:szCs w:val="24"/>
        </w:rPr>
        <w:t>l 1 de febrero de 2023</w:t>
      </w:r>
      <w:r w:rsidRPr="00D32824">
        <w:rPr>
          <w:rFonts w:ascii="Arial" w:hAnsi="Arial" w:cs="Arial"/>
          <w:sz w:val="24"/>
          <w:szCs w:val="24"/>
        </w:rPr>
        <w:t>.</w:t>
      </w:r>
      <w:r>
        <w:rPr>
          <w:rFonts w:ascii="Arial" w:hAnsi="Arial" w:cs="Arial"/>
          <w:sz w:val="24"/>
          <w:szCs w:val="24"/>
        </w:rPr>
        <w:t xml:space="preserve"> </w:t>
      </w:r>
    </w:p>
    <w:p w14:paraId="6DCE8039" w14:textId="77777777" w:rsidR="00DE218E" w:rsidRPr="007C6545" w:rsidRDefault="00DE218E" w:rsidP="00DE218E">
      <w:pPr>
        <w:jc w:val="both"/>
        <w:rPr>
          <w:rFonts w:ascii="Arial" w:hAnsi="Arial" w:cs="Arial"/>
          <w:bCs/>
          <w:sz w:val="24"/>
          <w:szCs w:val="24"/>
        </w:rPr>
      </w:pPr>
    </w:p>
    <w:p w14:paraId="261A08AA" w14:textId="77777777" w:rsidR="00DE218E" w:rsidRPr="007C6545" w:rsidRDefault="00DE218E" w:rsidP="00DE218E">
      <w:pPr>
        <w:adjustRightInd w:val="0"/>
        <w:jc w:val="both"/>
        <w:rPr>
          <w:rFonts w:ascii="Arial" w:hAnsi="Arial" w:cs="Arial"/>
          <w:bCs/>
          <w:sz w:val="24"/>
          <w:szCs w:val="24"/>
          <w:lang w:val="es-CO"/>
        </w:rPr>
      </w:pPr>
      <w:r w:rsidRPr="007C6545">
        <w:rPr>
          <w:rFonts w:ascii="Arial" w:hAnsi="Arial" w:cs="Arial"/>
          <w:sz w:val="24"/>
          <w:szCs w:val="24"/>
        </w:rPr>
        <w:t xml:space="preserve">Se adjuntan </w:t>
      </w:r>
      <w:r>
        <w:rPr>
          <w:rFonts w:ascii="Arial" w:hAnsi="Arial" w:cs="Arial"/>
          <w:sz w:val="24"/>
          <w:szCs w:val="24"/>
        </w:rPr>
        <w:t>los archivos</w:t>
      </w:r>
      <w:r w:rsidRPr="007C6545">
        <w:rPr>
          <w:rFonts w:ascii="Arial" w:hAnsi="Arial" w:cs="Arial"/>
          <w:sz w:val="24"/>
          <w:szCs w:val="24"/>
        </w:rPr>
        <w:t xml:space="preserve"> correspondientes.</w:t>
      </w:r>
      <w:r w:rsidRPr="007C6545">
        <w:rPr>
          <w:rFonts w:ascii="Arial" w:hAnsi="Arial" w:cs="Arial"/>
          <w:bCs/>
          <w:sz w:val="24"/>
          <w:szCs w:val="24"/>
          <w:lang w:val="es-CO"/>
        </w:rPr>
        <w:t xml:space="preserve"> </w:t>
      </w:r>
    </w:p>
    <w:p w14:paraId="4FCB2245" w14:textId="77777777" w:rsidR="00DE218E" w:rsidRPr="007C6545" w:rsidRDefault="00DE218E" w:rsidP="00DE218E">
      <w:pPr>
        <w:jc w:val="both"/>
        <w:rPr>
          <w:rFonts w:ascii="Arial" w:hAnsi="Arial" w:cs="Arial"/>
          <w:bCs/>
          <w:sz w:val="24"/>
          <w:szCs w:val="24"/>
          <w:lang w:val="es-CO"/>
        </w:rPr>
      </w:pPr>
    </w:p>
    <w:p w14:paraId="3EEE99F7" w14:textId="77777777" w:rsidR="00DE218E" w:rsidRDefault="00DE218E" w:rsidP="00DE218E">
      <w:pPr>
        <w:jc w:val="both"/>
        <w:rPr>
          <w:rFonts w:ascii="Arial" w:hAnsi="Arial" w:cs="Arial"/>
          <w:sz w:val="24"/>
          <w:szCs w:val="24"/>
        </w:rPr>
      </w:pPr>
    </w:p>
    <w:p w14:paraId="62957DF5" w14:textId="77777777" w:rsidR="00DE218E" w:rsidRPr="007C6545" w:rsidRDefault="00DE218E" w:rsidP="00DE218E">
      <w:pPr>
        <w:jc w:val="both"/>
        <w:rPr>
          <w:rFonts w:ascii="Arial" w:hAnsi="Arial" w:cs="Arial"/>
          <w:sz w:val="24"/>
          <w:szCs w:val="24"/>
        </w:rPr>
      </w:pPr>
      <w:r w:rsidRPr="007C6545">
        <w:rPr>
          <w:rFonts w:ascii="Arial" w:hAnsi="Arial" w:cs="Arial"/>
          <w:sz w:val="24"/>
          <w:szCs w:val="24"/>
        </w:rPr>
        <w:t>Cordialmente,</w:t>
      </w:r>
    </w:p>
    <w:p w14:paraId="1C0E090E" w14:textId="77777777" w:rsidR="00DE218E" w:rsidRPr="007C6545" w:rsidRDefault="00DE218E" w:rsidP="00DE218E">
      <w:pPr>
        <w:jc w:val="both"/>
        <w:rPr>
          <w:rFonts w:ascii="Arial" w:hAnsi="Arial" w:cs="Arial"/>
          <w:sz w:val="24"/>
          <w:szCs w:val="24"/>
        </w:rPr>
      </w:pPr>
    </w:p>
    <w:p w14:paraId="617E2AE3" w14:textId="77777777" w:rsidR="00DE218E" w:rsidRPr="007C6545" w:rsidRDefault="00DE218E" w:rsidP="00DE218E">
      <w:pPr>
        <w:jc w:val="both"/>
        <w:rPr>
          <w:rFonts w:ascii="Arial" w:hAnsi="Arial" w:cs="Arial"/>
          <w:sz w:val="24"/>
          <w:szCs w:val="24"/>
        </w:rPr>
      </w:pPr>
    </w:p>
    <w:p w14:paraId="40402746" w14:textId="77777777" w:rsidR="00DE218E" w:rsidRPr="007C6545" w:rsidRDefault="00DE218E" w:rsidP="00DE218E">
      <w:pPr>
        <w:jc w:val="both"/>
        <w:rPr>
          <w:rFonts w:ascii="Arial" w:hAnsi="Arial" w:cs="Arial"/>
          <w:sz w:val="24"/>
          <w:szCs w:val="24"/>
        </w:rPr>
      </w:pPr>
    </w:p>
    <w:p w14:paraId="782F75FA" w14:textId="77777777" w:rsidR="00DE218E" w:rsidRPr="007C6545" w:rsidRDefault="00DE218E" w:rsidP="00DE218E">
      <w:pPr>
        <w:jc w:val="both"/>
        <w:rPr>
          <w:rFonts w:ascii="Arial" w:hAnsi="Arial" w:cs="Arial"/>
          <w:sz w:val="24"/>
          <w:szCs w:val="24"/>
        </w:rPr>
      </w:pPr>
    </w:p>
    <w:p w14:paraId="4FCDF7F2" w14:textId="77777777" w:rsidR="00DE218E" w:rsidRPr="007C6545" w:rsidRDefault="00DE218E" w:rsidP="00DE218E">
      <w:pPr>
        <w:jc w:val="both"/>
        <w:rPr>
          <w:rFonts w:ascii="Arial" w:hAnsi="Arial" w:cs="Arial"/>
          <w:sz w:val="24"/>
          <w:szCs w:val="24"/>
        </w:rPr>
      </w:pPr>
    </w:p>
    <w:p w14:paraId="2BADF022" w14:textId="77777777" w:rsidR="00DE218E" w:rsidRPr="007C6545" w:rsidRDefault="00DE218E" w:rsidP="00DE218E">
      <w:pPr>
        <w:jc w:val="both"/>
        <w:rPr>
          <w:rFonts w:ascii="Arial" w:hAnsi="Arial" w:cs="Arial"/>
          <w:b/>
          <w:sz w:val="24"/>
          <w:szCs w:val="24"/>
          <w:lang w:val="es-CO"/>
        </w:rPr>
      </w:pPr>
      <w:r w:rsidRPr="007C6545">
        <w:rPr>
          <w:rFonts w:ascii="Arial" w:hAnsi="Arial" w:cs="Arial"/>
          <w:b/>
          <w:sz w:val="24"/>
          <w:szCs w:val="24"/>
          <w:lang w:val="es-CO"/>
        </w:rPr>
        <w:t>JORGE CASTAÑO GUTIÉRREZ</w:t>
      </w:r>
    </w:p>
    <w:p w14:paraId="4AE20D6F" w14:textId="77777777" w:rsidR="00DE218E" w:rsidRPr="007C6545" w:rsidRDefault="00DE218E" w:rsidP="00DE218E">
      <w:pPr>
        <w:jc w:val="both"/>
        <w:rPr>
          <w:rFonts w:ascii="Arial" w:hAnsi="Arial" w:cs="Arial"/>
          <w:sz w:val="24"/>
          <w:szCs w:val="24"/>
          <w:lang w:val="es-CO"/>
        </w:rPr>
      </w:pPr>
      <w:r w:rsidRPr="007C6545">
        <w:rPr>
          <w:rFonts w:ascii="Arial" w:hAnsi="Arial" w:cs="Arial"/>
          <w:sz w:val="24"/>
          <w:szCs w:val="24"/>
          <w:lang w:val="es-CO"/>
        </w:rPr>
        <w:t xml:space="preserve">Superintendente Financiero de Colombia </w:t>
      </w:r>
    </w:p>
    <w:p w14:paraId="5D2A474B" w14:textId="77777777" w:rsidR="00DE218E" w:rsidRPr="007C6545" w:rsidRDefault="00DE218E" w:rsidP="00DE218E">
      <w:pPr>
        <w:jc w:val="both"/>
        <w:rPr>
          <w:rFonts w:ascii="Arial" w:hAnsi="Arial" w:cs="Arial"/>
          <w:sz w:val="24"/>
          <w:szCs w:val="24"/>
          <w:lang w:val="es-CO"/>
        </w:rPr>
      </w:pPr>
      <w:r w:rsidRPr="007C6545">
        <w:rPr>
          <w:rFonts w:ascii="Arial" w:hAnsi="Arial" w:cs="Arial"/>
          <w:sz w:val="24"/>
          <w:szCs w:val="24"/>
          <w:lang w:val="es-CO"/>
        </w:rPr>
        <w:t>50000</w:t>
      </w:r>
    </w:p>
    <w:p w14:paraId="27D89713" w14:textId="77777777" w:rsidR="00307633" w:rsidRDefault="00307633" w:rsidP="00307633">
      <w:pPr>
        <w:jc w:val="center"/>
        <w:rPr>
          <w:rFonts w:cs="Arial"/>
          <w:b/>
          <w:bCs/>
          <w:sz w:val="22"/>
          <w:szCs w:val="22"/>
        </w:rPr>
      </w:pPr>
    </w:p>
    <w:p w14:paraId="15F2AA28" w14:textId="77777777" w:rsidR="00B51F39" w:rsidRDefault="00B51F39" w:rsidP="00307633">
      <w:pPr>
        <w:jc w:val="center"/>
        <w:rPr>
          <w:rFonts w:cs="Arial"/>
          <w:b/>
          <w:bCs/>
          <w:sz w:val="22"/>
          <w:szCs w:val="22"/>
        </w:rPr>
      </w:pPr>
    </w:p>
    <w:sectPr w:rsidR="00B51F39" w:rsidSect="00D93B2E">
      <w:headerReference w:type="even" r:id="rId17"/>
      <w:headerReference w:type="default" r:id="rId18"/>
      <w:footerReference w:type="default" r:id="rId19"/>
      <w:headerReference w:type="first" r:id="rId20"/>
      <w:footerReference w:type="first" r:id="rId21"/>
      <w:pgSz w:w="12240" w:h="18720" w:code="120"/>
      <w:pgMar w:top="1417" w:right="1701" w:bottom="1417" w:left="1701"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4846" w14:textId="77777777" w:rsidR="006B75F1" w:rsidRDefault="006B75F1">
      <w:r>
        <w:separator/>
      </w:r>
    </w:p>
  </w:endnote>
  <w:endnote w:type="continuationSeparator" w:id="0">
    <w:p w14:paraId="245D2DD0" w14:textId="77777777" w:rsidR="006B75F1" w:rsidRDefault="006B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4B50" w14:textId="77777777" w:rsidR="00564B20" w:rsidRDefault="00564B20">
    <w:pPr>
      <w:widowControl w:val="0"/>
      <w:autoSpaceDE w:val="0"/>
      <w:autoSpaceDN w:val="0"/>
      <w:adjustRightInd w:val="0"/>
      <w:jc w:val="both"/>
      <w:rPr>
        <w:rFonts w:ascii="Arial" w:hAnsi="Arial" w:cs="Arial"/>
        <w:sz w:val="22"/>
        <w:szCs w:val="22"/>
      </w:rPr>
    </w:pPr>
  </w:p>
  <w:p w14:paraId="6C4DEE90"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0A02" w14:textId="77777777" w:rsidR="00564B20" w:rsidRDefault="00564B20">
    <w:pPr>
      <w:widowControl w:val="0"/>
      <w:autoSpaceDE w:val="0"/>
      <w:autoSpaceDN w:val="0"/>
      <w:adjustRightInd w:val="0"/>
      <w:jc w:val="both"/>
      <w:rPr>
        <w:rFonts w:ascii="Arial" w:hAnsi="Arial" w:cs="Arial"/>
        <w:sz w:val="22"/>
        <w:szCs w:val="22"/>
      </w:rPr>
    </w:pPr>
  </w:p>
  <w:p w14:paraId="460AF320"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00DD342D" w14:paraId="359FF9CE" w14:textId="77777777" w:rsidTr="00DD342D">
      <w:tc>
        <w:tcPr>
          <w:tcW w:w="2946" w:type="dxa"/>
        </w:tcPr>
        <w:p w14:paraId="2570FE00" w14:textId="77777777" w:rsidR="00DD342D" w:rsidRDefault="00DD342D" w:rsidP="00DD342D">
          <w:pPr>
            <w:pStyle w:val="Encabezado"/>
            <w:ind w:left="-115"/>
          </w:pPr>
        </w:p>
      </w:tc>
      <w:tc>
        <w:tcPr>
          <w:tcW w:w="2946" w:type="dxa"/>
        </w:tcPr>
        <w:p w14:paraId="7ACD1D10" w14:textId="77777777" w:rsidR="00DD342D" w:rsidRDefault="00DD342D" w:rsidP="00DD342D">
          <w:pPr>
            <w:pStyle w:val="Encabezado"/>
            <w:jc w:val="center"/>
          </w:pPr>
        </w:p>
      </w:tc>
      <w:tc>
        <w:tcPr>
          <w:tcW w:w="2946" w:type="dxa"/>
        </w:tcPr>
        <w:p w14:paraId="29E0F190" w14:textId="77777777" w:rsidR="00DD342D" w:rsidRDefault="00DD342D" w:rsidP="00DD342D">
          <w:pPr>
            <w:pStyle w:val="Encabezado"/>
            <w:ind w:right="-115"/>
            <w:jc w:val="right"/>
          </w:pPr>
        </w:p>
      </w:tc>
    </w:tr>
  </w:tbl>
  <w:p w14:paraId="553F1B2B" w14:textId="77777777" w:rsidR="00DD342D" w:rsidRDefault="00DD342D" w:rsidP="00DD342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00DD342D" w14:paraId="49FFE3D8" w14:textId="77777777" w:rsidTr="00DD342D">
      <w:tc>
        <w:tcPr>
          <w:tcW w:w="2946" w:type="dxa"/>
        </w:tcPr>
        <w:p w14:paraId="28DF7001" w14:textId="77777777" w:rsidR="00DD342D" w:rsidRDefault="00DD342D" w:rsidP="00DD342D">
          <w:pPr>
            <w:pStyle w:val="Encabezado"/>
            <w:tabs>
              <w:tab w:val="clear" w:pos="8838"/>
              <w:tab w:val="right" w:pos="2723"/>
            </w:tabs>
            <w:ind w:left="-115"/>
          </w:pPr>
        </w:p>
      </w:tc>
      <w:tc>
        <w:tcPr>
          <w:tcW w:w="2946" w:type="dxa"/>
        </w:tcPr>
        <w:p w14:paraId="1ED89229" w14:textId="77777777" w:rsidR="00DD342D" w:rsidRDefault="00DD342D" w:rsidP="00DD342D">
          <w:pPr>
            <w:pStyle w:val="Encabezado"/>
            <w:jc w:val="center"/>
          </w:pPr>
        </w:p>
      </w:tc>
      <w:tc>
        <w:tcPr>
          <w:tcW w:w="2946" w:type="dxa"/>
        </w:tcPr>
        <w:p w14:paraId="756BF76C" w14:textId="77777777" w:rsidR="00DD342D" w:rsidRDefault="00DD342D" w:rsidP="00DD342D">
          <w:pPr>
            <w:pStyle w:val="Encabezado"/>
            <w:ind w:right="-115"/>
            <w:jc w:val="right"/>
          </w:pPr>
        </w:p>
      </w:tc>
    </w:tr>
  </w:tbl>
  <w:p w14:paraId="78D4A7D0" w14:textId="77777777" w:rsidR="00DD342D" w:rsidRDefault="00DD342D" w:rsidP="00DD34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7872" w14:textId="77777777" w:rsidR="006B75F1" w:rsidRDefault="006B75F1">
      <w:r>
        <w:separator/>
      </w:r>
    </w:p>
  </w:footnote>
  <w:footnote w:type="continuationSeparator" w:id="0">
    <w:p w14:paraId="5B875A06" w14:textId="77777777" w:rsidR="006B75F1" w:rsidRDefault="006B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F00C" w14:textId="77777777" w:rsidR="00D93B2E" w:rsidRPr="00966903" w:rsidRDefault="00D93B2E" w:rsidP="00D93B2E">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193EA772" w14:textId="77777777" w:rsidR="00D93B2E" w:rsidRDefault="00D93B2E" w:rsidP="00D93B2E">
    <w:pPr>
      <w:pStyle w:val="Encabezado"/>
      <w:jc w:val="center"/>
      <w:rPr>
        <w:rFonts w:cs="Arial"/>
        <w:b/>
        <w:bCs/>
        <w:sz w:val="22"/>
        <w:szCs w:val="22"/>
        <w:lang w:val="es-ES"/>
      </w:rPr>
    </w:pPr>
  </w:p>
  <w:p w14:paraId="13AA84E7" w14:textId="37E32239" w:rsidR="00D93B2E" w:rsidRPr="00966903" w:rsidRDefault="00D93B2E" w:rsidP="00D93B2E">
    <w:pPr>
      <w:pStyle w:val="Piedepgina"/>
      <w:rPr>
        <w:rFonts w:ascii="Arial" w:hAnsi="Arial" w:cs="Arial"/>
        <w:b/>
        <w:bCs/>
        <w:sz w:val="24"/>
        <w:szCs w:val="24"/>
      </w:rPr>
    </w:pPr>
    <w:r w:rsidRPr="00966903">
      <w:rPr>
        <w:rFonts w:ascii="Arial" w:hAnsi="Arial" w:cs="Arial"/>
        <w:b/>
        <w:bCs/>
        <w:sz w:val="24"/>
        <w:szCs w:val="24"/>
      </w:rPr>
      <w:t xml:space="preserve">Circular Externa </w:t>
    </w:r>
    <w:r>
      <w:rPr>
        <w:rFonts w:ascii="Arial" w:hAnsi="Arial" w:cs="Arial"/>
        <w:b/>
        <w:bCs/>
        <w:sz w:val="24"/>
        <w:szCs w:val="24"/>
      </w:rPr>
      <w:t xml:space="preserve">      </w:t>
    </w:r>
    <w:r w:rsidRPr="00966903">
      <w:rPr>
        <w:rFonts w:ascii="Arial" w:hAnsi="Arial" w:cs="Arial"/>
        <w:b/>
        <w:bCs/>
        <w:sz w:val="24"/>
        <w:szCs w:val="24"/>
      </w:rPr>
      <w:t xml:space="preserve"> de 202</w:t>
    </w:r>
    <w:r>
      <w:rPr>
        <w:rFonts w:ascii="Arial" w:hAnsi="Arial" w:cs="Arial"/>
        <w:b/>
        <w:bCs/>
        <w:sz w:val="24"/>
        <w:szCs w:val="24"/>
      </w:rPr>
      <w:t>2</w:t>
    </w:r>
    <w:r w:rsidRPr="00966903">
      <w:rPr>
        <w:rFonts w:ascii="Arial" w:hAnsi="Arial" w:cs="Arial"/>
        <w:b/>
        <w:bCs/>
        <w:sz w:val="24"/>
        <w:szCs w:val="24"/>
      </w:rPr>
      <w:t xml:space="preserve">                                                                Página </w:t>
    </w:r>
    <w:r>
      <w:rPr>
        <w:rFonts w:ascii="Arial" w:hAnsi="Arial" w:cs="Arial"/>
        <w:b/>
        <w:bCs/>
        <w:sz w:val="24"/>
        <w:szCs w:val="24"/>
      </w:rPr>
      <w:t>3</w:t>
    </w:r>
  </w:p>
  <w:p w14:paraId="1A44E3EB" w14:textId="77777777" w:rsidR="00D93B2E" w:rsidRDefault="00D93B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EE7D" w14:textId="77777777" w:rsidR="00564B20" w:rsidRDefault="00564B20">
    <w:pPr>
      <w:pStyle w:val="Encabezado"/>
      <w:jc w:val="center"/>
      <w:rPr>
        <w:rFonts w:ascii="Arial" w:hAnsi="Arial" w:cs="Arial"/>
        <w:b/>
        <w:sz w:val="24"/>
        <w:szCs w:val="24"/>
      </w:rPr>
    </w:pPr>
  </w:p>
  <w:p w14:paraId="5A92E170" w14:textId="77777777" w:rsidR="00564B20" w:rsidRDefault="00564B20">
    <w:pPr>
      <w:pStyle w:val="Encabezado"/>
      <w:jc w:val="center"/>
      <w:rPr>
        <w:rFonts w:ascii="Arial" w:hAnsi="Arial" w:cs="Arial"/>
        <w:b/>
        <w:sz w:val="24"/>
        <w:szCs w:val="24"/>
      </w:rPr>
    </w:pPr>
  </w:p>
  <w:p w14:paraId="4FDF7016" w14:textId="77777777" w:rsidR="00564B20" w:rsidRDefault="00564B20">
    <w:pPr>
      <w:pStyle w:val="Encabezado"/>
      <w:jc w:val="center"/>
      <w:rPr>
        <w:rFonts w:ascii="Arial" w:hAnsi="Arial" w:cs="Arial"/>
        <w:b/>
        <w:sz w:val="24"/>
        <w:szCs w:val="24"/>
      </w:rPr>
    </w:pPr>
  </w:p>
  <w:p w14:paraId="49DBD322"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113FA2B6" w14:textId="77777777" w:rsidR="00564B20" w:rsidRDefault="00564B20">
    <w:pPr>
      <w:pStyle w:val="Encabezado"/>
      <w:jc w:val="center"/>
      <w:rPr>
        <w:rFonts w:ascii="Arial" w:hAnsi="Arial" w:cs="Arial"/>
        <w:b/>
        <w:bCs/>
        <w:sz w:val="24"/>
        <w:szCs w:val="24"/>
        <w:lang w:val="es-CO"/>
      </w:rPr>
    </w:pPr>
  </w:p>
  <w:p w14:paraId="5151CE0C" w14:textId="77777777" w:rsidR="00564B20" w:rsidRDefault="00564B20">
    <w:pPr>
      <w:pStyle w:val="Encabezado"/>
      <w:jc w:val="both"/>
      <w:rPr>
        <w:rFonts w:ascii="Arial" w:hAnsi="Arial" w:cs="Arial"/>
        <w:b/>
        <w:bCs/>
        <w:sz w:val="24"/>
        <w:szCs w:val="24"/>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256"/>
      <w:gridCol w:w="4399"/>
      <w:gridCol w:w="2052"/>
    </w:tblGrid>
    <w:tr w:rsidR="00564B20" w14:paraId="7BBA85CC" w14:textId="77777777" w:rsidTr="0044428D">
      <w:trPr>
        <w:cantSplit/>
        <w:trHeight w:val="699"/>
      </w:trPr>
      <w:tc>
        <w:tcPr>
          <w:tcW w:w="2055" w:type="dxa"/>
          <w:vMerge w:val="restart"/>
          <w:noWrap/>
          <w:vAlign w:val="bottom"/>
        </w:tcPr>
        <w:p w14:paraId="394121B9" w14:textId="5C4FB6D7" w:rsidR="00564B20" w:rsidRDefault="00564B20" w:rsidP="000F6CB5">
          <w:pPr>
            <w:rPr>
              <w:rFonts w:cs="Arial"/>
              <w:sz w:val="2"/>
              <w:szCs w:val="2"/>
              <w:lang w:val="es-CO"/>
            </w:rPr>
          </w:pPr>
        </w:p>
        <w:p w14:paraId="12B78689" w14:textId="77777777" w:rsidR="00564B20" w:rsidRDefault="00564B20" w:rsidP="000F6CB5">
          <w:pPr>
            <w:rPr>
              <w:rFonts w:cs="Arial"/>
              <w:sz w:val="2"/>
              <w:szCs w:val="2"/>
              <w:lang w:val="es-CO"/>
            </w:rPr>
          </w:pPr>
        </w:p>
        <w:p w14:paraId="25B0DE75" w14:textId="77777777" w:rsidR="00564B20" w:rsidRDefault="00564B20" w:rsidP="000F6CB5">
          <w:pPr>
            <w:rPr>
              <w:rFonts w:cs="Arial"/>
              <w:sz w:val="2"/>
              <w:szCs w:val="2"/>
              <w:lang w:val="es-CO"/>
            </w:rPr>
          </w:pPr>
        </w:p>
        <w:p w14:paraId="0D52FA2F" w14:textId="77777777" w:rsidR="00564B20" w:rsidRDefault="00564B20" w:rsidP="000F6CB5">
          <w:pPr>
            <w:rPr>
              <w:rFonts w:cs="Arial"/>
              <w:sz w:val="2"/>
              <w:szCs w:val="2"/>
              <w:lang w:val="es-CO"/>
            </w:rPr>
          </w:pPr>
        </w:p>
        <w:p w14:paraId="4354A215" w14:textId="4E571AD2" w:rsidR="00564B20" w:rsidRDefault="00342400" w:rsidP="000F6CB5">
          <w:pPr>
            <w:rPr>
              <w:rFonts w:cs="Arial"/>
              <w:sz w:val="2"/>
              <w:szCs w:val="2"/>
              <w:lang w:val="es-CO"/>
            </w:rPr>
          </w:pPr>
          <w:r>
            <w:rPr>
              <w:rFonts w:ascii="Arial" w:hAnsi="Arial" w:cs="Arial"/>
              <w:noProof/>
              <w:color w:val="000000"/>
              <w:lang w:eastAsia="es-CO"/>
            </w:rPr>
            <w:drawing>
              <wp:inline distT="0" distB="0" distL="0" distR="0" wp14:anchorId="4957C518" wp14:editId="65FDA2B0">
                <wp:extent cx="1343660" cy="4851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485140"/>
                        </a:xfrm>
                        <a:prstGeom prst="rect">
                          <a:avLst/>
                        </a:prstGeom>
                        <a:noFill/>
                        <a:ln>
                          <a:noFill/>
                        </a:ln>
                      </pic:spPr>
                    </pic:pic>
                  </a:graphicData>
                </a:graphic>
              </wp:inline>
            </w:drawing>
          </w:r>
        </w:p>
      </w:tc>
      <w:tc>
        <w:tcPr>
          <w:tcW w:w="4399" w:type="dxa"/>
          <w:shd w:val="clear" w:color="auto" w:fill="FFFFFF"/>
          <w:noWrap/>
          <w:vAlign w:val="center"/>
        </w:tcPr>
        <w:p w14:paraId="20DAE4A2"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0881EF00" w14:textId="77777777" w:rsidR="00564B20" w:rsidRDefault="00564B20" w:rsidP="000F6CB5">
          <w:pPr>
            <w:jc w:val="center"/>
            <w:rPr>
              <w:rFonts w:ascii="Arial" w:hAnsi="Arial" w:cs="Arial"/>
              <w:lang w:val="es-CO"/>
            </w:rPr>
          </w:pPr>
          <w:r>
            <w:rPr>
              <w:rFonts w:ascii="Arial" w:hAnsi="Arial" w:cs="Arial"/>
              <w:bCs/>
            </w:rPr>
            <w:t>E-PI-DDS-002</w:t>
          </w:r>
        </w:p>
      </w:tc>
    </w:tr>
    <w:tr w:rsidR="00564B20" w14:paraId="5E9605DE" w14:textId="77777777" w:rsidTr="00043B3D">
      <w:trPr>
        <w:cantSplit/>
        <w:trHeight w:val="378"/>
      </w:trPr>
      <w:tc>
        <w:tcPr>
          <w:tcW w:w="2055" w:type="dxa"/>
          <w:vMerge/>
          <w:noWrap/>
          <w:vAlign w:val="bottom"/>
        </w:tcPr>
        <w:p w14:paraId="3DABE928" w14:textId="77777777" w:rsidR="00564B20" w:rsidRDefault="00564B20" w:rsidP="000F6CB5">
          <w:pPr>
            <w:rPr>
              <w:rFonts w:cs="Arial"/>
              <w:color w:val="FFFFFF"/>
              <w:lang w:val="es-CO"/>
            </w:rPr>
          </w:pPr>
        </w:p>
      </w:tc>
      <w:tc>
        <w:tcPr>
          <w:tcW w:w="4399" w:type="dxa"/>
          <w:vAlign w:val="center"/>
        </w:tcPr>
        <w:p w14:paraId="071C7BBA"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6AC33A07"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3C6C01FF" w14:textId="77777777" w:rsidR="00564B20" w:rsidRDefault="00564B20" w:rsidP="00564B20">
    <w:pPr>
      <w:pStyle w:val="Encabezado"/>
      <w:rPr>
        <w:rFonts w:ascii="Arial" w:hAnsi="Arial" w:cs="Arial"/>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85BA" w14:textId="77777777" w:rsidR="00D93B2E" w:rsidRPr="00966903" w:rsidRDefault="00D93B2E" w:rsidP="00D93B2E">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1C9EF189" w14:textId="77777777" w:rsidR="00D93B2E" w:rsidRDefault="00D93B2E" w:rsidP="00D93B2E">
    <w:pPr>
      <w:pStyle w:val="Encabezado"/>
      <w:jc w:val="center"/>
      <w:rPr>
        <w:rFonts w:cs="Arial"/>
        <w:b/>
        <w:bCs/>
        <w:sz w:val="22"/>
        <w:szCs w:val="22"/>
        <w:lang w:val="es-ES"/>
      </w:rPr>
    </w:pPr>
  </w:p>
  <w:p w14:paraId="18A4DAC1" w14:textId="77777777" w:rsidR="00D93B2E" w:rsidRPr="00966903" w:rsidRDefault="00D93B2E" w:rsidP="00D93B2E">
    <w:pPr>
      <w:pStyle w:val="Piedepgina"/>
      <w:rPr>
        <w:rFonts w:ascii="Arial" w:hAnsi="Arial" w:cs="Arial"/>
        <w:b/>
        <w:bCs/>
        <w:sz w:val="24"/>
        <w:szCs w:val="24"/>
      </w:rPr>
    </w:pPr>
    <w:r w:rsidRPr="00966903">
      <w:rPr>
        <w:rFonts w:ascii="Arial" w:hAnsi="Arial" w:cs="Arial"/>
        <w:b/>
        <w:bCs/>
        <w:sz w:val="24"/>
        <w:szCs w:val="24"/>
      </w:rPr>
      <w:t xml:space="preserve">Circular Externa </w:t>
    </w:r>
    <w:r>
      <w:rPr>
        <w:rFonts w:ascii="Arial" w:hAnsi="Arial" w:cs="Arial"/>
        <w:b/>
        <w:bCs/>
        <w:sz w:val="24"/>
        <w:szCs w:val="24"/>
      </w:rPr>
      <w:t xml:space="preserve">      </w:t>
    </w:r>
    <w:r w:rsidRPr="00966903">
      <w:rPr>
        <w:rFonts w:ascii="Arial" w:hAnsi="Arial" w:cs="Arial"/>
        <w:b/>
        <w:bCs/>
        <w:sz w:val="24"/>
        <w:szCs w:val="24"/>
      </w:rPr>
      <w:t xml:space="preserve"> de 202</w:t>
    </w:r>
    <w:r>
      <w:rPr>
        <w:rFonts w:ascii="Arial" w:hAnsi="Arial" w:cs="Arial"/>
        <w:b/>
        <w:bCs/>
        <w:sz w:val="24"/>
        <w:szCs w:val="24"/>
      </w:rPr>
      <w:t>2</w:t>
    </w:r>
    <w:r w:rsidRPr="00966903">
      <w:rPr>
        <w:rFonts w:ascii="Arial" w:hAnsi="Arial" w:cs="Arial"/>
        <w:b/>
        <w:bCs/>
        <w:sz w:val="24"/>
        <w:szCs w:val="24"/>
      </w:rPr>
      <w:t xml:space="preserve">                                                                Página </w:t>
    </w:r>
    <w:r>
      <w:rPr>
        <w:rFonts w:ascii="Arial" w:hAnsi="Arial" w:cs="Arial"/>
        <w:b/>
        <w:bCs/>
        <w:sz w:val="24"/>
        <w:szCs w:val="24"/>
      </w:rPr>
      <w:t>2</w:t>
    </w:r>
  </w:p>
  <w:p w14:paraId="0768EA9E" w14:textId="77777777" w:rsidR="00D93B2E" w:rsidRDefault="00D93B2E">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EEA" w14:textId="77777777" w:rsidR="00DD342D" w:rsidRPr="00966903" w:rsidRDefault="00DD342D" w:rsidP="00DD342D">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7FFCEF45" w14:textId="77777777" w:rsidR="00DD342D" w:rsidRDefault="00DD342D" w:rsidP="00DD342D">
    <w:pPr>
      <w:pStyle w:val="Encabezado"/>
      <w:jc w:val="center"/>
      <w:rPr>
        <w:rFonts w:cs="Arial"/>
        <w:b/>
        <w:bCs/>
        <w:sz w:val="22"/>
        <w:szCs w:val="22"/>
        <w:lang w:val="es-ES"/>
      </w:rPr>
    </w:pPr>
  </w:p>
  <w:p w14:paraId="25742939" w14:textId="77777777" w:rsidR="00DD342D" w:rsidRPr="00966903" w:rsidRDefault="00DD342D" w:rsidP="00DD342D">
    <w:pPr>
      <w:pStyle w:val="Piedepgina"/>
      <w:rPr>
        <w:rFonts w:ascii="Arial" w:hAnsi="Arial" w:cs="Arial"/>
        <w:b/>
        <w:bCs/>
        <w:sz w:val="24"/>
        <w:szCs w:val="24"/>
      </w:rPr>
    </w:pPr>
    <w:r w:rsidRPr="00966903">
      <w:rPr>
        <w:rFonts w:ascii="Arial" w:hAnsi="Arial" w:cs="Arial"/>
        <w:b/>
        <w:bCs/>
        <w:sz w:val="24"/>
        <w:szCs w:val="24"/>
      </w:rPr>
      <w:t xml:space="preserve">Circular Externa </w:t>
    </w:r>
    <w:r w:rsidR="00A74FE2">
      <w:rPr>
        <w:rFonts w:ascii="Arial" w:hAnsi="Arial" w:cs="Arial"/>
        <w:b/>
        <w:bCs/>
        <w:sz w:val="24"/>
        <w:szCs w:val="24"/>
      </w:rPr>
      <w:t xml:space="preserve">      </w:t>
    </w:r>
    <w:r w:rsidRPr="00966903">
      <w:rPr>
        <w:rFonts w:ascii="Arial" w:hAnsi="Arial" w:cs="Arial"/>
        <w:b/>
        <w:bCs/>
        <w:sz w:val="24"/>
        <w:szCs w:val="24"/>
      </w:rPr>
      <w:t xml:space="preserve"> de 202</w:t>
    </w:r>
    <w:r w:rsidR="00966903">
      <w:rPr>
        <w:rFonts w:ascii="Arial" w:hAnsi="Arial" w:cs="Arial"/>
        <w:b/>
        <w:bCs/>
        <w:sz w:val="24"/>
        <w:szCs w:val="24"/>
      </w:rPr>
      <w:t>2</w:t>
    </w:r>
    <w:r w:rsidRPr="00966903">
      <w:rPr>
        <w:rFonts w:ascii="Arial" w:hAnsi="Arial" w:cs="Arial"/>
        <w:b/>
        <w:bCs/>
        <w:sz w:val="24"/>
        <w:szCs w:val="24"/>
      </w:rPr>
      <w:t xml:space="preserve">                                                                Página </w:t>
    </w:r>
    <w:r w:rsidR="00D93B2E">
      <w:rPr>
        <w:rFonts w:ascii="Arial" w:hAnsi="Arial" w:cs="Arial"/>
        <w:b/>
        <w:bCs/>
        <w:sz w:val="24"/>
        <w:szCs w:val="24"/>
      </w:rPr>
      <w:t>2</w:t>
    </w:r>
  </w:p>
  <w:p w14:paraId="745E2C9F" w14:textId="77777777" w:rsidR="00DD342D" w:rsidRPr="00F83A3A" w:rsidRDefault="00DD342D" w:rsidP="00DD342D">
    <w:pPr>
      <w:pStyle w:val="Encabezado"/>
      <w:jc w:val="center"/>
      <w:rPr>
        <w:rFonts w:cs="Arial"/>
        <w:b/>
        <w:bCs/>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F7B5" w14:textId="77777777" w:rsidR="003A303D" w:rsidRDefault="002E60F2" w:rsidP="00DD342D">
    <w:pPr>
      <w:pStyle w:val="Encabezado"/>
      <w:jc w:val="center"/>
      <w:rPr>
        <w:rFonts w:ascii="Arial" w:hAnsi="Arial" w:cs="Arial"/>
        <w:b/>
        <w:bCs/>
        <w:sz w:val="24"/>
        <w:szCs w:val="24"/>
        <w:lang w:val="es-ES"/>
      </w:rPr>
    </w:pPr>
    <w:bookmarkStart w:id="1" w:name="_Hlk96325164"/>
    <w:bookmarkStart w:id="2" w:name="_Hlk96325165"/>
    <w:bookmarkStart w:id="3" w:name="_Hlk96325166"/>
    <w:bookmarkStart w:id="4" w:name="_Hlk96325167"/>
    <w:bookmarkStart w:id="5" w:name="_Hlk96325168"/>
    <w:bookmarkStart w:id="6" w:name="_Hlk96325169"/>
    <w:bookmarkStart w:id="7" w:name="_Hlk96325170"/>
    <w:bookmarkStart w:id="8" w:name="_Hlk96325171"/>
    <w:bookmarkStart w:id="9" w:name="_Hlk96325172"/>
    <w:bookmarkStart w:id="10" w:name="_Hlk96325173"/>
    <w:bookmarkStart w:id="11" w:name="_Hlk96325174"/>
    <w:bookmarkStart w:id="12" w:name="_Hlk96325175"/>
    <w:bookmarkStart w:id="13" w:name="_Hlk96325176"/>
    <w:bookmarkStart w:id="14" w:name="_Hlk96325177"/>
  </w:p>
  <w:p w14:paraId="6F0DE60B" w14:textId="77777777" w:rsidR="00DD342D" w:rsidRPr="00964900" w:rsidRDefault="00DD342D" w:rsidP="00DD342D">
    <w:pPr>
      <w:pStyle w:val="Encabezado"/>
      <w:jc w:val="center"/>
      <w:rPr>
        <w:rFonts w:ascii="Arial" w:hAnsi="Arial" w:cs="Arial"/>
        <w:b/>
        <w:bCs/>
        <w:sz w:val="24"/>
        <w:szCs w:val="24"/>
        <w:lang w:val="es-ES"/>
      </w:rPr>
    </w:pPr>
    <w:r w:rsidRPr="00964900">
      <w:rPr>
        <w:rFonts w:ascii="Arial" w:hAnsi="Arial" w:cs="Arial"/>
        <w:b/>
        <w:bCs/>
        <w:sz w:val="24"/>
        <w:szCs w:val="24"/>
        <w:lang w:val="es-ES"/>
      </w:rPr>
      <w:t>SUPERINTENDENCIA FINANCIERA DE COLOMBIA</w:t>
    </w:r>
    <w:bookmarkEnd w:id="1"/>
    <w:bookmarkEnd w:id="2"/>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1735810629">
    <w:abstractNumId w:val="10"/>
  </w:num>
  <w:num w:numId="2" w16cid:durableId="1314141223">
    <w:abstractNumId w:val="42"/>
  </w:num>
  <w:num w:numId="3" w16cid:durableId="1941982206">
    <w:abstractNumId w:val="27"/>
  </w:num>
  <w:num w:numId="4" w16cid:durableId="643312110">
    <w:abstractNumId w:val="2"/>
  </w:num>
  <w:num w:numId="5" w16cid:durableId="1314288302">
    <w:abstractNumId w:val="1"/>
  </w:num>
  <w:num w:numId="6" w16cid:durableId="1624996556">
    <w:abstractNumId w:val="0"/>
  </w:num>
  <w:num w:numId="7" w16cid:durableId="718356836">
    <w:abstractNumId w:val="43"/>
  </w:num>
  <w:num w:numId="8" w16cid:durableId="1320354033">
    <w:abstractNumId w:val="12"/>
  </w:num>
  <w:num w:numId="9" w16cid:durableId="1106073444">
    <w:abstractNumId w:val="36"/>
  </w:num>
  <w:num w:numId="10" w16cid:durableId="1689062884">
    <w:abstractNumId w:val="14"/>
  </w:num>
  <w:num w:numId="11" w16cid:durableId="591205742">
    <w:abstractNumId w:val="26"/>
  </w:num>
  <w:num w:numId="12" w16cid:durableId="1514950397">
    <w:abstractNumId w:val="5"/>
  </w:num>
  <w:num w:numId="13" w16cid:durableId="142742476">
    <w:abstractNumId w:val="18"/>
  </w:num>
  <w:num w:numId="14" w16cid:durableId="524370246">
    <w:abstractNumId w:val="25"/>
  </w:num>
  <w:num w:numId="15" w16cid:durableId="1279526805">
    <w:abstractNumId w:val="11"/>
  </w:num>
  <w:num w:numId="16" w16cid:durableId="352925358">
    <w:abstractNumId w:val="13"/>
  </w:num>
  <w:num w:numId="17" w16cid:durableId="1854806438">
    <w:abstractNumId w:val="8"/>
  </w:num>
  <w:num w:numId="18" w16cid:durableId="869682376">
    <w:abstractNumId w:val="45"/>
  </w:num>
  <w:num w:numId="19" w16cid:durableId="1297878003">
    <w:abstractNumId w:val="38"/>
  </w:num>
  <w:num w:numId="20" w16cid:durableId="549725793">
    <w:abstractNumId w:val="20"/>
  </w:num>
  <w:num w:numId="21" w16cid:durableId="298608345">
    <w:abstractNumId w:val="15"/>
  </w:num>
  <w:num w:numId="22" w16cid:durableId="1357777505">
    <w:abstractNumId w:val="16"/>
  </w:num>
  <w:num w:numId="23" w16cid:durableId="1246377954">
    <w:abstractNumId w:val="7"/>
  </w:num>
  <w:num w:numId="24" w16cid:durableId="332954728">
    <w:abstractNumId w:val="24"/>
  </w:num>
  <w:num w:numId="25" w16cid:durableId="1894610437">
    <w:abstractNumId w:val="37"/>
  </w:num>
  <w:num w:numId="26" w16cid:durableId="2074233258">
    <w:abstractNumId w:val="23"/>
  </w:num>
  <w:num w:numId="27" w16cid:durableId="1139221593">
    <w:abstractNumId w:val="44"/>
  </w:num>
  <w:num w:numId="28" w16cid:durableId="811362574">
    <w:abstractNumId w:val="6"/>
  </w:num>
  <w:num w:numId="29" w16cid:durableId="497573856">
    <w:abstractNumId w:val="21"/>
  </w:num>
  <w:num w:numId="30" w16cid:durableId="1769544901">
    <w:abstractNumId w:val="19"/>
  </w:num>
  <w:num w:numId="31" w16cid:durableId="1722166428">
    <w:abstractNumId w:val="39"/>
  </w:num>
  <w:num w:numId="32" w16cid:durableId="339892709">
    <w:abstractNumId w:val="32"/>
  </w:num>
  <w:num w:numId="33" w16cid:durableId="33509173">
    <w:abstractNumId w:val="4"/>
  </w:num>
  <w:num w:numId="34" w16cid:durableId="2075816166">
    <w:abstractNumId w:val="29"/>
  </w:num>
  <w:num w:numId="35" w16cid:durableId="128519522">
    <w:abstractNumId w:val="9"/>
  </w:num>
  <w:num w:numId="36" w16cid:durableId="267782967">
    <w:abstractNumId w:val="28"/>
  </w:num>
  <w:num w:numId="37" w16cid:durableId="1763913313">
    <w:abstractNumId w:val="34"/>
  </w:num>
  <w:num w:numId="38" w16cid:durableId="2133938467">
    <w:abstractNumId w:val="22"/>
  </w:num>
  <w:num w:numId="39" w16cid:durableId="1729570689">
    <w:abstractNumId w:val="31"/>
  </w:num>
  <w:num w:numId="40" w16cid:durableId="1019509642">
    <w:abstractNumId w:val="41"/>
  </w:num>
  <w:num w:numId="41" w16cid:durableId="827749897">
    <w:abstractNumId w:val="17"/>
  </w:num>
  <w:num w:numId="42" w16cid:durableId="2122801277">
    <w:abstractNumId w:val="30"/>
  </w:num>
  <w:num w:numId="43" w16cid:durableId="1603755520">
    <w:abstractNumId w:val="3"/>
  </w:num>
  <w:num w:numId="44" w16cid:durableId="1869486370">
    <w:abstractNumId w:val="35"/>
  </w:num>
  <w:num w:numId="45" w16cid:durableId="1536698525">
    <w:abstractNumId w:val="40"/>
  </w:num>
  <w:num w:numId="46" w16cid:durableId="12259189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022CC"/>
    <w:rsid w:val="00043B3D"/>
    <w:rsid w:val="00047316"/>
    <w:rsid w:val="000779CA"/>
    <w:rsid w:val="000D147B"/>
    <w:rsid w:val="000F6CB5"/>
    <w:rsid w:val="000F7004"/>
    <w:rsid w:val="00120DA4"/>
    <w:rsid w:val="001258E1"/>
    <w:rsid w:val="00126B8C"/>
    <w:rsid w:val="00126F57"/>
    <w:rsid w:val="001543F0"/>
    <w:rsid w:val="00156649"/>
    <w:rsid w:val="00164D9E"/>
    <w:rsid w:val="0017188F"/>
    <w:rsid w:val="00172C51"/>
    <w:rsid w:val="00181A69"/>
    <w:rsid w:val="0018221B"/>
    <w:rsid w:val="001825CB"/>
    <w:rsid w:val="00190EE7"/>
    <w:rsid w:val="001922C8"/>
    <w:rsid w:val="001A6B7D"/>
    <w:rsid w:val="001C4DC4"/>
    <w:rsid w:val="001F13C7"/>
    <w:rsid w:val="001F14E9"/>
    <w:rsid w:val="001F540D"/>
    <w:rsid w:val="002B28F2"/>
    <w:rsid w:val="002B6E99"/>
    <w:rsid w:val="002C13C6"/>
    <w:rsid w:val="002D0E3B"/>
    <w:rsid w:val="002D38EB"/>
    <w:rsid w:val="002E60F2"/>
    <w:rsid w:val="002F4A2A"/>
    <w:rsid w:val="003041BF"/>
    <w:rsid w:val="00307633"/>
    <w:rsid w:val="00316E05"/>
    <w:rsid w:val="003372C0"/>
    <w:rsid w:val="00342400"/>
    <w:rsid w:val="00356305"/>
    <w:rsid w:val="00364810"/>
    <w:rsid w:val="003738F8"/>
    <w:rsid w:val="00374109"/>
    <w:rsid w:val="0037411F"/>
    <w:rsid w:val="00374F5A"/>
    <w:rsid w:val="003760B7"/>
    <w:rsid w:val="00382C29"/>
    <w:rsid w:val="00387AB8"/>
    <w:rsid w:val="003918C3"/>
    <w:rsid w:val="003964FA"/>
    <w:rsid w:val="003C4357"/>
    <w:rsid w:val="003E1C0D"/>
    <w:rsid w:val="003E3028"/>
    <w:rsid w:val="003E3CC3"/>
    <w:rsid w:val="003F256B"/>
    <w:rsid w:val="003F7BBD"/>
    <w:rsid w:val="00404235"/>
    <w:rsid w:val="004043B0"/>
    <w:rsid w:val="0040661C"/>
    <w:rsid w:val="00410CAB"/>
    <w:rsid w:val="0042646F"/>
    <w:rsid w:val="00431FCF"/>
    <w:rsid w:val="0044428D"/>
    <w:rsid w:val="00451E47"/>
    <w:rsid w:val="0047030A"/>
    <w:rsid w:val="004A2B03"/>
    <w:rsid w:val="004C045F"/>
    <w:rsid w:val="004C2087"/>
    <w:rsid w:val="004D5BBF"/>
    <w:rsid w:val="004D662A"/>
    <w:rsid w:val="004F111A"/>
    <w:rsid w:val="00513233"/>
    <w:rsid w:val="00545411"/>
    <w:rsid w:val="0055514D"/>
    <w:rsid w:val="00564B20"/>
    <w:rsid w:val="00581497"/>
    <w:rsid w:val="00590E8D"/>
    <w:rsid w:val="00593DE0"/>
    <w:rsid w:val="00595E1E"/>
    <w:rsid w:val="005A4D86"/>
    <w:rsid w:val="005D51F0"/>
    <w:rsid w:val="00621A24"/>
    <w:rsid w:val="00623D38"/>
    <w:rsid w:val="0064423D"/>
    <w:rsid w:val="00655C9D"/>
    <w:rsid w:val="00664B83"/>
    <w:rsid w:val="006B29A5"/>
    <w:rsid w:val="006B56BB"/>
    <w:rsid w:val="006B75F1"/>
    <w:rsid w:val="006B7FE7"/>
    <w:rsid w:val="006C2208"/>
    <w:rsid w:val="006D0DBC"/>
    <w:rsid w:val="006D2615"/>
    <w:rsid w:val="006F70A6"/>
    <w:rsid w:val="006F7746"/>
    <w:rsid w:val="0075215C"/>
    <w:rsid w:val="00756C45"/>
    <w:rsid w:val="007923DE"/>
    <w:rsid w:val="007A075C"/>
    <w:rsid w:val="007A5287"/>
    <w:rsid w:val="007A55C7"/>
    <w:rsid w:val="007B702B"/>
    <w:rsid w:val="007C0F8A"/>
    <w:rsid w:val="007E4209"/>
    <w:rsid w:val="007E6D70"/>
    <w:rsid w:val="008078CF"/>
    <w:rsid w:val="00816B66"/>
    <w:rsid w:val="00824B7C"/>
    <w:rsid w:val="00827567"/>
    <w:rsid w:val="00836A72"/>
    <w:rsid w:val="0084010C"/>
    <w:rsid w:val="008459C8"/>
    <w:rsid w:val="0085655E"/>
    <w:rsid w:val="00871B40"/>
    <w:rsid w:val="008A2DDC"/>
    <w:rsid w:val="008B697F"/>
    <w:rsid w:val="008C78C6"/>
    <w:rsid w:val="008D1DF6"/>
    <w:rsid w:val="008D29B3"/>
    <w:rsid w:val="008D2B55"/>
    <w:rsid w:val="008E4990"/>
    <w:rsid w:val="008F174B"/>
    <w:rsid w:val="00901DB7"/>
    <w:rsid w:val="00903F36"/>
    <w:rsid w:val="00904A52"/>
    <w:rsid w:val="009348CA"/>
    <w:rsid w:val="009513C8"/>
    <w:rsid w:val="009550EE"/>
    <w:rsid w:val="00957AAC"/>
    <w:rsid w:val="00964900"/>
    <w:rsid w:val="0096671F"/>
    <w:rsid w:val="00966903"/>
    <w:rsid w:val="00997CB7"/>
    <w:rsid w:val="009A55F6"/>
    <w:rsid w:val="009C2D7A"/>
    <w:rsid w:val="009D6473"/>
    <w:rsid w:val="009F74BD"/>
    <w:rsid w:val="00A04BFD"/>
    <w:rsid w:val="00A164B8"/>
    <w:rsid w:val="00A27AEE"/>
    <w:rsid w:val="00A406DE"/>
    <w:rsid w:val="00A47761"/>
    <w:rsid w:val="00A56544"/>
    <w:rsid w:val="00A57330"/>
    <w:rsid w:val="00A61CAF"/>
    <w:rsid w:val="00A634DA"/>
    <w:rsid w:val="00A74FE2"/>
    <w:rsid w:val="00A90217"/>
    <w:rsid w:val="00A926B2"/>
    <w:rsid w:val="00AC0FDE"/>
    <w:rsid w:val="00AC4C79"/>
    <w:rsid w:val="00AE02BF"/>
    <w:rsid w:val="00AF182B"/>
    <w:rsid w:val="00B04B64"/>
    <w:rsid w:val="00B05C8F"/>
    <w:rsid w:val="00B43064"/>
    <w:rsid w:val="00B43F5A"/>
    <w:rsid w:val="00B51F39"/>
    <w:rsid w:val="00B5214F"/>
    <w:rsid w:val="00B5334C"/>
    <w:rsid w:val="00B617C8"/>
    <w:rsid w:val="00B6670D"/>
    <w:rsid w:val="00B70094"/>
    <w:rsid w:val="00BA0A39"/>
    <w:rsid w:val="00BA5C18"/>
    <w:rsid w:val="00BA5E41"/>
    <w:rsid w:val="00BB3603"/>
    <w:rsid w:val="00BB37DA"/>
    <w:rsid w:val="00BC13D7"/>
    <w:rsid w:val="00BC2072"/>
    <w:rsid w:val="00C14A6B"/>
    <w:rsid w:val="00C17676"/>
    <w:rsid w:val="00C1787E"/>
    <w:rsid w:val="00C17ECA"/>
    <w:rsid w:val="00C2200A"/>
    <w:rsid w:val="00C340E1"/>
    <w:rsid w:val="00C36FB2"/>
    <w:rsid w:val="00C549CE"/>
    <w:rsid w:val="00C61C73"/>
    <w:rsid w:val="00C8742D"/>
    <w:rsid w:val="00CB36B1"/>
    <w:rsid w:val="00CB5357"/>
    <w:rsid w:val="00CD33D4"/>
    <w:rsid w:val="00D071C4"/>
    <w:rsid w:val="00D258DF"/>
    <w:rsid w:val="00D42D4C"/>
    <w:rsid w:val="00D56DA8"/>
    <w:rsid w:val="00D85D63"/>
    <w:rsid w:val="00D93B2E"/>
    <w:rsid w:val="00DD342D"/>
    <w:rsid w:val="00DD3A77"/>
    <w:rsid w:val="00DD78F9"/>
    <w:rsid w:val="00DE218E"/>
    <w:rsid w:val="00DF3624"/>
    <w:rsid w:val="00DF669A"/>
    <w:rsid w:val="00E01E59"/>
    <w:rsid w:val="00E222DF"/>
    <w:rsid w:val="00E36297"/>
    <w:rsid w:val="00E37FC5"/>
    <w:rsid w:val="00E416CF"/>
    <w:rsid w:val="00E435E8"/>
    <w:rsid w:val="00E47C9B"/>
    <w:rsid w:val="00E530A0"/>
    <w:rsid w:val="00E65C29"/>
    <w:rsid w:val="00E66DC8"/>
    <w:rsid w:val="00E77E01"/>
    <w:rsid w:val="00E9386A"/>
    <w:rsid w:val="00E93C1D"/>
    <w:rsid w:val="00E979D9"/>
    <w:rsid w:val="00EA1049"/>
    <w:rsid w:val="00EA4E43"/>
    <w:rsid w:val="00EA5288"/>
    <w:rsid w:val="00EB26B9"/>
    <w:rsid w:val="00EC6395"/>
    <w:rsid w:val="00ED37AC"/>
    <w:rsid w:val="00EE3537"/>
    <w:rsid w:val="00F32DEC"/>
    <w:rsid w:val="00F42E91"/>
    <w:rsid w:val="00F6044F"/>
    <w:rsid w:val="00F6416A"/>
    <w:rsid w:val="00F70A31"/>
    <w:rsid w:val="00F822C8"/>
    <w:rsid w:val="00F9082E"/>
    <w:rsid w:val="00FA0FFC"/>
    <w:rsid w:val="00FC179C"/>
    <w:rsid w:val="00FC3F04"/>
    <w:rsid w:val="00FD4B00"/>
    <w:rsid w:val="00FE2760"/>
    <w:rsid w:val="00FE2B60"/>
    <w:rsid w:val="00FF7D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CF898"/>
  <w15:chartTrackingRefBased/>
  <w15:docId w15:val="{A5DF7B5C-8C75-4F72-9344-D18A3598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paragraph" w:styleId="Sinespaciado">
    <w:name w:val="No Spacing"/>
    <w:uiPriority w:val="1"/>
    <w:qFormat/>
    <w:rsid w:val="00966903"/>
    <w:rPr>
      <w:rFonts w:ascii="Arial" w:hAnsi="Arial"/>
      <w:sz w:val="24"/>
      <w:lang w:val="es-ES_tradnl" w:eastAsia="es-ES"/>
    </w:rPr>
  </w:style>
  <w:style w:type="character" w:styleId="Mencinsinresolver">
    <w:name w:val="Unresolved Mention"/>
    <w:basedOn w:val="Fuentedeprrafopredeter"/>
    <w:uiPriority w:val="99"/>
    <w:semiHidden/>
    <w:unhideWhenUsed/>
    <w:rsid w:val="00342400"/>
    <w:rPr>
      <w:color w:val="605E5C"/>
      <w:shd w:val="clear" w:color="auto" w:fill="E1DFDD"/>
    </w:rPr>
  </w:style>
  <w:style w:type="character" w:customStyle="1" w:styleId="PiedepginaCar">
    <w:name w:val="Pie de página Car"/>
    <w:link w:val="Piedepgina"/>
    <w:rsid w:val="00342400"/>
    <w:rPr>
      <w:lang w:val="es-ES_tradnl" w:eastAsia="es-ES"/>
    </w:rPr>
  </w:style>
  <w:style w:type="paragraph" w:styleId="Prrafodelista">
    <w:name w:val="List Paragraph"/>
    <w:basedOn w:val="Normal"/>
    <w:uiPriority w:val="34"/>
    <w:qFormat/>
    <w:rsid w:val="00342400"/>
    <w:pPr>
      <w:ind w:left="720"/>
      <w:contextualSpacing/>
    </w:pPr>
  </w:style>
  <w:style w:type="character" w:customStyle="1" w:styleId="EncabezadoCar">
    <w:name w:val="Encabezado Car"/>
    <w:basedOn w:val="Fuentedeprrafopredeter"/>
    <w:link w:val="Encabezado"/>
    <w:uiPriority w:val="99"/>
    <w:rsid w:val="00D93B2E"/>
    <w:rPr>
      <w:lang w:val="es-ES_tradnl" w:eastAsia="es-ES"/>
    </w:rPr>
  </w:style>
  <w:style w:type="character" w:customStyle="1" w:styleId="TextoindependienteCar">
    <w:name w:val="Texto independiente Car"/>
    <w:link w:val="Textoindependiente"/>
    <w:uiPriority w:val="99"/>
    <w:rsid w:val="007A075C"/>
    <w:rPr>
      <w:rFonts w:ascii="Arial" w:hAnsi="Arial" w:cs="Arial"/>
      <w:spacing w:val="20"/>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79D3F7F71F843963C03BA03E5231F" ma:contentTypeVersion="2" ma:contentTypeDescription="Create a new document." ma:contentTypeScope="" ma:versionID="ddbf0f1a36dcd266d994d48b07449a89">
  <xsd:schema xmlns:xsd="http://www.w3.org/2001/XMLSchema" xmlns:xs="http://www.w3.org/2001/XMLSchema" xmlns:p="http://schemas.microsoft.com/office/2006/metadata/properties" xmlns:ns2="b2ceadfd-915e-452a-89f7-57f78d473c05" targetNamespace="http://schemas.microsoft.com/office/2006/metadata/properties" ma:root="true" ma:fieldsID="e464227111b122801af2e5ede1d9ea98" ns2:_="">
    <xsd:import namespace="b2ceadfd-915e-452a-89f7-57f78d473c0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eadfd-915e-452a-89f7-57f78d47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A8537-7B25-4AC5-B5E6-26E3F9DC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eadfd-915e-452a-89f7-57f78d473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F6663-72E4-42B4-9423-67A28A5E1C8B}">
  <ds:schemaRefs>
    <ds:schemaRef ds:uri="http://schemas.microsoft.com/sharepoint/v3/contenttype/forms"/>
  </ds:schemaRefs>
</ds:datastoreItem>
</file>

<file path=customXml/itemProps3.xml><?xml version="1.0" encoding="utf-8"?>
<ds:datastoreItem xmlns:ds="http://schemas.openxmlformats.org/officeDocument/2006/customXml" ds:itemID="{5B8239F8-015D-4E57-8664-9DD424582A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16507E-0E8B-4AA0-84AC-10FEE69E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830</Words>
  <Characters>4815</Characters>
  <Application>Microsoft Office Word</Application>
  <DocSecurity>4</DocSecurity>
  <Lines>40</Lines>
  <Paragraphs>11</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5634</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Diana Rocio Castañeda Suarez</cp:lastModifiedBy>
  <cp:revision>2</cp:revision>
  <cp:lastPrinted>2016-09-26T16:13:00Z</cp:lastPrinted>
  <dcterms:created xsi:type="dcterms:W3CDTF">2023-01-10T19:57:00Z</dcterms:created>
  <dcterms:modified xsi:type="dcterms:W3CDTF">2023-01-10T19:57:00Z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0x0101006F079D3F7F71F843963C03BA03E5231F</vt:lpwstr>
  </property>
</Properties>
</file>