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CD03" w14:textId="577FB16C" w:rsidR="00D671EA" w:rsidRDefault="00D671EA" w:rsidP="00D671EA">
      <w:pPr>
        <w:snapToGrid w:val="0"/>
        <w:outlineLvl w:val="0"/>
        <w:rPr>
          <w:rFonts w:ascii="Arial" w:hAnsi="Arial" w:cs="Arial"/>
          <w:sz w:val="20"/>
          <w:szCs w:val="20"/>
        </w:rPr>
      </w:pPr>
    </w:p>
    <w:p w14:paraId="58C66B94" w14:textId="77777777" w:rsidR="00674DB6" w:rsidRDefault="00674DB6" w:rsidP="00D671EA">
      <w:pPr>
        <w:snapToGrid w:val="0"/>
        <w:outlineLvl w:val="0"/>
        <w:rPr>
          <w:rFonts w:ascii="Arial" w:hAnsi="Arial" w:cs="Arial"/>
          <w:sz w:val="20"/>
          <w:szCs w:val="20"/>
        </w:rPr>
      </w:pPr>
    </w:p>
    <w:p w14:paraId="18A19BC9" w14:textId="77777777" w:rsidR="00D671EA" w:rsidRDefault="00D671EA" w:rsidP="00D671EA">
      <w:pPr>
        <w:jc w:val="right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3ED5C40E" w14:textId="25278E5A" w:rsidR="00D671EA" w:rsidRPr="008132A1" w:rsidRDefault="00D671EA" w:rsidP="00D671EA">
      <w:pPr>
        <w:jc w:val="right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8132A1">
        <w:rPr>
          <w:rFonts w:ascii="Montserrat" w:eastAsiaTheme="minorHAnsi" w:hAnsi="Montserrat" w:cstheme="minorBidi"/>
          <w:sz w:val="20"/>
          <w:szCs w:val="20"/>
          <w:lang w:val="es-MX" w:eastAsia="en-US"/>
        </w:rPr>
        <w:t>Ciudad de México, a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674DB6">
        <w:rPr>
          <w:rFonts w:ascii="Montserrat" w:eastAsiaTheme="minorHAnsi" w:hAnsi="Montserrat" w:cstheme="minorBidi"/>
          <w:sz w:val="20"/>
          <w:szCs w:val="20"/>
          <w:lang w:val="es-MX" w:eastAsia="en-US"/>
        </w:rPr>
        <w:t>__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de </w:t>
      </w:r>
      <w:r w:rsidR="0064699C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enero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de 202</w:t>
      </w:r>
      <w:r w:rsidR="00674DB6">
        <w:rPr>
          <w:rFonts w:ascii="Montserrat" w:eastAsiaTheme="minorHAnsi" w:hAnsi="Montserrat" w:cstheme="minorBidi"/>
          <w:sz w:val="20"/>
          <w:szCs w:val="20"/>
          <w:lang w:val="es-MX" w:eastAsia="en-US"/>
        </w:rPr>
        <w:t>3.</w:t>
      </w:r>
    </w:p>
    <w:p w14:paraId="29CF305E" w14:textId="77777777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C7F537A" w14:textId="77777777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BB2342F" w14:textId="32D90D7D" w:rsidR="00D671EA" w:rsidRPr="00234488" w:rsidRDefault="00D671EA" w:rsidP="00D671EA">
      <w:pPr>
        <w:jc w:val="center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CIRCULAR MODIFICATORIA </w:t>
      </w:r>
      <w:r w:rsidR="005C2ABF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1</w:t>
      </w: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/2</w:t>
      </w:r>
      <w:r w:rsidR="005C2ABF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3</w:t>
      </w: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 DE LA ÚNICA DE SEGUROS Y FIANZAS</w:t>
      </w:r>
    </w:p>
    <w:p w14:paraId="4E889FC7" w14:textId="77777777" w:rsidR="00D671EA" w:rsidRPr="00234488" w:rsidRDefault="00D671EA" w:rsidP="00D671EA">
      <w:pPr>
        <w:jc w:val="center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(Disposición Octogésima Quinta Transitoria)</w:t>
      </w:r>
    </w:p>
    <w:p w14:paraId="6A6671AD" w14:textId="7E98E858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4B166FA1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7723F8A0" w14:textId="445B5955" w:rsidR="00D671EA" w:rsidRPr="00F06B16" w:rsidRDefault="00D671EA" w:rsidP="00D671EA">
      <w:pPr>
        <w:pStyle w:val="Sinespaciado"/>
        <w:jc w:val="both"/>
        <w:rPr>
          <w:rFonts w:ascii="Montserrat" w:hAnsi="Montserrat"/>
          <w:sz w:val="20"/>
          <w:szCs w:val="20"/>
          <w:lang w:val="es-MX"/>
        </w:rPr>
      </w:pPr>
      <w:bookmarkStart w:id="0" w:name="_Hlk47613986"/>
      <w:r w:rsidRPr="00F06B16">
        <w:rPr>
          <w:rFonts w:ascii="Montserrat" w:hAnsi="Montserrat"/>
          <w:sz w:val="20"/>
          <w:szCs w:val="20"/>
          <w:lang w:val="es-MX"/>
        </w:rPr>
        <w:t>La Comisión Nacional de Seguros y Fianzas, con fundamento en los artículos 91, 92, 93, 94, 366, fracción II, 367, fracción II, 372, fracciones VI, XXII y XLII, 373 y 381 de la Ley de Instituciones de Seguros y de Fianzas, y</w:t>
      </w:r>
      <w:r w:rsidR="00DD7913">
        <w:rPr>
          <w:rFonts w:ascii="Montserrat" w:hAnsi="Montserrat"/>
          <w:sz w:val="20"/>
          <w:szCs w:val="20"/>
          <w:lang w:val="es-MX"/>
        </w:rPr>
        <w:t>:</w:t>
      </w:r>
    </w:p>
    <w:bookmarkEnd w:id="0"/>
    <w:p w14:paraId="3A05F8DA" w14:textId="5D5D5F23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A5E7021" w14:textId="77777777" w:rsidR="00674DB6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12289E3C" w14:textId="77777777" w:rsidR="00D671EA" w:rsidRPr="00234488" w:rsidRDefault="00D671EA" w:rsidP="00D671EA">
      <w:pPr>
        <w:jc w:val="center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CONSIDERANDO</w:t>
      </w:r>
    </w:p>
    <w:p w14:paraId="3B4B31DF" w14:textId="36C5507A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4AAD1BC1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2314C7FB" w14:textId="4D87D59F" w:rsidR="00F73D24" w:rsidRDefault="00F52DD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bookmarkStart w:id="1" w:name="_Hlk103779006"/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Que el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25 de agosto de 2022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se public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ó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en el Diario Oficial de la Federación la Circular Modificatoria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7/22</w:t>
      </w:r>
      <w:r w:rsidR="00EC6EA3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de la Única de Seguros y Fianzas</w:t>
      </w:r>
      <w:r w:rsidR="00615ABC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en la que se estableció</w:t>
      </w:r>
      <w:r w:rsidR="00F73D24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que l</w:t>
      </w:r>
      <w:r w:rsidR="00F73D24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as autorizaciones de Agentes Persona Física y Apoderados de Agentes Persona Moral que</w:t>
      </w:r>
      <w:r w:rsidR="0016106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FD35A4">
        <w:rPr>
          <w:rFonts w:ascii="Montserrat" w:eastAsiaTheme="minorHAnsi" w:hAnsi="Montserrat" w:cstheme="minorBidi"/>
          <w:sz w:val="20"/>
          <w:szCs w:val="20"/>
          <w:lang w:val="es-MX" w:eastAsia="en-US"/>
        </w:rPr>
        <w:t>no h</w:t>
      </w:r>
      <w:r w:rsidR="0022014D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ubieran </w:t>
      </w:r>
      <w:r w:rsidR="00FD35A4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sido </w:t>
      </w:r>
      <w:r w:rsidR="00F73D24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refrenda</w:t>
      </w:r>
      <w:r w:rsidR="00FD35A4">
        <w:rPr>
          <w:rFonts w:ascii="Montserrat" w:eastAsiaTheme="minorHAnsi" w:hAnsi="Montserrat" w:cstheme="minorBidi"/>
          <w:sz w:val="20"/>
          <w:szCs w:val="20"/>
          <w:lang w:val="es-MX" w:eastAsia="en-US"/>
        </w:rPr>
        <w:t>das</w:t>
      </w:r>
      <w:r w:rsidR="0022014D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85488E">
        <w:rPr>
          <w:rFonts w:ascii="Montserrat" w:eastAsiaTheme="minorHAnsi" w:hAnsi="Montserrat" w:cstheme="minorBidi"/>
          <w:sz w:val="20"/>
          <w:szCs w:val="20"/>
          <w:lang w:val="es-MX" w:eastAsia="en-US"/>
        </w:rPr>
        <w:t>a partir de</w:t>
      </w:r>
      <w:r w:rsidR="00E95581" w:rsidRPr="00E9558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E9558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la </w:t>
      </w:r>
      <w:r w:rsidR="00E95581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suspen</w:t>
      </w:r>
      <w:r w:rsidR="00B10C09">
        <w:rPr>
          <w:rFonts w:ascii="Montserrat" w:eastAsiaTheme="minorHAnsi" w:hAnsi="Montserrat" w:cstheme="minorBidi"/>
          <w:sz w:val="20"/>
          <w:szCs w:val="20"/>
          <w:lang w:val="es-MX" w:eastAsia="en-US"/>
        </w:rPr>
        <w:t>sión de plazos</w:t>
      </w:r>
      <w:r w:rsidR="00A85A1C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publicada el 27 de marzo de 2020</w:t>
      </w:r>
      <w:r w:rsidR="00DD7913">
        <w:rPr>
          <w:rFonts w:ascii="Montserrat" w:eastAsiaTheme="minorHAnsi" w:hAnsi="Montserrat" w:cstheme="minorBidi"/>
          <w:sz w:val="20"/>
          <w:szCs w:val="20"/>
          <w:lang w:val="es-MX" w:eastAsia="en-US"/>
        </w:rPr>
        <w:t>,</w:t>
      </w:r>
      <w:r w:rsidR="00BE5024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AA2216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a través de </w:t>
      </w:r>
      <w:r w:rsidR="00BE5024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la </w:t>
      </w:r>
      <w:r w:rsidR="00BE5024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Circular Modificatoria 4/20 de la Única de Seguros y Fianzas</w:t>
      </w:r>
      <w:r w:rsidR="00DD7913">
        <w:rPr>
          <w:rFonts w:ascii="Montserrat" w:eastAsiaTheme="minorHAnsi" w:hAnsi="Montserrat" w:cstheme="minorBidi"/>
          <w:sz w:val="20"/>
          <w:szCs w:val="20"/>
          <w:lang w:val="es-MX" w:eastAsia="en-US"/>
        </w:rPr>
        <w:t>,</w:t>
      </w:r>
      <w:r w:rsidR="007A0DA2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E731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por </w:t>
      </w:r>
      <w:r w:rsidR="00E9558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causa de la emergencia sanitaria originada </w:t>
      </w:r>
      <w:r w:rsidR="00E95581" w:rsidRPr="00742350">
        <w:rPr>
          <w:rFonts w:ascii="Montserrat" w:eastAsiaTheme="minorHAnsi" w:hAnsi="Montserrat" w:cstheme="minorBidi"/>
          <w:sz w:val="20"/>
          <w:szCs w:val="20"/>
          <w:lang w:val="es-MX" w:eastAsia="en-US"/>
        </w:rPr>
        <w:t>por el virus SARS-CoV2 (COVID-19)</w:t>
      </w:r>
      <w:r w:rsidR="00D96C6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F73D24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continuar</w:t>
      </w:r>
      <w:r w:rsidR="00D7780D">
        <w:rPr>
          <w:rFonts w:ascii="Montserrat" w:eastAsiaTheme="minorHAnsi" w:hAnsi="Montserrat" w:cstheme="minorBidi"/>
          <w:sz w:val="20"/>
          <w:szCs w:val="20"/>
          <w:lang w:val="es-MX" w:eastAsia="en-US"/>
        </w:rPr>
        <w:t>ía</w:t>
      </w:r>
      <w:r w:rsidR="00F73D24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n vigentes hasta el 28 de febrero de 2023</w:t>
      </w:r>
      <w:r w:rsidR="00D96C61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. </w:t>
      </w:r>
    </w:p>
    <w:p w14:paraId="3AB2F595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325897F3" w14:textId="050E0B3D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Que a efecto de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otorgar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certeza jurídica a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los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Agentes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Persona Física y Apoderados de Agentes Persona Moral que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continúan en proceso de obtener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el refrendo de su 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autorización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, esta Comisión </w:t>
      </w:r>
      <w:r w:rsidR="00DE652F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considera necesario ampliar </w:t>
      </w:r>
      <w:r w:rsidR="00897857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el plazo de vigencia </w:t>
      </w:r>
      <w:r w:rsidR="00335D47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que ha quedado </w:t>
      </w:r>
      <w:r w:rsidR="00897857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señalado en el párrafo anterior, </w:t>
      </w:r>
      <w:r w:rsidR="005A3490">
        <w:rPr>
          <w:rFonts w:ascii="Montserrat" w:eastAsiaTheme="minorHAnsi" w:hAnsi="Montserrat" w:cstheme="minorBidi"/>
          <w:sz w:val="20"/>
          <w:szCs w:val="20"/>
          <w:lang w:val="es-MX" w:eastAsia="en-US"/>
        </w:rPr>
        <w:t>por lo que ha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resuelto expedir la siguiente modificación a la Circular Única de Seguros y Fianzas en los términos que se precisan a continuación:</w:t>
      </w:r>
    </w:p>
    <w:p w14:paraId="0BCA20EB" w14:textId="77777777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645D9077" w14:textId="77777777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747C0ECD" w14:textId="13E0FC81" w:rsidR="00D671EA" w:rsidRPr="00234488" w:rsidRDefault="00D671EA" w:rsidP="00D671EA">
      <w:pPr>
        <w:jc w:val="center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CIRCULAR MODIFICATORIA </w:t>
      </w:r>
      <w:r w:rsidR="00206453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1</w:t>
      </w: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/2</w:t>
      </w:r>
      <w:r w:rsidR="00206453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3</w:t>
      </w: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 DE LA ÚNICA DE SEGUROS Y FIANZAS</w:t>
      </w:r>
    </w:p>
    <w:p w14:paraId="5650CC0D" w14:textId="77777777" w:rsidR="00D671EA" w:rsidRPr="00234488" w:rsidRDefault="00D671EA" w:rsidP="00D671EA">
      <w:pPr>
        <w:jc w:val="center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bookmarkStart w:id="2" w:name="N_Hlk90304374"/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(Disposición Octogésima Quinta Transitoria)</w:t>
      </w:r>
    </w:p>
    <w:p w14:paraId="74B0F90B" w14:textId="7412A87F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AD7087A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444F1188" w14:textId="3FB071EF" w:rsidR="00D671EA" w:rsidRPr="00234488" w:rsidRDefault="00952080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ÚNICA. -</w:t>
      </w:r>
      <w:r w:rsidR="00D671EA"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 </w:t>
      </w:r>
      <w:r w:rsidR="00D671EA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Se modifica el texto de la Disposición Octogésima Quinta Transitoria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>,</w:t>
      </w:r>
      <w:r w:rsidR="00D671EA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dado a conocer mediante diversa Circular Modificatoria </w:t>
      </w:r>
      <w:r w:rsidR="00206453">
        <w:rPr>
          <w:rFonts w:ascii="Montserrat" w:eastAsiaTheme="minorHAnsi" w:hAnsi="Montserrat" w:cstheme="minorBidi"/>
          <w:sz w:val="20"/>
          <w:szCs w:val="20"/>
          <w:lang w:val="es-MX" w:eastAsia="en-US"/>
        </w:rPr>
        <w:t>7/22</w:t>
      </w:r>
      <w:r w:rsidR="00674DB6">
        <w:rPr>
          <w:rFonts w:ascii="Montserrat" w:eastAsiaTheme="minorHAnsi" w:hAnsi="Montserrat" w:cstheme="minorBidi"/>
          <w:sz w:val="20"/>
          <w:szCs w:val="20"/>
          <w:lang w:val="es-MX" w:eastAsia="en-US"/>
        </w:rPr>
        <w:t>,</w:t>
      </w:r>
      <w:r w:rsidR="00206453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="00D671EA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para quedar como sigue:</w:t>
      </w:r>
    </w:p>
    <w:p w14:paraId="28607609" w14:textId="766CD901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48CDED67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179CF2C4" w14:textId="7479523B" w:rsidR="00D671EA" w:rsidRPr="00234488" w:rsidRDefault="00D671EA" w:rsidP="00D671EA">
      <w:pPr>
        <w:ind w:left="1134" w:right="1750"/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«</w:t>
      </w: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OCTOGÉSIMA QUINTA. -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Se reanuda el cómputo de plazos para el refrendo de autorizaciones de Agentes Persona Física y Apoderados de Agentes Persona Moral a que se refieren el artículo 15, último párrafo, del Reglamento de Agentes de Seguros y de Fianzas, y la Disposición 32.4.1. de la Circular Única de Seguros y Fianzas, suspendido mediante la Circular Modificatoria 4/20 de la Única de Seguros y Fianzas publicada en el Diario Oficial de la Federación el 27 de marzo de 2020. Las autorizaciones de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lastRenderedPageBreak/>
        <w:t xml:space="preserve">Agentes Persona Física y Apoderados de Agentes Persona Moral que debieron refrendarse a partir de esa fecha continuarán vigentes hasta el </w:t>
      </w:r>
      <w:r w:rsidR="00F01D37">
        <w:rPr>
          <w:rFonts w:ascii="Montserrat" w:eastAsiaTheme="minorHAnsi" w:hAnsi="Montserrat" w:cstheme="minorBidi"/>
          <w:sz w:val="20"/>
          <w:szCs w:val="20"/>
          <w:lang w:val="es-MX" w:eastAsia="en-US"/>
        </w:rPr>
        <w:t>15 de diciembre de 2023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, incluyendo las autorizaciones que</w:t>
      </w:r>
      <w:r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 </w:t>
      </w: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deban refrendarse durante el mismo periodo.»</w:t>
      </w:r>
    </w:p>
    <w:p w14:paraId="7B1A0538" w14:textId="77777777" w:rsidR="00D671EA" w:rsidRDefault="00D671EA" w:rsidP="00D671EA">
      <w:pPr>
        <w:ind w:left="1134" w:right="1750"/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30472224" w14:textId="77777777" w:rsidR="00D671EA" w:rsidRPr="00234488" w:rsidRDefault="00D671EA" w:rsidP="00D671EA">
      <w:pPr>
        <w:ind w:left="1134" w:right="1750"/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33F58F07" w14:textId="791940FA" w:rsidR="00D671EA" w:rsidRPr="00234488" w:rsidRDefault="00D671EA" w:rsidP="00D671EA">
      <w:pPr>
        <w:jc w:val="center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TRANSITORIA</w:t>
      </w:r>
    </w:p>
    <w:p w14:paraId="6E7CD21D" w14:textId="6F655EAC" w:rsidR="00D671EA" w:rsidRDefault="00D671EA" w:rsidP="00D671EA">
      <w:pPr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1EEDCF78" w14:textId="77777777" w:rsidR="00674DB6" w:rsidRPr="00234488" w:rsidRDefault="00674DB6" w:rsidP="00D671EA">
      <w:pPr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459582D1" w14:textId="2FF86297" w:rsidR="00D671EA" w:rsidRPr="00234488" w:rsidRDefault="00242984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ÚNICA. -</w:t>
      </w:r>
      <w:r w:rsidR="00D671EA"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 xml:space="preserve"> </w:t>
      </w:r>
      <w:r w:rsidR="00D671EA"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>La presente Circular Modificatoria entrará en vigor al día siguiente de su publicación en el Diario Oficial de la Federación.</w:t>
      </w:r>
    </w:p>
    <w:p w14:paraId="13C87581" w14:textId="243CE020" w:rsidR="00D671EA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C5086B8" w14:textId="77777777" w:rsidR="00D671EA" w:rsidRPr="00F06B16" w:rsidRDefault="00D671EA" w:rsidP="00D671EA">
      <w:pPr>
        <w:jc w:val="both"/>
        <w:rPr>
          <w:rFonts w:ascii="Montserrat" w:hAnsi="Montserrat"/>
          <w:sz w:val="20"/>
          <w:szCs w:val="20"/>
          <w:lang w:val="es-MX"/>
        </w:rPr>
      </w:pPr>
      <w:r w:rsidRPr="00234488">
        <w:rPr>
          <w:rFonts w:ascii="Montserrat" w:eastAsiaTheme="minorHAnsi" w:hAnsi="Montserrat" w:cstheme="minorBidi"/>
          <w:sz w:val="20"/>
          <w:szCs w:val="20"/>
          <w:lang w:val="es-MX" w:eastAsia="en-US"/>
        </w:rPr>
        <w:t xml:space="preserve">Lo anterior se hace de su conocimiento con fundamento en los artículos </w:t>
      </w:r>
      <w:r w:rsidRPr="00F06B16">
        <w:rPr>
          <w:rFonts w:ascii="Montserrat" w:hAnsi="Montserrat"/>
          <w:sz w:val="20"/>
          <w:szCs w:val="20"/>
          <w:lang w:val="es-MX"/>
        </w:rPr>
        <w:t>91, 92, 93, 94, 366, fracción II, 367, fracción II, 372, fracciones VI, XXII y XLII, 373 y 381 de la Ley de Instituciones de Seguros y de Fianzas</w:t>
      </w:r>
      <w:r>
        <w:rPr>
          <w:rFonts w:ascii="Montserrat" w:hAnsi="Montserrat"/>
          <w:sz w:val="20"/>
          <w:szCs w:val="20"/>
          <w:lang w:val="es-MX"/>
        </w:rPr>
        <w:t>.</w:t>
      </w:r>
    </w:p>
    <w:p w14:paraId="084D04CF" w14:textId="77777777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0DBE2303" w14:textId="77777777" w:rsidR="00D671EA" w:rsidRPr="00234488" w:rsidRDefault="00D671EA" w:rsidP="00D671EA">
      <w:pPr>
        <w:jc w:val="both"/>
        <w:rPr>
          <w:rFonts w:ascii="Montserrat" w:eastAsiaTheme="minorHAnsi" w:hAnsi="Montserrat" w:cstheme="minorBidi"/>
          <w:sz w:val="20"/>
          <w:szCs w:val="20"/>
          <w:lang w:val="es-MX" w:eastAsia="en-US"/>
        </w:rPr>
      </w:pPr>
    </w:p>
    <w:p w14:paraId="5251EB34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Atentamente</w:t>
      </w:r>
    </w:p>
    <w:p w14:paraId="2BB8FDD0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COMISIÓN NACIONAL DE SEGUROS Y FIANZAS</w:t>
      </w:r>
    </w:p>
    <w:p w14:paraId="72EDD8D2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EL PRESIDENTE</w:t>
      </w:r>
    </w:p>
    <w:p w14:paraId="29A3DC56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0E48A663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1423E0F6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3F79EB4C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</w:p>
    <w:p w14:paraId="4344A9B6" w14:textId="77777777" w:rsidR="00D671EA" w:rsidRPr="00234488" w:rsidRDefault="00D671EA" w:rsidP="00D671EA">
      <w:pPr>
        <w:ind w:left="3969"/>
        <w:jc w:val="both"/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</w:pPr>
      <w:r w:rsidRPr="00234488">
        <w:rPr>
          <w:rFonts w:ascii="Montserrat" w:eastAsiaTheme="minorHAnsi" w:hAnsi="Montserrat" w:cstheme="minorBidi"/>
          <w:b/>
          <w:bCs/>
          <w:sz w:val="20"/>
          <w:szCs w:val="20"/>
          <w:lang w:val="es-MX" w:eastAsia="en-US"/>
        </w:rPr>
        <w:t>RICARDO ERNESTO OCHOA RODRÍGUEZ</w:t>
      </w:r>
      <w:bookmarkEnd w:id="1"/>
      <w:bookmarkEnd w:id="2"/>
    </w:p>
    <w:p w14:paraId="14023051" w14:textId="3C2F828F" w:rsidR="00D058CE" w:rsidRDefault="00D058CE" w:rsidP="001B01C1">
      <w:pPr>
        <w:tabs>
          <w:tab w:val="center" w:pos="4419"/>
        </w:tabs>
      </w:pPr>
    </w:p>
    <w:sectPr w:rsidR="00D058CE" w:rsidSect="00674DB6">
      <w:headerReference w:type="default" r:id="rId6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AEDF" w14:textId="77777777" w:rsidR="00E33047" w:rsidRDefault="00E33047" w:rsidP="001B01C1">
      <w:r>
        <w:separator/>
      </w:r>
    </w:p>
  </w:endnote>
  <w:endnote w:type="continuationSeparator" w:id="0">
    <w:p w14:paraId="64A2C87D" w14:textId="77777777" w:rsidR="00E33047" w:rsidRDefault="00E33047" w:rsidP="001B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09DD" w14:textId="77777777" w:rsidR="00E33047" w:rsidRDefault="00E33047" w:rsidP="001B01C1">
      <w:r>
        <w:separator/>
      </w:r>
    </w:p>
  </w:footnote>
  <w:footnote w:type="continuationSeparator" w:id="0">
    <w:p w14:paraId="32B9DB0C" w14:textId="77777777" w:rsidR="00E33047" w:rsidRDefault="00E33047" w:rsidP="001B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17E8" w14:textId="76A434E8" w:rsidR="001B01C1" w:rsidRDefault="00E378D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8EA484" wp14:editId="5D6EF785">
          <wp:simplePos x="0" y="0"/>
          <wp:positionH relativeFrom="column">
            <wp:posOffset>-1095375</wp:posOffset>
          </wp:positionH>
          <wp:positionV relativeFrom="paragraph">
            <wp:posOffset>-441960</wp:posOffset>
          </wp:positionV>
          <wp:extent cx="7765015" cy="10111740"/>
          <wp:effectExtent l="0" t="0" r="7620" b="3810"/>
          <wp:wrapNone/>
          <wp:docPr id="6" name="Imagen 6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Aplicación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15" cy="1011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C1"/>
    <w:rsid w:val="00037821"/>
    <w:rsid w:val="0006201C"/>
    <w:rsid w:val="000D0619"/>
    <w:rsid w:val="00133792"/>
    <w:rsid w:val="00161061"/>
    <w:rsid w:val="001B01C1"/>
    <w:rsid w:val="001E1BB8"/>
    <w:rsid w:val="001E5DE3"/>
    <w:rsid w:val="00206453"/>
    <w:rsid w:val="0022014D"/>
    <w:rsid w:val="00232721"/>
    <w:rsid w:val="00242984"/>
    <w:rsid w:val="003054E9"/>
    <w:rsid w:val="00335D47"/>
    <w:rsid w:val="00521B4D"/>
    <w:rsid w:val="00565035"/>
    <w:rsid w:val="005A3490"/>
    <w:rsid w:val="005C2ABF"/>
    <w:rsid w:val="00615ABC"/>
    <w:rsid w:val="0064699C"/>
    <w:rsid w:val="00674DB6"/>
    <w:rsid w:val="007A0DA2"/>
    <w:rsid w:val="0085488E"/>
    <w:rsid w:val="00897857"/>
    <w:rsid w:val="00952080"/>
    <w:rsid w:val="00A1457E"/>
    <w:rsid w:val="00A85A1C"/>
    <w:rsid w:val="00AA2216"/>
    <w:rsid w:val="00B10C09"/>
    <w:rsid w:val="00B43D5C"/>
    <w:rsid w:val="00B45660"/>
    <w:rsid w:val="00BE5024"/>
    <w:rsid w:val="00BE73A9"/>
    <w:rsid w:val="00C27969"/>
    <w:rsid w:val="00C4703A"/>
    <w:rsid w:val="00C714D8"/>
    <w:rsid w:val="00CC093D"/>
    <w:rsid w:val="00D058CE"/>
    <w:rsid w:val="00D201A8"/>
    <w:rsid w:val="00D671EA"/>
    <w:rsid w:val="00D7780D"/>
    <w:rsid w:val="00D96C61"/>
    <w:rsid w:val="00DD7913"/>
    <w:rsid w:val="00DE58B2"/>
    <w:rsid w:val="00DE652F"/>
    <w:rsid w:val="00E33047"/>
    <w:rsid w:val="00E378DB"/>
    <w:rsid w:val="00E73188"/>
    <w:rsid w:val="00E95581"/>
    <w:rsid w:val="00EC6EA3"/>
    <w:rsid w:val="00F01D37"/>
    <w:rsid w:val="00F40315"/>
    <w:rsid w:val="00F52DDA"/>
    <w:rsid w:val="00F73D24"/>
    <w:rsid w:val="00F87BBB"/>
    <w:rsid w:val="00FB69EA"/>
    <w:rsid w:val="00FD35A4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7E3D"/>
  <w15:chartTrackingRefBased/>
  <w15:docId w15:val="{F5BEF132-ADE0-4009-B8EA-6560501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1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B01C1"/>
  </w:style>
  <w:style w:type="paragraph" w:styleId="Piedepgina">
    <w:name w:val="footer"/>
    <w:basedOn w:val="Normal"/>
    <w:link w:val="PiedepginaCar"/>
    <w:uiPriority w:val="99"/>
    <w:unhideWhenUsed/>
    <w:rsid w:val="001B01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01C1"/>
  </w:style>
  <w:style w:type="character" w:customStyle="1" w:styleId="SinespaciadoCar">
    <w:name w:val="Sin espaciado Car"/>
    <w:link w:val="Sinespaciado"/>
    <w:uiPriority w:val="1"/>
    <w:locked/>
    <w:rsid w:val="00D671E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671EA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D39516FE45D47876DC83589D90C24" ma:contentTypeVersion="14" ma:contentTypeDescription="Crear nuevo documento." ma:contentTypeScope="" ma:versionID="f81ea34331f1f8ac17b84ac9bd87a85b">
  <xsd:schema xmlns:xsd="http://www.w3.org/2001/XMLSchema" xmlns:xs="http://www.w3.org/2001/XMLSchema" xmlns:p="http://schemas.microsoft.com/office/2006/metadata/properties" xmlns:ns2="388f0a05-f426-42df-bbce-8ced2bc4f6d5" xmlns:ns3="63e8112c-5c1c-46e5-a25e-822b9a6b0d36" targetNamespace="http://schemas.microsoft.com/office/2006/metadata/properties" ma:root="true" ma:fieldsID="91f836e0a3aef772139c52aacf1a4ca3" ns2:_="" ns3:_="">
    <xsd:import namespace="388f0a05-f426-42df-bbce-8ced2bc4f6d5"/>
    <xsd:import namespace="63e8112c-5c1c-46e5-a25e-822b9a6b0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f0a05-f426-42df-bbce-8ced2bc4f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8ae7bf6-5ac9-4edb-a7e0-886d92fb7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8112c-5c1c-46e5-a25e-822b9a6b0d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40d5ec-7878-43ed-89ce-cf38b602929b}" ma:internalName="TaxCatchAll" ma:showField="CatchAllData" ma:web="63e8112c-5c1c-46e5-a25e-822b9a6b0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40CCC-2202-4905-8E36-60F9C3399031}"/>
</file>

<file path=customXml/itemProps2.xml><?xml version="1.0" encoding="utf-8"?>
<ds:datastoreItem xmlns:ds="http://schemas.openxmlformats.org/officeDocument/2006/customXml" ds:itemID="{53B36150-5993-4125-B51A-9EBA9F386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OLGA RODRÍGUEZ ANDRADE</dc:creator>
  <cp:keywords/>
  <dc:description/>
  <cp:lastModifiedBy>DAMARIS RAMOS DOMINGUEZ</cp:lastModifiedBy>
  <cp:revision>3</cp:revision>
  <dcterms:created xsi:type="dcterms:W3CDTF">2023-01-27T19:11:00Z</dcterms:created>
  <dcterms:modified xsi:type="dcterms:W3CDTF">2023-01-27T21:54:00Z</dcterms:modified>
</cp:coreProperties>
</file>