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AF2A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DE3B746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13FACA2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72B00B5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506690C" w14:textId="3C8257A9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964900">
        <w:rPr>
          <w:rFonts w:ascii="Arial" w:hAnsi="Arial" w:cs="Arial"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r w:rsidR="00722581" w:rsidRPr="00722581">
        <w:rPr>
          <w:rFonts w:ascii="Arial" w:hAnsi="Arial" w:cs="Arial"/>
          <w:sz w:val="24"/>
          <w:szCs w:val="24"/>
        </w:rPr>
        <w:t>Modificación de las instrucciones relativas a la divulgación de información sobre el seguro de depósitos administrado por el Fondo de Garantías de Entidades Cooperativas – FOGACOOP-</w:t>
      </w:r>
    </w:p>
    <w:p w14:paraId="71F8E02D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7419074" w14:textId="199BF583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 w:rsidR="003142A9" w:rsidRPr="003142A9">
        <w:rPr>
          <w:rFonts w:ascii="Arial" w:hAnsi="Arial" w:cs="Arial"/>
          <w:sz w:val="24"/>
          <w:szCs w:val="24"/>
        </w:rPr>
        <w:t>La Junta Directiva del Fondo de Garantías de Entidades Cooperativas -FOGACOOP- modificó la Resolución No. 025 de 2015 “Norma única del objeto social” para incrementar el valor de la cobertura del seguro de depósitos, así como para modificar las acreencias amparadas y no amparadas, entre otras disposiciones. En virtud de lo anterior, el mencionado Fondo solicitó a esta Superintendencia actualizar de las instrucciones vigentes relacionadas con la información que las entidades cooperativas inscritas en el Fondo deben suministrar a los consumidores financieros.</w:t>
      </w:r>
    </w:p>
    <w:p w14:paraId="694F842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2A8EFB4F" w14:textId="7E9DB388" w:rsidR="00964900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PLAZO PARA COMENTARIOS:</w:t>
      </w:r>
      <w:r w:rsidR="00964900">
        <w:rPr>
          <w:rFonts w:ascii="Arial" w:hAnsi="Arial" w:cs="Arial"/>
          <w:b/>
          <w:bCs/>
          <w:sz w:val="24"/>
          <w:szCs w:val="24"/>
        </w:rPr>
        <w:t xml:space="preserve"> </w:t>
      </w:r>
      <w:r w:rsidR="000A295A">
        <w:rPr>
          <w:rFonts w:ascii="Arial" w:hAnsi="Arial" w:cs="Arial"/>
          <w:sz w:val="24"/>
          <w:szCs w:val="24"/>
        </w:rPr>
        <w:t>jueves</w:t>
      </w:r>
      <w:r w:rsidR="00966903">
        <w:rPr>
          <w:rFonts w:ascii="Arial" w:hAnsi="Arial" w:cs="Arial"/>
          <w:sz w:val="24"/>
          <w:szCs w:val="24"/>
        </w:rPr>
        <w:t xml:space="preserve"> </w:t>
      </w:r>
      <w:r w:rsidR="000A295A">
        <w:rPr>
          <w:rFonts w:ascii="Arial" w:hAnsi="Arial" w:cs="Arial"/>
          <w:sz w:val="24"/>
          <w:szCs w:val="24"/>
        </w:rPr>
        <w:t>16</w:t>
      </w:r>
      <w:r w:rsidR="00964900">
        <w:rPr>
          <w:rFonts w:ascii="Arial" w:hAnsi="Arial" w:cs="Arial"/>
          <w:sz w:val="24"/>
          <w:szCs w:val="24"/>
        </w:rPr>
        <w:t xml:space="preserve"> de </w:t>
      </w:r>
      <w:r w:rsidR="006742E9">
        <w:rPr>
          <w:rFonts w:ascii="Arial" w:hAnsi="Arial" w:cs="Arial"/>
          <w:sz w:val="24"/>
          <w:szCs w:val="24"/>
        </w:rPr>
        <w:t>febrero</w:t>
      </w:r>
      <w:r w:rsidR="00964900">
        <w:rPr>
          <w:rFonts w:ascii="Arial" w:hAnsi="Arial" w:cs="Arial"/>
          <w:sz w:val="24"/>
          <w:szCs w:val="24"/>
        </w:rPr>
        <w:t xml:space="preserve"> de 202</w:t>
      </w:r>
      <w:r w:rsidR="006742E9">
        <w:rPr>
          <w:rFonts w:ascii="Arial" w:hAnsi="Arial" w:cs="Arial"/>
          <w:sz w:val="24"/>
          <w:szCs w:val="24"/>
        </w:rPr>
        <w:t>3</w:t>
      </w:r>
      <w:r w:rsidR="00964900">
        <w:rPr>
          <w:rFonts w:ascii="Arial" w:hAnsi="Arial" w:cs="Arial"/>
          <w:sz w:val="24"/>
          <w:szCs w:val="24"/>
        </w:rPr>
        <w:t xml:space="preserve">. </w:t>
      </w:r>
    </w:p>
    <w:p w14:paraId="4A4BBF52" w14:textId="77777777" w:rsidR="00964900" w:rsidRDefault="00964900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6F77A6A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F20153D" w14:textId="21667271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 w:rsidR="00933098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3CDBB21B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34C93D8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3BD09DB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3A907BE3" w14:textId="75F282C0" w:rsidR="00964900" w:rsidRDefault="006F70A6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225FCE" w:rsidRPr="00225FCE">
        <w:rPr>
          <w:rFonts w:ascii="Arial" w:hAnsi="Arial" w:cs="Arial"/>
          <w:b/>
          <w:bCs/>
          <w:sz w:val="24"/>
          <w:szCs w:val="24"/>
          <w:lang w:val="es-ES"/>
        </w:rPr>
        <w:tab/>
        <w:t>2022188323</w:t>
      </w:r>
    </w:p>
    <w:p w14:paraId="5E3358A9" w14:textId="77777777" w:rsidR="00DA71CD" w:rsidRPr="00E77E01" w:rsidRDefault="00DA71CD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3ED7C72" w14:textId="77777777" w:rsidR="00B51F39" w:rsidRPr="00933098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24B7C" w:rsidRPr="00933098">
        <w:rPr>
          <w:rFonts w:ascii="Arial" w:hAnsi="Arial" w:cs="Arial"/>
          <w:sz w:val="24"/>
          <w:szCs w:val="24"/>
        </w:rPr>
        <w:t>Subdirector</w:t>
      </w:r>
      <w:r w:rsidR="00964900" w:rsidRPr="00933098">
        <w:rPr>
          <w:rFonts w:ascii="Arial" w:hAnsi="Arial" w:cs="Arial"/>
          <w:sz w:val="24"/>
          <w:szCs w:val="24"/>
        </w:rPr>
        <w:t>a</w:t>
      </w:r>
      <w:r w:rsidR="00824B7C" w:rsidRPr="00933098">
        <w:rPr>
          <w:rFonts w:ascii="Arial" w:hAnsi="Arial" w:cs="Arial"/>
          <w:sz w:val="24"/>
          <w:szCs w:val="24"/>
        </w:rPr>
        <w:t xml:space="preserve"> de </w:t>
      </w:r>
      <w:r w:rsidR="00AC0FDE" w:rsidRPr="00933098">
        <w:rPr>
          <w:rFonts w:ascii="Arial" w:hAnsi="Arial" w:cs="Arial"/>
          <w:sz w:val="24"/>
          <w:szCs w:val="24"/>
        </w:rPr>
        <w:t>Regulación</w:t>
      </w:r>
      <w:r w:rsidR="00A164B8" w:rsidRPr="00933098">
        <w:rPr>
          <w:rFonts w:ascii="Arial" w:hAnsi="Arial" w:cs="Arial"/>
          <w:sz w:val="24"/>
          <w:szCs w:val="24"/>
        </w:rPr>
        <w:t>, con el número de radicación.</w:t>
      </w:r>
    </w:p>
    <w:p w14:paraId="498FAD45" w14:textId="77777777" w:rsidR="00EF5146" w:rsidRDefault="00EF5146" w:rsidP="00DA7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681C35B" w14:textId="55055B62" w:rsidR="00564B20" w:rsidRPr="00043B3D" w:rsidRDefault="00043B3D" w:rsidP="00DA7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3B304044" w14:textId="4475EB25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ACABC09" w14:textId="77777777" w:rsidR="00AE31E1" w:rsidRDefault="00AE31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51E521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BADECCC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5C00F7F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F3D0150" w14:textId="6208DAB3" w:rsidR="00B51F39" w:rsidRDefault="00B51F39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  <w:r w:rsidR="00AE31E1">
        <w:rPr>
          <w:rFonts w:ascii="Arial" w:hAnsi="Arial" w:cs="Arial"/>
          <w:b/>
          <w:bCs/>
          <w:sz w:val="28"/>
          <w:szCs w:val="28"/>
        </w:rPr>
        <w:t>Circular</w:t>
      </w:r>
    </w:p>
    <w:p w14:paraId="22683EC5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143CC3D7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7A31D263" w14:textId="77777777" w:rsidR="00964900" w:rsidRDefault="00964900">
      <w:pPr>
        <w:jc w:val="center"/>
        <w:rPr>
          <w:rFonts w:cs="Arial"/>
          <w:b/>
          <w:bCs/>
          <w:sz w:val="22"/>
          <w:szCs w:val="22"/>
        </w:rPr>
        <w:sectPr w:rsidR="00964900" w:rsidSect="00EE353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</w:p>
    <w:p w14:paraId="1208458F" w14:textId="77777777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9D4D63" w14:textId="77777777" w:rsidR="00CA1E69" w:rsidRPr="008B72DF" w:rsidRDefault="00CA1E69" w:rsidP="00CA1E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72DF">
        <w:rPr>
          <w:rFonts w:ascii="Arial" w:hAnsi="Arial" w:cs="Arial"/>
          <w:b/>
          <w:bCs/>
          <w:sz w:val="24"/>
          <w:szCs w:val="24"/>
        </w:rPr>
        <w:t>CIRCULAR EXTERNA         DE 2023</w:t>
      </w:r>
    </w:p>
    <w:p w14:paraId="30AEB013" w14:textId="77777777" w:rsidR="00CA1E69" w:rsidRPr="008B72DF" w:rsidRDefault="00CA1E69" w:rsidP="00CA1E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A58BF7" w14:textId="77777777" w:rsidR="00CA1E69" w:rsidRPr="008B72DF" w:rsidRDefault="00CA1E69" w:rsidP="00CA1E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72DF">
        <w:rPr>
          <w:rFonts w:ascii="Arial" w:hAnsi="Arial" w:cs="Arial"/>
          <w:b/>
          <w:bCs/>
          <w:sz w:val="24"/>
          <w:szCs w:val="24"/>
        </w:rPr>
        <w:t>(                                 )</w:t>
      </w:r>
    </w:p>
    <w:p w14:paraId="41F74C03" w14:textId="77777777" w:rsidR="00CA1E69" w:rsidRPr="008B72DF" w:rsidRDefault="00CA1E69" w:rsidP="00CA1E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2BDB4B" w14:textId="77777777" w:rsidR="00CA1E69" w:rsidRPr="008B72DF" w:rsidRDefault="00CA1E69" w:rsidP="00CA1E6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889BAB" w14:textId="77777777" w:rsidR="00CA1E69" w:rsidRPr="008B72DF" w:rsidRDefault="00CA1E69" w:rsidP="00CA1E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2DF">
        <w:rPr>
          <w:rFonts w:ascii="Arial" w:hAnsi="Arial" w:cs="Arial"/>
          <w:b/>
          <w:bCs/>
          <w:sz w:val="24"/>
          <w:szCs w:val="24"/>
        </w:rPr>
        <w:t>Señores</w:t>
      </w:r>
    </w:p>
    <w:p w14:paraId="53EBB36B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REPRESENTANTES LEGALES Y REVISORES FISCALES DE LAS COOPERATIVAS FINANCIERAS</w:t>
      </w:r>
    </w:p>
    <w:p w14:paraId="144EFDB8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35683A43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7A8FDB93" w14:textId="77777777" w:rsidR="00CA1E69" w:rsidRPr="008B72DF" w:rsidRDefault="00CA1E69" w:rsidP="00CA1E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2DF">
        <w:rPr>
          <w:rFonts w:ascii="Arial" w:hAnsi="Arial" w:cs="Arial"/>
          <w:b/>
          <w:bCs/>
          <w:sz w:val="24"/>
          <w:szCs w:val="24"/>
        </w:rPr>
        <w:t>Referencia: Modificación de las instrucciones relativas a la divulgación de información sobre el seguro de depósitos administrado por el Fondo de Garantías de Entidades Cooperativas – FOGACOOP-</w:t>
      </w:r>
    </w:p>
    <w:p w14:paraId="7BE7A24A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0049F5E2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Respetados señores:</w:t>
      </w:r>
    </w:p>
    <w:p w14:paraId="306AA277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05E76E07" w14:textId="77777777" w:rsidR="00CA1E69" w:rsidRDefault="00CA1E69" w:rsidP="00CA1E6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Junta Directiva del </w:t>
      </w:r>
      <w:r w:rsidRPr="008B72DF">
        <w:rPr>
          <w:rFonts w:ascii="Arial" w:hAnsi="Arial" w:cs="Arial"/>
          <w:sz w:val="24"/>
          <w:szCs w:val="24"/>
          <w:lang w:val="es-MX"/>
        </w:rPr>
        <w:t>Fondo de Garantías de Entidades Cooperativas -FOGACOOP-</w:t>
      </w:r>
      <w:r>
        <w:rPr>
          <w:rFonts w:ascii="Arial" w:hAnsi="Arial" w:cs="Arial"/>
          <w:sz w:val="24"/>
          <w:szCs w:val="24"/>
          <w:lang w:val="es-MX"/>
        </w:rPr>
        <w:t xml:space="preserve"> modificó </w:t>
      </w:r>
      <w:r w:rsidRPr="008B72DF">
        <w:rPr>
          <w:rFonts w:ascii="Arial" w:hAnsi="Arial" w:cs="Arial"/>
          <w:sz w:val="24"/>
          <w:szCs w:val="24"/>
          <w:lang w:val="es-MX"/>
        </w:rPr>
        <w:t xml:space="preserve">la </w:t>
      </w:r>
      <w:r w:rsidRPr="008B72DF">
        <w:rPr>
          <w:rFonts w:ascii="Arial" w:hAnsi="Arial" w:cs="Arial"/>
          <w:bCs/>
          <w:sz w:val="24"/>
          <w:szCs w:val="24"/>
        </w:rPr>
        <w:t xml:space="preserve">Resolución No. </w:t>
      </w:r>
      <w:r>
        <w:rPr>
          <w:rFonts w:ascii="Arial" w:hAnsi="Arial" w:cs="Arial"/>
          <w:bCs/>
          <w:sz w:val="24"/>
          <w:szCs w:val="24"/>
        </w:rPr>
        <w:t>025</w:t>
      </w:r>
      <w:r w:rsidRPr="008B72DF">
        <w:rPr>
          <w:rFonts w:ascii="Arial" w:hAnsi="Arial" w:cs="Arial"/>
          <w:bCs/>
          <w:sz w:val="24"/>
          <w:szCs w:val="24"/>
        </w:rPr>
        <w:t xml:space="preserve"> de 20</w:t>
      </w:r>
      <w:r>
        <w:rPr>
          <w:rFonts w:ascii="Arial" w:hAnsi="Arial" w:cs="Arial"/>
          <w:bCs/>
          <w:sz w:val="24"/>
          <w:szCs w:val="24"/>
        </w:rPr>
        <w:t xml:space="preserve">15 </w:t>
      </w:r>
      <w:r w:rsidRPr="00F30420">
        <w:rPr>
          <w:rFonts w:ascii="Arial" w:hAnsi="Arial" w:cs="Arial"/>
          <w:bCs/>
          <w:i/>
          <w:iCs/>
          <w:sz w:val="24"/>
          <w:szCs w:val="24"/>
        </w:rPr>
        <w:t>“Norma única del objeto social”</w:t>
      </w:r>
      <w:r>
        <w:rPr>
          <w:rFonts w:ascii="Arial" w:hAnsi="Arial" w:cs="Arial"/>
          <w:bCs/>
          <w:sz w:val="24"/>
          <w:szCs w:val="24"/>
        </w:rPr>
        <w:t xml:space="preserve"> para incrementar el valor de la cobertura del seguro de depósitos, así como para modificar las acreencias amparadas y no amparadas, entre otras disposiciones. En virtud de lo anterior, el mencionado Fondo </w:t>
      </w:r>
      <w:r w:rsidRPr="008B72DF">
        <w:rPr>
          <w:rFonts w:ascii="Arial" w:hAnsi="Arial" w:cs="Arial"/>
          <w:sz w:val="24"/>
          <w:szCs w:val="24"/>
          <w:lang w:val="es-MX"/>
        </w:rPr>
        <w:t xml:space="preserve">solicitó a esta Superintendencia </w:t>
      </w:r>
      <w:r>
        <w:rPr>
          <w:rFonts w:ascii="Arial" w:hAnsi="Arial" w:cs="Arial"/>
          <w:sz w:val="24"/>
          <w:szCs w:val="24"/>
          <w:lang w:val="es-MX"/>
        </w:rPr>
        <w:t xml:space="preserve">actualizar </w:t>
      </w:r>
      <w:r w:rsidRPr="008B72DF">
        <w:rPr>
          <w:rFonts w:ascii="Arial" w:hAnsi="Arial" w:cs="Arial"/>
          <w:sz w:val="24"/>
          <w:szCs w:val="24"/>
          <w:lang w:val="es-MX"/>
        </w:rPr>
        <w:t>de las instrucciones vigentes relacionadas con la información que las entidades cooperativas inscritas en el Fondo deben suministrar a los consumidores financieros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A74A649" w14:textId="77777777" w:rsidR="00CA1E69" w:rsidRDefault="00CA1E69" w:rsidP="00CA1E69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81C0AA7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desarrollo de lo anterior, </w:t>
      </w:r>
      <w:r w:rsidRPr="008B72DF">
        <w:rPr>
          <w:rFonts w:ascii="Arial" w:hAnsi="Arial" w:cs="Arial"/>
          <w:sz w:val="24"/>
          <w:szCs w:val="24"/>
        </w:rPr>
        <w:t>esta Superintendencia, en ejercicio de sus facultades legales y, en particular, las establecidas en el literal a) del numeral 3 del artículo 326 del Estatuto Orgánico del Sistema Financiero y en el numeral 4 del artículo 11.2.1.4.2 del Decreto 2555 de 2010, imparte la siguiente instrucción:</w:t>
      </w:r>
    </w:p>
    <w:p w14:paraId="36D14AC3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162DE71F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b/>
          <w:sz w:val="24"/>
          <w:szCs w:val="24"/>
        </w:rPr>
        <w:t>PRIMERA:</w:t>
      </w:r>
      <w:r w:rsidRPr="008B72DF">
        <w:rPr>
          <w:rFonts w:ascii="Arial" w:hAnsi="Arial" w:cs="Arial"/>
          <w:sz w:val="24"/>
          <w:szCs w:val="24"/>
        </w:rPr>
        <w:t xml:space="preserve"> Modificar el Anexo 3 del Capítulo I del </w:t>
      </w:r>
      <w:r>
        <w:rPr>
          <w:rFonts w:ascii="Arial" w:hAnsi="Arial" w:cs="Arial"/>
          <w:sz w:val="24"/>
          <w:szCs w:val="24"/>
        </w:rPr>
        <w:t>T</w:t>
      </w:r>
      <w:r w:rsidRPr="008B72DF">
        <w:rPr>
          <w:rFonts w:ascii="Arial" w:hAnsi="Arial" w:cs="Arial"/>
          <w:sz w:val="24"/>
          <w:szCs w:val="24"/>
        </w:rPr>
        <w:t xml:space="preserve">ítulo III de la Parte I de la Circular Básica Jurídica </w:t>
      </w:r>
      <w:r w:rsidRPr="008B72DF">
        <w:rPr>
          <w:rFonts w:ascii="Arial" w:hAnsi="Arial" w:cs="Arial"/>
          <w:i/>
          <w:iCs/>
          <w:sz w:val="24"/>
          <w:szCs w:val="24"/>
        </w:rPr>
        <w:t>“Reglas para utilizar la identidad visual oficial “seguro de depósito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8B72DF">
        <w:rPr>
          <w:rFonts w:ascii="Arial" w:hAnsi="Arial" w:cs="Arial"/>
          <w:i/>
          <w:iCs/>
          <w:sz w:val="24"/>
          <w:szCs w:val="24"/>
        </w:rPr>
        <w:t>” por parte de las entidades cooperativas sujetas al régimen del seguro de depósito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8B72DF">
        <w:rPr>
          <w:rFonts w:ascii="Arial" w:hAnsi="Arial" w:cs="Arial"/>
          <w:i/>
          <w:iCs/>
          <w:sz w:val="24"/>
          <w:szCs w:val="24"/>
        </w:rPr>
        <w:t xml:space="preserve"> del fondo de garantías de entidades cooperativas –FOGACOOP- en la publicidad divulgada masivamente por escrito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Pr="008B72DF">
        <w:rPr>
          <w:rFonts w:ascii="Arial" w:hAnsi="Arial" w:cs="Arial"/>
          <w:i/>
          <w:iCs/>
          <w:sz w:val="24"/>
          <w:szCs w:val="24"/>
        </w:rPr>
        <w:t>”</w:t>
      </w:r>
      <w:r w:rsidRPr="008B72DF">
        <w:rPr>
          <w:rFonts w:ascii="Arial" w:hAnsi="Arial" w:cs="Arial"/>
          <w:sz w:val="24"/>
          <w:szCs w:val="24"/>
        </w:rPr>
        <w:t xml:space="preserve"> con el fin de </w:t>
      </w:r>
      <w:r>
        <w:rPr>
          <w:rFonts w:ascii="Arial" w:hAnsi="Arial" w:cs="Arial"/>
          <w:sz w:val="24"/>
          <w:szCs w:val="24"/>
        </w:rPr>
        <w:t>incorporar</w:t>
      </w:r>
      <w:r w:rsidRPr="008B72DF">
        <w:rPr>
          <w:rFonts w:ascii="Arial" w:hAnsi="Arial" w:cs="Arial"/>
          <w:sz w:val="24"/>
          <w:szCs w:val="24"/>
        </w:rPr>
        <w:t xml:space="preserve"> las modificaciones </w:t>
      </w:r>
      <w:r>
        <w:rPr>
          <w:rFonts w:ascii="Arial" w:hAnsi="Arial" w:cs="Arial"/>
          <w:sz w:val="24"/>
          <w:szCs w:val="24"/>
        </w:rPr>
        <w:t xml:space="preserve">introducidas en </w:t>
      </w:r>
      <w:r w:rsidRPr="008B72DF">
        <w:rPr>
          <w:rFonts w:ascii="Arial" w:hAnsi="Arial" w:cs="Arial"/>
          <w:sz w:val="24"/>
          <w:szCs w:val="24"/>
        </w:rPr>
        <w:t>la Resolución</w:t>
      </w:r>
      <w:r>
        <w:rPr>
          <w:rFonts w:ascii="Arial" w:hAnsi="Arial" w:cs="Arial"/>
          <w:sz w:val="24"/>
          <w:szCs w:val="24"/>
        </w:rPr>
        <w:t xml:space="preserve"> 025 de 2015.</w:t>
      </w:r>
    </w:p>
    <w:p w14:paraId="7A08404A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29974148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Se adjuntan los anexos correspondientes.</w:t>
      </w:r>
    </w:p>
    <w:p w14:paraId="2AB03E4D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4652CCF7" w14:textId="77777777" w:rsidR="00CA1E69" w:rsidRPr="008B72DF" w:rsidRDefault="00CA1E69" w:rsidP="00CA1E69">
      <w:pPr>
        <w:tabs>
          <w:tab w:val="left" w:pos="6361"/>
        </w:tabs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La presente Circular rige a partir de su publicación.</w:t>
      </w:r>
    </w:p>
    <w:p w14:paraId="718DF406" w14:textId="03524816" w:rsidR="00CA1E69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06A42EBD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6DD77147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Cordialmente,</w:t>
      </w:r>
    </w:p>
    <w:p w14:paraId="7D21AE98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1033FC86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356B6B89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</w:p>
    <w:p w14:paraId="75092BDA" w14:textId="77777777" w:rsidR="00CA1E69" w:rsidRPr="008B72DF" w:rsidRDefault="00CA1E69" w:rsidP="00CA1E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72DF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7BE4362A" w14:textId="77777777" w:rsidR="00CA1E69" w:rsidRPr="008B72DF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Superintendente Financiero de Colombia</w:t>
      </w:r>
    </w:p>
    <w:p w14:paraId="7CFEDFB7" w14:textId="77777777" w:rsidR="00CA1E69" w:rsidRPr="0043510E" w:rsidRDefault="00CA1E69" w:rsidP="00CA1E69">
      <w:pPr>
        <w:jc w:val="both"/>
        <w:rPr>
          <w:rFonts w:ascii="Arial" w:hAnsi="Arial" w:cs="Arial"/>
          <w:sz w:val="24"/>
          <w:szCs w:val="24"/>
        </w:rPr>
      </w:pPr>
      <w:r w:rsidRPr="008B72DF">
        <w:rPr>
          <w:rFonts w:ascii="Arial" w:hAnsi="Arial" w:cs="Arial"/>
          <w:sz w:val="24"/>
          <w:szCs w:val="24"/>
        </w:rPr>
        <w:t>50000</w:t>
      </w:r>
    </w:p>
    <w:p w14:paraId="48733344" w14:textId="77777777" w:rsidR="00694293" w:rsidRDefault="00694293" w:rsidP="00694293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94293" w:rsidSect="00D32110">
      <w:headerReference w:type="default" r:id="rId17"/>
      <w:footerReference w:type="default" r:id="rId18"/>
      <w:headerReference w:type="first" r:id="rId19"/>
      <w:footerReference w:type="first" r:id="rId20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C3FE" w14:textId="77777777" w:rsidR="0031528D" w:rsidRDefault="0031528D">
      <w:r>
        <w:separator/>
      </w:r>
    </w:p>
  </w:endnote>
  <w:endnote w:type="continuationSeparator" w:id="0">
    <w:p w14:paraId="4E8E9B1F" w14:textId="77777777" w:rsidR="0031528D" w:rsidRDefault="0031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0E56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799C573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AED3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3886CE56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53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E63C297" w14:textId="77777777" w:rsidR="00564B20" w:rsidRDefault="00564B2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0B5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0B07ABDB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E1C6" w14:textId="77777777" w:rsidR="0031528D" w:rsidRDefault="0031528D">
      <w:r>
        <w:separator/>
      </w:r>
    </w:p>
  </w:footnote>
  <w:footnote w:type="continuationSeparator" w:id="0">
    <w:p w14:paraId="4E0242A4" w14:textId="77777777" w:rsidR="0031528D" w:rsidRDefault="0031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E933" w14:textId="77777777" w:rsidR="00D32110" w:rsidRDefault="00D32110" w:rsidP="00D3211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02D81881" w14:textId="77777777" w:rsidR="00D32110" w:rsidRDefault="00D32110" w:rsidP="00D3211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730D193" w14:textId="15471427" w:rsidR="00D32110" w:rsidRDefault="00D32110" w:rsidP="00D32110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Circular Externa    de 2023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3</w:t>
    </w:r>
  </w:p>
  <w:p w14:paraId="66E4BD88" w14:textId="77777777" w:rsidR="00D32110" w:rsidRDefault="00D32110" w:rsidP="00D3211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447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0F7E5338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C4B3CB8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D655394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34454F7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4F7C7FD7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0"/>
      <w:gridCol w:w="4399"/>
      <w:gridCol w:w="2052"/>
    </w:tblGrid>
    <w:tr w:rsidR="00564B20" w14:paraId="49F27F7B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5E0D8143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724BE1B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679DF8AF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325A3A7A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A82192F" w14:textId="77777777" w:rsidR="00564B20" w:rsidRDefault="00D45D9F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69D2985D" wp14:editId="4F2C257A">
                <wp:extent cx="1346200" cy="4826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shd w:val="clear" w:color="auto" w:fill="FFFFFF"/>
          <w:noWrap/>
          <w:vAlign w:val="center"/>
        </w:tcPr>
        <w:p w14:paraId="7C0D091F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1B23DD6E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42CFA6C4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77116633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718AAE88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705688EC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333D8FBC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0E3" w14:textId="77777777" w:rsidR="00564B20" w:rsidRDefault="00564B20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AA37471" w14:textId="77777777" w:rsidR="00D70268" w:rsidRDefault="00CA1E69" w:rsidP="00D7026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BB6F62F" w14:textId="43EBC2CF" w:rsidR="00D70268" w:rsidRDefault="00845B8B" w:rsidP="0040107A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Circular Externa </w:t>
    </w:r>
    <w:r w:rsidR="00D32110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sz w:val="24"/>
        <w:szCs w:val="24"/>
      </w:rPr>
      <w:t xml:space="preserve"> de 202</w:t>
    </w:r>
    <w:r w:rsidR="00D32110">
      <w:rPr>
        <w:rFonts w:ascii="Arial" w:hAnsi="Arial" w:cs="Arial"/>
        <w:b/>
        <w:sz w:val="24"/>
        <w:szCs w:val="24"/>
      </w:rPr>
      <w:t>3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Página </w:t>
    </w:r>
    <w:r w:rsidR="00D32110">
      <w:rPr>
        <w:rFonts w:ascii="Arial" w:hAnsi="Arial" w:cs="Arial"/>
        <w:b/>
        <w:sz w:val="24"/>
        <w:szCs w:val="24"/>
      </w:rPr>
      <w:t>2</w:t>
    </w:r>
  </w:p>
  <w:p w14:paraId="550F2876" w14:textId="77777777" w:rsidR="00D70268" w:rsidRDefault="00CA1E69" w:rsidP="0040107A">
    <w:pPr>
      <w:pStyle w:val="Encabezado"/>
      <w:rPr>
        <w:rFonts w:ascii="Arial" w:hAnsi="Arial" w:cs="Arial"/>
        <w:b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DD0" w14:textId="77777777" w:rsidR="00044882" w:rsidRDefault="00CA1E69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</w:p>
  <w:p w14:paraId="64A97A50" w14:textId="77777777" w:rsidR="00564B20" w:rsidRPr="00B6740F" w:rsidRDefault="00845B8B" w:rsidP="00B6740F">
    <w:pPr>
      <w:pStyle w:val="Encabezado"/>
      <w:jc w:val="center"/>
      <w:rPr>
        <w:rFonts w:ascii="Arial" w:hAnsi="Arial" w:cs="Arial"/>
        <w:b/>
        <w:sz w:val="24"/>
        <w:szCs w:val="24"/>
        <w:lang w:val="es-ES"/>
      </w:rPr>
    </w:pPr>
    <w:r>
      <w:rPr>
        <w:rFonts w:ascii="Arial" w:hAnsi="Arial" w:cs="Arial"/>
        <w:b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43B3D"/>
    <w:rsid w:val="00047316"/>
    <w:rsid w:val="0007307A"/>
    <w:rsid w:val="000779CA"/>
    <w:rsid w:val="000A295A"/>
    <w:rsid w:val="000D147B"/>
    <w:rsid w:val="000F6CB5"/>
    <w:rsid w:val="00120DA4"/>
    <w:rsid w:val="001258E1"/>
    <w:rsid w:val="001543F0"/>
    <w:rsid w:val="00164D9E"/>
    <w:rsid w:val="00172C51"/>
    <w:rsid w:val="00190EE7"/>
    <w:rsid w:val="001922C8"/>
    <w:rsid w:val="00193916"/>
    <w:rsid w:val="001A6B7D"/>
    <w:rsid w:val="00225FCE"/>
    <w:rsid w:val="002B6E99"/>
    <w:rsid w:val="002C13C6"/>
    <w:rsid w:val="002F4A2A"/>
    <w:rsid w:val="003142A9"/>
    <w:rsid w:val="0031528D"/>
    <w:rsid w:val="00316E05"/>
    <w:rsid w:val="0035445C"/>
    <w:rsid w:val="003738F8"/>
    <w:rsid w:val="0037411F"/>
    <w:rsid w:val="00374F5A"/>
    <w:rsid w:val="003760B7"/>
    <w:rsid w:val="00382C29"/>
    <w:rsid w:val="003918C3"/>
    <w:rsid w:val="003C4357"/>
    <w:rsid w:val="003E3CC3"/>
    <w:rsid w:val="003F7BBD"/>
    <w:rsid w:val="00404235"/>
    <w:rsid w:val="004043B0"/>
    <w:rsid w:val="0040661C"/>
    <w:rsid w:val="00410CAB"/>
    <w:rsid w:val="00431FCF"/>
    <w:rsid w:val="0044428D"/>
    <w:rsid w:val="00451E47"/>
    <w:rsid w:val="004C2087"/>
    <w:rsid w:val="004D5BBF"/>
    <w:rsid w:val="004D662A"/>
    <w:rsid w:val="004F111A"/>
    <w:rsid w:val="00513233"/>
    <w:rsid w:val="00564B20"/>
    <w:rsid w:val="00581497"/>
    <w:rsid w:val="005D51F0"/>
    <w:rsid w:val="00621A24"/>
    <w:rsid w:val="00631BAB"/>
    <w:rsid w:val="0064423D"/>
    <w:rsid w:val="00655C9D"/>
    <w:rsid w:val="00664B83"/>
    <w:rsid w:val="006742E9"/>
    <w:rsid w:val="00675CCF"/>
    <w:rsid w:val="00694293"/>
    <w:rsid w:val="006B29A5"/>
    <w:rsid w:val="006B56BB"/>
    <w:rsid w:val="006C2208"/>
    <w:rsid w:val="006D2615"/>
    <w:rsid w:val="006F70A6"/>
    <w:rsid w:val="006F7746"/>
    <w:rsid w:val="00722581"/>
    <w:rsid w:val="0075215C"/>
    <w:rsid w:val="007A55C7"/>
    <w:rsid w:val="007C0F8A"/>
    <w:rsid w:val="007E4209"/>
    <w:rsid w:val="008078CF"/>
    <w:rsid w:val="00824B7C"/>
    <w:rsid w:val="00827567"/>
    <w:rsid w:val="00836A72"/>
    <w:rsid w:val="0084010C"/>
    <w:rsid w:val="00845B8B"/>
    <w:rsid w:val="008B697F"/>
    <w:rsid w:val="008C78C6"/>
    <w:rsid w:val="008D1DF6"/>
    <w:rsid w:val="008D2B55"/>
    <w:rsid w:val="008E4990"/>
    <w:rsid w:val="00903F36"/>
    <w:rsid w:val="00904A52"/>
    <w:rsid w:val="00933098"/>
    <w:rsid w:val="00964900"/>
    <w:rsid w:val="00966903"/>
    <w:rsid w:val="00997CB7"/>
    <w:rsid w:val="009A55F6"/>
    <w:rsid w:val="00A04BFD"/>
    <w:rsid w:val="00A164B8"/>
    <w:rsid w:val="00A47686"/>
    <w:rsid w:val="00A56544"/>
    <w:rsid w:val="00A57330"/>
    <w:rsid w:val="00A61CAF"/>
    <w:rsid w:val="00A6318E"/>
    <w:rsid w:val="00A634DA"/>
    <w:rsid w:val="00A74FE2"/>
    <w:rsid w:val="00AC0FDE"/>
    <w:rsid w:val="00AC3406"/>
    <w:rsid w:val="00AE31E1"/>
    <w:rsid w:val="00B05C8F"/>
    <w:rsid w:val="00B43F5A"/>
    <w:rsid w:val="00B51F39"/>
    <w:rsid w:val="00B6670D"/>
    <w:rsid w:val="00B70094"/>
    <w:rsid w:val="00BA5C18"/>
    <w:rsid w:val="00BB3603"/>
    <w:rsid w:val="00BB37DA"/>
    <w:rsid w:val="00BC13D7"/>
    <w:rsid w:val="00C340E1"/>
    <w:rsid w:val="00C8742D"/>
    <w:rsid w:val="00CA1E69"/>
    <w:rsid w:val="00CD33D4"/>
    <w:rsid w:val="00CD3732"/>
    <w:rsid w:val="00D071C4"/>
    <w:rsid w:val="00D32110"/>
    <w:rsid w:val="00D42D4C"/>
    <w:rsid w:val="00D45D9F"/>
    <w:rsid w:val="00DA71CD"/>
    <w:rsid w:val="00DD342D"/>
    <w:rsid w:val="00DF3624"/>
    <w:rsid w:val="00E36297"/>
    <w:rsid w:val="00E416CF"/>
    <w:rsid w:val="00E435E8"/>
    <w:rsid w:val="00E47C9B"/>
    <w:rsid w:val="00E530A0"/>
    <w:rsid w:val="00E62CE3"/>
    <w:rsid w:val="00E66DC8"/>
    <w:rsid w:val="00E77E01"/>
    <w:rsid w:val="00E9386A"/>
    <w:rsid w:val="00E93C1D"/>
    <w:rsid w:val="00E979D9"/>
    <w:rsid w:val="00EA1049"/>
    <w:rsid w:val="00EB26B9"/>
    <w:rsid w:val="00EC6395"/>
    <w:rsid w:val="00ED0523"/>
    <w:rsid w:val="00ED37AC"/>
    <w:rsid w:val="00EE3537"/>
    <w:rsid w:val="00EF5146"/>
    <w:rsid w:val="00F32DEC"/>
    <w:rsid w:val="00F6044F"/>
    <w:rsid w:val="00F70A31"/>
    <w:rsid w:val="00F822C8"/>
    <w:rsid w:val="00F9082E"/>
    <w:rsid w:val="00FC3F0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0703E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491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3492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Lida Paola Moreno</cp:lastModifiedBy>
  <cp:revision>21</cp:revision>
  <cp:lastPrinted>2016-09-26T16:13:00Z</cp:lastPrinted>
  <dcterms:created xsi:type="dcterms:W3CDTF">2022-08-10T21:27:00Z</dcterms:created>
  <dcterms:modified xsi:type="dcterms:W3CDTF">2023-02-09T19:57:00Z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