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B134" w14:textId="6BC85821" w:rsidR="006241C2" w:rsidRDefault="006241C2" w:rsidP="00AB69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742ECD3D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2848396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2E95961" w14:textId="1302ABA9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DE CIRCULAR EXTERNA: </w:t>
      </w:r>
      <w:r w:rsidR="00E646A3" w:rsidRPr="00E646A3">
        <w:rPr>
          <w:rFonts w:ascii="Arial" w:hAnsi="Arial" w:cs="Arial"/>
          <w:bCs/>
          <w:sz w:val="24"/>
          <w:szCs w:val="24"/>
        </w:rPr>
        <w:t>Instrucciones relativas al cálculo de la duración para títulos de renta fija pactados en tasa variable y sobre la metodología de cálculo de la exposición crediticia en derivados financieros y productos estructurados</w:t>
      </w:r>
      <w:r>
        <w:rPr>
          <w:rFonts w:ascii="Arial" w:hAnsi="Arial" w:cs="Arial"/>
          <w:bCs/>
          <w:sz w:val="28"/>
          <w:szCs w:val="28"/>
        </w:rPr>
        <w:t>.</w:t>
      </w:r>
    </w:p>
    <w:p w14:paraId="707B138F" w14:textId="77777777" w:rsidR="00AB6934" w:rsidRDefault="00AB6934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4D169AB4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7739DBA2" w14:textId="16F4FD21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 w:rsidR="002F5D70" w:rsidRPr="002F5D70">
        <w:rPr>
          <w:rFonts w:ascii="Arial" w:hAnsi="Arial" w:cs="Arial"/>
          <w:sz w:val="24"/>
          <w:szCs w:val="24"/>
        </w:rPr>
        <w:t xml:space="preserve">Modificar las </w:t>
      </w:r>
      <w:r w:rsidR="00E646A3">
        <w:rPr>
          <w:rFonts w:ascii="Arial" w:hAnsi="Arial" w:cs="Arial"/>
          <w:sz w:val="24"/>
          <w:szCs w:val="24"/>
        </w:rPr>
        <w:t xml:space="preserve">instrucciones relativas </w:t>
      </w:r>
      <w:r w:rsidR="00EC3A44">
        <w:rPr>
          <w:rFonts w:ascii="Arial" w:hAnsi="Arial" w:cs="Arial"/>
          <w:sz w:val="24"/>
          <w:szCs w:val="24"/>
        </w:rPr>
        <w:t xml:space="preserve">al cálculo de la duración de títulos de renta fija pactados en tasa variable </w:t>
      </w:r>
      <w:r w:rsidR="0073755C">
        <w:rPr>
          <w:rFonts w:ascii="Arial" w:hAnsi="Arial" w:cs="Arial"/>
          <w:sz w:val="24"/>
          <w:szCs w:val="24"/>
        </w:rPr>
        <w:t>y sobre el cálculo de la exposición crediticia en derivados financieros y productos estructurados</w:t>
      </w:r>
      <w:r w:rsidR="002F5D70" w:rsidRPr="002F5D70">
        <w:rPr>
          <w:rFonts w:ascii="Arial" w:hAnsi="Arial" w:cs="Arial"/>
          <w:sz w:val="24"/>
          <w:szCs w:val="24"/>
        </w:rPr>
        <w:t>.</w:t>
      </w:r>
    </w:p>
    <w:p w14:paraId="01ABCA72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6821CCE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897D6D1" w14:textId="72D3B67F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PLAZO PARA COMENTARIOS: </w:t>
      </w:r>
      <w:r>
        <w:rPr>
          <w:rFonts w:ascii="Arial" w:hAnsi="Arial" w:cs="Arial"/>
          <w:sz w:val="24"/>
          <w:szCs w:val="24"/>
        </w:rPr>
        <w:t xml:space="preserve">Hasta las 5:00 pm del </w:t>
      </w:r>
      <w:r w:rsidR="00D52AB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D52AB7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</w:t>
      </w:r>
      <w:r w:rsidR="008833E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18E173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98DC43B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0EADE1E7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 xml:space="preserve">Por favor diligenciar la proforma adjunta “MATRIZ PARA COMENTARIOS EXTERNOS - PUBLICACION WEB”. </w:t>
      </w:r>
    </w:p>
    <w:p w14:paraId="3FC025EC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97BA1C1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26F94CD8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4505CB3E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0A52DC06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27CF8522" w14:textId="4C8B3248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FD0436" w:rsidRPr="00FD0436">
        <w:rPr>
          <w:rFonts w:ascii="Arial" w:hAnsi="Arial" w:cs="Arial"/>
          <w:b/>
          <w:bCs/>
          <w:sz w:val="24"/>
          <w:szCs w:val="24"/>
          <w:lang w:val="es-ES"/>
        </w:rPr>
        <w:t>2023010933</w:t>
      </w:r>
    </w:p>
    <w:p w14:paraId="5F33309B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9DCA08C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12081">
        <w:rPr>
          <w:rFonts w:ascii="Arial" w:hAnsi="Arial" w:cs="Arial"/>
          <w:sz w:val="24"/>
          <w:szCs w:val="24"/>
        </w:rPr>
        <w:t>Subdirectora de Regulación</w:t>
      </w:r>
      <w:r>
        <w:rPr>
          <w:rFonts w:ascii="Arial" w:hAnsi="Arial" w:cs="Arial"/>
          <w:bCs/>
          <w:sz w:val="24"/>
          <w:szCs w:val="24"/>
        </w:rPr>
        <w:t>, con el número de radicación.</w:t>
      </w:r>
    </w:p>
    <w:p w14:paraId="3007E677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3A212146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24063D31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E665493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Nota: </w:t>
      </w:r>
      <w:r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electrónico, la referencia señalada, así como por escrito.</w:t>
      </w:r>
    </w:p>
    <w:p w14:paraId="56C741B9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5314A7F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F03C061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DF825B4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3CB236A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231A55C1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4588216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2836FF2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2C8FA9B" w14:textId="4951343E" w:rsidR="006241C2" w:rsidRDefault="006241C2" w:rsidP="00C3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  <w:r w:rsidR="00F812F4">
        <w:rPr>
          <w:rFonts w:ascii="Arial" w:hAnsi="Arial" w:cs="Arial"/>
          <w:b/>
          <w:bCs/>
          <w:sz w:val="28"/>
          <w:szCs w:val="28"/>
        </w:rPr>
        <w:t>Circular</w:t>
      </w:r>
    </w:p>
    <w:p w14:paraId="1342DE5C" w14:textId="77777777" w:rsidR="006241C2" w:rsidRDefault="006241C2" w:rsidP="006241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07591EEE" w14:textId="77777777" w:rsidR="006241C2" w:rsidRDefault="006241C2" w:rsidP="006241C2">
      <w:pPr>
        <w:rPr>
          <w:rFonts w:ascii="Arial" w:hAnsi="Arial" w:cs="Arial"/>
          <w:b/>
          <w:sz w:val="22"/>
          <w:szCs w:val="22"/>
        </w:rPr>
        <w:sectPr w:rsidR="006241C2">
          <w:headerReference w:type="default" r:id="rId12"/>
          <w:pgSz w:w="12242" w:h="18722"/>
          <w:pgMar w:top="2977" w:right="1701" w:bottom="1701" w:left="2268" w:header="709" w:footer="709" w:gutter="0"/>
          <w:paperSrc w:first="2" w:other="2"/>
          <w:cols w:space="720"/>
        </w:sectPr>
      </w:pPr>
    </w:p>
    <w:p w14:paraId="116E3A08" w14:textId="01044A16" w:rsidR="00B6188D" w:rsidRDefault="00B6188D">
      <w:pPr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122EF64D" w14:textId="77777777" w:rsidR="000D03AE" w:rsidRPr="007C6545" w:rsidRDefault="000D03AE" w:rsidP="000D03AE">
      <w:pPr>
        <w:jc w:val="center"/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 xml:space="preserve">CIRCULAR EXTERNA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C6545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</w:p>
    <w:p w14:paraId="2EAB9348" w14:textId="77777777" w:rsidR="000D03AE" w:rsidRPr="007C6545" w:rsidRDefault="000D03AE" w:rsidP="000D03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3E0A8D" w14:textId="77777777" w:rsidR="000D03AE" w:rsidRPr="007C6545" w:rsidRDefault="000D03AE" w:rsidP="000D03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545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7C6545">
        <w:rPr>
          <w:rFonts w:ascii="Arial" w:hAnsi="Arial" w:cs="Arial"/>
          <w:b/>
          <w:bCs/>
          <w:sz w:val="24"/>
          <w:szCs w:val="24"/>
        </w:rPr>
        <w:t>)</w:t>
      </w:r>
    </w:p>
    <w:p w14:paraId="72276B15" w14:textId="77777777" w:rsidR="000D03AE" w:rsidRDefault="000D03AE" w:rsidP="000D03AE">
      <w:pPr>
        <w:rPr>
          <w:rFonts w:ascii="Arial" w:hAnsi="Arial" w:cs="Arial"/>
          <w:b/>
          <w:sz w:val="24"/>
          <w:szCs w:val="24"/>
        </w:rPr>
      </w:pPr>
    </w:p>
    <w:p w14:paraId="6D43F6BE" w14:textId="77777777" w:rsidR="000D03AE" w:rsidRDefault="000D03AE" w:rsidP="000D03AE">
      <w:pPr>
        <w:rPr>
          <w:rFonts w:ascii="Arial" w:hAnsi="Arial" w:cs="Arial"/>
          <w:b/>
          <w:sz w:val="24"/>
          <w:szCs w:val="24"/>
        </w:rPr>
      </w:pPr>
    </w:p>
    <w:p w14:paraId="635DC970" w14:textId="77777777" w:rsidR="000D03AE" w:rsidRPr="007C6545" w:rsidRDefault="000D03AE" w:rsidP="000D03AE">
      <w:pPr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>Señores</w:t>
      </w:r>
    </w:p>
    <w:p w14:paraId="2005B59E" w14:textId="77777777" w:rsidR="000D03AE" w:rsidRPr="007C6545" w:rsidRDefault="000D03AE" w:rsidP="000D03AE">
      <w:pPr>
        <w:rPr>
          <w:rFonts w:ascii="Arial" w:hAnsi="Arial" w:cs="Arial"/>
          <w:b/>
          <w:sz w:val="24"/>
          <w:szCs w:val="24"/>
        </w:rPr>
      </w:pPr>
    </w:p>
    <w:p w14:paraId="16151F68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z w:val="24"/>
          <w:szCs w:val="24"/>
        </w:rPr>
        <w:t>S</w:t>
      </w:r>
      <w:r w:rsidRPr="007C6545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>ES DE LAS ENTIDADES VIGILADAS</w:t>
      </w:r>
    </w:p>
    <w:p w14:paraId="43628451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357ADF5C" w14:textId="77777777" w:rsidR="000D03AE" w:rsidRPr="007C6545" w:rsidRDefault="000D03AE" w:rsidP="000D03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6545">
        <w:rPr>
          <w:rFonts w:ascii="Arial" w:hAnsi="Arial" w:cs="Arial"/>
          <w:b/>
          <w:bCs/>
          <w:sz w:val="24"/>
          <w:szCs w:val="24"/>
        </w:rPr>
        <w:t xml:space="preserve">Referencia: </w:t>
      </w:r>
      <w:r>
        <w:rPr>
          <w:rFonts w:ascii="Arial" w:hAnsi="Arial" w:cs="Arial"/>
          <w:b/>
          <w:bCs/>
          <w:sz w:val="24"/>
          <w:szCs w:val="24"/>
        </w:rPr>
        <w:t xml:space="preserve">Instrucciones relativas al cálculo de la duración para títulos de renta fija pactados en tasa variable y sobre la </w:t>
      </w:r>
      <w:r w:rsidRPr="00BF7E96">
        <w:rPr>
          <w:rFonts w:ascii="Arial" w:hAnsi="Arial" w:cs="Arial"/>
          <w:b/>
          <w:bCs/>
          <w:sz w:val="24"/>
          <w:szCs w:val="24"/>
        </w:rPr>
        <w:t>metodología de cálculo de la exposición crediticia en derivados financieros</w:t>
      </w:r>
      <w:r>
        <w:rPr>
          <w:rFonts w:ascii="Arial" w:hAnsi="Arial" w:cs="Arial"/>
          <w:b/>
          <w:bCs/>
          <w:sz w:val="24"/>
          <w:szCs w:val="24"/>
        </w:rPr>
        <w:t xml:space="preserve"> y productos estructurados</w:t>
      </w:r>
    </w:p>
    <w:p w14:paraId="45D78E49" w14:textId="77777777" w:rsidR="000D03AE" w:rsidRPr="007C6545" w:rsidRDefault="000D03AE" w:rsidP="000D03AE">
      <w:pPr>
        <w:jc w:val="both"/>
        <w:rPr>
          <w:rFonts w:ascii="Arial" w:hAnsi="Arial" w:cs="Arial"/>
          <w:b/>
          <w:sz w:val="24"/>
          <w:szCs w:val="24"/>
        </w:rPr>
      </w:pPr>
    </w:p>
    <w:p w14:paraId="797A5365" w14:textId="77777777" w:rsidR="000D03AE" w:rsidRPr="007C6545" w:rsidRDefault="000D03AE" w:rsidP="000D03AE">
      <w:pPr>
        <w:widowControl w:val="0"/>
        <w:adjustRightInd w:val="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64DE3177" w14:textId="77777777" w:rsidR="000D03AE" w:rsidRPr="007C6545" w:rsidRDefault="000D03AE" w:rsidP="000D03A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Apreciados señores:</w:t>
      </w:r>
    </w:p>
    <w:p w14:paraId="3B1C9219" w14:textId="77777777" w:rsidR="000D03AE" w:rsidRPr="007C6545" w:rsidRDefault="000D03AE" w:rsidP="000D03AE">
      <w:pPr>
        <w:pStyle w:val="Textoindependiente"/>
      </w:pPr>
    </w:p>
    <w:p w14:paraId="521DAA30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Superintendencia Financiera de Colombia viene adelantando un proceso de convergencia gradual a mejores prácticas y estándares internacionales, en desarrollo del cual considera necesario modificar  las instrucciones  en materia del cálculo de la duración de los instrumentos de renta fija pactados en tasa flotante d</w:t>
      </w:r>
      <w:r w:rsidRPr="006940F6">
        <w:rPr>
          <w:rFonts w:ascii="Arial" w:hAnsi="Arial" w:cs="Arial"/>
          <w:sz w:val="24"/>
          <w:szCs w:val="24"/>
          <w:lang w:val="es-ES"/>
        </w:rPr>
        <w:t>e acuerdo con los lineamientos del Comité de</w:t>
      </w:r>
      <w:r>
        <w:rPr>
          <w:rFonts w:ascii="Arial" w:hAnsi="Arial" w:cs="Arial"/>
          <w:sz w:val="24"/>
          <w:szCs w:val="24"/>
          <w:lang w:val="es-ES"/>
        </w:rPr>
        <w:t xml:space="preserve"> Supervisión Bancaria de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Basilea</w:t>
      </w:r>
      <w:r>
        <w:rPr>
          <w:rFonts w:ascii="Arial" w:hAnsi="Arial" w:cs="Arial"/>
          <w:sz w:val="24"/>
          <w:szCs w:val="24"/>
          <w:lang w:val="es-ES"/>
        </w:rPr>
        <w:t xml:space="preserve"> (BCBS)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en materia de </w:t>
      </w:r>
      <w:r w:rsidRPr="006940F6">
        <w:rPr>
          <w:rFonts w:ascii="Arial" w:hAnsi="Arial" w:cs="Arial"/>
          <w:sz w:val="24"/>
          <w:szCs w:val="24"/>
          <w:lang w:val="es-ES"/>
        </w:rPr>
        <w:t>administración del riesgo de mercado asociado a las tasas de interés,</w:t>
      </w:r>
      <w:r>
        <w:rPr>
          <w:rFonts w:ascii="Arial" w:hAnsi="Arial" w:cs="Arial"/>
          <w:sz w:val="24"/>
          <w:szCs w:val="24"/>
          <w:lang w:val="es-ES"/>
        </w:rPr>
        <w:t xml:space="preserve"> según los cuales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el cálculo de la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  <w:lang w:val="es-ES"/>
        </w:rPr>
        <w:t>d</w:t>
      </w:r>
      <w:r w:rsidRPr="006940F6">
        <w:rPr>
          <w:rFonts w:ascii="Arial" w:hAnsi="Arial" w:cs="Arial"/>
          <w:sz w:val="24"/>
          <w:szCs w:val="24"/>
          <w:lang w:val="es-ES"/>
        </w:rPr>
        <w:t>uración</w:t>
      </w:r>
      <w:r>
        <w:rPr>
          <w:rFonts w:ascii="Arial" w:hAnsi="Arial" w:cs="Arial"/>
          <w:sz w:val="24"/>
          <w:szCs w:val="24"/>
        </w:rPr>
        <w:t>»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debe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t</w:t>
      </w:r>
      <w:r>
        <w:rPr>
          <w:rFonts w:ascii="Arial" w:hAnsi="Arial" w:cs="Arial"/>
          <w:sz w:val="24"/>
          <w:szCs w:val="24"/>
          <w:lang w:val="es-ES"/>
        </w:rPr>
        <w:t xml:space="preserve">ener 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en cuenta el plazo al vencimiento o el plazo remanente a las siguientes fechas de reprecio de los instrumentos de deuda, según se trate de títulos en tasa fija o en tasa flotante. </w:t>
      </w:r>
    </w:p>
    <w:p w14:paraId="5716DCDC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323D391" w14:textId="77777777" w:rsidR="000D03AE" w:rsidRPr="000C53B4" w:rsidRDefault="000D03AE" w:rsidP="000D03A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esa misma línea, esta Superintendencia considera necesario modificar</w:t>
      </w:r>
      <w:r>
        <w:rPr>
          <w:rFonts w:ascii="Arial" w:hAnsi="Arial" w:cs="Arial"/>
          <w:sz w:val="24"/>
          <w:szCs w:val="24"/>
        </w:rPr>
        <w:t xml:space="preserve"> la metodología de cálculo de la exposición crediticia en operaciones con instrumentos financieros derivados y productos estructurados con el objetivo </w:t>
      </w:r>
      <w:r w:rsidRPr="00E75F92">
        <w:rPr>
          <w:rFonts w:ascii="Arial" w:hAnsi="Arial" w:cs="Arial"/>
          <w:sz w:val="24"/>
          <w:szCs w:val="24"/>
          <w:lang w:val="es-ES"/>
        </w:rPr>
        <w:t xml:space="preserve">de promover una adecuada </w:t>
      </w:r>
      <w:r>
        <w:rPr>
          <w:rFonts w:ascii="Arial" w:hAnsi="Arial" w:cs="Arial"/>
          <w:sz w:val="24"/>
          <w:szCs w:val="24"/>
          <w:lang w:val="es-ES"/>
        </w:rPr>
        <w:t xml:space="preserve">medición y </w:t>
      </w:r>
      <w:r w:rsidRPr="00E75F92">
        <w:rPr>
          <w:rFonts w:ascii="Arial" w:hAnsi="Arial" w:cs="Arial"/>
          <w:sz w:val="24"/>
          <w:szCs w:val="24"/>
          <w:lang w:val="es-ES"/>
        </w:rPr>
        <w:t xml:space="preserve">gestión del riesgo de </w:t>
      </w:r>
      <w:r>
        <w:rPr>
          <w:rFonts w:ascii="Arial" w:hAnsi="Arial" w:cs="Arial"/>
          <w:sz w:val="24"/>
          <w:szCs w:val="24"/>
          <w:lang w:val="es-ES"/>
        </w:rPr>
        <w:t>crédito en este tipo de operaciones tomando en cuenta la aproximación estandarizada</w:t>
      </w:r>
      <w:r w:rsidRPr="00E75F92">
        <w:rPr>
          <w:rFonts w:ascii="Arial" w:hAnsi="Arial" w:cs="Arial"/>
          <w:sz w:val="24"/>
          <w:szCs w:val="24"/>
          <w:lang w:val="es-ES"/>
        </w:rPr>
        <w:t xml:space="preserve"> definid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E75F92">
        <w:rPr>
          <w:rFonts w:ascii="Arial" w:hAnsi="Arial" w:cs="Arial"/>
          <w:sz w:val="24"/>
          <w:szCs w:val="24"/>
          <w:lang w:val="es-ES"/>
        </w:rPr>
        <w:t xml:space="preserve"> por </w:t>
      </w:r>
      <w:r>
        <w:rPr>
          <w:rFonts w:ascii="Arial" w:hAnsi="Arial" w:cs="Arial"/>
          <w:sz w:val="24"/>
          <w:szCs w:val="24"/>
          <w:lang w:val="es-ES"/>
        </w:rPr>
        <w:t>el BCBS.</w:t>
      </w:r>
    </w:p>
    <w:p w14:paraId="30782DE1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0D84E02A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consideración de lo expuesto, y en ejercicio de las facultades previstas en el literal a) del numeral 3 del artículo 326 del Estatuto Orgánico del Sistema Financiero y en los numerales 4 y 5 del artículo 11.2.1.4.2. del Decreto 2555 de 2010, esta Superintendencia se permite impartir las siguientes instrucciones</w:t>
      </w:r>
      <w:r w:rsidRPr="007C6545">
        <w:rPr>
          <w:rFonts w:ascii="Arial" w:hAnsi="Arial" w:cs="Arial"/>
          <w:sz w:val="24"/>
          <w:szCs w:val="24"/>
        </w:rPr>
        <w:t xml:space="preserve">: </w:t>
      </w:r>
    </w:p>
    <w:p w14:paraId="3D98736A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1C908047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PRIMERA:</w:t>
      </w:r>
      <w:r>
        <w:rPr>
          <w:rFonts w:ascii="Arial" w:hAnsi="Arial" w:cs="Arial"/>
          <w:snapToGrid w:val="0"/>
          <w:sz w:val="24"/>
          <w:szCs w:val="24"/>
        </w:rPr>
        <w:t xml:space="preserve"> Modificar el literal b. del numeral 2.1.2.1.1. del Anexo 1 y el literal b. del numeral 1.1.2.1.1. del Anexo 3 del Capítulo XXI </w:t>
      </w:r>
      <w:r>
        <w:rPr>
          <w:rFonts w:ascii="Arial" w:hAnsi="Arial" w:cs="Arial"/>
          <w:sz w:val="24"/>
          <w:szCs w:val="24"/>
        </w:rPr>
        <w:t>«</w:t>
      </w:r>
      <w:r w:rsidRPr="006940F6">
        <w:rPr>
          <w:rFonts w:ascii="Arial" w:hAnsi="Arial" w:cs="Arial"/>
          <w:i/>
          <w:iCs/>
          <w:sz w:val="24"/>
          <w:szCs w:val="24"/>
        </w:rPr>
        <w:t>Reglas relativas</w:t>
      </w:r>
      <w:r>
        <w:rPr>
          <w:rFonts w:ascii="Arial" w:hAnsi="Arial" w:cs="Arial"/>
          <w:i/>
          <w:iCs/>
          <w:sz w:val="24"/>
          <w:szCs w:val="24"/>
        </w:rPr>
        <w:t xml:space="preserve"> al sistema de</w:t>
      </w:r>
      <w:r w:rsidRPr="006940F6">
        <w:rPr>
          <w:rFonts w:ascii="Arial" w:hAnsi="Arial" w:cs="Arial"/>
          <w:i/>
          <w:iCs/>
          <w:sz w:val="24"/>
          <w:szCs w:val="24"/>
        </w:rPr>
        <w:t xml:space="preserve"> administración de riesgo de mercado</w:t>
      </w:r>
      <w:r>
        <w:rPr>
          <w:rFonts w:ascii="Arial" w:hAnsi="Arial" w:cs="Arial"/>
          <w:sz w:val="24"/>
          <w:szCs w:val="24"/>
        </w:rPr>
        <w:t>»</w:t>
      </w:r>
      <w:r w:rsidRPr="006940F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de la Circular Básica Contable y Financiera (CBCF), referentes al</w:t>
      </w:r>
      <w:r>
        <w:rPr>
          <w:rFonts w:ascii="Arial" w:hAnsi="Arial" w:cs="Arial"/>
          <w:sz w:val="24"/>
          <w:szCs w:val="24"/>
          <w:lang w:val="es-ES"/>
        </w:rPr>
        <w:t xml:space="preserve"> cálculo de la duración de los instrumentos de renta fija pactados en tasa variable. </w:t>
      </w:r>
    </w:p>
    <w:p w14:paraId="6E95E44E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7646D3D" w14:textId="77777777" w:rsidR="000D03AE" w:rsidRPr="007345BA" w:rsidRDefault="000D03AE" w:rsidP="000D03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SEGUNDA: </w:t>
      </w:r>
      <w:r>
        <w:rPr>
          <w:rFonts w:ascii="Arial" w:hAnsi="Arial" w:cs="Arial"/>
          <w:snapToGrid w:val="0"/>
          <w:sz w:val="24"/>
          <w:szCs w:val="24"/>
        </w:rPr>
        <w:t xml:space="preserve">Modificar el numeral 1 del Anexo 3 del Capítulo XVIII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i/>
          <w:iCs/>
          <w:sz w:val="24"/>
          <w:szCs w:val="24"/>
          <w:lang w:val="es-ES"/>
        </w:rPr>
        <w:t>Instrumentos financieros derivados y productos estructurados</w:t>
      </w:r>
      <w:r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napToGrid w:val="0"/>
          <w:sz w:val="24"/>
          <w:szCs w:val="24"/>
        </w:rPr>
        <w:t xml:space="preserve">de la CBCF para ajustar </w:t>
      </w:r>
      <w:r>
        <w:rPr>
          <w:rFonts w:ascii="Arial" w:hAnsi="Arial" w:cs="Arial"/>
          <w:sz w:val="24"/>
          <w:szCs w:val="24"/>
        </w:rPr>
        <w:t>la metodología de cálculo de la exposición crediticia en operaciones de instrumentos financieros derivados y productos estructurados</w:t>
      </w:r>
      <w:r>
        <w:rPr>
          <w:rFonts w:ascii="Arial" w:hAnsi="Arial" w:cs="Arial"/>
          <w:snapToGrid w:val="0"/>
          <w:sz w:val="24"/>
          <w:szCs w:val="24"/>
        </w:rPr>
        <w:t xml:space="preserve">, de conformidad con </w:t>
      </w:r>
      <w:r>
        <w:rPr>
          <w:rFonts w:ascii="Arial" w:hAnsi="Arial" w:cs="Arial"/>
          <w:sz w:val="24"/>
          <w:szCs w:val="24"/>
        </w:rPr>
        <w:t xml:space="preserve">la aproximación estandarizada para el cálculo de la exposición ante el incumplimiento de acuerdo con lo establecido por el </w:t>
      </w:r>
      <w:r>
        <w:rPr>
          <w:rFonts w:ascii="Arial" w:hAnsi="Arial" w:cs="Arial"/>
          <w:sz w:val="24"/>
          <w:szCs w:val="24"/>
          <w:lang w:val="es-ES"/>
        </w:rPr>
        <w:t>BCBS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BF7C07" w14:textId="77777777" w:rsidR="000D03AE" w:rsidRDefault="000D03AE" w:rsidP="000D03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05DB3A" w14:textId="77777777" w:rsidR="000D03AE" w:rsidRPr="003415D1" w:rsidRDefault="000D03AE" w:rsidP="000D03A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TERCERA:</w:t>
      </w:r>
      <w:r w:rsidRPr="00F11D83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 Modificar el literal b. del numeral 2.1.2.1.1. del Anexo 6 y el literal b. del numeral 2.2.1.1 del Anexo 8 del Capítulo XXXI </w:t>
      </w:r>
      <w:r>
        <w:rPr>
          <w:rFonts w:ascii="Arial" w:hAnsi="Arial" w:cs="Arial"/>
          <w:sz w:val="24"/>
          <w:szCs w:val="24"/>
        </w:rPr>
        <w:t>«</w:t>
      </w:r>
      <w:r w:rsidRPr="007345BA">
        <w:rPr>
          <w:rFonts w:ascii="Arial" w:hAnsi="Arial" w:cs="Arial"/>
          <w:i/>
          <w:iCs/>
          <w:sz w:val="24"/>
          <w:szCs w:val="24"/>
        </w:rPr>
        <w:t>Sistema Integral de Administración de Riesgos (SIAR)</w:t>
      </w:r>
      <w:r>
        <w:rPr>
          <w:rFonts w:ascii="Arial" w:hAnsi="Arial" w:cs="Arial"/>
          <w:sz w:val="24"/>
          <w:szCs w:val="24"/>
        </w:rPr>
        <w:t>» de la CBCF</w:t>
      </w:r>
      <w:r>
        <w:rPr>
          <w:rFonts w:ascii="Arial" w:hAnsi="Arial" w:cs="Arial"/>
          <w:snapToGrid w:val="0"/>
          <w:sz w:val="24"/>
          <w:szCs w:val="24"/>
        </w:rPr>
        <w:t xml:space="preserve">, de conformidad con lo previsto en la instrucción primera de la presente Circular. </w:t>
      </w:r>
    </w:p>
    <w:p w14:paraId="36B8333C" w14:textId="77777777" w:rsidR="000D03AE" w:rsidRDefault="000D03AE" w:rsidP="000D03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9265AE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CUARTA: Régimen de transición. </w:t>
      </w:r>
      <w:r w:rsidRPr="00D32824">
        <w:rPr>
          <w:rFonts w:ascii="Arial" w:hAnsi="Arial" w:cs="Arial"/>
          <w:sz w:val="24"/>
          <w:szCs w:val="24"/>
        </w:rPr>
        <w:t xml:space="preserve">La instrucción </w:t>
      </w:r>
      <w:r>
        <w:rPr>
          <w:rFonts w:ascii="Arial" w:hAnsi="Arial" w:cs="Arial"/>
          <w:sz w:val="24"/>
          <w:szCs w:val="24"/>
        </w:rPr>
        <w:t>segunda</w:t>
      </w:r>
      <w:r w:rsidRPr="00D328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presente Circular </w:t>
      </w:r>
      <w:r w:rsidRPr="00D32824">
        <w:rPr>
          <w:rFonts w:ascii="Arial" w:hAnsi="Arial" w:cs="Arial"/>
          <w:sz w:val="24"/>
          <w:szCs w:val="24"/>
        </w:rPr>
        <w:t xml:space="preserve">empezará a regir </w:t>
      </w:r>
      <w:r>
        <w:rPr>
          <w:rFonts w:ascii="Arial" w:hAnsi="Arial" w:cs="Arial"/>
          <w:sz w:val="24"/>
          <w:szCs w:val="24"/>
        </w:rPr>
        <w:t>el 01 de abril de 2024</w:t>
      </w:r>
      <w:r w:rsidRPr="00D32824">
        <w:rPr>
          <w:rFonts w:ascii="Arial" w:hAnsi="Arial" w:cs="Arial"/>
          <w:sz w:val="24"/>
          <w:szCs w:val="24"/>
        </w:rPr>
        <w:t>.</w:t>
      </w:r>
    </w:p>
    <w:p w14:paraId="325398BB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4C171394" w14:textId="77777777" w:rsidR="000D03AE" w:rsidRPr="00C23329" w:rsidRDefault="000D03AE" w:rsidP="000D03AE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AC20CC">
        <w:rPr>
          <w:rFonts w:ascii="Arial" w:hAnsi="Arial" w:cs="Arial"/>
          <w:b/>
          <w:bCs/>
          <w:sz w:val="24"/>
          <w:szCs w:val="24"/>
        </w:rPr>
        <w:t>QUINTA:</w:t>
      </w:r>
      <w:r w:rsidRPr="007345BA">
        <w:rPr>
          <w:rFonts w:ascii="Arial" w:hAnsi="Arial" w:cs="Arial"/>
          <w:sz w:val="24"/>
          <w:szCs w:val="24"/>
        </w:rPr>
        <w:t xml:space="preserve"> </w:t>
      </w:r>
      <w:r w:rsidRPr="00F24AD5">
        <w:rPr>
          <w:rFonts w:ascii="Arial" w:hAnsi="Arial" w:cs="Arial"/>
          <w:b/>
          <w:bCs/>
          <w:sz w:val="24"/>
          <w:szCs w:val="24"/>
        </w:rPr>
        <w:t>Vigencia.</w:t>
      </w:r>
      <w:r>
        <w:rPr>
          <w:rFonts w:ascii="Arial" w:hAnsi="Arial" w:cs="Arial"/>
          <w:sz w:val="24"/>
          <w:szCs w:val="24"/>
        </w:rPr>
        <w:t xml:space="preserve"> </w:t>
      </w:r>
      <w:r w:rsidRPr="007345BA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 xml:space="preserve">demás </w:t>
      </w:r>
      <w:r w:rsidRPr="007345BA">
        <w:rPr>
          <w:rFonts w:ascii="Arial" w:hAnsi="Arial" w:cs="Arial"/>
          <w:sz w:val="24"/>
          <w:szCs w:val="24"/>
        </w:rPr>
        <w:t xml:space="preserve">instrucciones empezarán a regir a partir de la publicación de la presente Circular. </w:t>
      </w:r>
    </w:p>
    <w:p w14:paraId="2C56DFD8" w14:textId="77777777" w:rsidR="000D03AE" w:rsidRDefault="000D03AE" w:rsidP="000D03A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1BD63B76" w14:textId="77777777" w:rsidR="000D03AE" w:rsidRDefault="000D03AE" w:rsidP="000D03A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4B3D71E" w14:textId="77777777" w:rsidR="000D03AE" w:rsidRDefault="000D03AE" w:rsidP="000D03AE">
      <w:pPr>
        <w:adjustRightInd w:val="0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</w:rPr>
        <w:t xml:space="preserve">Se adjuntan </w:t>
      </w:r>
      <w:r>
        <w:rPr>
          <w:rFonts w:ascii="Arial" w:hAnsi="Arial" w:cs="Arial"/>
          <w:sz w:val="24"/>
          <w:szCs w:val="24"/>
        </w:rPr>
        <w:t>las páginas objeto de modificación.</w:t>
      </w:r>
      <w:r w:rsidRPr="007C6545">
        <w:rPr>
          <w:rFonts w:ascii="Arial" w:hAnsi="Arial" w:cs="Arial"/>
          <w:bCs/>
          <w:sz w:val="24"/>
          <w:szCs w:val="24"/>
          <w:lang w:val="es-CO"/>
        </w:rPr>
        <w:t xml:space="preserve"> </w:t>
      </w:r>
    </w:p>
    <w:p w14:paraId="025044B0" w14:textId="77777777" w:rsidR="000D03AE" w:rsidRPr="007C6545" w:rsidRDefault="000D03AE" w:rsidP="000D03AE">
      <w:pPr>
        <w:adjustRightInd w:val="0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5C67BC8C" w14:textId="77777777" w:rsidR="000D03AE" w:rsidRPr="007C6545" w:rsidRDefault="000D03AE" w:rsidP="000D03AE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12B931F0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65BD7DF5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Cordialmente,</w:t>
      </w:r>
    </w:p>
    <w:p w14:paraId="3195FB91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61E0C22A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0685B2F5" w14:textId="77777777" w:rsidR="000D03AE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522F117B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72BE8987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</w:rPr>
      </w:pPr>
    </w:p>
    <w:p w14:paraId="12AEE4D3" w14:textId="77777777" w:rsidR="000D03AE" w:rsidRPr="007C6545" w:rsidRDefault="000D03AE" w:rsidP="000D03AE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C6545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5A8D31F7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 xml:space="preserve">Superintendente Financiero de Colombia </w:t>
      </w:r>
    </w:p>
    <w:p w14:paraId="75C2BD39" w14:textId="77777777" w:rsidR="000D03AE" w:rsidRPr="007C6545" w:rsidRDefault="000D03AE" w:rsidP="000D03AE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>50000</w:t>
      </w:r>
    </w:p>
    <w:p w14:paraId="4AE23482" w14:textId="77777777" w:rsidR="000D03AE" w:rsidRDefault="000D03AE" w:rsidP="000D03AE">
      <w:pPr>
        <w:jc w:val="center"/>
        <w:rPr>
          <w:rFonts w:cs="Arial"/>
          <w:b/>
          <w:bCs/>
          <w:sz w:val="22"/>
          <w:szCs w:val="22"/>
        </w:rPr>
      </w:pPr>
    </w:p>
    <w:p w14:paraId="15F2AA28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DD342D">
      <w:headerReference w:type="default" r:id="rId13"/>
      <w:headerReference w:type="first" r:id="rId14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2D15" w14:textId="77777777" w:rsidR="00AC39E4" w:rsidRDefault="00AC39E4">
      <w:r>
        <w:separator/>
      </w:r>
    </w:p>
  </w:endnote>
  <w:endnote w:type="continuationSeparator" w:id="0">
    <w:p w14:paraId="71C2E564" w14:textId="77777777" w:rsidR="00AC39E4" w:rsidRDefault="00AC39E4">
      <w:r>
        <w:continuationSeparator/>
      </w:r>
    </w:p>
  </w:endnote>
  <w:endnote w:type="continuationNotice" w:id="1">
    <w:p w14:paraId="2C5765BE" w14:textId="77777777" w:rsidR="00AC39E4" w:rsidRDefault="00AC3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586F" w14:textId="77777777" w:rsidR="00AC39E4" w:rsidRDefault="00AC39E4">
      <w:r>
        <w:separator/>
      </w:r>
    </w:p>
  </w:footnote>
  <w:footnote w:type="continuationSeparator" w:id="0">
    <w:p w14:paraId="49B2822B" w14:textId="77777777" w:rsidR="00AC39E4" w:rsidRDefault="00AC39E4">
      <w:r>
        <w:continuationSeparator/>
      </w:r>
    </w:p>
  </w:footnote>
  <w:footnote w:type="continuationNotice" w:id="1">
    <w:p w14:paraId="7111CC4F" w14:textId="77777777" w:rsidR="00AC39E4" w:rsidRDefault="00AC3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46"/>
      <w:gridCol w:w="4399"/>
      <w:gridCol w:w="2052"/>
    </w:tblGrid>
    <w:tr w:rsidR="00523570" w14:paraId="18CE93D6" w14:textId="77777777" w:rsidTr="007E1D4D">
      <w:trPr>
        <w:cantSplit/>
        <w:trHeight w:val="699"/>
      </w:trPr>
      <w:tc>
        <w:tcPr>
          <w:tcW w:w="20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76CEC2A" w14:textId="77777777" w:rsidR="00523570" w:rsidRDefault="00523570" w:rsidP="007E1D4D">
          <w:pPr>
            <w:rPr>
              <w:rFonts w:cs="Arial"/>
              <w:sz w:val="2"/>
              <w:szCs w:val="2"/>
              <w:lang w:val="es-CO"/>
            </w:rPr>
          </w:pPr>
        </w:p>
        <w:p w14:paraId="78ACAB72" w14:textId="77777777" w:rsidR="00523570" w:rsidRDefault="00523570" w:rsidP="007E1D4D">
          <w:pPr>
            <w:rPr>
              <w:rFonts w:cs="Arial"/>
              <w:sz w:val="2"/>
              <w:szCs w:val="2"/>
              <w:lang w:val="es-CO"/>
            </w:rPr>
          </w:pPr>
        </w:p>
        <w:p w14:paraId="133A2A5B" w14:textId="77777777" w:rsidR="00523570" w:rsidRDefault="00523570" w:rsidP="007E1D4D">
          <w:pPr>
            <w:rPr>
              <w:rFonts w:cs="Arial"/>
              <w:sz w:val="2"/>
              <w:szCs w:val="2"/>
              <w:lang w:val="es-CO"/>
            </w:rPr>
          </w:pPr>
        </w:p>
        <w:p w14:paraId="397794F0" w14:textId="77777777" w:rsidR="00523570" w:rsidRDefault="00523570" w:rsidP="007E1D4D">
          <w:pPr>
            <w:rPr>
              <w:rFonts w:cs="Arial"/>
              <w:sz w:val="2"/>
              <w:szCs w:val="2"/>
              <w:lang w:val="es-CO"/>
            </w:rPr>
          </w:pPr>
        </w:p>
        <w:p w14:paraId="3B9997A6" w14:textId="34A03771" w:rsidR="00523570" w:rsidRDefault="00523570" w:rsidP="007E1D4D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4B43E9CB" wp14:editId="3DB711BF">
                <wp:extent cx="1337310" cy="49149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FFFFFF"/>
          <w:noWrap/>
          <w:vAlign w:val="center"/>
          <w:hideMark/>
        </w:tcPr>
        <w:p w14:paraId="0E5B9AB1" w14:textId="77777777" w:rsidR="00523570" w:rsidRDefault="00523570" w:rsidP="00523570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FFFFFF"/>
          <w:noWrap/>
          <w:vAlign w:val="center"/>
          <w:hideMark/>
        </w:tcPr>
        <w:p w14:paraId="6B4A348A" w14:textId="77777777" w:rsidR="00523570" w:rsidRDefault="00523570" w:rsidP="00523570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23570" w14:paraId="0B77847F" w14:textId="77777777" w:rsidTr="00523570">
      <w:trPr>
        <w:cantSplit/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A3C67" w14:textId="77777777" w:rsidR="00523570" w:rsidRDefault="00523570" w:rsidP="00523570">
          <w:pPr>
            <w:rPr>
              <w:rFonts w:cs="Arial"/>
              <w:sz w:val="2"/>
              <w:szCs w:val="2"/>
              <w:lang w:val="es-CO"/>
            </w:rPr>
          </w:pPr>
        </w:p>
      </w:tc>
      <w:tc>
        <w:tcPr>
          <w:tcW w:w="4399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C1615" w14:textId="77777777" w:rsidR="00523570" w:rsidRDefault="00523570" w:rsidP="0052357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 NORMA</w:t>
          </w:r>
        </w:p>
      </w:tc>
      <w:tc>
        <w:tcPr>
          <w:tcW w:w="2052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  <w:hideMark/>
        </w:tcPr>
        <w:p w14:paraId="09A7F53B" w14:textId="77777777" w:rsidR="00523570" w:rsidRDefault="00523570" w:rsidP="00523570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Versión 5</w:t>
          </w:r>
        </w:p>
      </w:tc>
    </w:tr>
  </w:tbl>
  <w:p w14:paraId="0A09DA14" w14:textId="77777777" w:rsidR="00523570" w:rsidRDefault="005235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E57C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C2FCB7E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509E8DF1" w14:textId="49814D5C" w:rsidR="00DD342D" w:rsidRDefault="00DD342D" w:rsidP="00DD342D">
    <w:pPr>
      <w:pStyle w:val="Piedepgina"/>
      <w:rPr>
        <w:rFonts w:ascii="Arial" w:eastAsia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A74FE2"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856DD9"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A634DA">
      <w:rPr>
        <w:rFonts w:ascii="Arial" w:eastAsia="Arial" w:hAnsi="Arial" w:cs="Arial"/>
        <w:b/>
        <w:bCs/>
        <w:sz w:val="24"/>
        <w:szCs w:val="24"/>
      </w:rPr>
      <w:t>2</w:t>
    </w:r>
  </w:p>
  <w:p w14:paraId="3390653E" w14:textId="77777777" w:rsidR="004863C3" w:rsidRPr="00966903" w:rsidRDefault="004863C3" w:rsidP="00DD342D">
    <w:pPr>
      <w:pStyle w:val="Piedepgina"/>
      <w:rPr>
        <w:rFonts w:ascii="Arial" w:hAnsi="Arial" w:cs="Arial"/>
        <w:b/>
        <w:bCs/>
        <w:sz w:val="24"/>
        <w:szCs w:val="24"/>
      </w:rPr>
    </w:pPr>
  </w:p>
  <w:p w14:paraId="6DB8496A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43BD" w14:textId="77777777" w:rsidR="00DD342D" w:rsidRPr="00964900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0" w:name="_Hlk96325164"/>
    <w:bookmarkStart w:id="1" w:name="_Hlk96325165"/>
    <w:bookmarkStart w:id="2" w:name="_Hlk96325166"/>
    <w:bookmarkStart w:id="3" w:name="_Hlk96325167"/>
    <w:bookmarkStart w:id="4" w:name="_Hlk96325168"/>
    <w:bookmarkStart w:id="5" w:name="_Hlk96325169"/>
    <w:bookmarkStart w:id="6" w:name="_Hlk96325170"/>
    <w:bookmarkStart w:id="7" w:name="_Hlk96325171"/>
    <w:bookmarkStart w:id="8" w:name="_Hlk96325172"/>
    <w:bookmarkStart w:id="9" w:name="_Hlk96325173"/>
    <w:bookmarkStart w:id="10" w:name="_Hlk96325174"/>
    <w:bookmarkStart w:id="11" w:name="_Hlk96325175"/>
    <w:bookmarkStart w:id="12" w:name="_Hlk96325176"/>
    <w:bookmarkStart w:id="13" w:name="_Hlk96325177"/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4F81"/>
    <w:rsid w:val="000072BF"/>
    <w:rsid w:val="00015D8F"/>
    <w:rsid w:val="000274BB"/>
    <w:rsid w:val="0003028C"/>
    <w:rsid w:val="0003126D"/>
    <w:rsid w:val="00037541"/>
    <w:rsid w:val="00040AC8"/>
    <w:rsid w:val="00043B3D"/>
    <w:rsid w:val="00047316"/>
    <w:rsid w:val="00052E15"/>
    <w:rsid w:val="00064C28"/>
    <w:rsid w:val="0007307A"/>
    <w:rsid w:val="000779CA"/>
    <w:rsid w:val="00082A52"/>
    <w:rsid w:val="00090706"/>
    <w:rsid w:val="000B0952"/>
    <w:rsid w:val="000C0E1B"/>
    <w:rsid w:val="000C6F6C"/>
    <w:rsid w:val="000D03AE"/>
    <w:rsid w:val="000D103C"/>
    <w:rsid w:val="000D147B"/>
    <w:rsid w:val="000D1553"/>
    <w:rsid w:val="000D404A"/>
    <w:rsid w:val="000D415E"/>
    <w:rsid w:val="000D5D21"/>
    <w:rsid w:val="000E0E71"/>
    <w:rsid w:val="000E0F73"/>
    <w:rsid w:val="000E5598"/>
    <w:rsid w:val="000F6CB5"/>
    <w:rsid w:val="00112081"/>
    <w:rsid w:val="00120DA4"/>
    <w:rsid w:val="00122219"/>
    <w:rsid w:val="001258E1"/>
    <w:rsid w:val="00154175"/>
    <w:rsid w:val="001543F0"/>
    <w:rsid w:val="00163AA6"/>
    <w:rsid w:val="00164D9E"/>
    <w:rsid w:val="001667AB"/>
    <w:rsid w:val="00170891"/>
    <w:rsid w:val="00172C51"/>
    <w:rsid w:val="001768B0"/>
    <w:rsid w:val="0018034A"/>
    <w:rsid w:val="00185DBD"/>
    <w:rsid w:val="00190EE7"/>
    <w:rsid w:val="001922C8"/>
    <w:rsid w:val="001A0841"/>
    <w:rsid w:val="001A40D8"/>
    <w:rsid w:val="001A6B7D"/>
    <w:rsid w:val="001B4955"/>
    <w:rsid w:val="001B56F2"/>
    <w:rsid w:val="001C351C"/>
    <w:rsid w:val="001E1D76"/>
    <w:rsid w:val="002113D4"/>
    <w:rsid w:val="00213F6A"/>
    <w:rsid w:val="0022000B"/>
    <w:rsid w:val="00221DA6"/>
    <w:rsid w:val="002220D1"/>
    <w:rsid w:val="00226043"/>
    <w:rsid w:val="00232083"/>
    <w:rsid w:val="0024230D"/>
    <w:rsid w:val="00243163"/>
    <w:rsid w:val="00246AC0"/>
    <w:rsid w:val="00264C80"/>
    <w:rsid w:val="00272FCB"/>
    <w:rsid w:val="002741F9"/>
    <w:rsid w:val="00280E86"/>
    <w:rsid w:val="002819B7"/>
    <w:rsid w:val="002A1640"/>
    <w:rsid w:val="002B1CEB"/>
    <w:rsid w:val="002B6E99"/>
    <w:rsid w:val="002B7EDB"/>
    <w:rsid w:val="002C13C6"/>
    <w:rsid w:val="002C1A09"/>
    <w:rsid w:val="002F2EFE"/>
    <w:rsid w:val="002F4A2A"/>
    <w:rsid w:val="002F5D70"/>
    <w:rsid w:val="003047A9"/>
    <w:rsid w:val="00316E05"/>
    <w:rsid w:val="00322BDA"/>
    <w:rsid w:val="0034029C"/>
    <w:rsid w:val="003448DA"/>
    <w:rsid w:val="0035228B"/>
    <w:rsid w:val="003528AB"/>
    <w:rsid w:val="00353314"/>
    <w:rsid w:val="00357C7C"/>
    <w:rsid w:val="00366951"/>
    <w:rsid w:val="003738F8"/>
    <w:rsid w:val="0037411F"/>
    <w:rsid w:val="00374F5A"/>
    <w:rsid w:val="003760B7"/>
    <w:rsid w:val="0037771D"/>
    <w:rsid w:val="003811D8"/>
    <w:rsid w:val="00382C29"/>
    <w:rsid w:val="003918C3"/>
    <w:rsid w:val="003C4357"/>
    <w:rsid w:val="003E0C32"/>
    <w:rsid w:val="003E3CC3"/>
    <w:rsid w:val="003F7107"/>
    <w:rsid w:val="003F7BBD"/>
    <w:rsid w:val="00401469"/>
    <w:rsid w:val="00404235"/>
    <w:rsid w:val="004043B0"/>
    <w:rsid w:val="0040661C"/>
    <w:rsid w:val="00410CAB"/>
    <w:rsid w:val="00413FD4"/>
    <w:rsid w:val="004209C6"/>
    <w:rsid w:val="00420B70"/>
    <w:rsid w:val="00431FCF"/>
    <w:rsid w:val="00432D91"/>
    <w:rsid w:val="0044078B"/>
    <w:rsid w:val="0044428D"/>
    <w:rsid w:val="0044451F"/>
    <w:rsid w:val="00451E47"/>
    <w:rsid w:val="004863C3"/>
    <w:rsid w:val="00497348"/>
    <w:rsid w:val="004A060D"/>
    <w:rsid w:val="004A1225"/>
    <w:rsid w:val="004A6CC9"/>
    <w:rsid w:val="004B4ED0"/>
    <w:rsid w:val="004C025A"/>
    <w:rsid w:val="004C18D1"/>
    <w:rsid w:val="004C2087"/>
    <w:rsid w:val="004C30B7"/>
    <w:rsid w:val="004D1968"/>
    <w:rsid w:val="004D5BBF"/>
    <w:rsid w:val="004D662A"/>
    <w:rsid w:val="004D6EEB"/>
    <w:rsid w:val="004E25A9"/>
    <w:rsid w:val="004F111A"/>
    <w:rsid w:val="004F4D34"/>
    <w:rsid w:val="005045CA"/>
    <w:rsid w:val="00513233"/>
    <w:rsid w:val="00523570"/>
    <w:rsid w:val="00523E88"/>
    <w:rsid w:val="00535897"/>
    <w:rsid w:val="0055511B"/>
    <w:rsid w:val="0055658A"/>
    <w:rsid w:val="00564B20"/>
    <w:rsid w:val="00576187"/>
    <w:rsid w:val="00581497"/>
    <w:rsid w:val="005900FA"/>
    <w:rsid w:val="005A4AD2"/>
    <w:rsid w:val="005C28B0"/>
    <w:rsid w:val="005D51F0"/>
    <w:rsid w:val="005D5998"/>
    <w:rsid w:val="00601D35"/>
    <w:rsid w:val="00602636"/>
    <w:rsid w:val="0060577D"/>
    <w:rsid w:val="0060715E"/>
    <w:rsid w:val="00615E0D"/>
    <w:rsid w:val="00621A24"/>
    <w:rsid w:val="006241C2"/>
    <w:rsid w:val="00626E47"/>
    <w:rsid w:val="00626F3D"/>
    <w:rsid w:val="00640C0B"/>
    <w:rsid w:val="00641728"/>
    <w:rsid w:val="0064423D"/>
    <w:rsid w:val="00647FFB"/>
    <w:rsid w:val="00655C9D"/>
    <w:rsid w:val="00664B83"/>
    <w:rsid w:val="0068155B"/>
    <w:rsid w:val="00686B0D"/>
    <w:rsid w:val="006926B0"/>
    <w:rsid w:val="0069429D"/>
    <w:rsid w:val="006A19F1"/>
    <w:rsid w:val="006B29A5"/>
    <w:rsid w:val="006B56BB"/>
    <w:rsid w:val="006C2208"/>
    <w:rsid w:val="006C2738"/>
    <w:rsid w:val="006D1C80"/>
    <w:rsid w:val="006D2615"/>
    <w:rsid w:val="006E5094"/>
    <w:rsid w:val="006F03DB"/>
    <w:rsid w:val="006F70A6"/>
    <w:rsid w:val="006F7746"/>
    <w:rsid w:val="0070300A"/>
    <w:rsid w:val="0071311F"/>
    <w:rsid w:val="007228FB"/>
    <w:rsid w:val="0072403D"/>
    <w:rsid w:val="00724AF9"/>
    <w:rsid w:val="007371AB"/>
    <w:rsid w:val="0073755C"/>
    <w:rsid w:val="0075215C"/>
    <w:rsid w:val="00770AF8"/>
    <w:rsid w:val="00771DA4"/>
    <w:rsid w:val="0079568A"/>
    <w:rsid w:val="007A00B7"/>
    <w:rsid w:val="007A55C7"/>
    <w:rsid w:val="007B14FB"/>
    <w:rsid w:val="007B598F"/>
    <w:rsid w:val="007C0F8A"/>
    <w:rsid w:val="007D58E9"/>
    <w:rsid w:val="007E1D4D"/>
    <w:rsid w:val="007E1F27"/>
    <w:rsid w:val="007E1F79"/>
    <w:rsid w:val="007E4209"/>
    <w:rsid w:val="008022CF"/>
    <w:rsid w:val="008053DE"/>
    <w:rsid w:val="008078CF"/>
    <w:rsid w:val="00814CD6"/>
    <w:rsid w:val="008203D2"/>
    <w:rsid w:val="00820934"/>
    <w:rsid w:val="00820D2E"/>
    <w:rsid w:val="00822366"/>
    <w:rsid w:val="00824B7C"/>
    <w:rsid w:val="00827567"/>
    <w:rsid w:val="0083379A"/>
    <w:rsid w:val="00836A72"/>
    <w:rsid w:val="0084010C"/>
    <w:rsid w:val="00856DD9"/>
    <w:rsid w:val="00856EA1"/>
    <w:rsid w:val="008767D2"/>
    <w:rsid w:val="00882E25"/>
    <w:rsid w:val="008833E1"/>
    <w:rsid w:val="00887D81"/>
    <w:rsid w:val="00896FCA"/>
    <w:rsid w:val="008A187F"/>
    <w:rsid w:val="008A1B19"/>
    <w:rsid w:val="008A5C8D"/>
    <w:rsid w:val="008B136F"/>
    <w:rsid w:val="008B54F8"/>
    <w:rsid w:val="008B697F"/>
    <w:rsid w:val="008C78C6"/>
    <w:rsid w:val="008D1DF6"/>
    <w:rsid w:val="008D2B55"/>
    <w:rsid w:val="008E002C"/>
    <w:rsid w:val="008E4990"/>
    <w:rsid w:val="00903F36"/>
    <w:rsid w:val="00904A52"/>
    <w:rsid w:val="00911A2C"/>
    <w:rsid w:val="00917203"/>
    <w:rsid w:val="00930F7D"/>
    <w:rsid w:val="00937614"/>
    <w:rsid w:val="00952CE2"/>
    <w:rsid w:val="00953666"/>
    <w:rsid w:val="0095532C"/>
    <w:rsid w:val="00964900"/>
    <w:rsid w:val="00966903"/>
    <w:rsid w:val="00972BE1"/>
    <w:rsid w:val="00982798"/>
    <w:rsid w:val="00985898"/>
    <w:rsid w:val="00986B1C"/>
    <w:rsid w:val="0099789B"/>
    <w:rsid w:val="00997CB7"/>
    <w:rsid w:val="009A06CD"/>
    <w:rsid w:val="009A286B"/>
    <w:rsid w:val="009A55F6"/>
    <w:rsid w:val="009B5450"/>
    <w:rsid w:val="009E670C"/>
    <w:rsid w:val="00A01C5F"/>
    <w:rsid w:val="00A0395D"/>
    <w:rsid w:val="00A04BFD"/>
    <w:rsid w:val="00A164B8"/>
    <w:rsid w:val="00A24B61"/>
    <w:rsid w:val="00A3428F"/>
    <w:rsid w:val="00A35025"/>
    <w:rsid w:val="00A45A05"/>
    <w:rsid w:val="00A56544"/>
    <w:rsid w:val="00A57330"/>
    <w:rsid w:val="00A61CAF"/>
    <w:rsid w:val="00A62EA1"/>
    <w:rsid w:val="00A6318E"/>
    <w:rsid w:val="00A634DA"/>
    <w:rsid w:val="00A73B0F"/>
    <w:rsid w:val="00A74FE2"/>
    <w:rsid w:val="00AA2258"/>
    <w:rsid w:val="00AB3977"/>
    <w:rsid w:val="00AB6934"/>
    <w:rsid w:val="00AC0FDE"/>
    <w:rsid w:val="00AC144D"/>
    <w:rsid w:val="00AC3117"/>
    <w:rsid w:val="00AC39E4"/>
    <w:rsid w:val="00AD070C"/>
    <w:rsid w:val="00AD7FAE"/>
    <w:rsid w:val="00AE3CB8"/>
    <w:rsid w:val="00AF5A47"/>
    <w:rsid w:val="00AF6999"/>
    <w:rsid w:val="00B05C8F"/>
    <w:rsid w:val="00B14614"/>
    <w:rsid w:val="00B15FA1"/>
    <w:rsid w:val="00B27E55"/>
    <w:rsid w:val="00B34B19"/>
    <w:rsid w:val="00B43F5A"/>
    <w:rsid w:val="00B453A2"/>
    <w:rsid w:val="00B458E3"/>
    <w:rsid w:val="00B45959"/>
    <w:rsid w:val="00B51F39"/>
    <w:rsid w:val="00B52B52"/>
    <w:rsid w:val="00B556B8"/>
    <w:rsid w:val="00B56AE5"/>
    <w:rsid w:val="00B6188D"/>
    <w:rsid w:val="00B64C29"/>
    <w:rsid w:val="00B6670D"/>
    <w:rsid w:val="00B70094"/>
    <w:rsid w:val="00B778E3"/>
    <w:rsid w:val="00B8633F"/>
    <w:rsid w:val="00B8731C"/>
    <w:rsid w:val="00B95CFA"/>
    <w:rsid w:val="00BA5C18"/>
    <w:rsid w:val="00BB3603"/>
    <w:rsid w:val="00BB37DA"/>
    <w:rsid w:val="00BC084D"/>
    <w:rsid w:val="00BC13D7"/>
    <w:rsid w:val="00BC16E2"/>
    <w:rsid w:val="00BD2FF4"/>
    <w:rsid w:val="00BE0327"/>
    <w:rsid w:val="00C175CA"/>
    <w:rsid w:val="00C32166"/>
    <w:rsid w:val="00C323A3"/>
    <w:rsid w:val="00C340E1"/>
    <w:rsid w:val="00C61C38"/>
    <w:rsid w:val="00C77B29"/>
    <w:rsid w:val="00C8742D"/>
    <w:rsid w:val="00CB04C9"/>
    <w:rsid w:val="00CB72E9"/>
    <w:rsid w:val="00CB73B9"/>
    <w:rsid w:val="00CD33D4"/>
    <w:rsid w:val="00CD4F27"/>
    <w:rsid w:val="00CE6C34"/>
    <w:rsid w:val="00CE71A5"/>
    <w:rsid w:val="00D03318"/>
    <w:rsid w:val="00D071C4"/>
    <w:rsid w:val="00D15755"/>
    <w:rsid w:val="00D349E3"/>
    <w:rsid w:val="00D422A0"/>
    <w:rsid w:val="00D42D4C"/>
    <w:rsid w:val="00D45D9F"/>
    <w:rsid w:val="00D52AB7"/>
    <w:rsid w:val="00D62C6C"/>
    <w:rsid w:val="00D6608C"/>
    <w:rsid w:val="00D82E70"/>
    <w:rsid w:val="00D94522"/>
    <w:rsid w:val="00DA229E"/>
    <w:rsid w:val="00DB22AF"/>
    <w:rsid w:val="00DD07E7"/>
    <w:rsid w:val="00DD0835"/>
    <w:rsid w:val="00DD342D"/>
    <w:rsid w:val="00DE0F21"/>
    <w:rsid w:val="00DE2DCD"/>
    <w:rsid w:val="00DF3624"/>
    <w:rsid w:val="00E005E3"/>
    <w:rsid w:val="00E01E30"/>
    <w:rsid w:val="00E1107A"/>
    <w:rsid w:val="00E15AB9"/>
    <w:rsid w:val="00E17099"/>
    <w:rsid w:val="00E36297"/>
    <w:rsid w:val="00E410F4"/>
    <w:rsid w:val="00E416CF"/>
    <w:rsid w:val="00E435E8"/>
    <w:rsid w:val="00E47330"/>
    <w:rsid w:val="00E47C9B"/>
    <w:rsid w:val="00E524BC"/>
    <w:rsid w:val="00E530A0"/>
    <w:rsid w:val="00E57156"/>
    <w:rsid w:val="00E646A3"/>
    <w:rsid w:val="00E66DC8"/>
    <w:rsid w:val="00E66F12"/>
    <w:rsid w:val="00E77E01"/>
    <w:rsid w:val="00E9275E"/>
    <w:rsid w:val="00E9386A"/>
    <w:rsid w:val="00E93C1D"/>
    <w:rsid w:val="00E94E91"/>
    <w:rsid w:val="00E96D81"/>
    <w:rsid w:val="00E979D9"/>
    <w:rsid w:val="00EA1049"/>
    <w:rsid w:val="00EA5A40"/>
    <w:rsid w:val="00EB26B9"/>
    <w:rsid w:val="00EC3A44"/>
    <w:rsid w:val="00EC6395"/>
    <w:rsid w:val="00ED37AC"/>
    <w:rsid w:val="00ED6C79"/>
    <w:rsid w:val="00ED7487"/>
    <w:rsid w:val="00EE3537"/>
    <w:rsid w:val="00EF4491"/>
    <w:rsid w:val="00F15872"/>
    <w:rsid w:val="00F21323"/>
    <w:rsid w:val="00F2568C"/>
    <w:rsid w:val="00F27138"/>
    <w:rsid w:val="00F30206"/>
    <w:rsid w:val="00F32DEC"/>
    <w:rsid w:val="00F43027"/>
    <w:rsid w:val="00F5042A"/>
    <w:rsid w:val="00F50A7F"/>
    <w:rsid w:val="00F53F93"/>
    <w:rsid w:val="00F6044F"/>
    <w:rsid w:val="00F70A31"/>
    <w:rsid w:val="00F71A38"/>
    <w:rsid w:val="00F74FEB"/>
    <w:rsid w:val="00F812F4"/>
    <w:rsid w:val="00F822C8"/>
    <w:rsid w:val="00F8251F"/>
    <w:rsid w:val="00F83BDD"/>
    <w:rsid w:val="00F9082E"/>
    <w:rsid w:val="00FA12FD"/>
    <w:rsid w:val="00FA60E1"/>
    <w:rsid w:val="00FB514F"/>
    <w:rsid w:val="00FB77F8"/>
    <w:rsid w:val="00FC3F04"/>
    <w:rsid w:val="00FD0436"/>
    <w:rsid w:val="00FD367D"/>
    <w:rsid w:val="00FE2B60"/>
    <w:rsid w:val="00FF2E18"/>
    <w:rsid w:val="00FF600E"/>
    <w:rsid w:val="1D2ACC47"/>
    <w:rsid w:val="56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BCF898"/>
  <w15:chartTrackingRefBased/>
  <w15:docId w15:val="{13940E37-E68B-4429-BA6F-2C782DA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right="51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paragraph" w:styleId="Revisin">
    <w:name w:val="Revision"/>
    <w:hidden/>
    <w:uiPriority w:val="99"/>
    <w:semiHidden/>
    <w:rsid w:val="004C025A"/>
    <w:rPr>
      <w:lang w:val="es-ES_tradnl" w:eastAsia="es-ES"/>
    </w:rPr>
  </w:style>
  <w:style w:type="character" w:styleId="Refdecomentario">
    <w:name w:val="annotation reference"/>
    <w:basedOn w:val="Fuentedeprrafopredeter"/>
    <w:rsid w:val="0035228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228B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5228B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35228B"/>
    <w:rPr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23570"/>
    <w:rPr>
      <w:rFonts w:ascii="Arial" w:hAnsi="Arial"/>
      <w:b/>
      <w:sz w:val="18"/>
    </w:rPr>
  </w:style>
  <w:style w:type="character" w:customStyle="1" w:styleId="TextoindependienteCar">
    <w:name w:val="Texto independiente Car"/>
    <w:link w:val="Textoindependiente"/>
    <w:rsid w:val="000D03AE"/>
    <w:rPr>
      <w:rFonts w:ascii="Arial" w:hAnsi="Arial" w:cs="Arial"/>
      <w:spacing w:val="2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B2B5BF4D9346AE52374D4516EFA7" ma:contentTypeVersion="2" ma:contentTypeDescription="Create a new document." ma:contentTypeScope="" ma:versionID="8bdaf3981226a98b7c5a17fef5b1631b">
  <xsd:schema xmlns:xsd="http://www.w3.org/2001/XMLSchema" xmlns:xs="http://www.w3.org/2001/XMLSchema" xmlns:p="http://schemas.microsoft.com/office/2006/metadata/properties" xmlns:ns2="d95b0970-5acb-4d2d-9ce8-52a336339375" targetNamespace="http://schemas.microsoft.com/office/2006/metadata/properties" ma:root="true" ma:fieldsID="ddf581e4eed833ad21a415278c625384" ns2:_="">
    <xsd:import namespace="d95b0970-5acb-4d2d-9ce8-52a336339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0970-5acb-4d2d-9ce8-52a33633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83AC6-3AF3-49F5-B453-CBD0EA86A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b0970-5acb-4d2d-9ce8-52a336339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3847</Characters>
  <Application>Microsoft Office Word</Application>
  <DocSecurity>0</DocSecurity>
  <Lines>32</Lines>
  <Paragraphs>9</Paragraphs>
  <ScaleCrop>false</ScaleCrop>
  <Company>superfinanciera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Oscar Andres Alvarez Torres</cp:lastModifiedBy>
  <cp:revision>2</cp:revision>
  <cp:lastPrinted>2016-09-26T18:13:00Z</cp:lastPrinted>
  <dcterms:created xsi:type="dcterms:W3CDTF">2023-03-22T21:54:00Z</dcterms:created>
  <dcterms:modified xsi:type="dcterms:W3CDTF">2023-03-22T21:54:00Z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0x01010005A3B2B5BF4D9346AE52374D4516EFA7</vt:lpwstr>
  </property>
</Properties>
</file>