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3B1723A" w14:textId="12D85506" w:rsidR="003A0ACE" w:rsidRDefault="00A52E1F" w:rsidP="00DF13AA">
      <w:pPr>
        <w:jc w:val="center"/>
        <w:rPr>
          <w:b/>
          <w:sz w:val="28"/>
        </w:rPr>
      </w:pPr>
      <w:r>
        <w:rPr>
          <w:b/>
          <w:sz w:val="28"/>
        </w:rPr>
        <w:t xml:space="preserve">ANEXO - </w:t>
      </w:r>
      <w:r w:rsidR="00DF13AA" w:rsidRPr="00000691">
        <w:rPr>
          <w:b/>
          <w:sz w:val="28"/>
        </w:rPr>
        <w:t>NOTA TÉCNICA</w:t>
      </w:r>
      <w:r w:rsidR="00C041C3">
        <w:rPr>
          <w:b/>
          <w:sz w:val="28"/>
        </w:rPr>
        <w:t xml:space="preserve"> </w:t>
      </w:r>
      <w:r w:rsidR="0019431D">
        <w:rPr>
          <w:b/>
          <w:sz w:val="28"/>
        </w:rPr>
        <w:t>SOAT</w:t>
      </w:r>
    </w:p>
    <w:p w14:paraId="13CBB80B" w14:textId="22116C94" w:rsidR="00BC441F" w:rsidRPr="00465156" w:rsidRDefault="00C90A49" w:rsidP="00A52E1F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De acuerdo con el numeral 5 del artículo 193 del Estatuto Orgánico del Sistema Financiero</w:t>
      </w:r>
      <w:r w:rsidR="00C041C3">
        <w:rPr>
          <w:rFonts w:eastAsiaTheme="minorEastAsia"/>
          <w:sz w:val="24"/>
        </w:rPr>
        <w:t xml:space="preserve"> (EOSF)</w:t>
      </w:r>
      <w:r w:rsidRPr="00465156">
        <w:rPr>
          <w:rFonts w:eastAsiaTheme="minorEastAsia"/>
          <w:sz w:val="24"/>
        </w:rPr>
        <w:t xml:space="preserve">, </w:t>
      </w:r>
      <w:r w:rsidR="003958E2" w:rsidRPr="00465156">
        <w:rPr>
          <w:rFonts w:eastAsiaTheme="minorEastAsia"/>
          <w:sz w:val="24"/>
        </w:rPr>
        <w:t xml:space="preserve">corresponde a </w:t>
      </w:r>
      <w:r w:rsidRPr="00465156">
        <w:rPr>
          <w:rFonts w:eastAsiaTheme="minorEastAsia"/>
          <w:sz w:val="24"/>
        </w:rPr>
        <w:t>l</w:t>
      </w:r>
      <w:r w:rsidR="00DF13AA" w:rsidRPr="00465156">
        <w:rPr>
          <w:rFonts w:eastAsiaTheme="minorEastAsia"/>
          <w:sz w:val="24"/>
        </w:rPr>
        <w:t>a Superintendencia Financiera de Colombia</w:t>
      </w:r>
      <w:r w:rsidR="00C041C3" w:rsidRPr="00465156">
        <w:rPr>
          <w:rFonts w:eastAsiaTheme="minorEastAsia"/>
          <w:sz w:val="24"/>
        </w:rPr>
        <w:t xml:space="preserve"> (SFC)</w:t>
      </w:r>
      <w:r w:rsidR="00DF13AA" w:rsidRPr="00465156">
        <w:rPr>
          <w:rFonts w:eastAsiaTheme="minorEastAsia"/>
          <w:sz w:val="24"/>
        </w:rPr>
        <w:t xml:space="preserve"> revisa</w:t>
      </w:r>
      <w:r w:rsidRPr="00465156" w:rsidDel="008B4670">
        <w:rPr>
          <w:rFonts w:eastAsiaTheme="minorEastAsia"/>
          <w:sz w:val="24"/>
        </w:rPr>
        <w:t>r</w:t>
      </w:r>
      <w:r w:rsidR="00DF13AA" w:rsidRPr="00465156">
        <w:rPr>
          <w:rFonts w:eastAsiaTheme="minorEastAsia"/>
          <w:sz w:val="24"/>
        </w:rPr>
        <w:t xml:space="preserve"> periódicamente las condiciones técnicas y financieras del Seguro Obligatorio de </w:t>
      </w:r>
      <w:r w:rsidR="00C041C3" w:rsidRPr="00465156">
        <w:rPr>
          <w:rFonts w:eastAsiaTheme="minorEastAsia"/>
          <w:sz w:val="24"/>
        </w:rPr>
        <w:t xml:space="preserve">Daños Corporales Causado a Personas en </w:t>
      </w:r>
      <w:r w:rsidR="00DF13AA" w:rsidRPr="00465156">
        <w:rPr>
          <w:rFonts w:eastAsiaTheme="minorEastAsia"/>
          <w:sz w:val="24"/>
        </w:rPr>
        <w:t xml:space="preserve">Accidentes de Tránsito </w:t>
      </w:r>
      <w:r w:rsidR="00C041C3" w:rsidRPr="00465156">
        <w:rPr>
          <w:rFonts w:eastAsiaTheme="minorEastAsia"/>
          <w:sz w:val="24"/>
        </w:rPr>
        <w:t>(</w:t>
      </w:r>
      <w:r w:rsidR="008A1652" w:rsidRPr="00465156">
        <w:rPr>
          <w:rFonts w:eastAsiaTheme="minorEastAsia"/>
          <w:sz w:val="24"/>
        </w:rPr>
        <w:t>SOAT</w:t>
      </w:r>
      <w:r w:rsidR="00C041C3" w:rsidRPr="00465156">
        <w:rPr>
          <w:rFonts w:eastAsiaTheme="minorEastAsia"/>
          <w:sz w:val="24"/>
        </w:rPr>
        <w:t>)</w:t>
      </w:r>
      <w:r w:rsidR="00E07515" w:rsidRPr="00465156">
        <w:rPr>
          <w:rFonts w:eastAsiaTheme="minorEastAsia"/>
          <w:sz w:val="24"/>
        </w:rPr>
        <w:t>.</w:t>
      </w:r>
      <w:r w:rsidR="00DA3BD7">
        <w:rPr>
          <w:rFonts w:eastAsiaTheme="minorEastAsia"/>
          <w:sz w:val="24"/>
        </w:rPr>
        <w:t xml:space="preserve"> </w:t>
      </w:r>
      <w:r w:rsidR="009F167C">
        <w:rPr>
          <w:rFonts w:eastAsiaTheme="minorEastAsia"/>
          <w:sz w:val="24"/>
        </w:rPr>
        <w:t>Así mismo en</w:t>
      </w:r>
      <w:r w:rsidRPr="00B459F6">
        <w:rPr>
          <w:rFonts w:eastAsiaTheme="minorEastAsia"/>
          <w:sz w:val="24"/>
        </w:rPr>
        <w:t xml:space="preserve"> </w:t>
      </w:r>
      <w:r w:rsidR="007B1E46">
        <w:rPr>
          <w:rFonts w:eastAsiaTheme="minorEastAsia"/>
          <w:sz w:val="24"/>
        </w:rPr>
        <w:t xml:space="preserve">el citado artículo </w:t>
      </w:r>
      <w:r w:rsidR="00465156">
        <w:rPr>
          <w:rFonts w:eastAsiaTheme="minorEastAsia"/>
          <w:sz w:val="24"/>
        </w:rPr>
        <w:t xml:space="preserve">se </w:t>
      </w:r>
      <w:r w:rsidR="007B1E46">
        <w:rPr>
          <w:rFonts w:eastAsiaTheme="minorEastAsia"/>
          <w:sz w:val="24"/>
        </w:rPr>
        <w:t xml:space="preserve">establece que </w:t>
      </w:r>
      <w:r w:rsidRPr="00B459F6">
        <w:rPr>
          <w:rFonts w:eastAsiaTheme="minorEastAsia"/>
          <w:sz w:val="24"/>
        </w:rPr>
        <w:t>en la determinación de las tarifas se observarán los principios de equidad, suficiencia y moderación y se podrán establecer rangos diferenciales según la naturaleza de los riesgos</w:t>
      </w:r>
      <w:r>
        <w:rPr>
          <w:rFonts w:eastAsiaTheme="minorEastAsia"/>
          <w:sz w:val="24"/>
        </w:rPr>
        <w:t xml:space="preserve"> basándose en los criterios contenidos en la nota técnica</w:t>
      </w:r>
      <w:r w:rsidR="00465156" w:rsidRPr="00465156">
        <w:rPr>
          <w:rFonts w:eastAsiaTheme="minorEastAsia"/>
          <w:sz w:val="24"/>
        </w:rPr>
        <w:t>.</w:t>
      </w:r>
      <w:r w:rsidR="007B1E46" w:rsidRPr="00465156">
        <w:rPr>
          <w:rFonts w:eastAsiaTheme="minorEastAsia"/>
          <w:sz w:val="24"/>
        </w:rPr>
        <w:t xml:space="preserve"> </w:t>
      </w:r>
    </w:p>
    <w:p w14:paraId="0BA2E377" w14:textId="70B1E177" w:rsidR="005A3162" w:rsidRDefault="009F167C" w:rsidP="005A3162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Por otra </w:t>
      </w:r>
      <w:r w:rsidR="008317AD">
        <w:rPr>
          <w:rFonts w:eastAsiaTheme="minorEastAsia"/>
          <w:sz w:val="24"/>
        </w:rPr>
        <w:t>parte,</w:t>
      </w:r>
      <w:r w:rsidR="005A3162">
        <w:rPr>
          <w:rFonts w:eastAsiaTheme="minorEastAsia"/>
          <w:sz w:val="24"/>
        </w:rPr>
        <w:t xml:space="preserve"> </w:t>
      </w:r>
      <w:r w:rsidR="005A3162" w:rsidRPr="00D92115">
        <w:rPr>
          <w:sz w:val="24"/>
        </w:rPr>
        <w:t xml:space="preserve">el numeral 2 del </w:t>
      </w:r>
      <w:r w:rsidR="005A3162">
        <w:rPr>
          <w:rFonts w:eastAsiaTheme="minorEastAsia"/>
          <w:sz w:val="24"/>
        </w:rPr>
        <w:t xml:space="preserve">artículo </w:t>
      </w:r>
      <w:r w:rsidR="005A3162" w:rsidRPr="00D92115">
        <w:rPr>
          <w:sz w:val="24"/>
        </w:rPr>
        <w:t>193 del EOSF establece que las entidades aseguradoras pueden expedir pólizas con vigencias inferiores a un año</w:t>
      </w:r>
      <w:r w:rsidR="005A3162">
        <w:rPr>
          <w:sz w:val="24"/>
        </w:rPr>
        <w:t xml:space="preserve"> cuando estas correspondan a </w:t>
      </w:r>
      <w:r w:rsidR="005A3162" w:rsidRPr="002812E5">
        <w:rPr>
          <w:sz w:val="24"/>
        </w:rPr>
        <w:t>vehículos que circulen por las zonas fronterizas, vehículos importados que se desplacen del puerto a los concesionarios para su venta al público y los automóviles antiguos o clásicos</w:t>
      </w:r>
      <w:r w:rsidR="008317AD">
        <w:rPr>
          <w:sz w:val="24"/>
        </w:rPr>
        <w:t>.</w:t>
      </w:r>
    </w:p>
    <w:p w14:paraId="3B77B2FB" w14:textId="1723AE82" w:rsidR="00EC6851" w:rsidRDefault="00B3747B" w:rsidP="00657F1D">
      <w:pPr>
        <w:spacing w:after="0"/>
        <w:jc w:val="both"/>
        <w:rPr>
          <w:sz w:val="24"/>
        </w:rPr>
      </w:pPr>
      <w:r>
        <w:rPr>
          <w:sz w:val="24"/>
        </w:rPr>
        <w:t>Con</w:t>
      </w:r>
      <w:r w:rsidR="00A72475">
        <w:rPr>
          <w:sz w:val="24"/>
        </w:rPr>
        <w:t xml:space="preserve"> el propósito de</w:t>
      </w:r>
      <w:r w:rsidR="00A70145">
        <w:rPr>
          <w:sz w:val="24"/>
        </w:rPr>
        <w:t xml:space="preserve"> reconocer que la exposición de las pólizas emitidas de vehículos </w:t>
      </w:r>
      <w:r w:rsidR="00A70145" w:rsidRPr="002812E5">
        <w:rPr>
          <w:sz w:val="24"/>
        </w:rPr>
        <w:t>que circul</w:t>
      </w:r>
      <w:r w:rsidR="00A70145">
        <w:rPr>
          <w:sz w:val="24"/>
        </w:rPr>
        <w:t>a</w:t>
      </w:r>
      <w:r w:rsidR="00A70145" w:rsidRPr="002812E5">
        <w:rPr>
          <w:sz w:val="24"/>
        </w:rPr>
        <w:t>n</w:t>
      </w:r>
      <w:r w:rsidR="00A70145">
        <w:rPr>
          <w:sz w:val="24"/>
        </w:rPr>
        <w:t xml:space="preserve"> en zonas fronterizas y </w:t>
      </w:r>
      <w:r w:rsidR="00A70145" w:rsidRPr="002812E5">
        <w:rPr>
          <w:sz w:val="24"/>
        </w:rPr>
        <w:t xml:space="preserve">vehículos importados que se desplacen del puerto a los concesionarios </w:t>
      </w:r>
      <w:r w:rsidR="00A70145">
        <w:rPr>
          <w:sz w:val="24"/>
        </w:rPr>
        <w:t xml:space="preserve">puede ser inferior a un mes se </w:t>
      </w:r>
      <w:r w:rsidR="00A72475">
        <w:rPr>
          <w:sz w:val="24"/>
        </w:rPr>
        <w:t>establece</w:t>
      </w:r>
      <w:r w:rsidR="00A70145">
        <w:rPr>
          <w:sz w:val="24"/>
        </w:rPr>
        <w:t xml:space="preserve"> la metodología para el cálculo de</w:t>
      </w:r>
      <w:r w:rsidR="00A72475">
        <w:rPr>
          <w:sz w:val="24"/>
        </w:rPr>
        <w:t xml:space="preserve"> la tarifa máxima aplicable </w:t>
      </w:r>
      <w:r w:rsidR="00A70145">
        <w:rPr>
          <w:sz w:val="24"/>
        </w:rPr>
        <w:t>a este tipo de vehículos.</w:t>
      </w:r>
      <w:r w:rsidR="005324D6">
        <w:rPr>
          <w:sz w:val="24"/>
        </w:rPr>
        <w:t xml:space="preserve"> </w:t>
      </w:r>
    </w:p>
    <w:p w14:paraId="75285027" w14:textId="77777777" w:rsidR="00657F1D" w:rsidRDefault="00657F1D" w:rsidP="00657F1D">
      <w:pPr>
        <w:spacing w:after="0"/>
        <w:jc w:val="both"/>
        <w:rPr>
          <w:b/>
          <w:bCs/>
          <w:sz w:val="24"/>
        </w:rPr>
      </w:pPr>
    </w:p>
    <w:p w14:paraId="16878E3A" w14:textId="0FA838F9" w:rsidR="00A52E1F" w:rsidRPr="00657F1D" w:rsidRDefault="00A52E1F" w:rsidP="00657F1D">
      <w:pPr>
        <w:pStyle w:val="Prrafodelista"/>
        <w:numPr>
          <w:ilvl w:val="0"/>
          <w:numId w:val="32"/>
        </w:numPr>
        <w:spacing w:after="0"/>
        <w:jc w:val="both"/>
        <w:rPr>
          <w:b/>
          <w:bCs/>
          <w:sz w:val="24"/>
        </w:rPr>
      </w:pPr>
      <w:r w:rsidRPr="00657F1D">
        <w:rPr>
          <w:b/>
          <w:bCs/>
          <w:sz w:val="24"/>
        </w:rPr>
        <w:t>Base del cálculo</w:t>
      </w:r>
    </w:p>
    <w:p w14:paraId="40B9D0B7" w14:textId="367B7AA6" w:rsidR="00F730A3" w:rsidRDefault="00D051DB" w:rsidP="00657F1D">
      <w:pPr>
        <w:spacing w:after="0"/>
        <w:jc w:val="both"/>
        <w:rPr>
          <w:b/>
          <w:bCs/>
          <w:sz w:val="24"/>
        </w:rPr>
      </w:pPr>
      <w:r>
        <w:rPr>
          <w:sz w:val="24"/>
        </w:rPr>
        <w:t xml:space="preserve">La base del cálculo </w:t>
      </w:r>
      <w:r w:rsidR="00005161">
        <w:rPr>
          <w:sz w:val="24"/>
        </w:rPr>
        <w:t xml:space="preserve">para </w:t>
      </w:r>
      <w:r w:rsidR="008317AD">
        <w:rPr>
          <w:sz w:val="24"/>
        </w:rPr>
        <w:t xml:space="preserve">establecer la </w:t>
      </w:r>
      <w:r w:rsidR="00F2161A">
        <w:rPr>
          <w:sz w:val="24"/>
        </w:rPr>
        <w:t xml:space="preserve">tarifa máxima </w:t>
      </w:r>
      <w:r w:rsidR="008317AD">
        <w:rPr>
          <w:sz w:val="24"/>
        </w:rPr>
        <w:t xml:space="preserve">aplicable a </w:t>
      </w:r>
      <w:r w:rsidR="00C02639">
        <w:rPr>
          <w:sz w:val="24"/>
        </w:rPr>
        <w:t>los vehículos</w:t>
      </w:r>
      <w:r w:rsidR="008317AD">
        <w:rPr>
          <w:sz w:val="24"/>
        </w:rPr>
        <w:t xml:space="preserve"> que transiten en zonas fronterizas </w:t>
      </w:r>
      <w:r w:rsidR="00E55B6A">
        <w:rPr>
          <w:sz w:val="24"/>
        </w:rPr>
        <w:t xml:space="preserve">y </w:t>
      </w:r>
      <w:r w:rsidR="00E55B6A" w:rsidRPr="002812E5">
        <w:rPr>
          <w:sz w:val="24"/>
        </w:rPr>
        <w:t xml:space="preserve">vehículos importados que se desplacen del puerto a los concesionarios </w:t>
      </w:r>
      <w:r w:rsidR="00E55B6A">
        <w:rPr>
          <w:sz w:val="24"/>
        </w:rPr>
        <w:t xml:space="preserve">para su comercialización </w:t>
      </w:r>
      <w:r w:rsidR="00414671">
        <w:rPr>
          <w:sz w:val="24"/>
        </w:rPr>
        <w:t>e</w:t>
      </w:r>
      <w:r w:rsidR="008317AD">
        <w:rPr>
          <w:sz w:val="24"/>
        </w:rPr>
        <w:t>s</w:t>
      </w:r>
      <w:r w:rsidR="00A52E1F">
        <w:rPr>
          <w:sz w:val="24"/>
        </w:rPr>
        <w:t xml:space="preserve"> </w:t>
      </w:r>
      <w:r w:rsidR="0019431D">
        <w:rPr>
          <w:sz w:val="24"/>
        </w:rPr>
        <w:t xml:space="preserve">la </w:t>
      </w:r>
      <w:r w:rsidR="0019431D" w:rsidRPr="00B42FB6">
        <w:rPr>
          <w:sz w:val="24"/>
        </w:rPr>
        <w:t xml:space="preserve">Tarifa Máxima Anual </w:t>
      </w:r>
      <w:r w:rsidR="0019431D">
        <w:rPr>
          <w:sz w:val="24"/>
        </w:rPr>
        <w:t>d</w:t>
      </w:r>
      <w:r w:rsidR="00B42FB6" w:rsidRPr="00B42FB6">
        <w:rPr>
          <w:sz w:val="24"/>
        </w:rPr>
        <w:t>el Anexo 1 del Título IV de la Parte II de la Circular Básica Jurídica</w:t>
      </w:r>
      <w:r w:rsidR="007561C3">
        <w:rPr>
          <w:sz w:val="24"/>
        </w:rPr>
        <w:t xml:space="preserve"> (CBJ)</w:t>
      </w:r>
      <w:r w:rsidR="00A52E1F">
        <w:rPr>
          <w:sz w:val="24"/>
        </w:rPr>
        <w:t xml:space="preserve"> fijada de acuerdo con la nota técnica vigente</w:t>
      </w:r>
      <w:r w:rsidR="00CA323E">
        <w:rPr>
          <w:sz w:val="24"/>
        </w:rPr>
        <w:t>.</w:t>
      </w:r>
      <w:r w:rsidR="00F730A3" w:rsidRPr="00F730A3">
        <w:rPr>
          <w:b/>
          <w:bCs/>
          <w:sz w:val="24"/>
        </w:rPr>
        <w:t xml:space="preserve"> </w:t>
      </w:r>
    </w:p>
    <w:p w14:paraId="5CF6B3D9" w14:textId="77777777" w:rsidR="00F730A3" w:rsidRDefault="00F730A3" w:rsidP="00657F1D">
      <w:pPr>
        <w:spacing w:after="0"/>
        <w:rPr>
          <w:b/>
          <w:bCs/>
          <w:sz w:val="24"/>
        </w:rPr>
      </w:pPr>
    </w:p>
    <w:p w14:paraId="5B03702C" w14:textId="3169CEFB" w:rsidR="00F730A3" w:rsidRPr="00657F1D" w:rsidRDefault="00F730A3" w:rsidP="00657F1D">
      <w:pPr>
        <w:pStyle w:val="Prrafodelista"/>
        <w:numPr>
          <w:ilvl w:val="0"/>
          <w:numId w:val="32"/>
        </w:numPr>
        <w:spacing w:after="0"/>
        <w:jc w:val="both"/>
        <w:rPr>
          <w:b/>
          <w:bCs/>
          <w:sz w:val="24"/>
        </w:rPr>
      </w:pPr>
      <w:r w:rsidRPr="00657F1D">
        <w:rPr>
          <w:b/>
          <w:bCs/>
          <w:sz w:val="24"/>
        </w:rPr>
        <w:t>Metodología de cálculo para la tarifa máxima de vehículos que circulen por las zonas fronterizas y vehículos importados que se desplacen del puerto a los concesionarios para su comercialización</w:t>
      </w:r>
    </w:p>
    <w:p w14:paraId="254CABA1" w14:textId="77777777" w:rsidR="00657F1D" w:rsidRPr="00465156" w:rsidRDefault="00657F1D" w:rsidP="00657F1D">
      <w:pPr>
        <w:spacing w:after="0"/>
        <w:jc w:val="both"/>
        <w:rPr>
          <w:b/>
          <w:bCs/>
          <w:sz w:val="24"/>
        </w:rPr>
      </w:pPr>
    </w:p>
    <w:p w14:paraId="585DC495" w14:textId="3EFE6524" w:rsidR="001B0394" w:rsidRPr="001B0394" w:rsidRDefault="00414671" w:rsidP="001B0394">
      <w:pPr>
        <w:jc w:val="both"/>
        <w:rPr>
          <w:sz w:val="24"/>
        </w:rPr>
      </w:pPr>
      <w:r>
        <w:rPr>
          <w:sz w:val="24"/>
        </w:rPr>
        <w:t>La m</w:t>
      </w:r>
      <w:r w:rsidR="00A52E1F">
        <w:rPr>
          <w:sz w:val="24"/>
        </w:rPr>
        <w:t>etodología para el cálculo de la tarifa</w:t>
      </w:r>
      <w:r w:rsidR="008317AD">
        <w:rPr>
          <w:sz w:val="24"/>
        </w:rPr>
        <w:t xml:space="preserve"> máxima </w:t>
      </w:r>
      <w:r w:rsidR="001B0394" w:rsidRPr="001B0394">
        <w:rPr>
          <w:sz w:val="24"/>
        </w:rPr>
        <w:t xml:space="preserve">aplicable a estos vehículos </w:t>
      </w:r>
      <w:r w:rsidR="00DC511A">
        <w:rPr>
          <w:sz w:val="24"/>
        </w:rPr>
        <w:t>incorpora</w:t>
      </w:r>
      <w:r w:rsidR="001B0394" w:rsidRPr="001B0394">
        <w:rPr>
          <w:sz w:val="24"/>
        </w:rPr>
        <w:t xml:space="preserve">: i) la exposición al riesgo de este tipo de vehículos, </w:t>
      </w:r>
      <w:proofErr w:type="spellStart"/>
      <w:r w:rsidR="001B0394" w:rsidRPr="001B0394">
        <w:rPr>
          <w:sz w:val="24"/>
        </w:rPr>
        <w:t>ii</w:t>
      </w:r>
      <w:proofErr w:type="spellEnd"/>
      <w:r w:rsidR="001B0394" w:rsidRPr="001B0394">
        <w:rPr>
          <w:sz w:val="24"/>
        </w:rPr>
        <w:t>) las transferencias a la A</w:t>
      </w:r>
      <w:r w:rsidR="00FA43D8">
        <w:rPr>
          <w:sz w:val="24"/>
        </w:rPr>
        <w:t xml:space="preserve">dministradora </w:t>
      </w:r>
      <w:r w:rsidR="001B0394" w:rsidRPr="001B0394">
        <w:rPr>
          <w:sz w:val="24"/>
        </w:rPr>
        <w:t>D</w:t>
      </w:r>
      <w:r w:rsidR="00FA43D8">
        <w:rPr>
          <w:sz w:val="24"/>
        </w:rPr>
        <w:t xml:space="preserve">e los </w:t>
      </w:r>
      <w:r w:rsidR="001B0394" w:rsidRPr="001B0394">
        <w:rPr>
          <w:sz w:val="24"/>
        </w:rPr>
        <w:t>R</w:t>
      </w:r>
      <w:r w:rsidR="00FA43D8">
        <w:rPr>
          <w:sz w:val="24"/>
        </w:rPr>
        <w:t xml:space="preserve">ecursos del </w:t>
      </w:r>
      <w:r w:rsidR="00903832">
        <w:rPr>
          <w:sz w:val="24"/>
        </w:rPr>
        <w:t>S</w:t>
      </w:r>
      <w:r w:rsidR="00FA43D8">
        <w:rPr>
          <w:sz w:val="24"/>
        </w:rPr>
        <w:t xml:space="preserve">istema </w:t>
      </w:r>
      <w:r w:rsidR="00903832">
        <w:rPr>
          <w:sz w:val="24"/>
        </w:rPr>
        <w:t>General de Seguridad Social en</w:t>
      </w:r>
      <w:r w:rsidR="00FA43D8">
        <w:rPr>
          <w:sz w:val="24"/>
        </w:rPr>
        <w:t xml:space="preserve"> </w:t>
      </w:r>
      <w:r w:rsidR="001B0394" w:rsidRPr="001B0394">
        <w:rPr>
          <w:sz w:val="24"/>
        </w:rPr>
        <w:t>S</w:t>
      </w:r>
      <w:r w:rsidR="00FA43D8">
        <w:rPr>
          <w:sz w:val="24"/>
        </w:rPr>
        <w:t>alud</w:t>
      </w:r>
      <w:r w:rsidR="001B0394" w:rsidRPr="001B0394">
        <w:rPr>
          <w:sz w:val="24"/>
        </w:rPr>
        <w:t xml:space="preserve"> </w:t>
      </w:r>
      <w:r w:rsidR="00903832">
        <w:rPr>
          <w:sz w:val="24"/>
        </w:rPr>
        <w:t xml:space="preserve">(ADRES) </w:t>
      </w:r>
      <w:r w:rsidR="001B0394" w:rsidRPr="001B0394">
        <w:rPr>
          <w:sz w:val="24"/>
        </w:rPr>
        <w:t>establecidas en el artículo 2.6.4.2.1.3. del Decreto 780 de 2016 y en la Resolución 2709 de 2022</w:t>
      </w:r>
      <w:r w:rsidR="00664B44">
        <w:rPr>
          <w:sz w:val="24"/>
        </w:rPr>
        <w:t xml:space="preserve"> y las normas que las modifiquen, adicionen o sustituyan</w:t>
      </w:r>
      <w:r w:rsidR="001B0394" w:rsidRPr="001B0394">
        <w:rPr>
          <w:sz w:val="24"/>
        </w:rPr>
        <w:t xml:space="preserve">, </w:t>
      </w:r>
      <w:proofErr w:type="spellStart"/>
      <w:r w:rsidR="001B0394" w:rsidRPr="001B0394">
        <w:rPr>
          <w:sz w:val="24"/>
        </w:rPr>
        <w:t>iii</w:t>
      </w:r>
      <w:proofErr w:type="spellEnd"/>
      <w:r w:rsidR="001B0394" w:rsidRPr="001B0394">
        <w:rPr>
          <w:sz w:val="24"/>
        </w:rPr>
        <w:t xml:space="preserve">) las transferencias a la Agencia Nacional de Seguridad Vial </w:t>
      </w:r>
      <w:r w:rsidR="00B82299">
        <w:rPr>
          <w:sz w:val="24"/>
        </w:rPr>
        <w:t xml:space="preserve">(ANSV) </w:t>
      </w:r>
      <w:r w:rsidR="001B0394" w:rsidRPr="001B0394">
        <w:rPr>
          <w:sz w:val="24"/>
        </w:rPr>
        <w:t>establecidas en el artículo 7 de la Ley 1702 de 2013</w:t>
      </w:r>
      <w:r w:rsidR="00664B44">
        <w:rPr>
          <w:sz w:val="24"/>
        </w:rPr>
        <w:t xml:space="preserve"> y las normas que la modifiquen, adicionen o sustituyan</w:t>
      </w:r>
      <w:r w:rsidR="001B0394" w:rsidRPr="001B0394">
        <w:rPr>
          <w:sz w:val="24"/>
        </w:rPr>
        <w:t xml:space="preserve"> y </w:t>
      </w:r>
      <w:proofErr w:type="spellStart"/>
      <w:r w:rsidR="001B0394" w:rsidRPr="001B0394">
        <w:rPr>
          <w:sz w:val="24"/>
        </w:rPr>
        <w:t>iv</w:t>
      </w:r>
      <w:proofErr w:type="spellEnd"/>
      <w:r w:rsidR="001B0394" w:rsidRPr="001B0394">
        <w:rPr>
          <w:sz w:val="24"/>
        </w:rPr>
        <w:t>) los gastos</w:t>
      </w:r>
      <w:r w:rsidR="00D20184">
        <w:rPr>
          <w:sz w:val="24"/>
        </w:rPr>
        <w:t xml:space="preserve"> </w:t>
      </w:r>
      <w:r w:rsidR="00A82015">
        <w:rPr>
          <w:sz w:val="24"/>
        </w:rPr>
        <w:t>para</w:t>
      </w:r>
      <w:r w:rsidR="001B0394" w:rsidRPr="001B0394">
        <w:rPr>
          <w:sz w:val="24"/>
        </w:rPr>
        <w:t xml:space="preserve"> la operatividad del ramo. </w:t>
      </w:r>
    </w:p>
    <w:p w14:paraId="2A24A673" w14:textId="58C099F4" w:rsidR="00A52E1F" w:rsidRPr="007E4FD4" w:rsidRDefault="00A52E1F" w:rsidP="00A52E1F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sz w:val="24"/>
        </w:rPr>
      </w:pPr>
      <w:r w:rsidRPr="007E4FD4">
        <w:rPr>
          <w:sz w:val="24"/>
        </w:rPr>
        <w:t xml:space="preserve">Para </w:t>
      </w:r>
      <w:r w:rsidR="00D310AC">
        <w:rPr>
          <w:sz w:val="24"/>
        </w:rPr>
        <w:t>este tip</w:t>
      </w:r>
      <w:r w:rsidR="00322AD8">
        <w:rPr>
          <w:sz w:val="24"/>
        </w:rPr>
        <w:t>o de vehículos</w:t>
      </w:r>
      <w:r w:rsidRPr="007E4FD4">
        <w:rPr>
          <w:sz w:val="24"/>
        </w:rPr>
        <w:t xml:space="preserve"> la tarifa máxima se determina de acuerdo con la siguiente fórmula.</w:t>
      </w:r>
    </w:p>
    <w:p w14:paraId="5B12627E" w14:textId="77777777" w:rsidR="00A52E1F" w:rsidRPr="00FE3E14" w:rsidRDefault="00A52E1F" w:rsidP="00FE3E14">
      <w:pPr>
        <w:pStyle w:val="Prrafodelista"/>
        <w:tabs>
          <w:tab w:val="left" w:pos="426"/>
        </w:tabs>
        <w:ind w:left="0"/>
        <w:jc w:val="both"/>
        <w:rPr>
          <w:rFonts w:cstheme="minorHAnsi"/>
          <w:sz w:val="24"/>
        </w:rPr>
      </w:pPr>
    </w:p>
    <w:p w14:paraId="0B915AD6" w14:textId="27FD0A68" w:rsidR="00FE3E14" w:rsidRPr="00FE3E14" w:rsidRDefault="00000000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</w:rPr>
      </w:pPr>
      <m:oMathPara>
        <m:oMath>
          <m:sSub>
            <m:sSubPr>
              <m:ctrlPr>
                <w:rPr>
                  <w:rFonts w:ascii="Cambria Math" w:hAnsi="Cambria Math" w:cs="Calibri"/>
                  <w:sz w:val="24"/>
                  <w:lang w:val="es-ES"/>
                </w:rPr>
              </m:ctrlPr>
            </m:sSubPr>
            <m:e>
              <m:r>
                <w:rPr>
                  <w:rFonts w:ascii="Cambria Math" w:hAnsi="Cambria Math" w:cs="Calibri"/>
                  <w:sz w:val="24"/>
                  <w:lang w:val="es-ES"/>
                </w:rPr>
                <m:t>Tmax</m:t>
              </m:r>
            </m:e>
            <m:sub>
              <m:r>
                <w:rPr>
                  <w:rFonts w:ascii="Cambria Math" w:hAnsi="Cambria Math" w:cs="Calibri"/>
                  <w:sz w:val="24"/>
                  <w:lang w:val="es-ES"/>
                </w:rPr>
                <m:t>i,  Ndias</m:t>
              </m:r>
            </m:sub>
          </m:sSub>
          <m:r>
            <m:rPr>
              <m:sty m:val="p"/>
            </m:rPr>
            <w:rPr>
              <w:rFonts w:ascii="Cambria Math" w:hAnsi="Cambria Math" w:cs="Calibri"/>
              <w:sz w:val="24"/>
            </w:rPr>
            <m:t>=</m:t>
          </m:r>
          <m:f>
            <m:fPr>
              <m:ctrlPr>
                <w:rPr>
                  <w:rFonts w:ascii="Cambria Math" w:hAnsi="Cambria Math" w:cs="Calibri"/>
                  <w:sz w:val="24"/>
                  <w:lang w:val="es-E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Calibri"/>
                      <w:sz w:val="24"/>
                      <w:lang w:val="es-ES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sz w:val="24"/>
                      <w:lang w:val="es-ES"/>
                    </w:rPr>
                    <m:t>Priesgo</m:t>
                  </m:r>
                </m:e>
                <m:sub>
                  <m:r>
                    <w:rPr>
                      <w:rFonts w:ascii="Cambria Math" w:hAnsi="Cambria Math" w:cs="Calibri"/>
                      <w:sz w:val="24"/>
                      <w:lang w:val="es-ES"/>
                    </w:rPr>
                    <m:t>i,  Ndias</m:t>
                  </m:r>
                </m:sub>
                <m:sup>
                  <m:r>
                    <w:rPr>
                      <w:rFonts w:ascii="Cambria Math" w:hAnsi="Cambria Math" w:cs="Calibri"/>
                      <w:sz w:val="24"/>
                      <w:lang w:val="es-ES"/>
                    </w:rPr>
                    <m:t xml:space="preserve"> 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lang w:val="es-E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Calibri"/>
                      <w:sz w:val="24"/>
                    </w:rPr>
                    <m:t>i,m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lang w:val="es-ES"/>
                </w:rPr>
                <m:t>(1-</m:t>
              </m:r>
              <m:r>
                <w:rPr>
                  <w:rFonts w:ascii="Cambria Math" w:hAnsi="Cambria Math" w:cs="Calibri"/>
                  <w:sz w:val="24"/>
                  <w:lang w:val="es-E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lang w:val="es-ES"/>
                </w:rPr>
                <m:t>)</m:t>
              </m:r>
            </m:den>
          </m:f>
        </m:oMath>
      </m:oMathPara>
    </w:p>
    <w:p w14:paraId="625688E6" w14:textId="77777777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</w:rPr>
      </w:pPr>
    </w:p>
    <w:p w14:paraId="2CCED27F" w14:textId="77777777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  <w:r w:rsidRPr="00FE3E14">
        <w:rPr>
          <w:rFonts w:ascii="Calibri" w:hAnsi="Calibri" w:cs="Calibri"/>
          <w:sz w:val="24"/>
          <w:lang w:val="es-ES"/>
        </w:rPr>
        <w:t>Donde,</w:t>
      </w:r>
    </w:p>
    <w:p w14:paraId="156E1E0B" w14:textId="77777777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</w:p>
    <w:p w14:paraId="3C833F8C" w14:textId="4E7EF27D" w:rsidR="00FE3E14" w:rsidRPr="00FE3E14" w:rsidRDefault="00000000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  <m:oMath>
        <m:sSub>
          <m:sSubPr>
            <m:ctrlPr>
              <w:rPr>
                <w:rFonts w:ascii="Cambria Math" w:hAnsi="Cambria Math" w:cs="Calibri"/>
                <w:sz w:val="24"/>
                <w:lang w:val="es-ES"/>
              </w:rPr>
            </m:ctrlPr>
          </m:sSubPr>
          <m:e>
            <m:r>
              <w:rPr>
                <w:rFonts w:ascii="Cambria Math" w:hAnsi="Cambria Math" w:cs="Calibri"/>
                <w:sz w:val="24"/>
                <w:lang w:val="es-ES"/>
              </w:rPr>
              <m:t>Tmax</m:t>
            </m:r>
          </m:e>
          <m:sub>
            <m:r>
              <w:rPr>
                <w:rFonts w:ascii="Cambria Math" w:hAnsi="Cambria Math" w:cs="Calibri"/>
                <w:sz w:val="24"/>
                <w:lang w:val="es-ES"/>
              </w:rPr>
              <m:t>i</m:t>
            </m:r>
          </m:sub>
        </m:sSub>
      </m:oMath>
      <w:r w:rsidR="00FE3E14" w:rsidRPr="00FE3E14">
        <w:rPr>
          <w:rFonts w:ascii="Calibri" w:hAnsi="Calibri" w:cs="Calibri"/>
          <w:sz w:val="24"/>
          <w:lang w:val="es-ES"/>
        </w:rPr>
        <w:t xml:space="preserve">: corresponde a la tarifa máxima aplicable a la categoría </w:t>
      </w:r>
      <m:oMath>
        <m:r>
          <w:rPr>
            <w:rFonts w:ascii="Cambria Math" w:hAnsi="Cambria Math" w:cs="Calibri"/>
            <w:sz w:val="24"/>
            <w:lang w:val="es-ES"/>
          </w:rPr>
          <m:t>i</m:t>
        </m:r>
      </m:oMath>
      <w:r w:rsidR="00FE3E14" w:rsidRPr="00FE3E14">
        <w:rPr>
          <w:rFonts w:ascii="Calibri" w:hAnsi="Calibri" w:cs="Calibri"/>
          <w:sz w:val="24"/>
          <w:lang w:val="es-ES"/>
        </w:rPr>
        <w:t xml:space="preserve"> para una vigencia de </w:t>
      </w:r>
      <m:oMath>
        <m:r>
          <w:rPr>
            <w:rFonts w:ascii="Cambria Math" w:hAnsi="Cambria Math" w:cs="Calibri"/>
            <w:sz w:val="24"/>
            <w:lang w:val="es-ES"/>
          </w:rPr>
          <m:t>Ndias</m:t>
        </m:r>
      </m:oMath>
      <w:r w:rsidR="00FE3E14" w:rsidRPr="00FE3E14">
        <w:rPr>
          <w:rFonts w:ascii="Calibri" w:hAnsi="Calibri" w:cs="Calibri"/>
          <w:sz w:val="24"/>
          <w:lang w:val="es-ES"/>
        </w:rPr>
        <w:t xml:space="preserve"> para los vehículos </w:t>
      </w:r>
      <w:r w:rsidR="00FE3E14" w:rsidRPr="00FE3E14">
        <w:rPr>
          <w:rFonts w:ascii="Calibri" w:hAnsi="Calibri" w:cs="Calibri"/>
          <w:sz w:val="24"/>
        </w:rPr>
        <w:t xml:space="preserve">que </w:t>
      </w:r>
      <w:proofErr w:type="spellStart"/>
      <w:r w:rsidR="00FE3E14" w:rsidRPr="00FE3E14">
        <w:rPr>
          <w:rFonts w:ascii="Calibri" w:hAnsi="Calibri" w:cs="Calibri"/>
          <w:sz w:val="24"/>
        </w:rPr>
        <w:t>circul</w:t>
      </w:r>
      <w:proofErr w:type="spellEnd"/>
      <w:r w:rsidR="00FE3E14" w:rsidRPr="00FE3E14">
        <w:rPr>
          <w:rFonts w:ascii="Calibri" w:hAnsi="Calibri" w:cs="Calibri"/>
          <w:sz w:val="24"/>
          <w:lang w:val="es-ES"/>
        </w:rPr>
        <w:t>a</w:t>
      </w:r>
      <w:r w:rsidR="00FE3E14" w:rsidRPr="00FE3E14">
        <w:rPr>
          <w:rFonts w:ascii="Calibri" w:hAnsi="Calibri" w:cs="Calibri"/>
          <w:sz w:val="24"/>
        </w:rPr>
        <w:t>n</w:t>
      </w:r>
      <w:r w:rsidR="00FE3E14" w:rsidRPr="00FE3E14">
        <w:rPr>
          <w:rFonts w:ascii="Calibri" w:hAnsi="Calibri" w:cs="Calibri"/>
          <w:sz w:val="24"/>
          <w:lang w:val="es-ES"/>
        </w:rPr>
        <w:t xml:space="preserve"> en zonas fronterizas y </w:t>
      </w:r>
      <w:r w:rsidR="00FE3E14" w:rsidRPr="00FE3E14">
        <w:rPr>
          <w:rFonts w:ascii="Calibri" w:hAnsi="Calibri" w:cs="Calibri"/>
          <w:sz w:val="24"/>
        </w:rPr>
        <w:t>vehículos importados que se desplacen del puerto a los concesionarios</w:t>
      </w:r>
      <w:r w:rsidR="00FE3E14" w:rsidRPr="00FE3E14">
        <w:rPr>
          <w:rFonts w:ascii="Calibri" w:hAnsi="Calibri" w:cs="Calibri"/>
          <w:sz w:val="24"/>
          <w:lang w:val="es-ES"/>
        </w:rPr>
        <w:t xml:space="preserve"> para su comercialización.</w:t>
      </w:r>
    </w:p>
    <w:p w14:paraId="1229B681" w14:textId="77777777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</w:p>
    <w:p w14:paraId="654B21C4" w14:textId="5C5788E0" w:rsidR="00FE3E14" w:rsidRPr="00FE3E14" w:rsidRDefault="00000000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  <m:oMath>
        <m:sSubSup>
          <m:sSubSupPr>
            <m:ctrlPr>
              <w:rPr>
                <w:rFonts w:ascii="Cambria Math" w:hAnsi="Cambria Math" w:cs="Calibri"/>
                <w:sz w:val="24"/>
                <w:lang w:val="es-ES"/>
              </w:rPr>
            </m:ctrlPr>
          </m:sSubSupPr>
          <m:e>
            <m:r>
              <w:rPr>
                <w:rFonts w:ascii="Cambria Math" w:hAnsi="Cambria Math" w:cs="Calibri"/>
                <w:sz w:val="24"/>
                <w:lang w:val="es-ES"/>
              </w:rPr>
              <m:t>Priesgo</m:t>
            </m:r>
          </m:e>
          <m:sub>
            <m:r>
              <w:rPr>
                <w:rFonts w:ascii="Cambria Math" w:hAnsi="Cambria Math" w:cs="Calibri"/>
                <w:sz w:val="24"/>
                <w:lang w:val="es-ES"/>
              </w:rPr>
              <m:t>i,  Ndias</m:t>
            </m:r>
          </m:sub>
          <m:sup>
            <m:r>
              <w:rPr>
                <w:rFonts w:ascii="Cambria Math" w:hAnsi="Cambria Math" w:cs="Calibri"/>
                <w:sz w:val="24"/>
                <w:lang w:val="es-ES"/>
              </w:rPr>
              <m:t xml:space="preserve"> </m:t>
            </m:r>
          </m:sup>
        </m:sSubSup>
      </m:oMath>
      <w:r w:rsidR="00FE3E14" w:rsidRPr="00FE3E14">
        <w:rPr>
          <w:rFonts w:ascii="Calibri" w:hAnsi="Calibri" w:cs="Calibri"/>
          <w:sz w:val="24"/>
          <w:lang w:val="es-ES"/>
        </w:rPr>
        <w:t xml:space="preserve">: corresponde al componente de riesgo para </w:t>
      </w:r>
      <m:oMath>
        <m:r>
          <w:rPr>
            <w:rFonts w:ascii="Cambria Math" w:hAnsi="Cambria Math" w:cs="Calibri"/>
            <w:sz w:val="24"/>
            <w:lang w:val="es-ES"/>
          </w:rPr>
          <m:t>Ndias</m:t>
        </m:r>
      </m:oMath>
      <w:r w:rsidR="00FE3E14" w:rsidRPr="00FE3E14">
        <w:rPr>
          <w:rFonts w:ascii="Calibri" w:hAnsi="Calibri" w:cs="Calibri"/>
          <w:sz w:val="24"/>
          <w:lang w:val="es-ES"/>
        </w:rPr>
        <w:t xml:space="preserve"> de vigencia para la categoría </w:t>
      </w:r>
      <m:oMath>
        <m:r>
          <w:rPr>
            <w:rFonts w:ascii="Cambria Math" w:hAnsi="Cambria Math" w:cs="Calibri"/>
            <w:sz w:val="24"/>
            <w:lang w:val="es-ES"/>
          </w:rPr>
          <m:t>i</m:t>
        </m:r>
      </m:oMath>
      <w:r w:rsidR="00FE3E14" w:rsidRPr="00FE3E14">
        <w:rPr>
          <w:rFonts w:ascii="Calibri" w:hAnsi="Calibri" w:cs="Calibri"/>
          <w:sz w:val="24"/>
          <w:lang w:val="es-ES"/>
        </w:rPr>
        <w:t xml:space="preserve"> determinado como:</w:t>
      </w:r>
    </w:p>
    <w:p w14:paraId="0E5B512B" w14:textId="77777777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</w:p>
    <w:p w14:paraId="6045A6DA" w14:textId="685CBB18" w:rsidR="00FE3E14" w:rsidRPr="00FE3E14" w:rsidRDefault="00000000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  <m:oMathPara>
        <m:oMath>
          <m:sSubSup>
            <m:sSubSupPr>
              <m:ctrlPr>
                <w:rPr>
                  <w:rFonts w:ascii="Cambria Math" w:hAnsi="Cambria Math" w:cs="Calibri"/>
                  <w:sz w:val="24"/>
                  <w:lang w:val="es-ES"/>
                </w:rPr>
              </m:ctrlPr>
            </m:sSubSupPr>
            <m:e>
              <m:r>
                <w:rPr>
                  <w:rFonts w:ascii="Cambria Math" w:hAnsi="Cambria Math" w:cs="Calibri"/>
                  <w:sz w:val="24"/>
                  <w:lang w:val="es-ES"/>
                </w:rPr>
                <m:t>Priesgo</m:t>
              </m:r>
            </m:e>
            <m:sub>
              <m:r>
                <w:rPr>
                  <w:rFonts w:ascii="Cambria Math" w:hAnsi="Cambria Math" w:cs="Calibri"/>
                  <w:sz w:val="24"/>
                  <w:lang w:val="es-ES"/>
                </w:rPr>
                <m:t>i,  Ndias</m:t>
              </m:r>
            </m:sub>
            <m:sup>
              <m:r>
                <w:rPr>
                  <w:rFonts w:ascii="Cambria Math" w:hAnsi="Cambria Math" w:cs="Calibri"/>
                  <w:sz w:val="24"/>
                  <w:lang w:val="es-ES"/>
                </w:rPr>
                <m:t xml:space="preserve"> </m:t>
              </m:r>
            </m:sup>
          </m:sSubSup>
          <m:r>
            <m:rPr>
              <m:sty m:val="p"/>
            </m:rPr>
            <w:rPr>
              <w:rFonts w:ascii="Cambria Math" w:hAnsi="Cambria Math" w:cs="Calibri"/>
              <w:sz w:val="24"/>
              <w:lang w:val="es-ES"/>
            </w:rPr>
            <m:t>=</m:t>
          </m:r>
          <m:f>
            <m:fPr>
              <m:ctrlPr>
                <w:rPr>
                  <w:rFonts w:ascii="Cambria Math" w:hAnsi="Cambria Math" w:cs="Calibri"/>
                  <w:sz w:val="24"/>
                  <w:lang w:val="es-E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Calibri"/>
                      <w:sz w:val="24"/>
                      <w:lang w:val="es-ES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sz w:val="24"/>
                      <w:lang w:val="es-ES"/>
                    </w:rPr>
                    <m:t>Priesgo</m:t>
                  </m:r>
                </m:e>
                <m:sub>
                  <m:r>
                    <w:rPr>
                      <w:rFonts w:ascii="Cambria Math" w:hAnsi="Cambria Math" w:cs="Calibri"/>
                      <w:sz w:val="24"/>
                      <w:lang w:val="es-ES"/>
                    </w:rPr>
                    <m:t>i</m:t>
                  </m:r>
                </m:sub>
                <m:sup>
                  <m:r>
                    <w:rPr>
                      <w:rFonts w:ascii="Cambria Math" w:hAnsi="Cambria Math" w:cs="Calibri"/>
                      <w:sz w:val="24"/>
                      <w:lang w:val="es-ES"/>
                    </w:rPr>
                    <m:t>Anual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lang w:val="es-ES"/>
                </w:rPr>
                <m:t>365</m:t>
              </m:r>
            </m:den>
          </m:f>
          <m:r>
            <m:rPr>
              <m:sty m:val="p"/>
            </m:rPr>
            <w:rPr>
              <w:rFonts w:ascii="Cambria Math" w:hAnsi="Cambria Math" w:cs="Calibri"/>
              <w:sz w:val="24"/>
              <w:lang w:val="es-ES"/>
            </w:rPr>
            <m:t>*</m:t>
          </m:r>
          <m:r>
            <w:rPr>
              <w:rFonts w:ascii="Cambria Math" w:hAnsi="Cambria Math" w:cs="Calibri"/>
              <w:sz w:val="24"/>
              <w:lang w:val="es-ES"/>
            </w:rPr>
            <m:t>Ndias</m:t>
          </m:r>
        </m:oMath>
      </m:oMathPara>
    </w:p>
    <w:p w14:paraId="6B1ED6EE" w14:textId="77777777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</w:p>
    <w:p w14:paraId="19284B38" w14:textId="77777777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  <w:r w:rsidRPr="00FE3E14">
        <w:rPr>
          <w:rFonts w:ascii="Calibri" w:hAnsi="Calibri" w:cs="Calibri"/>
          <w:sz w:val="24"/>
          <w:lang w:val="es-ES"/>
        </w:rPr>
        <w:t>Donde,</w:t>
      </w:r>
    </w:p>
    <w:p w14:paraId="39DA6668" w14:textId="77777777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</w:p>
    <w:p w14:paraId="0A976D11" w14:textId="29BB0238" w:rsidR="00FE3E14" w:rsidRPr="00FE3E14" w:rsidRDefault="00000000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  <m:oMath>
        <m:sSubSup>
          <m:sSubSupPr>
            <m:ctrlPr>
              <w:rPr>
                <w:rFonts w:ascii="Cambria Math" w:hAnsi="Cambria Math" w:cs="Calibri"/>
                <w:sz w:val="24"/>
                <w:lang w:val="es-ES"/>
              </w:rPr>
            </m:ctrlPr>
          </m:sSubSupPr>
          <m:e>
            <m:r>
              <w:rPr>
                <w:rFonts w:ascii="Cambria Math" w:hAnsi="Cambria Math" w:cs="Calibri"/>
                <w:sz w:val="24"/>
                <w:lang w:val="es-ES"/>
              </w:rPr>
              <m:t>Priesgo</m:t>
            </m:r>
          </m:e>
          <m:sub>
            <m:r>
              <w:rPr>
                <w:rFonts w:ascii="Cambria Math" w:hAnsi="Cambria Math" w:cs="Calibri"/>
                <w:sz w:val="24"/>
                <w:lang w:val="es-ES"/>
              </w:rPr>
              <m:t>i</m:t>
            </m:r>
          </m:sub>
          <m:sup>
            <m:r>
              <w:rPr>
                <w:rFonts w:ascii="Cambria Math" w:hAnsi="Cambria Math" w:cs="Calibri"/>
                <w:sz w:val="24"/>
                <w:lang w:val="es-ES"/>
              </w:rPr>
              <m:t>Anual</m:t>
            </m:r>
          </m:sup>
        </m:sSubSup>
      </m:oMath>
      <w:r w:rsidR="00FE3E14" w:rsidRPr="00FE3E14">
        <w:rPr>
          <w:rFonts w:ascii="Calibri" w:hAnsi="Calibri" w:cs="Calibri"/>
          <w:sz w:val="24"/>
          <w:lang w:val="es-ES"/>
        </w:rPr>
        <w:t xml:space="preserve">: corresponde a la prima de riesgo anual para la categoría </w:t>
      </w:r>
      <m:oMath>
        <m:r>
          <w:rPr>
            <w:rFonts w:ascii="Cambria Math" w:hAnsi="Cambria Math" w:cs="Calibri"/>
            <w:sz w:val="24"/>
            <w:lang w:val="es-ES"/>
          </w:rPr>
          <m:t>i</m:t>
        </m:r>
      </m:oMath>
      <w:r w:rsidR="00FE3E14" w:rsidRPr="00FE3E14">
        <w:rPr>
          <w:rFonts w:ascii="Calibri" w:hAnsi="Calibri" w:cs="Calibri"/>
          <w:sz w:val="24"/>
          <w:lang w:val="es-ES"/>
        </w:rPr>
        <w:t>, determinada como:</w:t>
      </w:r>
    </w:p>
    <w:p w14:paraId="6E3FCB03" w14:textId="77777777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</w:p>
    <w:p w14:paraId="205C27E1" w14:textId="1A90744B" w:rsidR="00FE3E14" w:rsidRPr="00FE3E14" w:rsidRDefault="00000000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  <m:oMathPara>
        <m:oMath>
          <m:sSubSup>
            <m:sSubSupPr>
              <m:ctrlPr>
                <w:rPr>
                  <w:rFonts w:ascii="Cambria Math" w:hAnsi="Cambria Math" w:cs="Calibri"/>
                  <w:sz w:val="24"/>
                  <w:lang w:val="es-ES"/>
                </w:rPr>
              </m:ctrlPr>
            </m:sSubSupPr>
            <m:e>
              <m:r>
                <w:rPr>
                  <w:rFonts w:ascii="Cambria Math" w:hAnsi="Cambria Math" w:cs="Calibri"/>
                  <w:sz w:val="24"/>
                  <w:lang w:val="es-ES"/>
                </w:rPr>
                <m:t>Priesgo</m:t>
              </m:r>
            </m:e>
            <m:sub>
              <m:r>
                <w:rPr>
                  <w:rFonts w:ascii="Cambria Math" w:hAnsi="Cambria Math" w:cs="Calibri"/>
                  <w:sz w:val="24"/>
                  <w:lang w:val="es-ES"/>
                </w:rPr>
                <m:t>i</m:t>
              </m:r>
            </m:sub>
            <m:sup>
              <m:r>
                <w:rPr>
                  <w:rFonts w:ascii="Cambria Math" w:hAnsi="Cambria Math" w:cs="Calibri"/>
                  <w:sz w:val="24"/>
                  <w:lang w:val="es-ES"/>
                </w:rPr>
                <m:t>Anual</m:t>
              </m:r>
            </m:sup>
          </m:sSubSup>
          <m:r>
            <m:rPr>
              <m:sty m:val="p"/>
            </m:rPr>
            <w:rPr>
              <w:rFonts w:ascii="Cambria Math" w:hAnsi="Cambria Math" w:cs="Calibri"/>
              <w:sz w:val="24"/>
              <w:lang w:val="es-ES"/>
            </w:rPr>
            <m:t>=</m:t>
          </m:r>
          <m:sSub>
            <m:sSubPr>
              <m:ctrlPr>
                <w:rPr>
                  <w:rFonts w:ascii="Cambria Math" w:hAnsi="Cambria Math" w:cs="Calibri"/>
                  <w:sz w:val="24"/>
                  <w:lang w:val="es-ES"/>
                </w:rPr>
              </m:ctrlPr>
            </m:sSubPr>
            <m:e>
              <m:r>
                <w:rPr>
                  <w:rFonts w:ascii="Cambria Math" w:hAnsi="Cambria Math" w:cs="Calibri"/>
                  <w:sz w:val="24"/>
                  <w:lang w:val="es-ES"/>
                </w:rPr>
                <m:t>TAnual</m:t>
              </m:r>
            </m:e>
            <m:sub>
              <m:r>
                <w:rPr>
                  <w:rFonts w:ascii="Cambria Math" w:hAnsi="Cambria Math" w:cs="Calibri"/>
                  <w:sz w:val="24"/>
                  <w:lang w:val="es-E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Calibri"/>
              <w:sz w:val="24"/>
              <w:lang w:val="es-ES"/>
            </w:rPr>
            <m:t>*</m:t>
          </m:r>
          <m:d>
            <m:dPr>
              <m:ctrlPr>
                <w:rPr>
                  <w:rFonts w:ascii="Cambria Math" w:hAnsi="Cambria Math" w:cs="Calibri"/>
                  <w:sz w:val="24"/>
                  <w:lang w:val="es-E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lang w:val="es-ES"/>
                </w:rPr>
                <m:t>1-</m:t>
              </m:r>
              <m:r>
                <w:rPr>
                  <w:rFonts w:ascii="Cambria Math" w:hAnsi="Cambria Math" w:cs="Calibri"/>
                  <w:sz w:val="24"/>
                  <w:lang w:val="es-ES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Calibri"/>
              <w:sz w:val="24"/>
              <w:lang w:val="es-ES"/>
            </w:rPr>
            <m:t>*(1-</m:t>
          </m:r>
          <m:r>
            <w:rPr>
              <w:rFonts w:ascii="Cambria Math" w:hAnsi="Cambria Math" w:cs="Calibri"/>
              <w:sz w:val="24"/>
              <w:lang w:val="es-ES"/>
            </w:rPr>
            <m:t>G</m:t>
          </m:r>
          <m:r>
            <m:rPr>
              <m:sty m:val="p"/>
            </m:rPr>
            <w:rPr>
              <w:rFonts w:ascii="Cambria Math" w:hAnsi="Cambria Math" w:cs="Calibri"/>
              <w:sz w:val="24"/>
              <w:lang w:val="es-ES"/>
            </w:rPr>
            <m:t>)</m:t>
          </m:r>
        </m:oMath>
      </m:oMathPara>
    </w:p>
    <w:p w14:paraId="0A72AAE6" w14:textId="77777777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  <w:r w:rsidRPr="00FE3E14">
        <w:rPr>
          <w:rFonts w:ascii="Calibri" w:hAnsi="Calibri" w:cs="Calibri"/>
          <w:sz w:val="24"/>
          <w:lang w:val="es-ES"/>
        </w:rPr>
        <w:t>Donde,</w:t>
      </w:r>
    </w:p>
    <w:p w14:paraId="6C12E9F5" w14:textId="77777777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</w:p>
    <w:p w14:paraId="2CA642E2" w14:textId="0F603F2B" w:rsidR="00FE3E14" w:rsidRPr="00FE3E14" w:rsidRDefault="00000000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  <m:oMath>
        <m:sSub>
          <m:sSubPr>
            <m:ctrlPr>
              <w:rPr>
                <w:rFonts w:ascii="Cambria Math" w:hAnsi="Cambria Math" w:cs="Calibri"/>
                <w:sz w:val="24"/>
                <w:lang w:val="es-ES"/>
              </w:rPr>
            </m:ctrlPr>
          </m:sSubPr>
          <m:e>
            <m:r>
              <w:rPr>
                <w:rFonts w:ascii="Cambria Math" w:hAnsi="Cambria Math" w:cs="Calibri"/>
                <w:sz w:val="24"/>
                <w:lang w:val="es-ES"/>
              </w:rPr>
              <m:t>TAnual</m:t>
            </m:r>
          </m:e>
          <m:sub>
            <m:r>
              <w:rPr>
                <w:rFonts w:ascii="Cambria Math" w:hAnsi="Cambria Math" w:cs="Calibri"/>
                <w:sz w:val="24"/>
                <w:lang w:val="es-ES"/>
              </w:rPr>
              <m:t>i</m:t>
            </m:r>
          </m:sub>
        </m:sSub>
      </m:oMath>
      <w:r w:rsidR="00FE3E14" w:rsidRPr="00FE3E14">
        <w:rPr>
          <w:rFonts w:ascii="Calibri" w:hAnsi="Calibri" w:cs="Calibri"/>
          <w:sz w:val="24"/>
          <w:lang w:val="es-ES"/>
        </w:rPr>
        <w:t xml:space="preserve">: corresponde a la tarifa máxima anual aplicable a la categoría </w:t>
      </w:r>
      <m:oMath>
        <m:r>
          <w:rPr>
            <w:rFonts w:ascii="Cambria Math" w:hAnsi="Cambria Math" w:cs="Calibri"/>
            <w:sz w:val="24"/>
            <w:lang w:val="es-ES"/>
          </w:rPr>
          <m:t>i</m:t>
        </m:r>
      </m:oMath>
      <w:r w:rsidR="00FE3E14" w:rsidRPr="00FE3E14">
        <w:rPr>
          <w:rFonts w:ascii="Calibri" w:hAnsi="Calibri" w:cs="Calibri"/>
          <w:sz w:val="24"/>
          <w:lang w:val="es-ES"/>
        </w:rPr>
        <w:t>, señalada en el Anexo I del Título IV de la Parte de II de la CBJ.</w:t>
      </w:r>
    </w:p>
    <w:p w14:paraId="01609AB8" w14:textId="77777777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</w:p>
    <w:p w14:paraId="721C2450" w14:textId="6E015170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  <m:oMath>
        <m:r>
          <w:rPr>
            <w:rFonts w:ascii="Cambria Math" w:hAnsi="Cambria Math" w:cs="Calibri"/>
            <w:sz w:val="24"/>
            <w:lang w:val="es-ES"/>
          </w:rPr>
          <m:t>T</m:t>
        </m:r>
      </m:oMath>
      <w:r w:rsidRPr="00FE3E14">
        <w:rPr>
          <w:rFonts w:ascii="Calibri" w:hAnsi="Calibri" w:cs="Calibri"/>
          <w:sz w:val="24"/>
          <w:lang w:val="es-ES"/>
        </w:rPr>
        <w:t>: corresponde a la suma de los porcentajes de transferencias señalados en la normatividad vigente.</w:t>
      </w:r>
    </w:p>
    <w:p w14:paraId="3CA9F5FE" w14:textId="77777777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</w:p>
    <w:p w14:paraId="5F4EEA10" w14:textId="23B4E98C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  <m:oMath>
        <m:r>
          <w:rPr>
            <w:rFonts w:ascii="Cambria Math" w:hAnsi="Cambria Math" w:cs="Calibri"/>
            <w:sz w:val="24"/>
            <w:lang w:val="es-ES"/>
          </w:rPr>
          <m:t>G</m:t>
        </m:r>
      </m:oMath>
      <w:r w:rsidRPr="00FE3E14">
        <w:rPr>
          <w:rFonts w:ascii="Calibri" w:hAnsi="Calibri" w:cs="Calibri"/>
          <w:sz w:val="24"/>
          <w:lang w:val="es-ES"/>
        </w:rPr>
        <w:t>: corresponde a la suma de los porcentajes de gastos de administración, personal e intermediación señalados en la nota técnica del ramo.</w:t>
      </w:r>
    </w:p>
    <w:p w14:paraId="71764B04" w14:textId="77777777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</w:p>
    <w:p w14:paraId="6228C52C" w14:textId="6A364E00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  <m:oMath>
        <m:r>
          <w:rPr>
            <w:rFonts w:ascii="Cambria Math" w:hAnsi="Cambria Math" w:cs="Calibri"/>
            <w:sz w:val="24"/>
            <w:lang w:val="es-ES"/>
          </w:rPr>
          <m:t>Ndias</m:t>
        </m:r>
      </m:oMath>
      <w:r w:rsidRPr="00FE3E14">
        <w:rPr>
          <w:rFonts w:ascii="Calibri" w:hAnsi="Calibri" w:cs="Calibri"/>
          <w:sz w:val="24"/>
          <w:lang w:val="es-ES"/>
        </w:rPr>
        <w:t xml:space="preserve">: número de días de vigencia de la póliza. Esta variable solo podrá ser igual a 15 o a un múltiplo entero de 30. </w:t>
      </w:r>
    </w:p>
    <w:p w14:paraId="51211867" w14:textId="77777777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iCs/>
          <w:sz w:val="24"/>
          <w:lang w:val="es-ES"/>
        </w:rPr>
      </w:pPr>
    </w:p>
    <w:p w14:paraId="7DB20513" w14:textId="0A322423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  <m:oMath>
        <m:r>
          <w:rPr>
            <w:rFonts w:ascii="Cambria Math" w:hAnsi="Cambria Math" w:cs="Calibri"/>
            <w:sz w:val="24"/>
            <w:lang w:val="es-ES"/>
          </w:rPr>
          <m:t>m</m:t>
        </m:r>
      </m:oMath>
      <w:r w:rsidRPr="00FE3E14">
        <w:rPr>
          <w:rFonts w:ascii="Calibri" w:hAnsi="Calibri" w:cs="Calibri"/>
          <w:sz w:val="24"/>
          <w:lang w:val="es-ES"/>
        </w:rPr>
        <w:t>: número entero de meses de vigencia.</w:t>
      </w:r>
    </w:p>
    <w:p w14:paraId="3179AC0E" w14:textId="77777777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</w:p>
    <w:p w14:paraId="23CA5C32" w14:textId="1AC3EF19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  <m:oMathPara>
        <m:oMath>
          <m:r>
            <w:rPr>
              <w:rFonts w:ascii="Cambria Math" w:hAnsi="Cambria Math" w:cs="Calibri"/>
              <w:sz w:val="24"/>
              <w:lang w:val="es-ES"/>
            </w:rPr>
            <m:t>m=</m:t>
          </m:r>
          <m:d>
            <m:dPr>
              <m:begChr m:val="{"/>
              <m:endChr m:val=""/>
              <m:ctrlPr>
                <w:rPr>
                  <w:rFonts w:ascii="Cambria Math" w:hAnsi="Cambria Math" w:cs="Calibri"/>
                  <w:i/>
                  <w:sz w:val="24"/>
                  <w:lang w:val="es-E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alibri"/>
                      <w:sz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lang w:val="es-E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Calibri"/>
                        <w:sz w:val="24"/>
                        <w:lang w:val="es-ES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lang w:val="es-ES"/>
                      </w:rPr>
                      <m:t>si</m:t>
                    </m:r>
                  </m:e>
                  <m:e>
                    <m:r>
                      <w:rPr>
                        <w:rFonts w:ascii="Cambria Math" w:hAnsi="Cambria Math" w:cs="Calibri"/>
                        <w:sz w:val="24"/>
                        <w:lang w:val="es-ES"/>
                      </w:rPr>
                      <m:t>Ndías =15</m:t>
                    </m:r>
                    <m:r>
                      <w:rPr>
                        <w:rFonts w:ascii="Cambria Math" w:hAnsi="Cambria Math" w:cs="Calibri"/>
                        <w:sz w:val="24"/>
                      </w:rPr>
                      <m:t xml:space="preserve"> </m:t>
                    </m:r>
                  </m:e>
                </m:mr>
                <m:mr>
                  <m:e>
                    <m:r>
                      <w:rPr>
                        <w:rFonts w:ascii="Cambria Math" w:hAnsi="Cambria Math" w:cs="Calibri"/>
                        <w:sz w:val="24"/>
                        <w:lang w:val="es-ES"/>
                      </w:rPr>
                      <m:t>Ndías/30</m:t>
                    </m:r>
                  </m:e>
                  <m:e>
                    <m:r>
                      <w:rPr>
                        <w:rFonts w:ascii="Cambria Math" w:hAnsi="Cambria Math" w:cs="Calibri"/>
                        <w:sz w:val="24"/>
                      </w:rPr>
                      <m:t xml:space="preserve"> </m:t>
                    </m:r>
                  </m:e>
                  <m:e>
                    <m:r>
                      <w:rPr>
                        <w:rFonts w:ascii="Cambria Math" w:hAnsi="Cambria Math" w:cs="Calibri"/>
                        <w:sz w:val="24"/>
                      </w:rPr>
                      <m:t xml:space="preserve">en caso contrario </m:t>
                    </m:r>
                  </m:e>
                </m:mr>
              </m:m>
            </m:e>
          </m:d>
        </m:oMath>
      </m:oMathPara>
    </w:p>
    <w:p w14:paraId="253FAC1A" w14:textId="77777777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</w:p>
    <w:p w14:paraId="16BA354B" w14:textId="3BFADEAA" w:rsidR="00FE3E14" w:rsidRPr="00FE3E14" w:rsidRDefault="00000000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  <m:oMath>
        <m:sSub>
          <m:sSubPr>
            <m:ctrlPr>
              <w:rPr>
                <w:rFonts w:ascii="Cambria Math" w:hAnsi="Cambria Math" w:cs="Calibri"/>
                <w:i/>
                <w:sz w:val="24"/>
              </w:rPr>
            </m:ctrlPr>
          </m:sSubPr>
          <m:e>
            <m:r>
              <w:rPr>
                <w:rFonts w:ascii="Cambria Math" w:hAnsi="Cambria Math" w:cs="Calibri"/>
                <w:sz w:val="24"/>
              </w:rPr>
              <m:t>G</m:t>
            </m:r>
          </m:e>
          <m:sub>
            <m:r>
              <w:rPr>
                <w:rFonts w:ascii="Cambria Math" w:hAnsi="Cambria Math" w:cs="Calibri"/>
                <w:sz w:val="24"/>
              </w:rPr>
              <m:t>i,m</m:t>
            </m:r>
          </m:sub>
        </m:sSub>
      </m:oMath>
      <w:r w:rsidR="00FE3E14" w:rsidRPr="00FE3E14">
        <w:rPr>
          <w:rFonts w:ascii="Calibri" w:hAnsi="Calibri" w:cs="Calibri"/>
          <w:sz w:val="24"/>
        </w:rPr>
        <w:t xml:space="preserve">: corresponde </w:t>
      </w:r>
      <w:r w:rsidR="00FE3E14" w:rsidRPr="00FE3E14">
        <w:rPr>
          <w:rFonts w:ascii="Calibri" w:hAnsi="Calibri" w:cs="Calibri"/>
          <w:sz w:val="24"/>
          <w:lang w:val="es-ES"/>
        </w:rPr>
        <w:t xml:space="preserve">a </w:t>
      </w:r>
      <w:r w:rsidR="00FE3E14" w:rsidRPr="00FE3E14">
        <w:rPr>
          <w:rFonts w:ascii="Calibri" w:hAnsi="Calibri" w:cs="Calibri"/>
          <w:sz w:val="24"/>
        </w:rPr>
        <w:t xml:space="preserve">los </w:t>
      </w:r>
      <w:r w:rsidR="00FE3E14" w:rsidRPr="00FE3E14">
        <w:rPr>
          <w:rFonts w:ascii="Calibri" w:hAnsi="Calibri" w:cs="Calibri"/>
          <w:sz w:val="24"/>
          <w:lang w:val="es-ES"/>
        </w:rPr>
        <w:t xml:space="preserve">gastos de administración, personal e intermediación de la categoría </w:t>
      </w:r>
      <m:oMath>
        <m:r>
          <w:rPr>
            <w:rFonts w:ascii="Cambria Math" w:hAnsi="Cambria Math" w:cs="Calibri"/>
            <w:sz w:val="24"/>
            <w:lang w:val="es-ES"/>
          </w:rPr>
          <m:t>i</m:t>
        </m:r>
      </m:oMath>
      <w:r w:rsidR="00FE3E14" w:rsidRPr="00FE3E14">
        <w:rPr>
          <w:rFonts w:ascii="Calibri" w:hAnsi="Calibri" w:cs="Calibri"/>
          <w:sz w:val="24"/>
          <w:lang w:val="es-ES"/>
        </w:rPr>
        <w:t xml:space="preserve"> para meses enteros de vigencia </w:t>
      </w:r>
      <m:oMath>
        <m:r>
          <w:rPr>
            <w:rFonts w:ascii="Cambria Math" w:hAnsi="Cambria Math" w:cs="Calibri"/>
            <w:sz w:val="24"/>
            <w:lang w:val="es-ES"/>
          </w:rPr>
          <m:t>m</m:t>
        </m:r>
      </m:oMath>
      <w:r w:rsidR="00FE3E14" w:rsidRPr="00FE3E14" w:rsidDel="00993403">
        <w:rPr>
          <w:rFonts w:ascii="Calibri" w:hAnsi="Calibri" w:cs="Calibri"/>
          <w:sz w:val="24"/>
          <w:lang w:val="es-ES"/>
        </w:rPr>
        <w:t xml:space="preserve"> </w:t>
      </w:r>
      <w:r w:rsidR="00FE3E14" w:rsidRPr="00FE3E14">
        <w:rPr>
          <w:rFonts w:ascii="Calibri" w:hAnsi="Calibri" w:cs="Calibri"/>
          <w:sz w:val="24"/>
          <w:lang w:val="es-ES"/>
        </w:rPr>
        <w:t>, calculados de la siguiente manera:</w:t>
      </w:r>
    </w:p>
    <w:p w14:paraId="009B3B8B" w14:textId="77777777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</w:p>
    <w:p w14:paraId="5E47E6F0" w14:textId="77777777" w:rsidR="00FE3E14" w:rsidRPr="00FE3E14" w:rsidRDefault="00FE3E14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</w:p>
    <w:p w14:paraId="07735BCF" w14:textId="43AC36DB" w:rsidR="00FE3E14" w:rsidRPr="00FE3E14" w:rsidRDefault="00000000" w:rsidP="00FE3E14">
      <w:pPr>
        <w:pStyle w:val="Prrafodelista"/>
        <w:tabs>
          <w:tab w:val="left" w:pos="426"/>
        </w:tabs>
        <w:ind w:left="0"/>
        <w:jc w:val="both"/>
        <w:rPr>
          <w:rFonts w:ascii="Calibri" w:hAnsi="Calibri" w:cs="Calibri"/>
          <w:sz w:val="24"/>
          <w:lang w:val="es-ES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Calibri"/>
                  <w:sz w:val="24"/>
                </w:rPr>
                <m:t>G</m:t>
              </m:r>
            </m:e>
            <m:sub>
              <m:r>
                <w:rPr>
                  <w:rFonts w:ascii="Cambria Math" w:hAnsi="Cambria Math" w:cs="Calibri"/>
                  <w:sz w:val="24"/>
                </w:rPr>
                <m:t>i,m</m:t>
              </m:r>
            </m:sub>
          </m:sSub>
          <m:r>
            <m:rPr>
              <m:sty m:val="p"/>
            </m:rPr>
            <w:rPr>
              <w:rFonts w:ascii="Cambria Math" w:hAnsi="Cambria Math" w:cs="Calibri"/>
              <w:sz w:val="24"/>
              <w:lang w:val="es-ES"/>
            </w:rPr>
            <m:t>=</m:t>
          </m:r>
          <m:r>
            <w:rPr>
              <w:rFonts w:ascii="Cambria Math" w:hAnsi="Cambria Math" w:cs="Calibri"/>
              <w:sz w:val="24"/>
            </w:rPr>
            <m:t>G</m:t>
          </m:r>
          <m:r>
            <m:rPr>
              <m:sty m:val="p"/>
            </m:rPr>
            <w:rPr>
              <w:rFonts w:ascii="Cambria Math" w:hAnsi="Cambria Math" w:cs="Calibri"/>
              <w:sz w:val="24"/>
              <w:lang w:val="es-ES"/>
            </w:rPr>
            <m:t>*</m:t>
          </m:r>
          <m:sSub>
            <m:sSubPr>
              <m:ctrlPr>
                <w:rPr>
                  <w:rFonts w:ascii="Cambria Math" w:hAnsi="Cambria Math" w:cs="Calibri"/>
                  <w:sz w:val="24"/>
                  <w:lang w:val="es-ES"/>
                </w:rPr>
              </m:ctrlPr>
            </m:sSubPr>
            <m:e>
              <m:r>
                <w:rPr>
                  <w:rFonts w:ascii="Cambria Math" w:hAnsi="Cambria Math" w:cs="Calibri"/>
                  <w:sz w:val="24"/>
                  <w:lang w:val="es-ES"/>
                </w:rPr>
                <m:t>TAnual</m:t>
              </m:r>
            </m:e>
            <m:sub>
              <m:r>
                <w:rPr>
                  <w:rFonts w:ascii="Cambria Math" w:hAnsi="Cambria Math" w:cs="Calibri"/>
                  <w:sz w:val="24"/>
                  <w:lang w:val="es-E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Calibri"/>
              <w:sz w:val="24"/>
              <w:lang w:val="es-ES"/>
            </w:rPr>
            <m:t>*</m:t>
          </m:r>
          <m:d>
            <m:dPr>
              <m:ctrlPr>
                <w:rPr>
                  <w:rFonts w:ascii="Cambria Math" w:hAnsi="Cambria Math" w:cs="Calibri"/>
                  <w:sz w:val="24"/>
                  <w:lang w:val="es-E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lang w:val="es-ES"/>
                </w:rPr>
                <m:t>1-</m:t>
              </m:r>
              <m:r>
                <w:rPr>
                  <w:rFonts w:ascii="Cambria Math" w:hAnsi="Cambria Math" w:cs="Calibri"/>
                  <w:sz w:val="24"/>
                  <w:lang w:val="es-ES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Calibri"/>
              <w:sz w:val="24"/>
              <w:lang w:val="es-ES"/>
            </w:rPr>
            <m:t>*</m:t>
          </m:r>
          <m:f>
            <m:fPr>
              <m:ctrlPr>
                <w:rPr>
                  <w:rFonts w:ascii="Cambria Math" w:hAnsi="Cambria Math" w:cs="Calibri"/>
                  <w:sz w:val="24"/>
                  <w:lang w:val="es-ES"/>
                </w:rPr>
              </m:ctrlPr>
            </m:fPr>
            <m:num>
              <m:r>
                <w:rPr>
                  <w:rFonts w:ascii="Cambria Math" w:hAnsi="Cambria Math" w:cs="Calibri"/>
                  <w:sz w:val="24"/>
                  <w:lang w:val="es-ES"/>
                </w:rPr>
                <m:t>m</m:t>
              </m:r>
            </m:num>
            <m:den>
              <m:r>
                <w:rPr>
                  <w:rFonts w:ascii="Cambria Math" w:hAnsi="Cambria Math" w:cs="Calibri"/>
                  <w:sz w:val="24"/>
                  <w:lang w:val="es-ES"/>
                </w:rPr>
                <m:t>12</m:t>
              </m:r>
            </m:den>
          </m:f>
        </m:oMath>
      </m:oMathPara>
    </w:p>
    <w:p w14:paraId="5A3A4F33" w14:textId="77777777" w:rsidR="00A52E1F" w:rsidRPr="00BF3DB1" w:rsidRDefault="00A52E1F" w:rsidP="00FE3E14">
      <w:pPr>
        <w:pStyle w:val="Prrafodelista"/>
        <w:tabs>
          <w:tab w:val="left" w:pos="284"/>
        </w:tabs>
        <w:ind w:left="0"/>
        <w:jc w:val="center"/>
        <w:rPr>
          <w:rFonts w:cstheme="minorHAnsi"/>
          <w:sz w:val="24"/>
        </w:rPr>
      </w:pPr>
    </w:p>
    <w:sectPr w:rsidR="00A52E1F" w:rsidRPr="00BF3DB1" w:rsidSect="00DF13AA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5D34" w14:textId="77777777" w:rsidR="00270F1B" w:rsidRDefault="00270F1B" w:rsidP="00DF13AA">
      <w:pPr>
        <w:spacing w:after="0" w:line="240" w:lineRule="auto"/>
      </w:pPr>
      <w:r>
        <w:separator/>
      </w:r>
    </w:p>
  </w:endnote>
  <w:endnote w:type="continuationSeparator" w:id="0">
    <w:p w14:paraId="6B118892" w14:textId="77777777" w:rsidR="00270F1B" w:rsidRDefault="00270F1B" w:rsidP="00DF13AA">
      <w:pPr>
        <w:spacing w:after="0" w:line="240" w:lineRule="auto"/>
      </w:pPr>
      <w:r>
        <w:continuationSeparator/>
      </w:r>
    </w:p>
  </w:endnote>
  <w:endnote w:type="continuationNotice" w:id="1">
    <w:p w14:paraId="1976F959" w14:textId="77777777" w:rsidR="00270F1B" w:rsidRDefault="00270F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32AE" w14:textId="77777777" w:rsidR="003958E2" w:rsidRDefault="003958E2">
    <w:pPr>
      <w:pStyle w:val="Piedepgina"/>
    </w:pPr>
  </w:p>
  <w:p w14:paraId="4454797C" w14:textId="74145ACE" w:rsidR="003958E2" w:rsidRDefault="003958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B46B" w14:textId="2423EB28" w:rsidR="00FB2A46" w:rsidRDefault="00A91E16" w:rsidP="00B77D6A">
    <w:pPr>
      <w:pStyle w:val="Piedepgina"/>
      <w:tabs>
        <w:tab w:val="left" w:pos="724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6B5A678" wp14:editId="7538C97E">
          <wp:simplePos x="0" y="0"/>
          <wp:positionH relativeFrom="column">
            <wp:posOffset>3358197</wp:posOffset>
          </wp:positionH>
          <wp:positionV relativeFrom="paragraph">
            <wp:posOffset>-236855</wp:posOffset>
          </wp:positionV>
          <wp:extent cx="2604343" cy="574372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343" cy="574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A46">
      <w:tab/>
    </w:r>
    <w:sdt>
      <w:sdtPr>
        <w:id w:val="1854154030"/>
        <w:placeholder>
          <w:docPart w:val="07E5E66BF1EE40E4A09855ED99AFF66F"/>
        </w:placeholder>
        <w:docPartObj>
          <w:docPartGallery w:val="Page Numbers (Bottom of Page)"/>
          <w:docPartUnique/>
        </w:docPartObj>
      </w:sdtPr>
      <w:sdtContent>
        <w:r w:rsidR="00FB2A46">
          <w:fldChar w:fldCharType="begin"/>
        </w:r>
        <w:r w:rsidR="00FB2A46">
          <w:instrText>PAGE   \* MERGEFORMAT</w:instrText>
        </w:r>
        <w:r w:rsidR="00FB2A46">
          <w:fldChar w:fldCharType="separate"/>
        </w:r>
        <w:r w:rsidR="00FB2A46" w:rsidRPr="00863DAD">
          <w:rPr>
            <w:noProof/>
            <w:lang w:val="es-ES"/>
          </w:rPr>
          <w:t>8</w:t>
        </w:r>
        <w:r w:rsidR="00FB2A46">
          <w:fldChar w:fldCharType="end"/>
        </w:r>
      </w:sdtContent>
    </w:sdt>
    <w:r w:rsidR="00FB2A46">
      <w:tab/>
    </w:r>
    <w:r w:rsidR="00FB2A46">
      <w:tab/>
    </w:r>
  </w:p>
  <w:p w14:paraId="5BEB3985" w14:textId="782539FB" w:rsidR="00FB2A46" w:rsidRDefault="00FB2A46" w:rsidP="00AB219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A962" w14:textId="77777777" w:rsidR="00270F1B" w:rsidRDefault="00270F1B" w:rsidP="00DF13AA">
      <w:pPr>
        <w:spacing w:after="0" w:line="240" w:lineRule="auto"/>
      </w:pPr>
      <w:r>
        <w:separator/>
      </w:r>
    </w:p>
  </w:footnote>
  <w:footnote w:type="continuationSeparator" w:id="0">
    <w:p w14:paraId="78BA847C" w14:textId="77777777" w:rsidR="00270F1B" w:rsidRDefault="00270F1B" w:rsidP="00DF13AA">
      <w:pPr>
        <w:spacing w:after="0" w:line="240" w:lineRule="auto"/>
      </w:pPr>
      <w:r>
        <w:continuationSeparator/>
      </w:r>
    </w:p>
  </w:footnote>
  <w:footnote w:type="continuationNotice" w:id="1">
    <w:p w14:paraId="1EAA588D" w14:textId="77777777" w:rsidR="00270F1B" w:rsidRDefault="00270F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1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3"/>
      <w:gridCol w:w="5093"/>
    </w:tblGrid>
    <w:tr w:rsidR="00FB2A46" w14:paraId="3DFB0C35" w14:textId="77777777" w:rsidTr="00DF13AA">
      <w:trPr>
        <w:trHeight w:val="922"/>
        <w:jc w:val="center"/>
      </w:trPr>
      <w:tc>
        <w:tcPr>
          <w:tcW w:w="5093" w:type="dxa"/>
        </w:tcPr>
        <w:p w14:paraId="373A1FC1" w14:textId="52DD7DF9" w:rsidR="00FB2A46" w:rsidRDefault="00970919">
          <w:pPr>
            <w:pStyle w:val="Encabezado"/>
          </w:pPr>
          <w:r>
            <w:rPr>
              <w:noProof/>
            </w:rPr>
            <w:object w:dxaOrig="4741" w:dyaOrig="1590" w14:anchorId="475A44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62.75pt;height:54.7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44029315" r:id="rId2"/>
            </w:object>
          </w:r>
          <w:r w:rsidR="00FB2A46">
            <w:rPr>
              <w:noProof/>
              <w:lang w:val="en-US"/>
            </w:rPr>
            <w:t xml:space="preserve"> </w:t>
          </w:r>
        </w:p>
      </w:tc>
      <w:tc>
        <w:tcPr>
          <w:tcW w:w="5093" w:type="dxa"/>
        </w:tcPr>
        <w:p w14:paraId="4BE11158" w14:textId="77777777" w:rsidR="00FB2A46" w:rsidRPr="007B1E46" w:rsidRDefault="00FB2A46" w:rsidP="00DF13AA">
          <w:pPr>
            <w:pStyle w:val="Encabezado"/>
            <w:jc w:val="right"/>
            <w:rPr>
              <w:b/>
              <w:iCs/>
              <w:color w:val="404040" w:themeColor="text1" w:themeTint="BF"/>
              <w:sz w:val="24"/>
              <w:szCs w:val="21"/>
            </w:rPr>
          </w:pPr>
          <w:r w:rsidRPr="007B1E46">
            <w:rPr>
              <w:b/>
              <w:iCs/>
              <w:color w:val="404040" w:themeColor="text1" w:themeTint="BF"/>
              <w:sz w:val="24"/>
              <w:szCs w:val="21"/>
            </w:rPr>
            <w:t>Seguro Obligatorio de Accidentes de Tránsito – SOAT</w:t>
          </w:r>
        </w:p>
        <w:p w14:paraId="5AEA897D" w14:textId="5CF81711" w:rsidR="00FB2A46" w:rsidRPr="007B1E46" w:rsidRDefault="0019431D" w:rsidP="00DF13AA">
          <w:pPr>
            <w:pStyle w:val="Encabezado"/>
            <w:jc w:val="right"/>
            <w:rPr>
              <w:b/>
              <w:iCs/>
              <w:color w:val="404040" w:themeColor="text1" w:themeTint="BF"/>
              <w:sz w:val="24"/>
              <w:szCs w:val="21"/>
            </w:rPr>
          </w:pPr>
          <w:r>
            <w:rPr>
              <w:b/>
              <w:iCs/>
              <w:color w:val="404040" w:themeColor="text1" w:themeTint="BF"/>
              <w:sz w:val="24"/>
              <w:szCs w:val="21"/>
            </w:rPr>
            <w:t>Anexo</w:t>
          </w:r>
        </w:p>
        <w:p w14:paraId="14633BD5" w14:textId="31681AA6" w:rsidR="00FB2A46" w:rsidRDefault="00A52E1F" w:rsidP="00DF13AA">
          <w:pPr>
            <w:pStyle w:val="Encabezado"/>
            <w:jc w:val="right"/>
          </w:pPr>
          <w:r>
            <w:rPr>
              <w:b/>
              <w:iCs/>
              <w:color w:val="404040" w:themeColor="text1" w:themeTint="BF"/>
              <w:szCs w:val="21"/>
            </w:rPr>
            <w:t>Abril</w:t>
          </w:r>
          <w:r w:rsidR="00FB2A46" w:rsidRPr="007B1E46">
            <w:rPr>
              <w:b/>
              <w:iCs/>
              <w:color w:val="404040" w:themeColor="text1" w:themeTint="BF"/>
              <w:szCs w:val="21"/>
            </w:rPr>
            <w:t xml:space="preserve"> de 202</w:t>
          </w:r>
          <w:r>
            <w:rPr>
              <w:b/>
              <w:iCs/>
              <w:color w:val="404040" w:themeColor="text1" w:themeTint="BF"/>
              <w:szCs w:val="21"/>
            </w:rPr>
            <w:t>3</w:t>
          </w:r>
        </w:p>
      </w:tc>
    </w:tr>
  </w:tbl>
  <w:p w14:paraId="63101F13" w14:textId="77777777" w:rsidR="00FB2A46" w:rsidRDefault="00FB2A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D57A" w14:textId="77777777" w:rsidR="00AD1461" w:rsidRDefault="00AD1461">
    <w:pPr>
      <w:pStyle w:val="Encabezado"/>
    </w:pPr>
  </w:p>
  <w:p w14:paraId="4A85BE3F" w14:textId="700FC89B" w:rsidR="003958E2" w:rsidRDefault="0091671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7F77"/>
    <w:multiLevelType w:val="hybridMultilevel"/>
    <w:tmpl w:val="91C4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2FCA"/>
    <w:multiLevelType w:val="multilevel"/>
    <w:tmpl w:val="B5EC8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8618AA"/>
    <w:multiLevelType w:val="multilevel"/>
    <w:tmpl w:val="A8F2DA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EA155C"/>
    <w:multiLevelType w:val="multilevel"/>
    <w:tmpl w:val="3EC22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0FB70074"/>
    <w:multiLevelType w:val="hybridMultilevel"/>
    <w:tmpl w:val="134C99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7ED4"/>
    <w:multiLevelType w:val="multilevel"/>
    <w:tmpl w:val="56046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B621B1"/>
    <w:multiLevelType w:val="multilevel"/>
    <w:tmpl w:val="1A08F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AB5D44"/>
    <w:multiLevelType w:val="multilevel"/>
    <w:tmpl w:val="DBBEC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1FC6942"/>
    <w:multiLevelType w:val="hybridMultilevel"/>
    <w:tmpl w:val="EB441F3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7AD8"/>
    <w:multiLevelType w:val="hybridMultilevel"/>
    <w:tmpl w:val="4BB4BB30"/>
    <w:lvl w:ilvl="0" w:tplc="CE622108">
      <w:start w:val="1"/>
      <w:numFmt w:val="lowerRoman"/>
      <w:lvlText w:val="%1)"/>
      <w:lvlJc w:val="left"/>
      <w:pPr>
        <w:ind w:left="720" w:hanging="72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C0189"/>
    <w:multiLevelType w:val="hybridMultilevel"/>
    <w:tmpl w:val="3B3A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B31E8"/>
    <w:multiLevelType w:val="hybridMultilevel"/>
    <w:tmpl w:val="8C702BBE"/>
    <w:lvl w:ilvl="0" w:tplc="9A8420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E4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180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7E6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4C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8D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44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F8D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43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FC210B"/>
    <w:multiLevelType w:val="multilevel"/>
    <w:tmpl w:val="6DE2F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D96444"/>
    <w:multiLevelType w:val="multilevel"/>
    <w:tmpl w:val="641ABC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7578C5"/>
    <w:multiLevelType w:val="hybridMultilevel"/>
    <w:tmpl w:val="6F1AB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50342"/>
    <w:multiLevelType w:val="multilevel"/>
    <w:tmpl w:val="DBBEC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4DC425C0"/>
    <w:multiLevelType w:val="multilevel"/>
    <w:tmpl w:val="645C9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315FCA"/>
    <w:multiLevelType w:val="multilevel"/>
    <w:tmpl w:val="C14E45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6F53C4D"/>
    <w:multiLevelType w:val="multilevel"/>
    <w:tmpl w:val="CE064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583C44F1"/>
    <w:multiLevelType w:val="hybridMultilevel"/>
    <w:tmpl w:val="78A4A78A"/>
    <w:lvl w:ilvl="0" w:tplc="E1D65F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E7946"/>
    <w:multiLevelType w:val="hybridMultilevel"/>
    <w:tmpl w:val="4AD075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A5172"/>
    <w:multiLevelType w:val="hybridMultilevel"/>
    <w:tmpl w:val="68C844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A1E92"/>
    <w:multiLevelType w:val="hybridMultilevel"/>
    <w:tmpl w:val="FA58C634"/>
    <w:lvl w:ilvl="0" w:tplc="3904CA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6AB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2A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83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5A6D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94B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A8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4D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228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FF0242"/>
    <w:multiLevelType w:val="hybridMultilevel"/>
    <w:tmpl w:val="889655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95AFF"/>
    <w:multiLevelType w:val="hybridMultilevel"/>
    <w:tmpl w:val="F468E5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A30D2"/>
    <w:multiLevelType w:val="multilevel"/>
    <w:tmpl w:val="9E0A9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8F01905"/>
    <w:multiLevelType w:val="multilevel"/>
    <w:tmpl w:val="DBBEC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6DC60811"/>
    <w:multiLevelType w:val="hybridMultilevel"/>
    <w:tmpl w:val="53C885A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4E1428"/>
    <w:multiLevelType w:val="hybridMultilevel"/>
    <w:tmpl w:val="50227C14"/>
    <w:lvl w:ilvl="0" w:tplc="880E2A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B39AD"/>
    <w:multiLevelType w:val="multilevel"/>
    <w:tmpl w:val="74345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C80A2A"/>
    <w:multiLevelType w:val="hybridMultilevel"/>
    <w:tmpl w:val="4C68873A"/>
    <w:lvl w:ilvl="0" w:tplc="8D98A7B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C6503"/>
    <w:multiLevelType w:val="hybridMultilevel"/>
    <w:tmpl w:val="AB54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755403">
    <w:abstractNumId w:val="6"/>
  </w:num>
  <w:num w:numId="2" w16cid:durableId="1868910027">
    <w:abstractNumId w:val="16"/>
  </w:num>
  <w:num w:numId="3" w16cid:durableId="1000743563">
    <w:abstractNumId w:val="5"/>
  </w:num>
  <w:num w:numId="4" w16cid:durableId="1481457129">
    <w:abstractNumId w:val="1"/>
  </w:num>
  <w:num w:numId="5" w16cid:durableId="1297493783">
    <w:abstractNumId w:val="12"/>
  </w:num>
  <w:num w:numId="6" w16cid:durableId="1119762264">
    <w:abstractNumId w:val="31"/>
  </w:num>
  <w:num w:numId="7" w16cid:durableId="1501121145">
    <w:abstractNumId w:val="10"/>
  </w:num>
  <w:num w:numId="8" w16cid:durableId="916477489">
    <w:abstractNumId w:val="14"/>
  </w:num>
  <w:num w:numId="9" w16cid:durableId="1733195827">
    <w:abstractNumId w:val="0"/>
  </w:num>
  <w:num w:numId="10" w16cid:durableId="465440088">
    <w:abstractNumId w:val="11"/>
  </w:num>
  <w:num w:numId="11" w16cid:durableId="288246401">
    <w:abstractNumId w:val="22"/>
  </w:num>
  <w:num w:numId="12" w16cid:durableId="1870752591">
    <w:abstractNumId w:val="23"/>
  </w:num>
  <w:num w:numId="13" w16cid:durableId="176388936">
    <w:abstractNumId w:val="30"/>
  </w:num>
  <w:num w:numId="14" w16cid:durableId="1485656726">
    <w:abstractNumId w:val="27"/>
  </w:num>
  <w:num w:numId="15" w16cid:durableId="169763148">
    <w:abstractNumId w:val="25"/>
  </w:num>
  <w:num w:numId="16" w16cid:durableId="1602301131">
    <w:abstractNumId w:val="15"/>
  </w:num>
  <w:num w:numId="17" w16cid:durableId="465706933">
    <w:abstractNumId w:val="13"/>
  </w:num>
  <w:num w:numId="18" w16cid:durableId="635645214">
    <w:abstractNumId w:val="29"/>
  </w:num>
  <w:num w:numId="19" w16cid:durableId="272131278">
    <w:abstractNumId w:val="3"/>
  </w:num>
  <w:num w:numId="20" w16cid:durableId="54788277">
    <w:abstractNumId w:val="18"/>
  </w:num>
  <w:num w:numId="21" w16cid:durableId="1574856241">
    <w:abstractNumId w:val="2"/>
  </w:num>
  <w:num w:numId="22" w16cid:durableId="997000801">
    <w:abstractNumId w:val="17"/>
  </w:num>
  <w:num w:numId="23" w16cid:durableId="1667248721">
    <w:abstractNumId w:val="4"/>
  </w:num>
  <w:num w:numId="24" w16cid:durableId="231046597">
    <w:abstractNumId w:val="20"/>
  </w:num>
  <w:num w:numId="25" w16cid:durableId="987631816">
    <w:abstractNumId w:val="28"/>
  </w:num>
  <w:num w:numId="26" w16cid:durableId="163127119">
    <w:abstractNumId w:val="21"/>
  </w:num>
  <w:num w:numId="27" w16cid:durableId="1257709398">
    <w:abstractNumId w:val="8"/>
  </w:num>
  <w:num w:numId="28" w16cid:durableId="1660302210">
    <w:abstractNumId w:val="7"/>
  </w:num>
  <w:num w:numId="29" w16cid:durableId="1067386867">
    <w:abstractNumId w:val="26"/>
  </w:num>
  <w:num w:numId="30" w16cid:durableId="319114047">
    <w:abstractNumId w:val="19"/>
  </w:num>
  <w:num w:numId="31" w16cid:durableId="744496340">
    <w:abstractNumId w:val="9"/>
  </w:num>
  <w:num w:numId="32" w16cid:durableId="54421546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AA"/>
    <w:rsid w:val="0000017F"/>
    <w:rsid w:val="00000691"/>
    <w:rsid w:val="00000A89"/>
    <w:rsid w:val="00002836"/>
    <w:rsid w:val="00002844"/>
    <w:rsid w:val="000037B4"/>
    <w:rsid w:val="00004FC9"/>
    <w:rsid w:val="00005161"/>
    <w:rsid w:val="0000642C"/>
    <w:rsid w:val="00007A13"/>
    <w:rsid w:val="000118CC"/>
    <w:rsid w:val="000118FF"/>
    <w:rsid w:val="00012859"/>
    <w:rsid w:val="00016548"/>
    <w:rsid w:val="00023F17"/>
    <w:rsid w:val="00024648"/>
    <w:rsid w:val="00024FB3"/>
    <w:rsid w:val="00026BC1"/>
    <w:rsid w:val="00034C0F"/>
    <w:rsid w:val="00036666"/>
    <w:rsid w:val="000368FC"/>
    <w:rsid w:val="00040E66"/>
    <w:rsid w:val="0004152A"/>
    <w:rsid w:val="000441E1"/>
    <w:rsid w:val="000442EA"/>
    <w:rsid w:val="00045FA3"/>
    <w:rsid w:val="00046E58"/>
    <w:rsid w:val="00052EB5"/>
    <w:rsid w:val="00053A77"/>
    <w:rsid w:val="00053F5B"/>
    <w:rsid w:val="00055AB4"/>
    <w:rsid w:val="00057BBC"/>
    <w:rsid w:val="0006118F"/>
    <w:rsid w:val="00061A75"/>
    <w:rsid w:val="0006630D"/>
    <w:rsid w:val="00066986"/>
    <w:rsid w:val="00066A1E"/>
    <w:rsid w:val="000672B1"/>
    <w:rsid w:val="000726B3"/>
    <w:rsid w:val="0007315E"/>
    <w:rsid w:val="000757C5"/>
    <w:rsid w:val="00076EA7"/>
    <w:rsid w:val="00077BF8"/>
    <w:rsid w:val="00080B78"/>
    <w:rsid w:val="00080BAE"/>
    <w:rsid w:val="00080DAB"/>
    <w:rsid w:val="00081358"/>
    <w:rsid w:val="000824D9"/>
    <w:rsid w:val="00082AF0"/>
    <w:rsid w:val="00090DD5"/>
    <w:rsid w:val="000934BC"/>
    <w:rsid w:val="0009667F"/>
    <w:rsid w:val="000A1923"/>
    <w:rsid w:val="000A3041"/>
    <w:rsid w:val="000A4379"/>
    <w:rsid w:val="000A4ADE"/>
    <w:rsid w:val="000A6926"/>
    <w:rsid w:val="000A7985"/>
    <w:rsid w:val="000B064B"/>
    <w:rsid w:val="000B184E"/>
    <w:rsid w:val="000B3410"/>
    <w:rsid w:val="000B45D0"/>
    <w:rsid w:val="000B55F1"/>
    <w:rsid w:val="000B761B"/>
    <w:rsid w:val="000B7812"/>
    <w:rsid w:val="000C11A3"/>
    <w:rsid w:val="000C1B76"/>
    <w:rsid w:val="000C2C4B"/>
    <w:rsid w:val="000C3966"/>
    <w:rsid w:val="000C4CF8"/>
    <w:rsid w:val="000C60EA"/>
    <w:rsid w:val="000D01CE"/>
    <w:rsid w:val="000D053C"/>
    <w:rsid w:val="000D2BD6"/>
    <w:rsid w:val="000D2F6E"/>
    <w:rsid w:val="000D30DE"/>
    <w:rsid w:val="000D44A5"/>
    <w:rsid w:val="000D7708"/>
    <w:rsid w:val="000E1578"/>
    <w:rsid w:val="000E27DF"/>
    <w:rsid w:val="000E2826"/>
    <w:rsid w:val="000E3951"/>
    <w:rsid w:val="000E3B88"/>
    <w:rsid w:val="000E3EE4"/>
    <w:rsid w:val="000E5059"/>
    <w:rsid w:val="000E517C"/>
    <w:rsid w:val="000E6F88"/>
    <w:rsid w:val="000F07A7"/>
    <w:rsid w:val="000F1425"/>
    <w:rsid w:val="000F46FD"/>
    <w:rsid w:val="000F524E"/>
    <w:rsid w:val="000F532A"/>
    <w:rsid w:val="000F5C67"/>
    <w:rsid w:val="000F5E3B"/>
    <w:rsid w:val="000F62ED"/>
    <w:rsid w:val="000F7D29"/>
    <w:rsid w:val="0010233B"/>
    <w:rsid w:val="0010744D"/>
    <w:rsid w:val="00112D87"/>
    <w:rsid w:val="001172E9"/>
    <w:rsid w:val="00120AB5"/>
    <w:rsid w:val="00123DC5"/>
    <w:rsid w:val="00125177"/>
    <w:rsid w:val="00125A55"/>
    <w:rsid w:val="00126B88"/>
    <w:rsid w:val="0012760E"/>
    <w:rsid w:val="001319E1"/>
    <w:rsid w:val="00131C62"/>
    <w:rsid w:val="00132DA9"/>
    <w:rsid w:val="00132F5C"/>
    <w:rsid w:val="00133A02"/>
    <w:rsid w:val="00133ACC"/>
    <w:rsid w:val="00134700"/>
    <w:rsid w:val="00135DBE"/>
    <w:rsid w:val="00135F4B"/>
    <w:rsid w:val="0013600D"/>
    <w:rsid w:val="00140194"/>
    <w:rsid w:val="001417EB"/>
    <w:rsid w:val="00142067"/>
    <w:rsid w:val="001422BB"/>
    <w:rsid w:val="001431B3"/>
    <w:rsid w:val="00144AE1"/>
    <w:rsid w:val="001450F6"/>
    <w:rsid w:val="001463AC"/>
    <w:rsid w:val="00150DF5"/>
    <w:rsid w:val="00152B25"/>
    <w:rsid w:val="00156AF7"/>
    <w:rsid w:val="00162F93"/>
    <w:rsid w:val="00165321"/>
    <w:rsid w:val="00165560"/>
    <w:rsid w:val="001673FA"/>
    <w:rsid w:val="001676A8"/>
    <w:rsid w:val="0016794F"/>
    <w:rsid w:val="0017448D"/>
    <w:rsid w:val="00175794"/>
    <w:rsid w:val="0017580B"/>
    <w:rsid w:val="00176880"/>
    <w:rsid w:val="00180B08"/>
    <w:rsid w:val="00181504"/>
    <w:rsid w:val="00182C2B"/>
    <w:rsid w:val="00182C54"/>
    <w:rsid w:val="00182C7B"/>
    <w:rsid w:val="001857C8"/>
    <w:rsid w:val="00185DFB"/>
    <w:rsid w:val="00186741"/>
    <w:rsid w:val="0019431D"/>
    <w:rsid w:val="001A349A"/>
    <w:rsid w:val="001A37CB"/>
    <w:rsid w:val="001A3EB7"/>
    <w:rsid w:val="001A4A12"/>
    <w:rsid w:val="001A6ADF"/>
    <w:rsid w:val="001A7986"/>
    <w:rsid w:val="001B0394"/>
    <w:rsid w:val="001B25D5"/>
    <w:rsid w:val="001B2F0E"/>
    <w:rsid w:val="001B3F67"/>
    <w:rsid w:val="001B3FAB"/>
    <w:rsid w:val="001C04DA"/>
    <w:rsid w:val="001C2375"/>
    <w:rsid w:val="001C2CFD"/>
    <w:rsid w:val="001C5BF2"/>
    <w:rsid w:val="001C6551"/>
    <w:rsid w:val="001D0526"/>
    <w:rsid w:val="001D2671"/>
    <w:rsid w:val="001D4A11"/>
    <w:rsid w:val="001D63F8"/>
    <w:rsid w:val="001D6CAA"/>
    <w:rsid w:val="001D775D"/>
    <w:rsid w:val="001D7B16"/>
    <w:rsid w:val="001E1923"/>
    <w:rsid w:val="001E205A"/>
    <w:rsid w:val="001E235A"/>
    <w:rsid w:val="001E272B"/>
    <w:rsid w:val="001E2FE4"/>
    <w:rsid w:val="001E67D2"/>
    <w:rsid w:val="001F5019"/>
    <w:rsid w:val="001F5882"/>
    <w:rsid w:val="001F6892"/>
    <w:rsid w:val="001F70EC"/>
    <w:rsid w:val="001F7845"/>
    <w:rsid w:val="00201057"/>
    <w:rsid w:val="00207474"/>
    <w:rsid w:val="00210F83"/>
    <w:rsid w:val="002111AB"/>
    <w:rsid w:val="00212C77"/>
    <w:rsid w:val="00213D58"/>
    <w:rsid w:val="0021457D"/>
    <w:rsid w:val="0022184B"/>
    <w:rsid w:val="00221FC9"/>
    <w:rsid w:val="00221FF5"/>
    <w:rsid w:val="00222E0A"/>
    <w:rsid w:val="0022426F"/>
    <w:rsid w:val="00226CEA"/>
    <w:rsid w:val="002279AF"/>
    <w:rsid w:val="00231438"/>
    <w:rsid w:val="00232B06"/>
    <w:rsid w:val="0023441D"/>
    <w:rsid w:val="00236DD4"/>
    <w:rsid w:val="00237185"/>
    <w:rsid w:val="00240375"/>
    <w:rsid w:val="0024062C"/>
    <w:rsid w:val="00241637"/>
    <w:rsid w:val="00242653"/>
    <w:rsid w:val="0024355B"/>
    <w:rsid w:val="00243E0B"/>
    <w:rsid w:val="00246BF5"/>
    <w:rsid w:val="00250153"/>
    <w:rsid w:val="00250B1E"/>
    <w:rsid w:val="00251EC5"/>
    <w:rsid w:val="00253598"/>
    <w:rsid w:val="00262BD4"/>
    <w:rsid w:val="00264612"/>
    <w:rsid w:val="00265940"/>
    <w:rsid w:val="00265FA4"/>
    <w:rsid w:val="00267432"/>
    <w:rsid w:val="00270BBB"/>
    <w:rsid w:val="00270F1B"/>
    <w:rsid w:val="002712EF"/>
    <w:rsid w:val="00272CC3"/>
    <w:rsid w:val="002731AD"/>
    <w:rsid w:val="002745E4"/>
    <w:rsid w:val="00277688"/>
    <w:rsid w:val="00277E9A"/>
    <w:rsid w:val="002812E5"/>
    <w:rsid w:val="00283401"/>
    <w:rsid w:val="00290951"/>
    <w:rsid w:val="00292807"/>
    <w:rsid w:val="00292A64"/>
    <w:rsid w:val="002939E2"/>
    <w:rsid w:val="00296451"/>
    <w:rsid w:val="00296807"/>
    <w:rsid w:val="002976D0"/>
    <w:rsid w:val="002A2678"/>
    <w:rsid w:val="002A644F"/>
    <w:rsid w:val="002A7005"/>
    <w:rsid w:val="002A7BC6"/>
    <w:rsid w:val="002B1F61"/>
    <w:rsid w:val="002B2D16"/>
    <w:rsid w:val="002B3118"/>
    <w:rsid w:val="002B58E8"/>
    <w:rsid w:val="002B5E22"/>
    <w:rsid w:val="002B72FA"/>
    <w:rsid w:val="002C0AA8"/>
    <w:rsid w:val="002C17AB"/>
    <w:rsid w:val="002C2048"/>
    <w:rsid w:val="002C5A15"/>
    <w:rsid w:val="002C65E7"/>
    <w:rsid w:val="002D041E"/>
    <w:rsid w:val="002D290B"/>
    <w:rsid w:val="002D38B9"/>
    <w:rsid w:val="002D654B"/>
    <w:rsid w:val="002E0B92"/>
    <w:rsid w:val="002E0F83"/>
    <w:rsid w:val="002E2982"/>
    <w:rsid w:val="002E39A5"/>
    <w:rsid w:val="002E4B23"/>
    <w:rsid w:val="002E5CD0"/>
    <w:rsid w:val="002E7C3C"/>
    <w:rsid w:val="002F1DC8"/>
    <w:rsid w:val="002F2854"/>
    <w:rsid w:val="002F28F9"/>
    <w:rsid w:val="002F3EEC"/>
    <w:rsid w:val="002F3F7E"/>
    <w:rsid w:val="002F47D1"/>
    <w:rsid w:val="002F5838"/>
    <w:rsid w:val="002F68D1"/>
    <w:rsid w:val="0030021D"/>
    <w:rsid w:val="0030114F"/>
    <w:rsid w:val="0030123D"/>
    <w:rsid w:val="00301359"/>
    <w:rsid w:val="00304A16"/>
    <w:rsid w:val="00304A6B"/>
    <w:rsid w:val="00305069"/>
    <w:rsid w:val="0030649F"/>
    <w:rsid w:val="00314359"/>
    <w:rsid w:val="003153C2"/>
    <w:rsid w:val="0031569B"/>
    <w:rsid w:val="00316DD1"/>
    <w:rsid w:val="00317AC1"/>
    <w:rsid w:val="00322AC4"/>
    <w:rsid w:val="00322AD8"/>
    <w:rsid w:val="003230A2"/>
    <w:rsid w:val="0032696D"/>
    <w:rsid w:val="0033116D"/>
    <w:rsid w:val="003346BC"/>
    <w:rsid w:val="0033593C"/>
    <w:rsid w:val="00335E3C"/>
    <w:rsid w:val="00335F9D"/>
    <w:rsid w:val="00337A31"/>
    <w:rsid w:val="00337E11"/>
    <w:rsid w:val="003410C7"/>
    <w:rsid w:val="00341300"/>
    <w:rsid w:val="00341C16"/>
    <w:rsid w:val="00343019"/>
    <w:rsid w:val="0034457E"/>
    <w:rsid w:val="00345172"/>
    <w:rsid w:val="003466D9"/>
    <w:rsid w:val="003512CE"/>
    <w:rsid w:val="00351505"/>
    <w:rsid w:val="00351E76"/>
    <w:rsid w:val="0035598B"/>
    <w:rsid w:val="00355B50"/>
    <w:rsid w:val="00361896"/>
    <w:rsid w:val="0036437B"/>
    <w:rsid w:val="0036514F"/>
    <w:rsid w:val="0037125B"/>
    <w:rsid w:val="00372F5A"/>
    <w:rsid w:val="00373B4C"/>
    <w:rsid w:val="00373D04"/>
    <w:rsid w:val="00381B5B"/>
    <w:rsid w:val="00384656"/>
    <w:rsid w:val="003846EC"/>
    <w:rsid w:val="00386A10"/>
    <w:rsid w:val="00387D8D"/>
    <w:rsid w:val="00391930"/>
    <w:rsid w:val="00393A82"/>
    <w:rsid w:val="00394337"/>
    <w:rsid w:val="00394345"/>
    <w:rsid w:val="0039439B"/>
    <w:rsid w:val="003958E2"/>
    <w:rsid w:val="003978AA"/>
    <w:rsid w:val="003A0ACE"/>
    <w:rsid w:val="003A0FDA"/>
    <w:rsid w:val="003A7172"/>
    <w:rsid w:val="003A7399"/>
    <w:rsid w:val="003B17A1"/>
    <w:rsid w:val="003B1DB9"/>
    <w:rsid w:val="003B2A97"/>
    <w:rsid w:val="003B6182"/>
    <w:rsid w:val="003B6818"/>
    <w:rsid w:val="003C0B11"/>
    <w:rsid w:val="003C6DE3"/>
    <w:rsid w:val="003D0B33"/>
    <w:rsid w:val="003D2BCE"/>
    <w:rsid w:val="003E0602"/>
    <w:rsid w:val="003E0D36"/>
    <w:rsid w:val="003E2BE3"/>
    <w:rsid w:val="003E3F66"/>
    <w:rsid w:val="003E42A3"/>
    <w:rsid w:val="003E4DB8"/>
    <w:rsid w:val="003F0F1F"/>
    <w:rsid w:val="003F21DA"/>
    <w:rsid w:val="003F332E"/>
    <w:rsid w:val="003F361F"/>
    <w:rsid w:val="003F69CF"/>
    <w:rsid w:val="003F74CE"/>
    <w:rsid w:val="003F7738"/>
    <w:rsid w:val="003F7768"/>
    <w:rsid w:val="003F799B"/>
    <w:rsid w:val="003F7C7C"/>
    <w:rsid w:val="00400AD6"/>
    <w:rsid w:val="0040288C"/>
    <w:rsid w:val="004033C8"/>
    <w:rsid w:val="00404460"/>
    <w:rsid w:val="00410732"/>
    <w:rsid w:val="00410CA0"/>
    <w:rsid w:val="00413A02"/>
    <w:rsid w:val="00414671"/>
    <w:rsid w:val="00414FE4"/>
    <w:rsid w:val="00426A5B"/>
    <w:rsid w:val="00427C15"/>
    <w:rsid w:val="004343B9"/>
    <w:rsid w:val="00435851"/>
    <w:rsid w:val="00437BC5"/>
    <w:rsid w:val="004406A8"/>
    <w:rsid w:val="00442B80"/>
    <w:rsid w:val="00445E01"/>
    <w:rsid w:val="004471A1"/>
    <w:rsid w:val="0044735F"/>
    <w:rsid w:val="00452ACF"/>
    <w:rsid w:val="0045384E"/>
    <w:rsid w:val="0045407F"/>
    <w:rsid w:val="00454E5E"/>
    <w:rsid w:val="00457934"/>
    <w:rsid w:val="00464C77"/>
    <w:rsid w:val="00465156"/>
    <w:rsid w:val="00465FC6"/>
    <w:rsid w:val="004661B8"/>
    <w:rsid w:val="0046767B"/>
    <w:rsid w:val="004725FC"/>
    <w:rsid w:val="00476E63"/>
    <w:rsid w:val="00480194"/>
    <w:rsid w:val="00483FAC"/>
    <w:rsid w:val="004856B1"/>
    <w:rsid w:val="00486608"/>
    <w:rsid w:val="00486E5C"/>
    <w:rsid w:val="004878B6"/>
    <w:rsid w:val="00491BC7"/>
    <w:rsid w:val="00493991"/>
    <w:rsid w:val="004966A2"/>
    <w:rsid w:val="00496FD1"/>
    <w:rsid w:val="004A2949"/>
    <w:rsid w:val="004A2C2F"/>
    <w:rsid w:val="004A3ADF"/>
    <w:rsid w:val="004B13A3"/>
    <w:rsid w:val="004B2FD5"/>
    <w:rsid w:val="004B4610"/>
    <w:rsid w:val="004B4714"/>
    <w:rsid w:val="004B4AFB"/>
    <w:rsid w:val="004B75F5"/>
    <w:rsid w:val="004C050C"/>
    <w:rsid w:val="004C0BAC"/>
    <w:rsid w:val="004C2A65"/>
    <w:rsid w:val="004C35A8"/>
    <w:rsid w:val="004C43F6"/>
    <w:rsid w:val="004C6E61"/>
    <w:rsid w:val="004D127E"/>
    <w:rsid w:val="004D2869"/>
    <w:rsid w:val="004D4770"/>
    <w:rsid w:val="004D66B0"/>
    <w:rsid w:val="004D6CB5"/>
    <w:rsid w:val="004D73A1"/>
    <w:rsid w:val="004D7B67"/>
    <w:rsid w:val="004E14A0"/>
    <w:rsid w:val="004E2C47"/>
    <w:rsid w:val="004E40CB"/>
    <w:rsid w:val="004E4428"/>
    <w:rsid w:val="004E68DE"/>
    <w:rsid w:val="004E772E"/>
    <w:rsid w:val="004F2513"/>
    <w:rsid w:val="004F2C7D"/>
    <w:rsid w:val="004F2EB2"/>
    <w:rsid w:val="004F2ECD"/>
    <w:rsid w:val="004F33E1"/>
    <w:rsid w:val="004F4822"/>
    <w:rsid w:val="004F5904"/>
    <w:rsid w:val="004F61FD"/>
    <w:rsid w:val="004F67E4"/>
    <w:rsid w:val="005002A9"/>
    <w:rsid w:val="00501DB0"/>
    <w:rsid w:val="005029A3"/>
    <w:rsid w:val="00505CB0"/>
    <w:rsid w:val="005068ED"/>
    <w:rsid w:val="00510708"/>
    <w:rsid w:val="00515739"/>
    <w:rsid w:val="005168BA"/>
    <w:rsid w:val="00520FB6"/>
    <w:rsid w:val="00525EF4"/>
    <w:rsid w:val="0053059A"/>
    <w:rsid w:val="00530DAE"/>
    <w:rsid w:val="0053202D"/>
    <w:rsid w:val="005324D6"/>
    <w:rsid w:val="00532758"/>
    <w:rsid w:val="0053444D"/>
    <w:rsid w:val="005361FE"/>
    <w:rsid w:val="00536FE7"/>
    <w:rsid w:val="00537C11"/>
    <w:rsid w:val="00540562"/>
    <w:rsid w:val="00540AB7"/>
    <w:rsid w:val="005417DF"/>
    <w:rsid w:val="00542031"/>
    <w:rsid w:val="005429C1"/>
    <w:rsid w:val="00545437"/>
    <w:rsid w:val="00545B23"/>
    <w:rsid w:val="005463E5"/>
    <w:rsid w:val="00550868"/>
    <w:rsid w:val="0055147E"/>
    <w:rsid w:val="00553A09"/>
    <w:rsid w:val="005542EB"/>
    <w:rsid w:val="00554E86"/>
    <w:rsid w:val="00555FF6"/>
    <w:rsid w:val="00564E20"/>
    <w:rsid w:val="00566D6B"/>
    <w:rsid w:val="00567A42"/>
    <w:rsid w:val="0057078D"/>
    <w:rsid w:val="005717CF"/>
    <w:rsid w:val="00571857"/>
    <w:rsid w:val="00571F2E"/>
    <w:rsid w:val="005721A5"/>
    <w:rsid w:val="005739C1"/>
    <w:rsid w:val="0057557A"/>
    <w:rsid w:val="00577FA9"/>
    <w:rsid w:val="00580AC3"/>
    <w:rsid w:val="00582E88"/>
    <w:rsid w:val="0058398C"/>
    <w:rsid w:val="00585762"/>
    <w:rsid w:val="00585FCE"/>
    <w:rsid w:val="00587149"/>
    <w:rsid w:val="005877C5"/>
    <w:rsid w:val="00587B4E"/>
    <w:rsid w:val="00587EDF"/>
    <w:rsid w:val="00590585"/>
    <w:rsid w:val="00590826"/>
    <w:rsid w:val="0059688E"/>
    <w:rsid w:val="00596CDA"/>
    <w:rsid w:val="005A066F"/>
    <w:rsid w:val="005A2BEE"/>
    <w:rsid w:val="005A2FBE"/>
    <w:rsid w:val="005A3162"/>
    <w:rsid w:val="005A4337"/>
    <w:rsid w:val="005B08AA"/>
    <w:rsid w:val="005B0CBE"/>
    <w:rsid w:val="005B10C2"/>
    <w:rsid w:val="005B16DB"/>
    <w:rsid w:val="005B1A98"/>
    <w:rsid w:val="005B4538"/>
    <w:rsid w:val="005B4EF3"/>
    <w:rsid w:val="005B6D10"/>
    <w:rsid w:val="005B6FAF"/>
    <w:rsid w:val="005B7520"/>
    <w:rsid w:val="005B7DCE"/>
    <w:rsid w:val="005C1715"/>
    <w:rsid w:val="005C19C1"/>
    <w:rsid w:val="005C45FA"/>
    <w:rsid w:val="005C4737"/>
    <w:rsid w:val="005C54E2"/>
    <w:rsid w:val="005D0D53"/>
    <w:rsid w:val="005D0F61"/>
    <w:rsid w:val="005D377B"/>
    <w:rsid w:val="005D3F3D"/>
    <w:rsid w:val="005D5776"/>
    <w:rsid w:val="005D7038"/>
    <w:rsid w:val="005D741A"/>
    <w:rsid w:val="005E09FC"/>
    <w:rsid w:val="005E188E"/>
    <w:rsid w:val="005E465D"/>
    <w:rsid w:val="005E57A3"/>
    <w:rsid w:val="005E5830"/>
    <w:rsid w:val="005E5D7E"/>
    <w:rsid w:val="005F436F"/>
    <w:rsid w:val="005F6978"/>
    <w:rsid w:val="005F7950"/>
    <w:rsid w:val="00601608"/>
    <w:rsid w:val="00602774"/>
    <w:rsid w:val="00604174"/>
    <w:rsid w:val="00607357"/>
    <w:rsid w:val="00607D33"/>
    <w:rsid w:val="00611EDB"/>
    <w:rsid w:val="00612E49"/>
    <w:rsid w:val="00614703"/>
    <w:rsid w:val="00620447"/>
    <w:rsid w:val="00622AF3"/>
    <w:rsid w:val="006234E7"/>
    <w:rsid w:val="006238D9"/>
    <w:rsid w:val="006239BE"/>
    <w:rsid w:val="00624531"/>
    <w:rsid w:val="00625643"/>
    <w:rsid w:val="00625824"/>
    <w:rsid w:val="00627305"/>
    <w:rsid w:val="00632DE7"/>
    <w:rsid w:val="00632EE3"/>
    <w:rsid w:val="00635929"/>
    <w:rsid w:val="00640088"/>
    <w:rsid w:val="006435AC"/>
    <w:rsid w:val="006450B1"/>
    <w:rsid w:val="00645868"/>
    <w:rsid w:val="00645B97"/>
    <w:rsid w:val="00645E02"/>
    <w:rsid w:val="00646257"/>
    <w:rsid w:val="006467BF"/>
    <w:rsid w:val="00647041"/>
    <w:rsid w:val="006547E1"/>
    <w:rsid w:val="00657F1D"/>
    <w:rsid w:val="00660AD3"/>
    <w:rsid w:val="006625D7"/>
    <w:rsid w:val="00663A00"/>
    <w:rsid w:val="00664B44"/>
    <w:rsid w:val="006671E1"/>
    <w:rsid w:val="00667853"/>
    <w:rsid w:val="006700A3"/>
    <w:rsid w:val="00674DD4"/>
    <w:rsid w:val="00676509"/>
    <w:rsid w:val="00684113"/>
    <w:rsid w:val="0068582C"/>
    <w:rsid w:val="00686531"/>
    <w:rsid w:val="0068747A"/>
    <w:rsid w:val="00687F76"/>
    <w:rsid w:val="00696997"/>
    <w:rsid w:val="006A0C50"/>
    <w:rsid w:val="006A3C30"/>
    <w:rsid w:val="006A7D48"/>
    <w:rsid w:val="006B2906"/>
    <w:rsid w:val="006B4D92"/>
    <w:rsid w:val="006B6F0C"/>
    <w:rsid w:val="006B7090"/>
    <w:rsid w:val="006C03AE"/>
    <w:rsid w:val="006C2923"/>
    <w:rsid w:val="006C3593"/>
    <w:rsid w:val="006C41BA"/>
    <w:rsid w:val="006C771B"/>
    <w:rsid w:val="006D6715"/>
    <w:rsid w:val="006D73B5"/>
    <w:rsid w:val="006E3009"/>
    <w:rsid w:val="006E368D"/>
    <w:rsid w:val="006E56E5"/>
    <w:rsid w:val="006E5BB1"/>
    <w:rsid w:val="006E6F05"/>
    <w:rsid w:val="006E700C"/>
    <w:rsid w:val="006E7EAC"/>
    <w:rsid w:val="006F14FC"/>
    <w:rsid w:val="006F391D"/>
    <w:rsid w:val="006F600C"/>
    <w:rsid w:val="006F6D27"/>
    <w:rsid w:val="006F6D2F"/>
    <w:rsid w:val="00702654"/>
    <w:rsid w:val="007032E4"/>
    <w:rsid w:val="00704A6C"/>
    <w:rsid w:val="00704D2D"/>
    <w:rsid w:val="00710C54"/>
    <w:rsid w:val="00710E7C"/>
    <w:rsid w:val="007118CE"/>
    <w:rsid w:val="00722719"/>
    <w:rsid w:val="00726BE6"/>
    <w:rsid w:val="007272BA"/>
    <w:rsid w:val="007304F7"/>
    <w:rsid w:val="007305D9"/>
    <w:rsid w:val="007317DF"/>
    <w:rsid w:val="00732B13"/>
    <w:rsid w:val="00732B2C"/>
    <w:rsid w:val="0073399F"/>
    <w:rsid w:val="007339AB"/>
    <w:rsid w:val="00734294"/>
    <w:rsid w:val="0073435D"/>
    <w:rsid w:val="0073438D"/>
    <w:rsid w:val="00735897"/>
    <w:rsid w:val="007371C4"/>
    <w:rsid w:val="0074327F"/>
    <w:rsid w:val="00743BE1"/>
    <w:rsid w:val="0074405C"/>
    <w:rsid w:val="007450AE"/>
    <w:rsid w:val="00745CAC"/>
    <w:rsid w:val="00753B27"/>
    <w:rsid w:val="00755EA5"/>
    <w:rsid w:val="007561C3"/>
    <w:rsid w:val="00757BDA"/>
    <w:rsid w:val="007612F3"/>
    <w:rsid w:val="00761BC9"/>
    <w:rsid w:val="007713AF"/>
    <w:rsid w:val="00771D32"/>
    <w:rsid w:val="007746AF"/>
    <w:rsid w:val="007758D9"/>
    <w:rsid w:val="007761C1"/>
    <w:rsid w:val="007820B9"/>
    <w:rsid w:val="00786EB0"/>
    <w:rsid w:val="00787499"/>
    <w:rsid w:val="00792946"/>
    <w:rsid w:val="007935F3"/>
    <w:rsid w:val="00793783"/>
    <w:rsid w:val="007938D3"/>
    <w:rsid w:val="00793D7C"/>
    <w:rsid w:val="00796094"/>
    <w:rsid w:val="00797831"/>
    <w:rsid w:val="007A0252"/>
    <w:rsid w:val="007A086F"/>
    <w:rsid w:val="007A1618"/>
    <w:rsid w:val="007A1EEA"/>
    <w:rsid w:val="007A2EE1"/>
    <w:rsid w:val="007A3087"/>
    <w:rsid w:val="007A5419"/>
    <w:rsid w:val="007A57C9"/>
    <w:rsid w:val="007A6F02"/>
    <w:rsid w:val="007A7003"/>
    <w:rsid w:val="007B14E5"/>
    <w:rsid w:val="007B1E46"/>
    <w:rsid w:val="007C3AAC"/>
    <w:rsid w:val="007C45FC"/>
    <w:rsid w:val="007C524B"/>
    <w:rsid w:val="007C5CDE"/>
    <w:rsid w:val="007C5CE6"/>
    <w:rsid w:val="007C71B4"/>
    <w:rsid w:val="007C7D74"/>
    <w:rsid w:val="007D0A23"/>
    <w:rsid w:val="007D3BDC"/>
    <w:rsid w:val="007D6354"/>
    <w:rsid w:val="007D6665"/>
    <w:rsid w:val="007D68A7"/>
    <w:rsid w:val="007D7E78"/>
    <w:rsid w:val="007E035C"/>
    <w:rsid w:val="007E0C44"/>
    <w:rsid w:val="007E25C6"/>
    <w:rsid w:val="007E27B2"/>
    <w:rsid w:val="007E3091"/>
    <w:rsid w:val="007E4FD4"/>
    <w:rsid w:val="007E697F"/>
    <w:rsid w:val="007F1334"/>
    <w:rsid w:val="007F1620"/>
    <w:rsid w:val="007F1981"/>
    <w:rsid w:val="007F259A"/>
    <w:rsid w:val="007F3797"/>
    <w:rsid w:val="007F5473"/>
    <w:rsid w:val="007F721B"/>
    <w:rsid w:val="007F7BAA"/>
    <w:rsid w:val="007F7D22"/>
    <w:rsid w:val="00800A39"/>
    <w:rsid w:val="00802062"/>
    <w:rsid w:val="0080210E"/>
    <w:rsid w:val="0080263B"/>
    <w:rsid w:val="00802F47"/>
    <w:rsid w:val="008047B6"/>
    <w:rsid w:val="00810752"/>
    <w:rsid w:val="008133B0"/>
    <w:rsid w:val="00813AC9"/>
    <w:rsid w:val="00814B7F"/>
    <w:rsid w:val="00821F46"/>
    <w:rsid w:val="0082369D"/>
    <w:rsid w:val="00823A8E"/>
    <w:rsid w:val="0082408C"/>
    <w:rsid w:val="00825FD6"/>
    <w:rsid w:val="0082755C"/>
    <w:rsid w:val="00827997"/>
    <w:rsid w:val="008317AD"/>
    <w:rsid w:val="00834581"/>
    <w:rsid w:val="00837497"/>
    <w:rsid w:val="00837F45"/>
    <w:rsid w:val="00840A48"/>
    <w:rsid w:val="00842412"/>
    <w:rsid w:val="0084376A"/>
    <w:rsid w:val="00845B02"/>
    <w:rsid w:val="00845EE0"/>
    <w:rsid w:val="00847B8C"/>
    <w:rsid w:val="00850F24"/>
    <w:rsid w:val="0085538C"/>
    <w:rsid w:val="00855754"/>
    <w:rsid w:val="0086147D"/>
    <w:rsid w:val="00862226"/>
    <w:rsid w:val="00863B95"/>
    <w:rsid w:val="00863DAD"/>
    <w:rsid w:val="00863DF9"/>
    <w:rsid w:val="00864867"/>
    <w:rsid w:val="00873C17"/>
    <w:rsid w:val="00874771"/>
    <w:rsid w:val="00875070"/>
    <w:rsid w:val="008778AB"/>
    <w:rsid w:val="00880CCA"/>
    <w:rsid w:val="008810CF"/>
    <w:rsid w:val="0088304A"/>
    <w:rsid w:val="00886D2A"/>
    <w:rsid w:val="008877A1"/>
    <w:rsid w:val="0089058C"/>
    <w:rsid w:val="00890A25"/>
    <w:rsid w:val="008916EA"/>
    <w:rsid w:val="00891D28"/>
    <w:rsid w:val="00891D95"/>
    <w:rsid w:val="00894329"/>
    <w:rsid w:val="00895817"/>
    <w:rsid w:val="00895ACD"/>
    <w:rsid w:val="00896D9E"/>
    <w:rsid w:val="008A1652"/>
    <w:rsid w:val="008A2699"/>
    <w:rsid w:val="008A5C34"/>
    <w:rsid w:val="008A7759"/>
    <w:rsid w:val="008B0F89"/>
    <w:rsid w:val="008B32B0"/>
    <w:rsid w:val="008B4670"/>
    <w:rsid w:val="008B5628"/>
    <w:rsid w:val="008B64EF"/>
    <w:rsid w:val="008B7E73"/>
    <w:rsid w:val="008C19F6"/>
    <w:rsid w:val="008C3C70"/>
    <w:rsid w:val="008C7A5D"/>
    <w:rsid w:val="008D08B6"/>
    <w:rsid w:val="008D10B1"/>
    <w:rsid w:val="008D1782"/>
    <w:rsid w:val="008D184C"/>
    <w:rsid w:val="008D2B7E"/>
    <w:rsid w:val="008D3136"/>
    <w:rsid w:val="008E0523"/>
    <w:rsid w:val="008E3B32"/>
    <w:rsid w:val="008E7803"/>
    <w:rsid w:val="008F1B58"/>
    <w:rsid w:val="008F2678"/>
    <w:rsid w:val="008F2A28"/>
    <w:rsid w:val="008F3017"/>
    <w:rsid w:val="008F5156"/>
    <w:rsid w:val="008F6913"/>
    <w:rsid w:val="008F7E45"/>
    <w:rsid w:val="00903832"/>
    <w:rsid w:val="0090471C"/>
    <w:rsid w:val="00904B7C"/>
    <w:rsid w:val="00910A80"/>
    <w:rsid w:val="00913B67"/>
    <w:rsid w:val="00914214"/>
    <w:rsid w:val="00915188"/>
    <w:rsid w:val="00915482"/>
    <w:rsid w:val="00916717"/>
    <w:rsid w:val="009167F5"/>
    <w:rsid w:val="00916FAE"/>
    <w:rsid w:val="00917E5A"/>
    <w:rsid w:val="00921ADB"/>
    <w:rsid w:val="00923819"/>
    <w:rsid w:val="00927BF1"/>
    <w:rsid w:val="00930E34"/>
    <w:rsid w:val="00931351"/>
    <w:rsid w:val="0093286A"/>
    <w:rsid w:val="0093356F"/>
    <w:rsid w:val="009340EB"/>
    <w:rsid w:val="0093583B"/>
    <w:rsid w:val="00937630"/>
    <w:rsid w:val="00940881"/>
    <w:rsid w:val="00942F65"/>
    <w:rsid w:val="00943AE5"/>
    <w:rsid w:val="0094729C"/>
    <w:rsid w:val="0095103E"/>
    <w:rsid w:val="00952FD3"/>
    <w:rsid w:val="00956625"/>
    <w:rsid w:val="00962028"/>
    <w:rsid w:val="00964622"/>
    <w:rsid w:val="0096783A"/>
    <w:rsid w:val="00970919"/>
    <w:rsid w:val="00971ADC"/>
    <w:rsid w:val="00972E51"/>
    <w:rsid w:val="00976006"/>
    <w:rsid w:val="00987172"/>
    <w:rsid w:val="00987937"/>
    <w:rsid w:val="00987E25"/>
    <w:rsid w:val="00987EE6"/>
    <w:rsid w:val="009921CE"/>
    <w:rsid w:val="0099399E"/>
    <w:rsid w:val="009946E4"/>
    <w:rsid w:val="009974E2"/>
    <w:rsid w:val="009A05CA"/>
    <w:rsid w:val="009A1180"/>
    <w:rsid w:val="009A2779"/>
    <w:rsid w:val="009A4AB3"/>
    <w:rsid w:val="009A53E4"/>
    <w:rsid w:val="009A55B1"/>
    <w:rsid w:val="009A65D3"/>
    <w:rsid w:val="009B2148"/>
    <w:rsid w:val="009B47B3"/>
    <w:rsid w:val="009B53CA"/>
    <w:rsid w:val="009B5B19"/>
    <w:rsid w:val="009B6E5E"/>
    <w:rsid w:val="009B7366"/>
    <w:rsid w:val="009B77CF"/>
    <w:rsid w:val="009C0B2E"/>
    <w:rsid w:val="009C1F33"/>
    <w:rsid w:val="009C36AB"/>
    <w:rsid w:val="009C38F0"/>
    <w:rsid w:val="009C3F73"/>
    <w:rsid w:val="009C7B56"/>
    <w:rsid w:val="009D03E3"/>
    <w:rsid w:val="009D209B"/>
    <w:rsid w:val="009D27F3"/>
    <w:rsid w:val="009D2ACE"/>
    <w:rsid w:val="009D4DDE"/>
    <w:rsid w:val="009D688B"/>
    <w:rsid w:val="009E5D38"/>
    <w:rsid w:val="009F167C"/>
    <w:rsid w:val="009F37AB"/>
    <w:rsid w:val="009F5EB9"/>
    <w:rsid w:val="00A01F3A"/>
    <w:rsid w:val="00A02E6D"/>
    <w:rsid w:val="00A06200"/>
    <w:rsid w:val="00A074C2"/>
    <w:rsid w:val="00A07C17"/>
    <w:rsid w:val="00A10FCD"/>
    <w:rsid w:val="00A13994"/>
    <w:rsid w:val="00A13B66"/>
    <w:rsid w:val="00A13D85"/>
    <w:rsid w:val="00A141C3"/>
    <w:rsid w:val="00A15616"/>
    <w:rsid w:val="00A15C73"/>
    <w:rsid w:val="00A166CD"/>
    <w:rsid w:val="00A16A47"/>
    <w:rsid w:val="00A16EDF"/>
    <w:rsid w:val="00A17EDA"/>
    <w:rsid w:val="00A23373"/>
    <w:rsid w:val="00A241A2"/>
    <w:rsid w:val="00A27DA1"/>
    <w:rsid w:val="00A359E0"/>
    <w:rsid w:val="00A37830"/>
    <w:rsid w:val="00A40C68"/>
    <w:rsid w:val="00A42ADC"/>
    <w:rsid w:val="00A44162"/>
    <w:rsid w:val="00A44982"/>
    <w:rsid w:val="00A516A5"/>
    <w:rsid w:val="00A51A98"/>
    <w:rsid w:val="00A51ECB"/>
    <w:rsid w:val="00A52E1F"/>
    <w:rsid w:val="00A560B3"/>
    <w:rsid w:val="00A57222"/>
    <w:rsid w:val="00A57B4B"/>
    <w:rsid w:val="00A6156A"/>
    <w:rsid w:val="00A623C6"/>
    <w:rsid w:val="00A6332E"/>
    <w:rsid w:val="00A664D8"/>
    <w:rsid w:val="00A6703A"/>
    <w:rsid w:val="00A70145"/>
    <w:rsid w:val="00A70F85"/>
    <w:rsid w:val="00A70FE3"/>
    <w:rsid w:val="00A71B69"/>
    <w:rsid w:val="00A72475"/>
    <w:rsid w:val="00A72B32"/>
    <w:rsid w:val="00A76016"/>
    <w:rsid w:val="00A76313"/>
    <w:rsid w:val="00A800D8"/>
    <w:rsid w:val="00A81C79"/>
    <w:rsid w:val="00A82015"/>
    <w:rsid w:val="00A824DB"/>
    <w:rsid w:val="00A84B6E"/>
    <w:rsid w:val="00A87D14"/>
    <w:rsid w:val="00A9070B"/>
    <w:rsid w:val="00A91E16"/>
    <w:rsid w:val="00A9264A"/>
    <w:rsid w:val="00A93225"/>
    <w:rsid w:val="00A9373A"/>
    <w:rsid w:val="00A953B8"/>
    <w:rsid w:val="00AA0BFA"/>
    <w:rsid w:val="00AA1974"/>
    <w:rsid w:val="00AA2019"/>
    <w:rsid w:val="00AA248C"/>
    <w:rsid w:val="00AA38AF"/>
    <w:rsid w:val="00AB12A4"/>
    <w:rsid w:val="00AB2199"/>
    <w:rsid w:val="00AB2349"/>
    <w:rsid w:val="00AC2309"/>
    <w:rsid w:val="00AC54E7"/>
    <w:rsid w:val="00AD0D5A"/>
    <w:rsid w:val="00AD1461"/>
    <w:rsid w:val="00AD42B9"/>
    <w:rsid w:val="00AD495D"/>
    <w:rsid w:val="00AD5342"/>
    <w:rsid w:val="00AE3AE5"/>
    <w:rsid w:val="00AE45CF"/>
    <w:rsid w:val="00AE52A5"/>
    <w:rsid w:val="00AE5495"/>
    <w:rsid w:val="00AE6464"/>
    <w:rsid w:val="00AE7479"/>
    <w:rsid w:val="00AF0553"/>
    <w:rsid w:val="00AF1F6A"/>
    <w:rsid w:val="00AF43D6"/>
    <w:rsid w:val="00AF7208"/>
    <w:rsid w:val="00B007D3"/>
    <w:rsid w:val="00B00D91"/>
    <w:rsid w:val="00B0220E"/>
    <w:rsid w:val="00B02843"/>
    <w:rsid w:val="00B069DA"/>
    <w:rsid w:val="00B1048E"/>
    <w:rsid w:val="00B10F4C"/>
    <w:rsid w:val="00B119FA"/>
    <w:rsid w:val="00B122B6"/>
    <w:rsid w:val="00B14672"/>
    <w:rsid w:val="00B14762"/>
    <w:rsid w:val="00B16EA3"/>
    <w:rsid w:val="00B17DCB"/>
    <w:rsid w:val="00B2169E"/>
    <w:rsid w:val="00B22192"/>
    <w:rsid w:val="00B2430F"/>
    <w:rsid w:val="00B2460E"/>
    <w:rsid w:val="00B27430"/>
    <w:rsid w:val="00B3027B"/>
    <w:rsid w:val="00B32595"/>
    <w:rsid w:val="00B33E89"/>
    <w:rsid w:val="00B34F06"/>
    <w:rsid w:val="00B3747B"/>
    <w:rsid w:val="00B37D2E"/>
    <w:rsid w:val="00B42A0F"/>
    <w:rsid w:val="00B42FB6"/>
    <w:rsid w:val="00B43A47"/>
    <w:rsid w:val="00B445CB"/>
    <w:rsid w:val="00B459F6"/>
    <w:rsid w:val="00B46D1F"/>
    <w:rsid w:val="00B47431"/>
    <w:rsid w:val="00B47668"/>
    <w:rsid w:val="00B53699"/>
    <w:rsid w:val="00B5480F"/>
    <w:rsid w:val="00B5553B"/>
    <w:rsid w:val="00B621BE"/>
    <w:rsid w:val="00B67307"/>
    <w:rsid w:val="00B6794F"/>
    <w:rsid w:val="00B72D59"/>
    <w:rsid w:val="00B77120"/>
    <w:rsid w:val="00B77D6A"/>
    <w:rsid w:val="00B80C18"/>
    <w:rsid w:val="00B81C27"/>
    <w:rsid w:val="00B82299"/>
    <w:rsid w:val="00B82E9D"/>
    <w:rsid w:val="00B83141"/>
    <w:rsid w:val="00B83FDD"/>
    <w:rsid w:val="00B847CA"/>
    <w:rsid w:val="00B85900"/>
    <w:rsid w:val="00B90384"/>
    <w:rsid w:val="00B913D2"/>
    <w:rsid w:val="00B913FE"/>
    <w:rsid w:val="00B91945"/>
    <w:rsid w:val="00B92100"/>
    <w:rsid w:val="00B9308F"/>
    <w:rsid w:val="00B940B7"/>
    <w:rsid w:val="00B94758"/>
    <w:rsid w:val="00B96084"/>
    <w:rsid w:val="00BA0B81"/>
    <w:rsid w:val="00BA0D3C"/>
    <w:rsid w:val="00BA4BC9"/>
    <w:rsid w:val="00BA67FC"/>
    <w:rsid w:val="00BA692A"/>
    <w:rsid w:val="00BA75EE"/>
    <w:rsid w:val="00BA7B29"/>
    <w:rsid w:val="00BB2183"/>
    <w:rsid w:val="00BB21AD"/>
    <w:rsid w:val="00BB3419"/>
    <w:rsid w:val="00BB3C66"/>
    <w:rsid w:val="00BB679E"/>
    <w:rsid w:val="00BC18AB"/>
    <w:rsid w:val="00BC35F0"/>
    <w:rsid w:val="00BC441F"/>
    <w:rsid w:val="00BC69DE"/>
    <w:rsid w:val="00BD02A5"/>
    <w:rsid w:val="00BD1B98"/>
    <w:rsid w:val="00BD266C"/>
    <w:rsid w:val="00BD3C2D"/>
    <w:rsid w:val="00BD3D31"/>
    <w:rsid w:val="00BD42B7"/>
    <w:rsid w:val="00BD4B42"/>
    <w:rsid w:val="00BD667B"/>
    <w:rsid w:val="00BE1AB0"/>
    <w:rsid w:val="00BE3D0B"/>
    <w:rsid w:val="00BE522D"/>
    <w:rsid w:val="00BE7B7C"/>
    <w:rsid w:val="00BF0D99"/>
    <w:rsid w:val="00BF319E"/>
    <w:rsid w:val="00BF3DB1"/>
    <w:rsid w:val="00BF4FFC"/>
    <w:rsid w:val="00BF5CF6"/>
    <w:rsid w:val="00BF642C"/>
    <w:rsid w:val="00BF7ECB"/>
    <w:rsid w:val="00C00560"/>
    <w:rsid w:val="00C01633"/>
    <w:rsid w:val="00C02639"/>
    <w:rsid w:val="00C02B32"/>
    <w:rsid w:val="00C041C3"/>
    <w:rsid w:val="00C048F9"/>
    <w:rsid w:val="00C04B02"/>
    <w:rsid w:val="00C10395"/>
    <w:rsid w:val="00C116F0"/>
    <w:rsid w:val="00C12B8E"/>
    <w:rsid w:val="00C13D5F"/>
    <w:rsid w:val="00C13D87"/>
    <w:rsid w:val="00C1494B"/>
    <w:rsid w:val="00C20B81"/>
    <w:rsid w:val="00C20D8B"/>
    <w:rsid w:val="00C243BC"/>
    <w:rsid w:val="00C25818"/>
    <w:rsid w:val="00C27A15"/>
    <w:rsid w:val="00C30694"/>
    <w:rsid w:val="00C33D57"/>
    <w:rsid w:val="00C34E7D"/>
    <w:rsid w:val="00C36453"/>
    <w:rsid w:val="00C37A4E"/>
    <w:rsid w:val="00C40A75"/>
    <w:rsid w:val="00C415C6"/>
    <w:rsid w:val="00C41600"/>
    <w:rsid w:val="00C4232E"/>
    <w:rsid w:val="00C4716D"/>
    <w:rsid w:val="00C4790F"/>
    <w:rsid w:val="00C52974"/>
    <w:rsid w:val="00C54F65"/>
    <w:rsid w:val="00C57378"/>
    <w:rsid w:val="00C5751F"/>
    <w:rsid w:val="00C57E56"/>
    <w:rsid w:val="00C60E0A"/>
    <w:rsid w:val="00C6182A"/>
    <w:rsid w:val="00C62EEC"/>
    <w:rsid w:val="00C65A56"/>
    <w:rsid w:val="00C70722"/>
    <w:rsid w:val="00C719EC"/>
    <w:rsid w:val="00C71D61"/>
    <w:rsid w:val="00C7287F"/>
    <w:rsid w:val="00C810BE"/>
    <w:rsid w:val="00C8562A"/>
    <w:rsid w:val="00C8567C"/>
    <w:rsid w:val="00C85EF3"/>
    <w:rsid w:val="00C86BDF"/>
    <w:rsid w:val="00C86FA9"/>
    <w:rsid w:val="00C90A49"/>
    <w:rsid w:val="00C923A9"/>
    <w:rsid w:val="00C938D1"/>
    <w:rsid w:val="00C94078"/>
    <w:rsid w:val="00C94E04"/>
    <w:rsid w:val="00C95682"/>
    <w:rsid w:val="00C9669B"/>
    <w:rsid w:val="00CA0772"/>
    <w:rsid w:val="00CA323E"/>
    <w:rsid w:val="00CA4F34"/>
    <w:rsid w:val="00CA5386"/>
    <w:rsid w:val="00CA70A2"/>
    <w:rsid w:val="00CB0C69"/>
    <w:rsid w:val="00CB156A"/>
    <w:rsid w:val="00CB1887"/>
    <w:rsid w:val="00CB4BEB"/>
    <w:rsid w:val="00CB7154"/>
    <w:rsid w:val="00CB784B"/>
    <w:rsid w:val="00CB79E2"/>
    <w:rsid w:val="00CC2528"/>
    <w:rsid w:val="00CC2B0F"/>
    <w:rsid w:val="00CC5FF5"/>
    <w:rsid w:val="00CD0878"/>
    <w:rsid w:val="00CD22A8"/>
    <w:rsid w:val="00CD2F54"/>
    <w:rsid w:val="00CD3681"/>
    <w:rsid w:val="00CD3BC6"/>
    <w:rsid w:val="00CD3D8E"/>
    <w:rsid w:val="00CD4675"/>
    <w:rsid w:val="00CD47C0"/>
    <w:rsid w:val="00CD6E9C"/>
    <w:rsid w:val="00CD7ADB"/>
    <w:rsid w:val="00CE2602"/>
    <w:rsid w:val="00CE2A8D"/>
    <w:rsid w:val="00CE3553"/>
    <w:rsid w:val="00CE4875"/>
    <w:rsid w:val="00CE67E9"/>
    <w:rsid w:val="00CE6FF8"/>
    <w:rsid w:val="00CF0144"/>
    <w:rsid w:val="00CF0C23"/>
    <w:rsid w:val="00CF1505"/>
    <w:rsid w:val="00CF2A9F"/>
    <w:rsid w:val="00CF3569"/>
    <w:rsid w:val="00CF444D"/>
    <w:rsid w:val="00CF48BD"/>
    <w:rsid w:val="00CF5F58"/>
    <w:rsid w:val="00D0071B"/>
    <w:rsid w:val="00D00CEC"/>
    <w:rsid w:val="00D0104E"/>
    <w:rsid w:val="00D0204F"/>
    <w:rsid w:val="00D04698"/>
    <w:rsid w:val="00D051DB"/>
    <w:rsid w:val="00D05A8A"/>
    <w:rsid w:val="00D05EB7"/>
    <w:rsid w:val="00D061C3"/>
    <w:rsid w:val="00D06CF2"/>
    <w:rsid w:val="00D1112A"/>
    <w:rsid w:val="00D11437"/>
    <w:rsid w:val="00D12D32"/>
    <w:rsid w:val="00D12DF8"/>
    <w:rsid w:val="00D160D1"/>
    <w:rsid w:val="00D179C0"/>
    <w:rsid w:val="00D17F1C"/>
    <w:rsid w:val="00D20184"/>
    <w:rsid w:val="00D211E2"/>
    <w:rsid w:val="00D24BEC"/>
    <w:rsid w:val="00D252B2"/>
    <w:rsid w:val="00D26334"/>
    <w:rsid w:val="00D26AB9"/>
    <w:rsid w:val="00D27A5F"/>
    <w:rsid w:val="00D30E91"/>
    <w:rsid w:val="00D310AC"/>
    <w:rsid w:val="00D322DC"/>
    <w:rsid w:val="00D332C4"/>
    <w:rsid w:val="00D3347D"/>
    <w:rsid w:val="00D33A75"/>
    <w:rsid w:val="00D34761"/>
    <w:rsid w:val="00D3509F"/>
    <w:rsid w:val="00D362D7"/>
    <w:rsid w:val="00D3758C"/>
    <w:rsid w:val="00D375B7"/>
    <w:rsid w:val="00D43132"/>
    <w:rsid w:val="00D478D6"/>
    <w:rsid w:val="00D50BD3"/>
    <w:rsid w:val="00D54106"/>
    <w:rsid w:val="00D564AA"/>
    <w:rsid w:val="00D56B1D"/>
    <w:rsid w:val="00D56E9D"/>
    <w:rsid w:val="00D575E3"/>
    <w:rsid w:val="00D64489"/>
    <w:rsid w:val="00D65D01"/>
    <w:rsid w:val="00D679A7"/>
    <w:rsid w:val="00D71521"/>
    <w:rsid w:val="00D804FF"/>
    <w:rsid w:val="00D8142D"/>
    <w:rsid w:val="00D83B66"/>
    <w:rsid w:val="00D87972"/>
    <w:rsid w:val="00D910BD"/>
    <w:rsid w:val="00D920BB"/>
    <w:rsid w:val="00D92115"/>
    <w:rsid w:val="00D923D1"/>
    <w:rsid w:val="00D9319E"/>
    <w:rsid w:val="00D94958"/>
    <w:rsid w:val="00D96A86"/>
    <w:rsid w:val="00DA3BD7"/>
    <w:rsid w:val="00DA49B3"/>
    <w:rsid w:val="00DA4AAE"/>
    <w:rsid w:val="00DA5F08"/>
    <w:rsid w:val="00DB0E0B"/>
    <w:rsid w:val="00DB1231"/>
    <w:rsid w:val="00DB2C19"/>
    <w:rsid w:val="00DB3208"/>
    <w:rsid w:val="00DB3C35"/>
    <w:rsid w:val="00DB4360"/>
    <w:rsid w:val="00DB706F"/>
    <w:rsid w:val="00DC0174"/>
    <w:rsid w:val="00DC0540"/>
    <w:rsid w:val="00DC12D3"/>
    <w:rsid w:val="00DC1F96"/>
    <w:rsid w:val="00DC32BF"/>
    <w:rsid w:val="00DC511A"/>
    <w:rsid w:val="00DC6840"/>
    <w:rsid w:val="00DC7770"/>
    <w:rsid w:val="00DC7BD3"/>
    <w:rsid w:val="00DD018E"/>
    <w:rsid w:val="00DD01AC"/>
    <w:rsid w:val="00DD120C"/>
    <w:rsid w:val="00DD211E"/>
    <w:rsid w:val="00DD2D85"/>
    <w:rsid w:val="00DD3691"/>
    <w:rsid w:val="00DD531E"/>
    <w:rsid w:val="00DD7F09"/>
    <w:rsid w:val="00DE0ADD"/>
    <w:rsid w:val="00DE0AED"/>
    <w:rsid w:val="00DE1ECC"/>
    <w:rsid w:val="00DE4278"/>
    <w:rsid w:val="00DE4DDF"/>
    <w:rsid w:val="00DE5495"/>
    <w:rsid w:val="00DE633C"/>
    <w:rsid w:val="00DE6AE3"/>
    <w:rsid w:val="00DE6C46"/>
    <w:rsid w:val="00DF13AA"/>
    <w:rsid w:val="00DF403E"/>
    <w:rsid w:val="00DF58A2"/>
    <w:rsid w:val="00E00895"/>
    <w:rsid w:val="00E01BDE"/>
    <w:rsid w:val="00E03E86"/>
    <w:rsid w:val="00E069D4"/>
    <w:rsid w:val="00E07515"/>
    <w:rsid w:val="00E11081"/>
    <w:rsid w:val="00E116D4"/>
    <w:rsid w:val="00E12AF1"/>
    <w:rsid w:val="00E1341D"/>
    <w:rsid w:val="00E27DC8"/>
    <w:rsid w:val="00E34A0B"/>
    <w:rsid w:val="00E36F9C"/>
    <w:rsid w:val="00E37437"/>
    <w:rsid w:val="00E42D16"/>
    <w:rsid w:val="00E430A5"/>
    <w:rsid w:val="00E4401A"/>
    <w:rsid w:val="00E45D7A"/>
    <w:rsid w:val="00E468B8"/>
    <w:rsid w:val="00E50EB4"/>
    <w:rsid w:val="00E53473"/>
    <w:rsid w:val="00E54EF1"/>
    <w:rsid w:val="00E553C4"/>
    <w:rsid w:val="00E55B6A"/>
    <w:rsid w:val="00E57280"/>
    <w:rsid w:val="00E61EC6"/>
    <w:rsid w:val="00E62527"/>
    <w:rsid w:val="00E63C8C"/>
    <w:rsid w:val="00E6579B"/>
    <w:rsid w:val="00E6654A"/>
    <w:rsid w:val="00E7375F"/>
    <w:rsid w:val="00E80826"/>
    <w:rsid w:val="00E82D5C"/>
    <w:rsid w:val="00E87500"/>
    <w:rsid w:val="00E92920"/>
    <w:rsid w:val="00E93A73"/>
    <w:rsid w:val="00E9603F"/>
    <w:rsid w:val="00E965A7"/>
    <w:rsid w:val="00E965D8"/>
    <w:rsid w:val="00EA134A"/>
    <w:rsid w:val="00EA1643"/>
    <w:rsid w:val="00EA505F"/>
    <w:rsid w:val="00EA576A"/>
    <w:rsid w:val="00EB196E"/>
    <w:rsid w:val="00EB48C5"/>
    <w:rsid w:val="00EB5DC5"/>
    <w:rsid w:val="00EB64FF"/>
    <w:rsid w:val="00EB76E4"/>
    <w:rsid w:val="00EC156F"/>
    <w:rsid w:val="00EC1727"/>
    <w:rsid w:val="00EC1A92"/>
    <w:rsid w:val="00EC36E2"/>
    <w:rsid w:val="00EC6851"/>
    <w:rsid w:val="00EC72C3"/>
    <w:rsid w:val="00EC7A06"/>
    <w:rsid w:val="00ED011F"/>
    <w:rsid w:val="00ED58F2"/>
    <w:rsid w:val="00EE0547"/>
    <w:rsid w:val="00EE37A2"/>
    <w:rsid w:val="00EE3E35"/>
    <w:rsid w:val="00EE3F3C"/>
    <w:rsid w:val="00EE44FB"/>
    <w:rsid w:val="00EE4D4A"/>
    <w:rsid w:val="00EE5BD5"/>
    <w:rsid w:val="00EE6474"/>
    <w:rsid w:val="00EF0EBB"/>
    <w:rsid w:val="00EF1DDF"/>
    <w:rsid w:val="00EF5D2B"/>
    <w:rsid w:val="00EF635D"/>
    <w:rsid w:val="00EF7E76"/>
    <w:rsid w:val="00F00934"/>
    <w:rsid w:val="00F01333"/>
    <w:rsid w:val="00F03539"/>
    <w:rsid w:val="00F03AFB"/>
    <w:rsid w:val="00F07105"/>
    <w:rsid w:val="00F07921"/>
    <w:rsid w:val="00F1097D"/>
    <w:rsid w:val="00F1614B"/>
    <w:rsid w:val="00F2161A"/>
    <w:rsid w:val="00F22027"/>
    <w:rsid w:val="00F26A9B"/>
    <w:rsid w:val="00F3078E"/>
    <w:rsid w:val="00F30975"/>
    <w:rsid w:val="00F3180C"/>
    <w:rsid w:val="00F3199F"/>
    <w:rsid w:val="00F31A58"/>
    <w:rsid w:val="00F3234A"/>
    <w:rsid w:val="00F34632"/>
    <w:rsid w:val="00F34DB9"/>
    <w:rsid w:val="00F35366"/>
    <w:rsid w:val="00F35391"/>
    <w:rsid w:val="00F35637"/>
    <w:rsid w:val="00F35B36"/>
    <w:rsid w:val="00F475B0"/>
    <w:rsid w:val="00F50C0F"/>
    <w:rsid w:val="00F510E1"/>
    <w:rsid w:val="00F51585"/>
    <w:rsid w:val="00F517BB"/>
    <w:rsid w:val="00F51F49"/>
    <w:rsid w:val="00F51F90"/>
    <w:rsid w:val="00F53619"/>
    <w:rsid w:val="00F539DA"/>
    <w:rsid w:val="00F542D8"/>
    <w:rsid w:val="00F55D35"/>
    <w:rsid w:val="00F62374"/>
    <w:rsid w:val="00F63580"/>
    <w:rsid w:val="00F65063"/>
    <w:rsid w:val="00F659AD"/>
    <w:rsid w:val="00F65D9A"/>
    <w:rsid w:val="00F67140"/>
    <w:rsid w:val="00F6758B"/>
    <w:rsid w:val="00F70C22"/>
    <w:rsid w:val="00F716BD"/>
    <w:rsid w:val="00F730A3"/>
    <w:rsid w:val="00F75263"/>
    <w:rsid w:val="00F80DB1"/>
    <w:rsid w:val="00F817C9"/>
    <w:rsid w:val="00F82138"/>
    <w:rsid w:val="00F827A7"/>
    <w:rsid w:val="00F83757"/>
    <w:rsid w:val="00F8519A"/>
    <w:rsid w:val="00F87F00"/>
    <w:rsid w:val="00F91B3D"/>
    <w:rsid w:val="00F92AF0"/>
    <w:rsid w:val="00F939C0"/>
    <w:rsid w:val="00F95D08"/>
    <w:rsid w:val="00F96442"/>
    <w:rsid w:val="00F9773C"/>
    <w:rsid w:val="00F97E3D"/>
    <w:rsid w:val="00FA2766"/>
    <w:rsid w:val="00FA3650"/>
    <w:rsid w:val="00FA43D8"/>
    <w:rsid w:val="00FA591D"/>
    <w:rsid w:val="00FA6992"/>
    <w:rsid w:val="00FA6E84"/>
    <w:rsid w:val="00FA7344"/>
    <w:rsid w:val="00FB2A46"/>
    <w:rsid w:val="00FB2CDD"/>
    <w:rsid w:val="00FB455A"/>
    <w:rsid w:val="00FB557A"/>
    <w:rsid w:val="00FC2303"/>
    <w:rsid w:val="00FD0E27"/>
    <w:rsid w:val="00FD1EDB"/>
    <w:rsid w:val="00FD24C5"/>
    <w:rsid w:val="00FD2CD5"/>
    <w:rsid w:val="00FD3C09"/>
    <w:rsid w:val="00FD42C4"/>
    <w:rsid w:val="00FD5484"/>
    <w:rsid w:val="00FD6366"/>
    <w:rsid w:val="00FE3E14"/>
    <w:rsid w:val="00FE5468"/>
    <w:rsid w:val="00FE6423"/>
    <w:rsid w:val="00FE6E69"/>
    <w:rsid w:val="00FE6E9E"/>
    <w:rsid w:val="01573B76"/>
    <w:rsid w:val="02DBD120"/>
    <w:rsid w:val="0485A42D"/>
    <w:rsid w:val="04DAC393"/>
    <w:rsid w:val="060F8BFE"/>
    <w:rsid w:val="098DCD87"/>
    <w:rsid w:val="0C783C0B"/>
    <w:rsid w:val="13257610"/>
    <w:rsid w:val="1377C461"/>
    <w:rsid w:val="1395EA9E"/>
    <w:rsid w:val="1BC358B2"/>
    <w:rsid w:val="2296AFD1"/>
    <w:rsid w:val="24A29A5A"/>
    <w:rsid w:val="24EB1B8C"/>
    <w:rsid w:val="298BBE58"/>
    <w:rsid w:val="2EF3CE83"/>
    <w:rsid w:val="2FD1F5E9"/>
    <w:rsid w:val="30BB6C59"/>
    <w:rsid w:val="32218864"/>
    <w:rsid w:val="34EA8F28"/>
    <w:rsid w:val="3E4A0250"/>
    <w:rsid w:val="41247148"/>
    <w:rsid w:val="4546D3B2"/>
    <w:rsid w:val="47F47718"/>
    <w:rsid w:val="481F91A2"/>
    <w:rsid w:val="4EDE757A"/>
    <w:rsid w:val="54D6F07D"/>
    <w:rsid w:val="56FCE092"/>
    <w:rsid w:val="59AA2ECF"/>
    <w:rsid w:val="5ECBB996"/>
    <w:rsid w:val="5FF2671E"/>
    <w:rsid w:val="6263A230"/>
    <w:rsid w:val="64BC1155"/>
    <w:rsid w:val="67E0BA39"/>
    <w:rsid w:val="6DF271E8"/>
    <w:rsid w:val="7025AE59"/>
    <w:rsid w:val="720B68F1"/>
    <w:rsid w:val="74B3C3E6"/>
    <w:rsid w:val="79A03047"/>
    <w:rsid w:val="7A27ED64"/>
    <w:rsid w:val="7BCACBAE"/>
    <w:rsid w:val="7F4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89BBE5C"/>
  <w15:docId w15:val="{D25801C4-A26A-41A4-92B9-479C1DA9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3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3AA"/>
  </w:style>
  <w:style w:type="paragraph" w:styleId="Piedepgina">
    <w:name w:val="footer"/>
    <w:basedOn w:val="Normal"/>
    <w:link w:val="PiedepginaCar"/>
    <w:uiPriority w:val="99"/>
    <w:unhideWhenUsed/>
    <w:rsid w:val="00DF13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3AA"/>
  </w:style>
  <w:style w:type="table" w:styleId="Tablaconcuadrcula">
    <w:name w:val="Table Grid"/>
    <w:basedOn w:val="Tablanormal"/>
    <w:uiPriority w:val="39"/>
    <w:rsid w:val="00DF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69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699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65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926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926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926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26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264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04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C041C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041C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041C3"/>
    <w:rPr>
      <w:vertAlign w:val="superscript"/>
    </w:rPr>
  </w:style>
  <w:style w:type="paragraph" w:styleId="Revisin">
    <w:name w:val="Revision"/>
    <w:hidden/>
    <w:uiPriority w:val="99"/>
    <w:semiHidden/>
    <w:rsid w:val="008B4670"/>
    <w:pPr>
      <w:spacing w:after="0" w:line="240" w:lineRule="auto"/>
    </w:pPr>
  </w:style>
  <w:style w:type="paragraph" w:customStyle="1" w:styleId="paragraph">
    <w:name w:val="paragraph"/>
    <w:basedOn w:val="Normal"/>
    <w:rsid w:val="00DC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DC12D3"/>
  </w:style>
  <w:style w:type="character" w:customStyle="1" w:styleId="superscript">
    <w:name w:val="superscript"/>
    <w:basedOn w:val="Fuentedeprrafopredeter"/>
    <w:rsid w:val="00DC12D3"/>
  </w:style>
  <w:style w:type="character" w:customStyle="1" w:styleId="eop">
    <w:name w:val="eop"/>
    <w:basedOn w:val="Fuentedeprrafopredeter"/>
    <w:rsid w:val="00DC12D3"/>
  </w:style>
  <w:style w:type="character" w:customStyle="1" w:styleId="ui-provider">
    <w:name w:val="ui-provider"/>
    <w:basedOn w:val="Fuentedeprrafopredeter"/>
    <w:rsid w:val="001B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7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E5E66BF1EE40E4A09855ED99AFF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04881-CBDB-4345-9F06-7D8DE04123FC}"/>
      </w:docPartPr>
      <w:docPartBody>
        <w:p w:rsidR="00071479" w:rsidRDefault="0007147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813"/>
    <w:rsid w:val="00047832"/>
    <w:rsid w:val="00071479"/>
    <w:rsid w:val="000C17E6"/>
    <w:rsid w:val="00100D00"/>
    <w:rsid w:val="001067DB"/>
    <w:rsid w:val="0017490B"/>
    <w:rsid w:val="001B74FE"/>
    <w:rsid w:val="001C2363"/>
    <w:rsid w:val="00210AF3"/>
    <w:rsid w:val="0030478C"/>
    <w:rsid w:val="0033780B"/>
    <w:rsid w:val="003669B8"/>
    <w:rsid w:val="00373E2C"/>
    <w:rsid w:val="003F12A2"/>
    <w:rsid w:val="00486B6E"/>
    <w:rsid w:val="005C3BB0"/>
    <w:rsid w:val="00687BF0"/>
    <w:rsid w:val="00704463"/>
    <w:rsid w:val="00720322"/>
    <w:rsid w:val="00755813"/>
    <w:rsid w:val="0077138B"/>
    <w:rsid w:val="007A5614"/>
    <w:rsid w:val="007C6E76"/>
    <w:rsid w:val="007E149F"/>
    <w:rsid w:val="008E495F"/>
    <w:rsid w:val="008F0C00"/>
    <w:rsid w:val="00991FF6"/>
    <w:rsid w:val="009C4140"/>
    <w:rsid w:val="00A000A3"/>
    <w:rsid w:val="00A415AE"/>
    <w:rsid w:val="00A919AB"/>
    <w:rsid w:val="00AA2987"/>
    <w:rsid w:val="00C64DC8"/>
    <w:rsid w:val="00C9329B"/>
    <w:rsid w:val="00DA7A0E"/>
    <w:rsid w:val="00DB2AE6"/>
    <w:rsid w:val="00DF4AED"/>
    <w:rsid w:val="00E50493"/>
    <w:rsid w:val="00E50A77"/>
    <w:rsid w:val="00F92D9D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3E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EDC471B0D4548B347D6D57CF8C79E" ma:contentTypeVersion="4" ma:contentTypeDescription="Create a new document." ma:contentTypeScope="" ma:versionID="1ce8d500f5713115104009b7763e25df">
  <xsd:schema xmlns:xsd="http://www.w3.org/2001/XMLSchema" xmlns:xs="http://www.w3.org/2001/XMLSchema" xmlns:p="http://schemas.microsoft.com/office/2006/metadata/properties" xmlns:ns2="1680885d-203f-4e88-bcd6-3a3ac6aab556" xmlns:ns3="eb6fea64-92b2-4d37-9b88-7189dfe81290" targetNamespace="http://schemas.microsoft.com/office/2006/metadata/properties" ma:root="true" ma:fieldsID="6daa5d74502743c2d2d161eff0287275" ns2:_="" ns3:_="">
    <xsd:import namespace="1680885d-203f-4e88-bcd6-3a3ac6aab556"/>
    <xsd:import namespace="eb6fea64-92b2-4d37-9b88-7189dfe81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0885d-203f-4e88-bcd6-3a3ac6aab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fea64-92b2-4d37-9b88-7189dfe8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99B7B-176E-40A6-887D-9F3649CDA5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605D1-4DDB-430B-948D-CCE6432D5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163BE-9C6A-4B38-BCFC-8DC0FB0E8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1800B9-DDB0-4809-B75B-416FBD507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0885d-203f-4e88-bcd6-3a3ac6aab556"/>
    <ds:schemaRef ds:uri="eb6fea64-92b2-4d37-9b88-7189dfe81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Plaza</dc:creator>
  <cp:keywords/>
  <dc:description/>
  <cp:lastModifiedBy>Oscar Andres Alvarez Torres</cp:lastModifiedBy>
  <cp:revision>2</cp:revision>
  <cp:lastPrinted>2019-11-06T07:13:00Z</cp:lastPrinted>
  <dcterms:created xsi:type="dcterms:W3CDTF">2023-04-26T20:49:00Z</dcterms:created>
  <dcterms:modified xsi:type="dcterms:W3CDTF">2023-04-26T20:49:00Z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0x0101002DBEDC471B0D4548B347D6D57CF8C79E</vt:lpwstr>
  </property>
</Properties>
</file>