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C300B" w14:textId="77777777" w:rsidR="008C6391" w:rsidRDefault="008D6085" w:rsidP="003C605E">
      <w:pPr>
        <w:pStyle w:val="Sinespaciado"/>
        <w:ind w:right="-518"/>
        <w:jc w:val="both"/>
        <w:rPr>
          <w:rFonts w:ascii="Arial" w:hAnsi="Arial" w:cs="Arial"/>
          <w:b/>
          <w:lang w:val="es-ES_tradnl"/>
        </w:rPr>
      </w:pPr>
      <w:r w:rsidRPr="008D6085">
        <w:rPr>
          <w:rFonts w:ascii="Arial" w:hAnsi="Arial" w:cs="Arial"/>
          <w:b/>
          <w:lang w:val="es-ES_tradnl"/>
        </w:rPr>
        <w:t xml:space="preserve">INFORME DE LA COMISION DE HACIENDA RECAÍDO EN EL PROYECTO DE LEY QUE </w:t>
      </w:r>
      <w:r w:rsidR="003C605E" w:rsidRPr="003C605E">
        <w:rPr>
          <w:rFonts w:ascii="Arial" w:hAnsi="Arial" w:cs="Arial"/>
          <w:b/>
          <w:lang w:val="es-ES_tradnl"/>
        </w:rPr>
        <w:t>CREA UN REGISTRO DE DEUDA CONSOLIDADA</w:t>
      </w:r>
    </w:p>
    <w:p w14:paraId="3D4BF96D" w14:textId="77777777" w:rsidR="003C605E" w:rsidRPr="00861179" w:rsidRDefault="003C605E" w:rsidP="003C605E">
      <w:pPr>
        <w:pStyle w:val="Sinespaciado"/>
        <w:ind w:right="-518"/>
        <w:jc w:val="both"/>
        <w:rPr>
          <w:rFonts w:ascii="Arial" w:hAnsi="Arial" w:cs="Arial"/>
          <w:b/>
          <w:lang w:val="es-ES_tradnl"/>
        </w:rPr>
      </w:pPr>
      <w:r>
        <w:rPr>
          <w:rFonts w:ascii="Arial" w:hAnsi="Arial" w:cs="Arial"/>
          <w:b/>
          <w:lang w:val="es-ES_tradnl"/>
        </w:rPr>
        <w:t>_______________________________________________________________________</w:t>
      </w:r>
    </w:p>
    <w:p w14:paraId="26ACA5DD" w14:textId="77777777" w:rsidR="008C6391" w:rsidRPr="00861179" w:rsidRDefault="008C6391" w:rsidP="00861179">
      <w:pPr>
        <w:pStyle w:val="Sinespaciado"/>
        <w:spacing w:line="276" w:lineRule="auto"/>
        <w:ind w:right="-234"/>
        <w:jc w:val="right"/>
        <w:rPr>
          <w:rFonts w:ascii="Arial" w:hAnsi="Arial" w:cs="Arial"/>
          <w:b/>
          <w:lang w:val="es-ES_tradnl"/>
        </w:rPr>
      </w:pPr>
    </w:p>
    <w:p w14:paraId="4863CBE7" w14:textId="77777777" w:rsidR="00974678" w:rsidRPr="00861179" w:rsidRDefault="008C6391" w:rsidP="00861179">
      <w:pPr>
        <w:pStyle w:val="Sinespaciado"/>
        <w:spacing w:line="276" w:lineRule="auto"/>
        <w:ind w:right="-234"/>
        <w:jc w:val="right"/>
        <w:rPr>
          <w:rFonts w:ascii="Arial" w:hAnsi="Arial" w:cs="Arial"/>
          <w:b/>
          <w:lang w:val="es-ES_tradnl"/>
        </w:rPr>
      </w:pPr>
      <w:r w:rsidRPr="00861179">
        <w:rPr>
          <w:rFonts w:ascii="Arial" w:hAnsi="Arial" w:cs="Arial"/>
          <w:b/>
          <w:lang w:val="es-ES_tradnl"/>
        </w:rPr>
        <w:t xml:space="preserve">Boletín N° </w:t>
      </w:r>
      <w:r w:rsidR="003C605E">
        <w:rPr>
          <w:rFonts w:ascii="Arial" w:hAnsi="Arial" w:cs="Arial"/>
          <w:b/>
          <w:lang w:val="es-ES_tradnl"/>
        </w:rPr>
        <w:t>14.743</w:t>
      </w:r>
      <w:r w:rsidR="008D6085">
        <w:rPr>
          <w:rFonts w:ascii="Arial" w:hAnsi="Arial" w:cs="Arial"/>
          <w:b/>
          <w:lang w:val="es-ES_tradnl"/>
        </w:rPr>
        <w:t>-03</w:t>
      </w:r>
    </w:p>
    <w:p w14:paraId="379234BC" w14:textId="77777777" w:rsidR="008C6391" w:rsidRPr="00861179" w:rsidRDefault="008C6391" w:rsidP="00861179">
      <w:pPr>
        <w:pStyle w:val="Sinespaciado"/>
        <w:spacing w:line="276" w:lineRule="auto"/>
        <w:ind w:right="-234"/>
        <w:jc w:val="right"/>
        <w:rPr>
          <w:rFonts w:ascii="Arial" w:hAnsi="Arial" w:cs="Arial"/>
          <w:b/>
          <w:lang w:val="es-ES_tradnl"/>
        </w:rPr>
      </w:pPr>
    </w:p>
    <w:p w14:paraId="7EFDE5A3" w14:textId="77777777" w:rsidR="008C6391" w:rsidRPr="00861179" w:rsidRDefault="008C6391" w:rsidP="00861179">
      <w:pPr>
        <w:pStyle w:val="Sinespaciado"/>
        <w:spacing w:line="276" w:lineRule="auto"/>
        <w:ind w:right="-234"/>
        <w:jc w:val="right"/>
        <w:rPr>
          <w:rFonts w:ascii="Arial" w:hAnsi="Arial" w:cs="Arial"/>
          <w:b/>
          <w:lang w:val="es-ES_tradnl"/>
        </w:rPr>
      </w:pPr>
    </w:p>
    <w:p w14:paraId="6D5F9A25" w14:textId="77777777" w:rsidR="00974678" w:rsidRPr="00861179" w:rsidRDefault="00974678" w:rsidP="00861179">
      <w:pPr>
        <w:tabs>
          <w:tab w:val="left" w:pos="2268"/>
        </w:tabs>
        <w:spacing w:line="276" w:lineRule="auto"/>
        <w:ind w:right="-234"/>
        <w:jc w:val="both"/>
        <w:outlineLvl w:val="0"/>
        <w:rPr>
          <w:rFonts w:ascii="Arial" w:hAnsi="Arial" w:cs="Arial"/>
          <w:spacing w:val="-3"/>
          <w:sz w:val="22"/>
          <w:szCs w:val="22"/>
        </w:rPr>
      </w:pPr>
      <w:r w:rsidRPr="00861179">
        <w:rPr>
          <w:rFonts w:ascii="Arial" w:hAnsi="Arial" w:cs="Arial"/>
          <w:b/>
          <w:spacing w:val="-3"/>
          <w:sz w:val="22"/>
          <w:szCs w:val="22"/>
        </w:rPr>
        <w:t>HONORABLE CÁMARA</w:t>
      </w:r>
      <w:r w:rsidRPr="00861179">
        <w:rPr>
          <w:rFonts w:ascii="Arial" w:hAnsi="Arial" w:cs="Arial"/>
          <w:spacing w:val="-3"/>
          <w:sz w:val="22"/>
          <w:szCs w:val="22"/>
        </w:rPr>
        <w:t>:</w:t>
      </w:r>
    </w:p>
    <w:p w14:paraId="07A96811" w14:textId="77777777" w:rsidR="00974678" w:rsidRPr="00861179" w:rsidRDefault="00974678" w:rsidP="00861179">
      <w:pPr>
        <w:spacing w:line="276" w:lineRule="auto"/>
        <w:ind w:right="-234" w:firstLine="1701"/>
        <w:jc w:val="both"/>
        <w:rPr>
          <w:rFonts w:ascii="Arial" w:hAnsi="Arial" w:cs="Arial"/>
          <w:sz w:val="22"/>
          <w:szCs w:val="22"/>
        </w:rPr>
      </w:pPr>
    </w:p>
    <w:p w14:paraId="090A19F0" w14:textId="77777777" w:rsidR="00B2058A" w:rsidRPr="0014589F" w:rsidRDefault="00974678" w:rsidP="00687258">
      <w:pPr>
        <w:pStyle w:val="Sinespaciado"/>
        <w:spacing w:line="276" w:lineRule="auto"/>
        <w:ind w:right="-518" w:firstLine="1701"/>
        <w:jc w:val="both"/>
        <w:rPr>
          <w:rFonts w:ascii="Arial" w:hAnsi="Arial" w:cs="Arial"/>
        </w:rPr>
      </w:pPr>
      <w:r w:rsidRPr="00861179">
        <w:rPr>
          <w:rFonts w:ascii="Arial" w:hAnsi="Arial" w:cs="Arial"/>
        </w:rPr>
        <w:t xml:space="preserve">La Comisión de Hacienda pasa a informar, en cumplimiento del inciso segundo del artículo 17 de la ley N° 18.918, Orgánica Constitucional del Congreso Nacional, y conforme a lo dispuesto en el inciso segundo del artículo 226 del Reglamento de la Corporación, el proyecto de ley mencionado en el epígrafe, originado en </w:t>
      </w:r>
      <w:bookmarkStart w:id="0" w:name="_Toc408309924"/>
      <w:bookmarkStart w:id="1" w:name="_Toc409556907"/>
      <w:bookmarkStart w:id="2" w:name="_Toc499712179"/>
      <w:r w:rsidR="008C6391" w:rsidRPr="00861179">
        <w:rPr>
          <w:rFonts w:ascii="Arial" w:hAnsi="Arial" w:cs="Arial"/>
          <w:lang w:val="es-ES_tradnl"/>
        </w:rPr>
        <w:t>Mensaje de</w:t>
      </w:r>
      <w:r w:rsidR="007C4022">
        <w:rPr>
          <w:rFonts w:ascii="Arial" w:hAnsi="Arial" w:cs="Arial"/>
          <w:lang w:val="es-ES_tradnl"/>
        </w:rPr>
        <w:t>l entonces Presidente de la República</w:t>
      </w:r>
      <w:r w:rsidR="008C6391" w:rsidRPr="00861179">
        <w:rPr>
          <w:rFonts w:ascii="Arial" w:hAnsi="Arial" w:cs="Arial"/>
          <w:lang w:val="es-ES_tradnl"/>
        </w:rPr>
        <w:t xml:space="preserve"> </w:t>
      </w:r>
      <w:r w:rsidR="007C4022">
        <w:rPr>
          <w:rFonts w:ascii="Arial" w:hAnsi="Arial" w:cs="Arial"/>
          <w:lang w:val="es-ES_tradnl"/>
        </w:rPr>
        <w:t>don Sebastián Piñera Echenique, ingresado a tramitación el 30 de agosto de 2011 (boletín N°7886-03)</w:t>
      </w:r>
      <w:r w:rsidR="00316A3C">
        <w:rPr>
          <w:rFonts w:ascii="Arial" w:hAnsi="Arial" w:cs="Arial"/>
          <w:lang w:val="es-ES_tradnl"/>
        </w:rPr>
        <w:t xml:space="preserve">, en primer trámite constitucional y reglamentario; la iniciativa, fue sustituida, antes de su aprobación en general, por el Mensaje ingresado el 13 de diciembre de 2021, por su </w:t>
      </w:r>
      <w:r w:rsidR="008C6391" w:rsidRPr="00861179">
        <w:rPr>
          <w:rFonts w:ascii="Arial" w:hAnsi="Arial" w:cs="Arial"/>
          <w:lang w:val="es-ES_tradnl"/>
        </w:rPr>
        <w:t xml:space="preserve">S.E. el Presidente de la República don </w:t>
      </w:r>
      <w:r w:rsidR="008D6085">
        <w:rPr>
          <w:rFonts w:ascii="Arial" w:hAnsi="Arial" w:cs="Arial"/>
          <w:lang w:val="es-ES_tradnl"/>
        </w:rPr>
        <w:t xml:space="preserve">Gabriel </w:t>
      </w:r>
      <w:proofErr w:type="spellStart"/>
      <w:r w:rsidR="008D6085">
        <w:rPr>
          <w:rFonts w:ascii="Arial" w:hAnsi="Arial" w:cs="Arial"/>
          <w:lang w:val="es-ES_tradnl"/>
        </w:rPr>
        <w:t>Boric</w:t>
      </w:r>
      <w:proofErr w:type="spellEnd"/>
      <w:r w:rsidR="008D6085">
        <w:rPr>
          <w:rFonts w:ascii="Arial" w:hAnsi="Arial" w:cs="Arial"/>
          <w:lang w:val="es-ES_tradnl"/>
        </w:rPr>
        <w:t xml:space="preserve"> Font</w:t>
      </w:r>
      <w:r w:rsidR="008C6391" w:rsidRPr="00861179">
        <w:rPr>
          <w:rFonts w:ascii="Arial" w:hAnsi="Arial" w:cs="Arial"/>
          <w:lang w:val="es-ES_tradnl"/>
        </w:rPr>
        <w:t xml:space="preserve">, </w:t>
      </w:r>
      <w:r w:rsidR="001D3430">
        <w:rPr>
          <w:rFonts w:ascii="Arial" w:hAnsi="Arial" w:cs="Arial"/>
          <w:lang w:val="es-ES_tradnl"/>
        </w:rPr>
        <w:t xml:space="preserve">y se encuentra </w:t>
      </w:r>
      <w:r w:rsidR="008C6391" w:rsidRPr="00861179">
        <w:rPr>
          <w:rFonts w:ascii="Arial" w:hAnsi="Arial" w:cs="Arial"/>
          <w:lang w:val="es-ES_tradnl"/>
        </w:rPr>
        <w:t xml:space="preserve">con urgencia calificada de </w:t>
      </w:r>
      <w:r w:rsidR="001D3430">
        <w:rPr>
          <w:rFonts w:ascii="Arial" w:hAnsi="Arial" w:cs="Arial"/>
          <w:lang w:val="es-ES_tradnl"/>
        </w:rPr>
        <w:t>Suma</w:t>
      </w:r>
      <w:r w:rsidR="005C2381" w:rsidRPr="0014589F">
        <w:rPr>
          <w:rFonts w:ascii="Arial" w:hAnsi="Arial" w:cs="Arial"/>
          <w:lang w:val="es-ES_tradnl"/>
        </w:rPr>
        <w:t>.</w:t>
      </w:r>
      <w:r w:rsidR="00F122F0" w:rsidRPr="0014589F">
        <w:rPr>
          <w:rFonts w:ascii="Arial" w:hAnsi="Arial" w:cs="Arial"/>
          <w:lang w:val="es-ES_tradnl"/>
        </w:rPr>
        <w:t xml:space="preserve">  </w:t>
      </w:r>
    </w:p>
    <w:p w14:paraId="6391C3C8" w14:textId="77777777" w:rsidR="00BD18AC" w:rsidRPr="00861179" w:rsidRDefault="00BD18AC" w:rsidP="00687258">
      <w:pPr>
        <w:spacing w:line="276" w:lineRule="auto"/>
        <w:ind w:right="-518" w:firstLine="1701"/>
        <w:jc w:val="both"/>
        <w:rPr>
          <w:rFonts w:ascii="Arial" w:hAnsi="Arial" w:cs="Arial"/>
          <w:sz w:val="22"/>
          <w:szCs w:val="22"/>
        </w:rPr>
      </w:pPr>
    </w:p>
    <w:p w14:paraId="6A10C751" w14:textId="77777777" w:rsidR="001D3430" w:rsidRPr="001D3430" w:rsidRDefault="001D3430" w:rsidP="001D3430">
      <w:pPr>
        <w:spacing w:line="276" w:lineRule="auto"/>
        <w:ind w:right="-518" w:firstLine="1701"/>
        <w:jc w:val="both"/>
        <w:rPr>
          <w:rFonts w:ascii="Arial" w:eastAsiaTheme="minorHAnsi" w:hAnsi="Arial" w:cs="Arial"/>
          <w:sz w:val="22"/>
          <w:szCs w:val="22"/>
          <w:lang w:val="es-419" w:eastAsia="es-419"/>
        </w:rPr>
      </w:pPr>
      <w:r w:rsidRPr="001D3430">
        <w:rPr>
          <w:rFonts w:ascii="Arial" w:hAnsi="Arial" w:cs="Arial"/>
          <w:sz w:val="22"/>
          <w:szCs w:val="22"/>
          <w:lang w:val="es-ES_tradnl"/>
        </w:rPr>
        <w:t xml:space="preserve">Asistió en representación del Ejecutivo, </w:t>
      </w:r>
      <w:r w:rsidRPr="001D3430">
        <w:rPr>
          <w:rFonts w:ascii="Arial" w:eastAsiaTheme="minorHAnsi" w:hAnsi="Arial" w:cs="Arial"/>
          <w:sz w:val="22"/>
          <w:szCs w:val="22"/>
          <w:lang w:val="es-419" w:eastAsia="es-419"/>
        </w:rPr>
        <w:t xml:space="preserve">la Subsecretaria de Hacienda, señora Heidi </w:t>
      </w:r>
      <w:proofErr w:type="spellStart"/>
      <w:r w:rsidRPr="001D3430">
        <w:rPr>
          <w:rFonts w:ascii="Arial" w:eastAsiaTheme="minorHAnsi" w:hAnsi="Arial" w:cs="Arial"/>
          <w:sz w:val="22"/>
          <w:szCs w:val="22"/>
          <w:lang w:val="es-419" w:eastAsia="es-419"/>
        </w:rPr>
        <w:t>Berner</w:t>
      </w:r>
      <w:proofErr w:type="spellEnd"/>
      <w:r w:rsidRPr="001D3430">
        <w:rPr>
          <w:rFonts w:ascii="Arial" w:eastAsiaTheme="minorHAnsi" w:hAnsi="Arial" w:cs="Arial"/>
          <w:sz w:val="22"/>
          <w:szCs w:val="22"/>
          <w:lang w:val="es-419" w:eastAsia="es-419"/>
        </w:rPr>
        <w:t xml:space="preserve"> Herrera junto con la asesora de Mercado de Capitales, señora Catalina </w:t>
      </w:r>
      <w:proofErr w:type="spellStart"/>
      <w:r w:rsidRPr="001D3430">
        <w:rPr>
          <w:rFonts w:ascii="Arial" w:eastAsiaTheme="minorHAnsi" w:hAnsi="Arial" w:cs="Arial"/>
          <w:sz w:val="22"/>
          <w:szCs w:val="22"/>
          <w:lang w:val="es-419" w:eastAsia="es-419"/>
        </w:rPr>
        <w:t>Coddou</w:t>
      </w:r>
      <w:proofErr w:type="spellEnd"/>
      <w:r w:rsidRPr="001D3430">
        <w:rPr>
          <w:rFonts w:ascii="Arial" w:eastAsiaTheme="minorHAnsi" w:hAnsi="Arial" w:cs="Arial"/>
          <w:sz w:val="22"/>
          <w:szCs w:val="22"/>
          <w:lang w:val="es-419" w:eastAsia="es-419"/>
        </w:rPr>
        <w:t xml:space="preserve"> Liendo, el Coordinador de Mercado de Capitales, señor Alejandro Puente Gómez y el Director Regulación Bancos y Entidades Financieras, Comisión para el Mercado Financiero (CMF), señor Jaime Forteza Saavedra. </w:t>
      </w:r>
    </w:p>
    <w:p w14:paraId="20BB4B57" w14:textId="77777777" w:rsidR="001D3430" w:rsidRPr="001D3430" w:rsidRDefault="001D3430" w:rsidP="001D3430">
      <w:pPr>
        <w:spacing w:line="276" w:lineRule="auto"/>
        <w:ind w:right="-518" w:firstLine="1701"/>
        <w:jc w:val="both"/>
        <w:rPr>
          <w:rFonts w:ascii="Arial" w:hAnsi="Arial" w:cs="Arial"/>
          <w:sz w:val="22"/>
          <w:szCs w:val="22"/>
          <w:lang w:val="es-ES_tradnl"/>
        </w:rPr>
      </w:pPr>
    </w:p>
    <w:p w14:paraId="4C460512" w14:textId="77777777" w:rsidR="001D3430" w:rsidRPr="001D3430" w:rsidRDefault="001D3430" w:rsidP="001D3430">
      <w:pPr>
        <w:spacing w:line="360" w:lineRule="auto"/>
        <w:ind w:firstLine="1701"/>
        <w:jc w:val="both"/>
        <w:rPr>
          <w:rFonts w:ascii="Arial" w:hAnsi="Arial" w:cs="Arial"/>
          <w:sz w:val="22"/>
          <w:szCs w:val="22"/>
          <w:lang w:val="es-ES_tradnl"/>
        </w:rPr>
      </w:pPr>
    </w:p>
    <w:p w14:paraId="353D73C8" w14:textId="77777777" w:rsidR="00F746CE" w:rsidRPr="00861179" w:rsidRDefault="00A51684" w:rsidP="00687258">
      <w:pPr>
        <w:spacing w:line="276" w:lineRule="auto"/>
        <w:ind w:right="-518"/>
        <w:jc w:val="both"/>
        <w:rPr>
          <w:rFonts w:ascii="Arial" w:hAnsi="Arial" w:cs="Arial"/>
          <w:b/>
          <w:bCs/>
          <w:sz w:val="22"/>
          <w:szCs w:val="22"/>
        </w:rPr>
      </w:pPr>
      <w:r w:rsidRPr="00861179">
        <w:rPr>
          <w:rFonts w:ascii="Arial" w:hAnsi="Arial" w:cs="Arial"/>
          <w:b/>
          <w:sz w:val="22"/>
          <w:szCs w:val="22"/>
        </w:rPr>
        <w:t>I.-</w:t>
      </w:r>
      <w:r w:rsidR="00F746CE" w:rsidRPr="00861179">
        <w:rPr>
          <w:rFonts w:ascii="Arial" w:hAnsi="Arial" w:cs="Arial"/>
          <w:b/>
          <w:sz w:val="22"/>
          <w:szCs w:val="22"/>
        </w:rPr>
        <w:t>CONSTANCIAS REGLAMENTARIAS PREVIAS</w:t>
      </w:r>
      <w:bookmarkEnd w:id="0"/>
      <w:bookmarkEnd w:id="1"/>
      <w:bookmarkEnd w:id="2"/>
    </w:p>
    <w:p w14:paraId="118F9D3F" w14:textId="77777777" w:rsidR="00C32A16" w:rsidRPr="00861179" w:rsidRDefault="00F746CE" w:rsidP="00687258">
      <w:pPr>
        <w:pStyle w:val="Ttulo2"/>
        <w:tabs>
          <w:tab w:val="left" w:pos="709"/>
        </w:tabs>
        <w:spacing w:before="240" w:line="276" w:lineRule="auto"/>
        <w:ind w:right="-518" w:firstLine="1701"/>
        <w:rPr>
          <w:rFonts w:cs="Arial"/>
          <w:sz w:val="22"/>
          <w:szCs w:val="22"/>
        </w:rPr>
      </w:pPr>
      <w:bookmarkStart w:id="3" w:name="_Toc408309925"/>
      <w:bookmarkStart w:id="4" w:name="_Toc409556908"/>
      <w:bookmarkStart w:id="5" w:name="_Toc499712180"/>
      <w:r w:rsidRPr="00861179">
        <w:rPr>
          <w:rFonts w:cs="Arial"/>
          <w:i w:val="0"/>
          <w:sz w:val="22"/>
          <w:szCs w:val="22"/>
        </w:rPr>
        <w:t xml:space="preserve">1) </w:t>
      </w:r>
      <w:r w:rsidR="000D493D" w:rsidRPr="00861179">
        <w:rPr>
          <w:rFonts w:cs="Arial"/>
          <w:i w:val="0"/>
          <w:sz w:val="22"/>
          <w:szCs w:val="22"/>
          <w:u w:val="single"/>
        </w:rPr>
        <w:t>I</w:t>
      </w:r>
      <w:r w:rsidR="00464D9C" w:rsidRPr="00861179">
        <w:rPr>
          <w:rFonts w:cs="Arial"/>
          <w:i w:val="0"/>
          <w:sz w:val="22"/>
          <w:szCs w:val="22"/>
          <w:u w:val="single"/>
        </w:rPr>
        <w:t>dea matri</w:t>
      </w:r>
      <w:r w:rsidR="00E95BEA" w:rsidRPr="00861179">
        <w:rPr>
          <w:rFonts w:cs="Arial"/>
          <w:i w:val="0"/>
          <w:sz w:val="22"/>
          <w:szCs w:val="22"/>
          <w:u w:val="single"/>
        </w:rPr>
        <w:t>z</w:t>
      </w:r>
      <w:r w:rsidR="00464D9C" w:rsidRPr="00861179">
        <w:rPr>
          <w:rFonts w:cs="Arial"/>
          <w:i w:val="0"/>
          <w:sz w:val="22"/>
          <w:szCs w:val="22"/>
          <w:u w:val="single"/>
        </w:rPr>
        <w:t xml:space="preserve"> o fundamental del proyecto</w:t>
      </w:r>
      <w:r w:rsidR="009175B1" w:rsidRPr="00861179">
        <w:rPr>
          <w:rFonts w:cs="Arial"/>
          <w:i w:val="0"/>
          <w:sz w:val="22"/>
          <w:szCs w:val="22"/>
        </w:rPr>
        <w:t>:</w:t>
      </w:r>
      <w:bookmarkEnd w:id="3"/>
      <w:bookmarkEnd w:id="4"/>
      <w:bookmarkEnd w:id="5"/>
    </w:p>
    <w:p w14:paraId="4D902857" w14:textId="77777777" w:rsidR="00DA6CF4" w:rsidRDefault="00DA6CF4" w:rsidP="00687258">
      <w:pPr>
        <w:spacing w:line="276" w:lineRule="auto"/>
        <w:ind w:right="-518" w:firstLine="1701"/>
        <w:jc w:val="both"/>
        <w:rPr>
          <w:rFonts w:ascii="Arial" w:hAnsi="Arial" w:cs="Arial"/>
          <w:sz w:val="22"/>
          <w:szCs w:val="22"/>
        </w:rPr>
      </w:pPr>
      <w:bookmarkStart w:id="6" w:name="_Toc408309926"/>
      <w:bookmarkStart w:id="7" w:name="_Toc409556909"/>
      <w:bookmarkStart w:id="8" w:name="_Toc499712181"/>
    </w:p>
    <w:p w14:paraId="2E688320" w14:textId="77777777" w:rsidR="00DA6CF4" w:rsidRDefault="002B1AA4" w:rsidP="00363AED">
      <w:pPr>
        <w:tabs>
          <w:tab w:val="left" w:pos="0"/>
        </w:tabs>
        <w:spacing w:line="276" w:lineRule="auto"/>
        <w:ind w:right="-518" w:firstLine="1701"/>
        <w:jc w:val="both"/>
        <w:rPr>
          <w:rFonts w:ascii="Arial" w:hAnsi="Arial" w:cs="Arial"/>
          <w:sz w:val="22"/>
          <w:szCs w:val="22"/>
        </w:rPr>
      </w:pPr>
      <w:r>
        <w:rPr>
          <w:rFonts w:ascii="Arial" w:hAnsi="Arial" w:cs="Arial"/>
          <w:sz w:val="22"/>
          <w:szCs w:val="22"/>
        </w:rPr>
        <w:t xml:space="preserve">Solucionar los inconvenientes que actualmente se tienen en el mercado crediticio </w:t>
      </w:r>
      <w:r w:rsidR="00E40B1D">
        <w:rPr>
          <w:rFonts w:ascii="Arial" w:hAnsi="Arial" w:cs="Arial"/>
          <w:sz w:val="22"/>
          <w:szCs w:val="22"/>
        </w:rPr>
        <w:t xml:space="preserve">respecto de los </w:t>
      </w:r>
      <w:r w:rsidR="00DA6CF4">
        <w:rPr>
          <w:rFonts w:ascii="Arial" w:hAnsi="Arial" w:cs="Arial"/>
          <w:sz w:val="22"/>
          <w:szCs w:val="22"/>
        </w:rPr>
        <w:t xml:space="preserve">derechos de los </w:t>
      </w:r>
      <w:r w:rsidR="00E40B1D">
        <w:rPr>
          <w:rFonts w:ascii="Arial" w:hAnsi="Arial" w:cs="Arial"/>
          <w:sz w:val="22"/>
          <w:szCs w:val="22"/>
        </w:rPr>
        <w:t xml:space="preserve">deudores, mediante la creación de un </w:t>
      </w:r>
      <w:r>
        <w:rPr>
          <w:rFonts w:ascii="Arial" w:hAnsi="Arial" w:cs="Arial"/>
          <w:sz w:val="22"/>
          <w:szCs w:val="22"/>
        </w:rPr>
        <w:t xml:space="preserve">sistema </w:t>
      </w:r>
      <w:r w:rsidR="00E40B1D">
        <w:rPr>
          <w:rFonts w:ascii="Arial" w:hAnsi="Arial" w:cs="Arial"/>
          <w:sz w:val="22"/>
          <w:szCs w:val="22"/>
        </w:rPr>
        <w:t>c</w:t>
      </w:r>
      <w:r>
        <w:rPr>
          <w:rFonts w:ascii="Arial" w:hAnsi="Arial" w:cs="Arial"/>
          <w:sz w:val="22"/>
          <w:szCs w:val="22"/>
        </w:rPr>
        <w:t xml:space="preserve">onsolidado </w:t>
      </w:r>
      <w:r w:rsidR="00E40B1D">
        <w:rPr>
          <w:rFonts w:ascii="Arial" w:hAnsi="Arial" w:cs="Arial"/>
          <w:sz w:val="22"/>
          <w:szCs w:val="22"/>
        </w:rPr>
        <w:t xml:space="preserve">de información que permita facilitar el acceso a financiamiento y en mejores condiciones, para que, por una parte, </w:t>
      </w:r>
      <w:r w:rsidR="00DA6CF4">
        <w:rPr>
          <w:rFonts w:ascii="Arial" w:hAnsi="Arial" w:cs="Arial"/>
          <w:sz w:val="22"/>
          <w:szCs w:val="22"/>
        </w:rPr>
        <w:t xml:space="preserve">se </w:t>
      </w:r>
      <w:r w:rsidR="00E40B1D">
        <w:rPr>
          <w:rFonts w:ascii="Arial" w:hAnsi="Arial" w:cs="Arial"/>
          <w:sz w:val="22"/>
          <w:szCs w:val="22"/>
        </w:rPr>
        <w:t>regul</w:t>
      </w:r>
      <w:r w:rsidR="00DA6CF4">
        <w:rPr>
          <w:rFonts w:ascii="Arial" w:hAnsi="Arial" w:cs="Arial"/>
          <w:sz w:val="22"/>
          <w:szCs w:val="22"/>
        </w:rPr>
        <w:t>en</w:t>
      </w:r>
      <w:r w:rsidR="00E40B1D">
        <w:rPr>
          <w:rFonts w:ascii="Arial" w:hAnsi="Arial" w:cs="Arial"/>
          <w:sz w:val="22"/>
          <w:szCs w:val="22"/>
        </w:rPr>
        <w:t xml:space="preserve"> los agentes comerciales</w:t>
      </w:r>
      <w:r w:rsidR="00DA6CF4">
        <w:rPr>
          <w:rFonts w:ascii="Arial" w:hAnsi="Arial" w:cs="Arial"/>
          <w:sz w:val="22"/>
          <w:szCs w:val="22"/>
        </w:rPr>
        <w:t>, y por la otra parte, se refuercen y se hagan valer los derechos de los deudores, respecto de su propia información</w:t>
      </w:r>
      <w:r w:rsidR="00363AED">
        <w:rPr>
          <w:rFonts w:ascii="Arial" w:hAnsi="Arial" w:cs="Arial"/>
          <w:sz w:val="22"/>
          <w:szCs w:val="22"/>
        </w:rPr>
        <w:t xml:space="preserve">, todo ello en el marco de </w:t>
      </w:r>
      <w:r w:rsidR="00363AED" w:rsidRPr="00A43628">
        <w:rPr>
          <w:rFonts w:ascii="Arial" w:hAnsi="Arial" w:cs="Arial"/>
          <w:sz w:val="22"/>
          <w:szCs w:val="22"/>
          <w:lang w:val="es-419"/>
        </w:rPr>
        <w:t xml:space="preserve">prevenir el sobreendeudamiento de las personas y </w:t>
      </w:r>
      <w:r w:rsidR="00363AED">
        <w:rPr>
          <w:rFonts w:ascii="Arial" w:hAnsi="Arial" w:cs="Arial"/>
          <w:sz w:val="22"/>
          <w:szCs w:val="22"/>
          <w:lang w:val="es-419"/>
        </w:rPr>
        <w:t xml:space="preserve">sus </w:t>
      </w:r>
      <w:r w:rsidR="00363AED" w:rsidRPr="00A43628">
        <w:rPr>
          <w:rFonts w:ascii="Arial" w:hAnsi="Arial" w:cs="Arial"/>
          <w:sz w:val="22"/>
          <w:szCs w:val="22"/>
          <w:lang w:val="es-419"/>
        </w:rPr>
        <w:t>familias</w:t>
      </w:r>
      <w:r w:rsidR="00363AED">
        <w:rPr>
          <w:rFonts w:ascii="Arial" w:hAnsi="Arial" w:cs="Arial"/>
          <w:sz w:val="22"/>
          <w:szCs w:val="22"/>
          <w:lang w:val="es-419"/>
        </w:rPr>
        <w:t>.</w:t>
      </w:r>
      <w:r w:rsidR="00363AED" w:rsidRPr="00A43628">
        <w:rPr>
          <w:rFonts w:ascii="Arial" w:hAnsi="Arial" w:cs="Arial"/>
          <w:sz w:val="22"/>
          <w:szCs w:val="22"/>
          <w:lang w:val="es-419"/>
        </w:rPr>
        <w:t xml:space="preserve"> </w:t>
      </w:r>
    </w:p>
    <w:p w14:paraId="7A7B1D37" w14:textId="77777777" w:rsidR="00CD4DF2" w:rsidRPr="00687258" w:rsidRDefault="00CD4DF2" w:rsidP="00687258">
      <w:pPr>
        <w:spacing w:line="276" w:lineRule="auto"/>
        <w:ind w:right="-518" w:firstLine="1701"/>
        <w:jc w:val="both"/>
        <w:rPr>
          <w:rFonts w:ascii="Arial" w:hAnsi="Arial" w:cs="Arial"/>
          <w:sz w:val="22"/>
          <w:szCs w:val="22"/>
        </w:rPr>
      </w:pPr>
    </w:p>
    <w:p w14:paraId="601CC8D4" w14:textId="77777777" w:rsidR="000D493D" w:rsidRPr="00687258" w:rsidRDefault="009F5F0C" w:rsidP="00687258">
      <w:pPr>
        <w:spacing w:line="276" w:lineRule="auto"/>
        <w:ind w:right="-518" w:firstLine="1701"/>
        <w:jc w:val="both"/>
        <w:rPr>
          <w:rFonts w:ascii="Arial" w:hAnsi="Arial" w:cs="Arial"/>
          <w:sz w:val="22"/>
          <w:szCs w:val="22"/>
        </w:rPr>
      </w:pPr>
      <w:r w:rsidRPr="00687258">
        <w:rPr>
          <w:rFonts w:ascii="Arial" w:hAnsi="Arial" w:cs="Arial"/>
          <w:sz w:val="22"/>
          <w:szCs w:val="22"/>
        </w:rPr>
        <w:t xml:space="preserve">2) </w:t>
      </w:r>
      <w:r w:rsidRPr="00687258">
        <w:rPr>
          <w:rFonts w:ascii="Arial" w:hAnsi="Arial" w:cs="Arial"/>
          <w:sz w:val="22"/>
          <w:szCs w:val="22"/>
          <w:u w:val="single"/>
        </w:rPr>
        <w:t>Comisión técnica</w:t>
      </w:r>
      <w:r w:rsidR="009175B1" w:rsidRPr="00687258">
        <w:rPr>
          <w:rFonts w:ascii="Arial" w:hAnsi="Arial" w:cs="Arial"/>
          <w:sz w:val="22"/>
          <w:szCs w:val="22"/>
          <w:u w:val="single"/>
        </w:rPr>
        <w:t>:</w:t>
      </w:r>
      <w:r w:rsidR="009175B1" w:rsidRPr="00687258">
        <w:rPr>
          <w:rFonts w:ascii="Arial" w:hAnsi="Arial" w:cs="Arial"/>
          <w:sz w:val="22"/>
          <w:szCs w:val="22"/>
        </w:rPr>
        <w:t xml:space="preserve"> </w:t>
      </w:r>
    </w:p>
    <w:p w14:paraId="4B5164FA" w14:textId="77777777" w:rsidR="009F5F0C" w:rsidRPr="00687258" w:rsidRDefault="00557A83" w:rsidP="00687258">
      <w:pPr>
        <w:spacing w:line="276" w:lineRule="auto"/>
        <w:ind w:right="-518" w:firstLine="1701"/>
        <w:jc w:val="both"/>
        <w:rPr>
          <w:rFonts w:ascii="Arial" w:hAnsi="Arial" w:cs="Arial"/>
          <w:sz w:val="22"/>
          <w:szCs w:val="22"/>
        </w:rPr>
      </w:pPr>
      <w:r w:rsidRPr="00687258">
        <w:rPr>
          <w:rFonts w:ascii="Arial" w:hAnsi="Arial" w:cs="Arial"/>
          <w:sz w:val="22"/>
          <w:szCs w:val="22"/>
          <w:lang w:val="es-ES_tradnl"/>
        </w:rPr>
        <w:t xml:space="preserve">La </w:t>
      </w:r>
      <w:r w:rsidR="00D62925" w:rsidRPr="00687258">
        <w:rPr>
          <w:rFonts w:ascii="Arial" w:hAnsi="Arial" w:cs="Arial"/>
          <w:sz w:val="22"/>
          <w:szCs w:val="22"/>
          <w:lang w:val="es-ES_tradnl"/>
        </w:rPr>
        <w:t xml:space="preserve">Comisión de </w:t>
      </w:r>
      <w:r w:rsidR="000562FC" w:rsidRPr="00687258">
        <w:rPr>
          <w:rFonts w:ascii="Arial" w:hAnsi="Arial" w:cs="Arial"/>
          <w:sz w:val="22"/>
          <w:szCs w:val="22"/>
          <w:lang w:val="es-ES_tradnl"/>
        </w:rPr>
        <w:t>Economía, Fomento, Micro, Pequeña y Mediana Empresa, Protección de los Consumidores y Turismo</w:t>
      </w:r>
      <w:r w:rsidR="005611BC" w:rsidRPr="00687258">
        <w:rPr>
          <w:rFonts w:ascii="Arial" w:hAnsi="Arial" w:cs="Arial"/>
          <w:sz w:val="22"/>
          <w:szCs w:val="22"/>
        </w:rPr>
        <w:t>.</w:t>
      </w:r>
    </w:p>
    <w:p w14:paraId="0C9B9D3F" w14:textId="77777777" w:rsidR="00F746CE" w:rsidRPr="00687258" w:rsidRDefault="009175B1" w:rsidP="00687258">
      <w:pPr>
        <w:tabs>
          <w:tab w:val="left" w:pos="709"/>
        </w:tabs>
        <w:spacing w:before="120" w:line="276" w:lineRule="auto"/>
        <w:ind w:right="-518" w:firstLine="1701"/>
        <w:jc w:val="both"/>
        <w:rPr>
          <w:rFonts w:ascii="Arial" w:hAnsi="Arial" w:cs="Arial"/>
          <w:sz w:val="22"/>
          <w:szCs w:val="22"/>
          <w:u w:val="single"/>
        </w:rPr>
      </w:pPr>
      <w:r w:rsidRPr="00687258">
        <w:rPr>
          <w:rFonts w:ascii="Arial" w:hAnsi="Arial" w:cs="Arial"/>
          <w:sz w:val="22"/>
          <w:szCs w:val="22"/>
        </w:rPr>
        <w:t>3</w:t>
      </w:r>
      <w:r w:rsidR="00F746CE" w:rsidRPr="00687258">
        <w:rPr>
          <w:rFonts w:ascii="Arial" w:hAnsi="Arial" w:cs="Arial"/>
          <w:sz w:val="22"/>
          <w:szCs w:val="22"/>
        </w:rPr>
        <w:t xml:space="preserve">) </w:t>
      </w:r>
      <w:r w:rsidR="00F746CE" w:rsidRPr="00687258">
        <w:rPr>
          <w:rFonts w:ascii="Arial" w:hAnsi="Arial" w:cs="Arial"/>
          <w:sz w:val="22"/>
          <w:szCs w:val="22"/>
          <w:u w:val="single"/>
        </w:rPr>
        <w:t>Normas de carácter orgánico constitucional</w:t>
      </w:r>
      <w:r w:rsidR="00EA1C6F" w:rsidRPr="00687258">
        <w:rPr>
          <w:rFonts w:ascii="Arial" w:hAnsi="Arial" w:cs="Arial"/>
          <w:snapToGrid w:val="0"/>
          <w:sz w:val="22"/>
          <w:szCs w:val="22"/>
          <w:u w:val="single"/>
        </w:rPr>
        <w:t xml:space="preserve"> o de quórum calificado</w:t>
      </w:r>
      <w:r w:rsidR="00F746CE" w:rsidRPr="00687258">
        <w:rPr>
          <w:rFonts w:ascii="Arial" w:hAnsi="Arial" w:cs="Arial"/>
          <w:sz w:val="22"/>
          <w:szCs w:val="22"/>
          <w:u w:val="single"/>
        </w:rPr>
        <w:t>.</w:t>
      </w:r>
      <w:bookmarkEnd w:id="6"/>
      <w:bookmarkEnd w:id="7"/>
      <w:bookmarkEnd w:id="8"/>
    </w:p>
    <w:p w14:paraId="48EC25DF" w14:textId="77777777" w:rsidR="005611BC" w:rsidRPr="00687258" w:rsidRDefault="00F3118C" w:rsidP="00687258">
      <w:pPr>
        <w:pStyle w:val="Prrafodelista"/>
        <w:spacing w:line="276" w:lineRule="auto"/>
        <w:ind w:left="0" w:right="-518" w:firstLine="1701"/>
        <w:jc w:val="both"/>
        <w:rPr>
          <w:rFonts w:ascii="Arial" w:hAnsi="Arial" w:cs="Arial"/>
        </w:rPr>
      </w:pPr>
      <w:r w:rsidRPr="00687258">
        <w:rPr>
          <w:rFonts w:ascii="Arial" w:hAnsi="Arial" w:cs="Arial"/>
        </w:rPr>
        <w:t xml:space="preserve">No </w:t>
      </w:r>
      <w:r w:rsidR="0014589F">
        <w:rPr>
          <w:rFonts w:ascii="Arial" w:hAnsi="Arial" w:cs="Arial"/>
        </w:rPr>
        <w:t xml:space="preserve">hubo en este trámite nuevas </w:t>
      </w:r>
      <w:r w:rsidR="005B167B" w:rsidRPr="00687258">
        <w:rPr>
          <w:rFonts w:ascii="Arial" w:hAnsi="Arial" w:cs="Arial"/>
        </w:rPr>
        <w:t>normas en esa condición.</w:t>
      </w:r>
    </w:p>
    <w:p w14:paraId="2675A764" w14:textId="77777777" w:rsidR="000D493D" w:rsidRPr="00687258" w:rsidRDefault="000562FC" w:rsidP="00687258">
      <w:pPr>
        <w:tabs>
          <w:tab w:val="left" w:pos="-284"/>
          <w:tab w:val="left" w:pos="0"/>
          <w:tab w:val="left" w:pos="851"/>
          <w:tab w:val="left" w:pos="4751"/>
        </w:tabs>
        <w:spacing w:line="276" w:lineRule="auto"/>
        <w:ind w:right="-518" w:firstLine="1701"/>
        <w:jc w:val="both"/>
        <w:rPr>
          <w:rFonts w:ascii="Arial" w:hAnsi="Arial" w:cs="Arial"/>
          <w:sz w:val="22"/>
          <w:szCs w:val="22"/>
          <w:u w:val="single"/>
        </w:rPr>
      </w:pPr>
      <w:bookmarkStart w:id="9" w:name="_Toc408309927"/>
      <w:bookmarkStart w:id="10" w:name="_Toc409556910"/>
      <w:bookmarkStart w:id="11" w:name="_Toc499712182"/>
      <w:r w:rsidRPr="00687258">
        <w:rPr>
          <w:rFonts w:ascii="Arial" w:hAnsi="Arial" w:cs="Arial"/>
          <w:sz w:val="22"/>
          <w:szCs w:val="22"/>
        </w:rPr>
        <w:t>4</w:t>
      </w:r>
      <w:r w:rsidR="00F746CE" w:rsidRPr="00687258">
        <w:rPr>
          <w:rFonts w:ascii="Arial" w:hAnsi="Arial" w:cs="Arial"/>
          <w:sz w:val="22"/>
          <w:szCs w:val="22"/>
        </w:rPr>
        <w:t xml:space="preserve">) </w:t>
      </w:r>
      <w:r w:rsidR="000D493D" w:rsidRPr="00687258">
        <w:rPr>
          <w:rFonts w:ascii="Arial" w:hAnsi="Arial" w:cs="Arial"/>
          <w:sz w:val="22"/>
          <w:szCs w:val="22"/>
          <w:u w:val="single"/>
        </w:rPr>
        <w:t>Artículos que la Comisión Técnica dispuso que fueran conocid</w:t>
      </w:r>
      <w:r w:rsidRPr="00687258">
        <w:rPr>
          <w:rFonts w:ascii="Arial" w:hAnsi="Arial" w:cs="Arial"/>
          <w:sz w:val="22"/>
          <w:szCs w:val="22"/>
          <w:u w:val="single"/>
        </w:rPr>
        <w:t>o</w:t>
      </w:r>
      <w:r w:rsidR="000D493D" w:rsidRPr="00687258">
        <w:rPr>
          <w:rFonts w:ascii="Arial" w:hAnsi="Arial" w:cs="Arial"/>
          <w:sz w:val="22"/>
          <w:szCs w:val="22"/>
          <w:u w:val="single"/>
        </w:rPr>
        <w:t>s por esta Comisión de Hacienda:</w:t>
      </w:r>
    </w:p>
    <w:p w14:paraId="0AA376D5" w14:textId="77777777" w:rsidR="000562FC" w:rsidRPr="00687258" w:rsidRDefault="000562FC" w:rsidP="00687258">
      <w:pPr>
        <w:pStyle w:val="Sinespaciado"/>
        <w:spacing w:line="276" w:lineRule="auto"/>
        <w:ind w:right="-518" w:firstLine="1701"/>
        <w:jc w:val="both"/>
        <w:rPr>
          <w:rFonts w:ascii="Arial" w:hAnsi="Arial" w:cs="Arial"/>
          <w:b/>
          <w:bCs/>
          <w:lang w:val="es-ES"/>
        </w:rPr>
      </w:pPr>
      <w:r w:rsidRPr="00687258">
        <w:rPr>
          <w:rFonts w:ascii="Arial" w:hAnsi="Arial" w:cs="Arial"/>
          <w:bCs/>
          <w:lang w:val="es-ES"/>
        </w:rPr>
        <w:t xml:space="preserve">Según consigna el informe de la Comisión de Economía, </w:t>
      </w:r>
      <w:r w:rsidR="00DA6CF4">
        <w:rPr>
          <w:rFonts w:ascii="Arial" w:hAnsi="Arial" w:cs="Arial"/>
          <w:bCs/>
          <w:lang w:val="es-ES"/>
        </w:rPr>
        <w:t xml:space="preserve">el artículo quinto transitorio </w:t>
      </w:r>
      <w:r w:rsidR="00D62925" w:rsidRPr="00687258">
        <w:rPr>
          <w:rFonts w:ascii="Arial" w:hAnsi="Arial" w:cs="Arial"/>
          <w:bCs/>
        </w:rPr>
        <w:t>del texto aprobado</w:t>
      </w:r>
      <w:r w:rsidR="00861179" w:rsidRPr="00687258">
        <w:rPr>
          <w:rFonts w:ascii="Arial" w:hAnsi="Arial" w:cs="Arial"/>
          <w:bCs/>
        </w:rPr>
        <w:t>,</w:t>
      </w:r>
      <w:r w:rsidR="00D62925" w:rsidRPr="00687258">
        <w:rPr>
          <w:rFonts w:ascii="Arial" w:hAnsi="Arial" w:cs="Arial"/>
          <w:bCs/>
        </w:rPr>
        <w:t xml:space="preserve"> </w:t>
      </w:r>
      <w:r w:rsidR="00DA6CF4">
        <w:rPr>
          <w:rFonts w:ascii="Arial" w:hAnsi="Arial" w:cs="Arial"/>
          <w:bCs/>
        </w:rPr>
        <w:t>es</w:t>
      </w:r>
      <w:r w:rsidR="00D62925" w:rsidRPr="00687258">
        <w:rPr>
          <w:rFonts w:ascii="Arial" w:hAnsi="Arial" w:cs="Arial"/>
          <w:bCs/>
        </w:rPr>
        <w:t xml:space="preserve"> de competencia de esta Comisión de Hacienda.</w:t>
      </w:r>
    </w:p>
    <w:p w14:paraId="3C127224" w14:textId="77777777" w:rsidR="000562FC" w:rsidRPr="00687258" w:rsidRDefault="000562FC" w:rsidP="00687258">
      <w:pPr>
        <w:tabs>
          <w:tab w:val="left" w:pos="-284"/>
          <w:tab w:val="left" w:pos="0"/>
          <w:tab w:val="left" w:pos="851"/>
          <w:tab w:val="left" w:pos="4751"/>
        </w:tabs>
        <w:spacing w:line="276" w:lineRule="auto"/>
        <w:ind w:right="-518" w:firstLine="1701"/>
        <w:jc w:val="both"/>
        <w:rPr>
          <w:rFonts w:ascii="Arial" w:hAnsi="Arial" w:cs="Arial"/>
          <w:sz w:val="22"/>
          <w:szCs w:val="22"/>
          <w:u w:val="single"/>
        </w:rPr>
      </w:pPr>
    </w:p>
    <w:p w14:paraId="2AB1A1BA" w14:textId="77777777" w:rsidR="008C5B5D" w:rsidRPr="00687258" w:rsidRDefault="005B167B" w:rsidP="00687258">
      <w:pPr>
        <w:pStyle w:val="Sinespaciado"/>
        <w:spacing w:line="276" w:lineRule="auto"/>
        <w:ind w:right="-518" w:firstLine="1701"/>
        <w:jc w:val="both"/>
        <w:rPr>
          <w:rFonts w:ascii="Arial" w:hAnsi="Arial" w:cs="Arial"/>
        </w:rPr>
      </w:pPr>
      <w:bookmarkStart w:id="12" w:name="_Toc408309929"/>
      <w:bookmarkStart w:id="13" w:name="_Toc409556912"/>
      <w:bookmarkStart w:id="14" w:name="_Toc499712184"/>
      <w:bookmarkEnd w:id="9"/>
      <w:bookmarkEnd w:id="10"/>
      <w:bookmarkEnd w:id="11"/>
      <w:r w:rsidRPr="00687258">
        <w:rPr>
          <w:rFonts w:ascii="Arial" w:hAnsi="Arial" w:cs="Arial"/>
          <w:lang w:eastAsia="es-CL"/>
        </w:rPr>
        <w:t>5</w:t>
      </w:r>
      <w:r w:rsidR="005A7749" w:rsidRPr="00687258">
        <w:rPr>
          <w:rFonts w:ascii="Arial" w:hAnsi="Arial" w:cs="Arial"/>
          <w:lang w:eastAsia="es-CL"/>
        </w:rPr>
        <w:t xml:space="preserve">) </w:t>
      </w:r>
      <w:r w:rsidR="005A7749" w:rsidRPr="00687258">
        <w:rPr>
          <w:rFonts w:ascii="Arial" w:hAnsi="Arial" w:cs="Arial"/>
          <w:u w:val="single"/>
          <w:lang w:eastAsia="es-CL"/>
        </w:rPr>
        <w:t xml:space="preserve">Artículos </w:t>
      </w:r>
      <w:r w:rsidR="004833DA" w:rsidRPr="00687258">
        <w:rPr>
          <w:rFonts w:ascii="Arial" w:hAnsi="Arial" w:cs="Arial"/>
          <w:u w:val="single"/>
          <w:lang w:eastAsia="es-CL"/>
        </w:rPr>
        <w:t>nuevos</w:t>
      </w:r>
      <w:r w:rsidR="00687258">
        <w:rPr>
          <w:rFonts w:ascii="Arial" w:hAnsi="Arial" w:cs="Arial"/>
          <w:u w:val="single"/>
          <w:lang w:eastAsia="es-CL"/>
        </w:rPr>
        <w:t xml:space="preserve">: </w:t>
      </w:r>
      <w:r w:rsidR="005C2765" w:rsidRPr="00687258">
        <w:rPr>
          <w:rFonts w:ascii="Arial" w:hAnsi="Arial" w:cs="Arial"/>
        </w:rPr>
        <w:t xml:space="preserve">No </w:t>
      </w:r>
      <w:r w:rsidR="00687258">
        <w:rPr>
          <w:rFonts w:ascii="Arial" w:hAnsi="Arial" w:cs="Arial"/>
        </w:rPr>
        <w:t>hubo</w:t>
      </w:r>
    </w:p>
    <w:p w14:paraId="7B961D74" w14:textId="77777777" w:rsidR="005C2765" w:rsidRPr="00687258" w:rsidRDefault="005C2765" w:rsidP="00687258">
      <w:pPr>
        <w:pStyle w:val="Sinespaciado"/>
        <w:spacing w:line="276" w:lineRule="auto"/>
        <w:ind w:right="-518" w:firstLine="1701"/>
        <w:jc w:val="both"/>
        <w:rPr>
          <w:rFonts w:ascii="Arial" w:hAnsi="Arial" w:cs="Arial"/>
          <w:lang w:eastAsia="es-CL"/>
        </w:rPr>
      </w:pPr>
    </w:p>
    <w:p w14:paraId="48F4F6E2" w14:textId="77777777" w:rsidR="004833DA" w:rsidRDefault="005B167B" w:rsidP="00687258">
      <w:pPr>
        <w:pStyle w:val="Sinespaciado"/>
        <w:spacing w:line="276" w:lineRule="auto"/>
        <w:ind w:right="-518" w:firstLine="1701"/>
        <w:jc w:val="both"/>
        <w:rPr>
          <w:rFonts w:ascii="Arial" w:hAnsi="Arial" w:cs="Arial"/>
          <w:lang w:eastAsia="es-CL"/>
        </w:rPr>
      </w:pPr>
      <w:r w:rsidRPr="00687258">
        <w:rPr>
          <w:rFonts w:ascii="Arial" w:hAnsi="Arial" w:cs="Arial"/>
          <w:lang w:eastAsia="es-CL"/>
        </w:rPr>
        <w:lastRenderedPageBreak/>
        <w:t>6</w:t>
      </w:r>
      <w:r w:rsidR="004833DA" w:rsidRPr="00687258">
        <w:rPr>
          <w:rFonts w:ascii="Arial" w:hAnsi="Arial" w:cs="Arial"/>
          <w:lang w:eastAsia="es-CL"/>
        </w:rPr>
        <w:t xml:space="preserve">) </w:t>
      </w:r>
      <w:r w:rsidR="004833DA" w:rsidRPr="00687258">
        <w:rPr>
          <w:rFonts w:ascii="Arial" w:hAnsi="Arial" w:cs="Arial"/>
          <w:u w:val="single"/>
          <w:lang w:eastAsia="es-CL"/>
        </w:rPr>
        <w:t>Artículos modificados</w:t>
      </w:r>
      <w:r w:rsidR="00687258">
        <w:rPr>
          <w:rFonts w:ascii="Arial" w:hAnsi="Arial" w:cs="Arial"/>
          <w:u w:val="single"/>
          <w:lang w:eastAsia="es-CL"/>
        </w:rPr>
        <w:t>:</w:t>
      </w:r>
      <w:r w:rsidR="00DA6CF4">
        <w:rPr>
          <w:rFonts w:ascii="Arial" w:hAnsi="Arial" w:cs="Arial"/>
          <w:u w:val="single"/>
          <w:lang w:eastAsia="es-CL"/>
        </w:rPr>
        <w:t xml:space="preserve"> </w:t>
      </w:r>
      <w:r w:rsidR="00DA6CF4" w:rsidRPr="00DA6CF4">
        <w:rPr>
          <w:rFonts w:ascii="Arial" w:hAnsi="Arial" w:cs="Arial"/>
          <w:lang w:eastAsia="es-CL"/>
        </w:rPr>
        <w:t>No hay</w:t>
      </w:r>
    </w:p>
    <w:p w14:paraId="78B00CCC" w14:textId="77777777" w:rsidR="00DA6CF4" w:rsidRDefault="00DA6CF4" w:rsidP="00687258">
      <w:pPr>
        <w:pStyle w:val="Sinespaciado"/>
        <w:spacing w:line="276" w:lineRule="auto"/>
        <w:ind w:right="-518" w:firstLine="1701"/>
        <w:jc w:val="both"/>
        <w:rPr>
          <w:rFonts w:ascii="Arial" w:hAnsi="Arial" w:cs="Arial"/>
          <w:lang w:eastAsia="es-CL"/>
        </w:rPr>
      </w:pPr>
      <w:r>
        <w:rPr>
          <w:rFonts w:ascii="Arial" w:hAnsi="Arial" w:cs="Arial"/>
          <w:lang w:eastAsia="es-CL"/>
        </w:rPr>
        <w:t>7) No se presentaron indicaciones.</w:t>
      </w:r>
    </w:p>
    <w:p w14:paraId="14E7E001" w14:textId="77777777" w:rsidR="00DA6CF4" w:rsidRDefault="00DA6CF4" w:rsidP="00687258">
      <w:pPr>
        <w:pStyle w:val="Sinespaciado"/>
        <w:spacing w:line="276" w:lineRule="auto"/>
        <w:ind w:right="-518" w:firstLine="1701"/>
        <w:jc w:val="both"/>
        <w:rPr>
          <w:rFonts w:ascii="Arial" w:hAnsi="Arial" w:cs="Arial"/>
          <w:lang w:eastAsia="es-CL"/>
        </w:rPr>
      </w:pPr>
    </w:p>
    <w:p w14:paraId="1E893D70" w14:textId="77777777" w:rsidR="00DA6CF4" w:rsidRPr="00DA6CF4" w:rsidRDefault="00DA6CF4" w:rsidP="00687258">
      <w:pPr>
        <w:pStyle w:val="Sinespaciado"/>
        <w:spacing w:line="276" w:lineRule="auto"/>
        <w:ind w:right="-518" w:firstLine="1701"/>
        <w:jc w:val="both"/>
        <w:rPr>
          <w:rFonts w:ascii="Arial" w:hAnsi="Arial" w:cs="Arial"/>
          <w:lang w:eastAsia="es-CL"/>
        </w:rPr>
      </w:pPr>
      <w:r>
        <w:rPr>
          <w:rFonts w:ascii="Arial" w:hAnsi="Arial" w:cs="Arial"/>
          <w:lang w:eastAsia="es-CL"/>
        </w:rPr>
        <w:t>8) Diputado informante: el señor Jaime Sáez Quiroz.</w:t>
      </w:r>
    </w:p>
    <w:p w14:paraId="1206B893" w14:textId="77777777" w:rsidR="00546BE3" w:rsidRDefault="00546BE3" w:rsidP="00687258">
      <w:pPr>
        <w:pStyle w:val="Sinespaciado"/>
        <w:spacing w:line="276" w:lineRule="auto"/>
        <w:ind w:right="-518" w:firstLine="1701"/>
        <w:jc w:val="both"/>
        <w:rPr>
          <w:rFonts w:ascii="Arial" w:hAnsi="Arial" w:cs="Arial"/>
          <w:b/>
          <w:lang w:eastAsia="es-CL"/>
        </w:rPr>
      </w:pPr>
    </w:p>
    <w:p w14:paraId="26E38C70" w14:textId="77777777" w:rsidR="00687258" w:rsidRPr="00687258" w:rsidRDefault="00687258" w:rsidP="00687258">
      <w:pPr>
        <w:tabs>
          <w:tab w:val="left" w:pos="1701"/>
        </w:tabs>
        <w:spacing w:line="276" w:lineRule="auto"/>
        <w:ind w:right="-518"/>
        <w:jc w:val="both"/>
        <w:rPr>
          <w:rFonts w:ascii="Arial" w:hAnsi="Arial" w:cs="Arial"/>
          <w:b/>
          <w:sz w:val="22"/>
          <w:szCs w:val="22"/>
        </w:rPr>
      </w:pPr>
      <w:bookmarkStart w:id="15" w:name="_Toc408309938"/>
      <w:bookmarkStart w:id="16" w:name="_Toc409556940"/>
      <w:bookmarkStart w:id="17" w:name="_Toc499712193"/>
      <w:bookmarkEnd w:id="12"/>
      <w:bookmarkEnd w:id="13"/>
      <w:bookmarkEnd w:id="14"/>
      <w:r w:rsidRPr="00687258">
        <w:rPr>
          <w:rFonts w:ascii="Arial" w:hAnsi="Arial" w:cs="Arial"/>
          <w:b/>
          <w:sz w:val="22"/>
          <w:szCs w:val="22"/>
        </w:rPr>
        <w:t>II.- CONTENIDO DE LA INICIATIVA</w:t>
      </w:r>
      <w:r w:rsidR="00603226">
        <w:rPr>
          <w:rFonts w:ascii="Arial" w:hAnsi="Arial" w:cs="Arial"/>
          <w:b/>
          <w:sz w:val="22"/>
          <w:szCs w:val="22"/>
        </w:rPr>
        <w:t xml:space="preserve"> </w:t>
      </w:r>
    </w:p>
    <w:p w14:paraId="028F5E89" w14:textId="77777777" w:rsidR="00BF398A" w:rsidRDefault="00BF398A" w:rsidP="00BF398A">
      <w:pPr>
        <w:pStyle w:val="Sinespaciado"/>
        <w:spacing w:line="276" w:lineRule="auto"/>
        <w:ind w:right="-518" w:firstLine="1701"/>
        <w:jc w:val="both"/>
        <w:rPr>
          <w:rFonts w:ascii="Arial" w:hAnsi="Arial" w:cs="Arial"/>
          <w:bCs/>
          <w:lang w:val="es-ES"/>
        </w:rPr>
      </w:pPr>
    </w:p>
    <w:p w14:paraId="512A69F0"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El proyecto de ley se basa en una iniciativa presentada por el Expresidente Piñera en su primer mandato, el 30 de agosto de 2011</w:t>
      </w:r>
      <w:r w:rsidRPr="00BF398A">
        <w:rPr>
          <w:bCs/>
        </w:rPr>
        <w:footnoteReference w:id="1"/>
      </w:r>
      <w:r w:rsidRPr="00BF398A">
        <w:rPr>
          <w:rFonts w:ascii="Arial" w:hAnsi="Arial" w:cs="Arial"/>
          <w:bCs/>
          <w:lang w:val="es-ES"/>
        </w:rPr>
        <w:t xml:space="preserve">. Tal proyecto buscaba regular el tratamiento de datos de obligaciones económicas, señalando que aquellos debieran ser veraces, exactos y actualizados; efectuarse con pleno respeto a los derechos de los titulares de los mismos; cumplir con toda la normativa sobre calidad de la información y de seguridad y resguardo vigente; y que no debieran inducir a error o engaño. Sin embargo, no avanzó en su tramitación más allá del primer trámite constitucional. </w:t>
      </w:r>
    </w:p>
    <w:p w14:paraId="632EF08F" w14:textId="77777777" w:rsidR="00BF398A" w:rsidRDefault="00BF398A" w:rsidP="00BF398A">
      <w:pPr>
        <w:pStyle w:val="Sinespaciado"/>
        <w:spacing w:line="276" w:lineRule="auto"/>
        <w:ind w:right="-518" w:firstLine="1701"/>
        <w:jc w:val="both"/>
        <w:rPr>
          <w:rFonts w:ascii="Arial" w:hAnsi="Arial" w:cs="Arial"/>
          <w:b/>
          <w:bCs/>
          <w:lang w:val="es-ES"/>
        </w:rPr>
      </w:pPr>
    </w:p>
    <w:p w14:paraId="1ACF7CA9" w14:textId="77777777" w:rsidR="00DA6CF4" w:rsidRPr="00BF398A" w:rsidRDefault="00DA6CF4" w:rsidP="00BF398A">
      <w:pPr>
        <w:pStyle w:val="Sinespaciado"/>
        <w:spacing w:line="276" w:lineRule="auto"/>
        <w:ind w:right="-518" w:firstLine="1701"/>
        <w:jc w:val="both"/>
        <w:rPr>
          <w:rFonts w:ascii="Arial" w:hAnsi="Arial" w:cs="Arial"/>
          <w:b/>
          <w:bCs/>
          <w:lang w:val="es-ES"/>
        </w:rPr>
      </w:pPr>
      <w:r w:rsidRPr="00BF398A">
        <w:rPr>
          <w:rFonts w:ascii="Arial" w:hAnsi="Arial" w:cs="Arial"/>
          <w:b/>
          <w:bCs/>
          <w:lang w:val="es-ES"/>
        </w:rPr>
        <w:t>Manteniendo los ejes y objetivos de aquel proyecto, la iniciativa que se present</w:t>
      </w:r>
      <w:r w:rsidR="00BF398A">
        <w:rPr>
          <w:rFonts w:ascii="Arial" w:hAnsi="Arial" w:cs="Arial"/>
          <w:b/>
          <w:bCs/>
          <w:lang w:val="es-ES"/>
        </w:rPr>
        <w:t>ó</w:t>
      </w:r>
      <w:r w:rsidRPr="00BF398A">
        <w:rPr>
          <w:rFonts w:ascii="Arial" w:hAnsi="Arial" w:cs="Arial"/>
          <w:b/>
          <w:bCs/>
          <w:lang w:val="es-ES"/>
        </w:rPr>
        <w:t xml:space="preserve"> a la Comisión tiene el siguiente contenido:</w:t>
      </w:r>
    </w:p>
    <w:p w14:paraId="24EE29A7"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1.</w:t>
      </w:r>
      <w:r w:rsidRPr="00BF398A">
        <w:rPr>
          <w:rFonts w:ascii="Arial" w:hAnsi="Arial" w:cs="Arial"/>
          <w:bCs/>
          <w:lang w:val="es-ES"/>
        </w:rPr>
        <w:tab/>
        <w:t xml:space="preserve">Creación del Registro de Deuda Consolidada. Se establece que la Comisión para el Mercado Financiero (“CMF”) será el administrador de un registro de obligaciones denominado “Registro de Deuda Consolidada” (“Registro”) al que determinados oferentes de crédito bancarios y no bancarios estarán obligados a reportar información respecto de operaciones de crédito de dinero (“obligaciones reportables”). </w:t>
      </w:r>
    </w:p>
    <w:p w14:paraId="5FC09F5E"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2.</w:t>
      </w:r>
      <w:r w:rsidRPr="00BF398A">
        <w:rPr>
          <w:rFonts w:ascii="Arial" w:hAnsi="Arial" w:cs="Arial"/>
          <w:bCs/>
          <w:lang w:val="es-ES"/>
        </w:rPr>
        <w:tab/>
        <w:t>Ampliación de la noción de titulares de la información. La ley          Nº 19.628, sobre protección a la vida privada, sólo considera como titulares de los datos a las personas naturales. Sin embargo, dadas las características propias de las obligaciones económicas, el proyecto de ley amplía el concepto de titulares de datos (definidos como “deudores” en el proyecto de ley) tanto a personas naturales como a personas jurídicas, de manera de que ambas puedan ejercer sus derechos en esta materia.</w:t>
      </w:r>
    </w:p>
    <w:p w14:paraId="7BAEBFB9"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3.</w:t>
      </w:r>
      <w:r w:rsidRPr="00BF398A">
        <w:rPr>
          <w:rFonts w:ascii="Arial" w:hAnsi="Arial" w:cs="Arial"/>
          <w:bCs/>
          <w:lang w:val="es-ES"/>
        </w:rPr>
        <w:tab/>
        <w:t>Extensión del concepto de información comercial que puede ser tratada. El proyecto de ley extiende el concepto de información comercial que puede ser tratada, estableciendo que: (i) se debe informar al Registro tanto información de la deuda morosa como de la deuda al día; y (ii) la información de la deuda debe ser reportada al Registro tanto por entidades bancarias como no bancarias. Específicamente, se establece que la información debe ser reportada por los bancos, las compañías de seguro, los emisores de tarjetas de crédito, las cajas de compensación, las cooperativas de ahorro y crédito, las sociedades securitizadoras por los patrimonios separados que constituyan o tengan, y las personas naturales o jurídicas así como otras entidades que cumplan con las condiciones que establezca la CMF por norma de carácter general (“</w:t>
      </w:r>
      <w:proofErr w:type="spellStart"/>
      <w:r w:rsidRPr="00BF398A">
        <w:rPr>
          <w:rFonts w:ascii="Arial" w:hAnsi="Arial" w:cs="Arial"/>
          <w:bCs/>
          <w:lang w:val="es-ES"/>
        </w:rPr>
        <w:t>reportantes</w:t>
      </w:r>
      <w:proofErr w:type="spellEnd"/>
      <w:r w:rsidRPr="00BF398A">
        <w:rPr>
          <w:rFonts w:ascii="Arial" w:hAnsi="Arial" w:cs="Arial"/>
          <w:bCs/>
          <w:lang w:val="es-ES"/>
        </w:rPr>
        <w:t xml:space="preserve">”). </w:t>
      </w:r>
    </w:p>
    <w:p w14:paraId="79FE0F98"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4.</w:t>
      </w:r>
      <w:r w:rsidRPr="00BF398A">
        <w:rPr>
          <w:rFonts w:ascii="Arial" w:hAnsi="Arial" w:cs="Arial"/>
          <w:bCs/>
          <w:lang w:val="es-ES"/>
        </w:rPr>
        <w:tab/>
        <w:t xml:space="preserve">Acceso de </w:t>
      </w:r>
      <w:proofErr w:type="spellStart"/>
      <w:r w:rsidRPr="00BF398A">
        <w:rPr>
          <w:rFonts w:ascii="Arial" w:hAnsi="Arial" w:cs="Arial"/>
          <w:bCs/>
          <w:lang w:val="es-ES"/>
        </w:rPr>
        <w:t>reportantes</w:t>
      </w:r>
      <w:proofErr w:type="spellEnd"/>
      <w:r w:rsidRPr="00BF398A">
        <w:rPr>
          <w:rFonts w:ascii="Arial" w:hAnsi="Arial" w:cs="Arial"/>
          <w:bCs/>
          <w:lang w:val="es-ES"/>
        </w:rPr>
        <w:t xml:space="preserve">, mandatarios y deudores. De forma de resguardar la información de las personas, y permitir el correcto uso de la misma, el proyecto de ley especifica que solo podrán acceder al Registro: (i) </w:t>
      </w:r>
      <w:proofErr w:type="spellStart"/>
      <w:r w:rsidRPr="00BF398A">
        <w:rPr>
          <w:rFonts w:ascii="Arial" w:hAnsi="Arial" w:cs="Arial"/>
          <w:bCs/>
          <w:lang w:val="es-ES"/>
        </w:rPr>
        <w:t>reportantes</w:t>
      </w:r>
      <w:proofErr w:type="spellEnd"/>
      <w:r w:rsidRPr="00BF398A">
        <w:rPr>
          <w:rFonts w:ascii="Arial" w:hAnsi="Arial" w:cs="Arial"/>
          <w:bCs/>
          <w:lang w:val="es-ES"/>
        </w:rPr>
        <w:t>; (</w:t>
      </w:r>
      <w:proofErr w:type="spellStart"/>
      <w:r w:rsidRPr="00BF398A">
        <w:rPr>
          <w:rFonts w:ascii="Arial" w:hAnsi="Arial" w:cs="Arial"/>
          <w:bCs/>
          <w:lang w:val="es-ES"/>
        </w:rPr>
        <w:t>ii</w:t>
      </w:r>
      <w:proofErr w:type="spellEnd"/>
      <w:r w:rsidRPr="00BF398A">
        <w:rPr>
          <w:rFonts w:ascii="Arial" w:hAnsi="Arial" w:cs="Arial"/>
          <w:bCs/>
          <w:lang w:val="es-ES"/>
        </w:rPr>
        <w:t xml:space="preserve">) mandatarios de </w:t>
      </w:r>
      <w:proofErr w:type="spellStart"/>
      <w:r w:rsidRPr="00BF398A">
        <w:rPr>
          <w:rFonts w:ascii="Arial" w:hAnsi="Arial" w:cs="Arial"/>
          <w:bCs/>
          <w:lang w:val="es-ES"/>
        </w:rPr>
        <w:t>reportantes</w:t>
      </w:r>
      <w:proofErr w:type="spellEnd"/>
      <w:r w:rsidRPr="00BF398A">
        <w:rPr>
          <w:rFonts w:ascii="Arial" w:hAnsi="Arial" w:cs="Arial"/>
          <w:bCs/>
          <w:lang w:val="es-ES"/>
        </w:rPr>
        <w:t xml:space="preserve"> informados a la CMF; y (iii) deudores o terceros autorizados por estos últimos. Adicionalmente, señala que tanto los </w:t>
      </w:r>
      <w:proofErr w:type="spellStart"/>
      <w:r w:rsidRPr="00BF398A">
        <w:rPr>
          <w:rFonts w:ascii="Arial" w:hAnsi="Arial" w:cs="Arial"/>
          <w:bCs/>
          <w:lang w:val="es-ES"/>
        </w:rPr>
        <w:t>reportantes</w:t>
      </w:r>
      <w:proofErr w:type="spellEnd"/>
      <w:r w:rsidRPr="00BF398A">
        <w:rPr>
          <w:rFonts w:ascii="Arial" w:hAnsi="Arial" w:cs="Arial"/>
          <w:bCs/>
          <w:lang w:val="es-ES"/>
        </w:rPr>
        <w:t xml:space="preserve"> como sus mandatarios deben cumplir estándares mínimos de seguridad, establecidos mediante norma de carácter general de la CMF y mantener reserva de la información obtenida del registro, la cual, una vez usada para la evaluación de riesgo comercial y crediticio, debe ser eliminada.</w:t>
      </w:r>
    </w:p>
    <w:p w14:paraId="22A92FEF"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lastRenderedPageBreak/>
        <w:t>5.</w:t>
      </w:r>
      <w:r w:rsidRPr="00BF398A">
        <w:rPr>
          <w:rFonts w:ascii="Arial" w:hAnsi="Arial" w:cs="Arial"/>
          <w:bCs/>
          <w:lang w:val="es-ES"/>
        </w:rPr>
        <w:tab/>
        <w:t xml:space="preserve">Derechos de los deudores. Se contempla una serie de derechos para los deudores (titulares), los cuales se ejercen directamente ante el </w:t>
      </w:r>
      <w:proofErr w:type="spellStart"/>
      <w:r w:rsidRPr="00BF398A">
        <w:rPr>
          <w:rFonts w:ascii="Arial" w:hAnsi="Arial" w:cs="Arial"/>
          <w:bCs/>
          <w:lang w:val="es-ES"/>
        </w:rPr>
        <w:t>reportante</w:t>
      </w:r>
      <w:proofErr w:type="spellEnd"/>
      <w:r w:rsidRPr="00BF398A">
        <w:rPr>
          <w:rFonts w:ascii="Arial" w:hAnsi="Arial" w:cs="Arial"/>
          <w:bCs/>
          <w:lang w:val="es-ES"/>
        </w:rPr>
        <w:t xml:space="preserve"> o a través del acceso al Registro y son de carácter gratuito. Estos derechos son:</w:t>
      </w:r>
    </w:p>
    <w:p w14:paraId="4FA0A516"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(i)</w:t>
      </w:r>
      <w:r w:rsidRPr="00BF398A">
        <w:rPr>
          <w:rFonts w:ascii="Arial" w:hAnsi="Arial" w:cs="Arial"/>
          <w:bCs/>
          <w:lang w:val="es-ES"/>
        </w:rPr>
        <w:tab/>
        <w:t>Derecho de acceso: El deudor tendrá derecho a solicitar a la CMF el acceso a la información relativa a su persona y sus obligaciones que esté almacenada en el Registro. Dicho acceso podrá llevarse a cabo a través de medios o sistemas digitales u otros adicionales que la CMF determine para efectos de una mayor cobertura.</w:t>
      </w:r>
    </w:p>
    <w:p w14:paraId="60EA1ED9"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 xml:space="preserve"> (ii) Derecho de actualización, rectificación o complementación: El deudor tendrá derecho a solicitar la actualización, rectificación o complementación de la información relativa a su persona o a sus obligaciones. En caso de que el </w:t>
      </w:r>
      <w:proofErr w:type="spellStart"/>
      <w:r w:rsidRPr="00BF398A">
        <w:rPr>
          <w:rFonts w:ascii="Arial" w:hAnsi="Arial" w:cs="Arial"/>
          <w:bCs/>
          <w:lang w:val="es-ES"/>
        </w:rPr>
        <w:t>reportante</w:t>
      </w:r>
      <w:proofErr w:type="spellEnd"/>
      <w:r w:rsidRPr="00BF398A">
        <w:rPr>
          <w:rFonts w:ascii="Arial" w:hAnsi="Arial" w:cs="Arial"/>
          <w:bCs/>
          <w:lang w:val="es-ES"/>
        </w:rPr>
        <w:t xml:space="preserve"> deniegue la solicitud, deberá hacerlo de manera fundada. Por otro lado, en caso de que la acepte, deberá modificar la información almacenada en su base de datos, cuando corresponda, y dar aviso a la CMF para que también la modifique en el Registro. </w:t>
      </w:r>
    </w:p>
    <w:p w14:paraId="10AE4D37"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 xml:space="preserve">(iii) Derecho a cancelar datos: El deudor tendrá derecho a solicitar al respectivo </w:t>
      </w:r>
      <w:proofErr w:type="spellStart"/>
      <w:r w:rsidRPr="00BF398A">
        <w:rPr>
          <w:rFonts w:ascii="Arial" w:hAnsi="Arial" w:cs="Arial"/>
          <w:bCs/>
          <w:lang w:val="es-ES"/>
        </w:rPr>
        <w:t>reportante</w:t>
      </w:r>
      <w:proofErr w:type="spellEnd"/>
      <w:r w:rsidRPr="00BF398A">
        <w:rPr>
          <w:rFonts w:ascii="Arial" w:hAnsi="Arial" w:cs="Arial"/>
          <w:bCs/>
          <w:lang w:val="es-ES"/>
        </w:rPr>
        <w:t xml:space="preserve">, la eliminación de su información o de sus obligaciones, almacenada en el Registro que, de conformidad a esta ley, no corresponda ser almacenada. En caso de que el </w:t>
      </w:r>
      <w:proofErr w:type="spellStart"/>
      <w:r w:rsidRPr="00BF398A">
        <w:rPr>
          <w:rFonts w:ascii="Arial" w:hAnsi="Arial" w:cs="Arial"/>
          <w:bCs/>
          <w:lang w:val="es-ES"/>
        </w:rPr>
        <w:t>reportante</w:t>
      </w:r>
      <w:proofErr w:type="spellEnd"/>
      <w:r w:rsidRPr="00BF398A">
        <w:rPr>
          <w:rFonts w:ascii="Arial" w:hAnsi="Arial" w:cs="Arial"/>
          <w:bCs/>
          <w:lang w:val="es-ES"/>
        </w:rPr>
        <w:t xml:space="preserve"> deniegue la solicitud, deberá hacerlo de manera fundada. Por otro lado, en caso de que la acepte, deberá eliminar la información almacenada en su base de datos, cuando corresponda, y dar aviso a la CMF para que también la modifique en el Registro. </w:t>
      </w:r>
    </w:p>
    <w:p w14:paraId="09D4FD6B"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 xml:space="preserve">En caso de que no sea posible determinar al </w:t>
      </w:r>
      <w:proofErr w:type="spellStart"/>
      <w:r w:rsidRPr="00BF398A">
        <w:rPr>
          <w:rFonts w:ascii="Arial" w:hAnsi="Arial" w:cs="Arial"/>
          <w:bCs/>
          <w:lang w:val="es-ES"/>
        </w:rPr>
        <w:t>reportante</w:t>
      </w:r>
      <w:proofErr w:type="spellEnd"/>
      <w:r w:rsidRPr="00BF398A">
        <w:rPr>
          <w:rFonts w:ascii="Arial" w:hAnsi="Arial" w:cs="Arial"/>
          <w:bCs/>
          <w:lang w:val="es-ES"/>
        </w:rPr>
        <w:t xml:space="preserve"> que hubiere entregado la información almacenada en el registro, y que de conformidad a esta ley no correspondía ser almacenada en dicho registro, el deudor podrá solicitar a la Comisión la eliminación de dicha información.</w:t>
      </w:r>
    </w:p>
    <w:p w14:paraId="4B0A9B75"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6.</w:t>
      </w:r>
      <w:r w:rsidRPr="00BF398A">
        <w:rPr>
          <w:rFonts w:ascii="Arial" w:hAnsi="Arial" w:cs="Arial"/>
          <w:bCs/>
          <w:lang w:val="es-ES"/>
        </w:rPr>
        <w:tab/>
        <w:t xml:space="preserve">Sanciones. Se establece que, en caso de infracciones a esta normativa se sancionará a los </w:t>
      </w:r>
      <w:proofErr w:type="spellStart"/>
      <w:r w:rsidRPr="00BF398A">
        <w:rPr>
          <w:rFonts w:ascii="Arial" w:hAnsi="Arial" w:cs="Arial"/>
          <w:bCs/>
          <w:lang w:val="es-ES"/>
        </w:rPr>
        <w:t>reportantes</w:t>
      </w:r>
      <w:proofErr w:type="spellEnd"/>
      <w:r w:rsidRPr="00BF398A">
        <w:rPr>
          <w:rFonts w:ascii="Arial" w:hAnsi="Arial" w:cs="Arial"/>
          <w:bCs/>
          <w:lang w:val="es-ES"/>
        </w:rPr>
        <w:t xml:space="preserve"> de acuerdo con las disposiciones del decreto ley     N° 3.538, de 1980, que crea la Comisión para el Mercado Financiero. Adicionalmente, se señala que se puede sancionar a los </w:t>
      </w:r>
      <w:proofErr w:type="spellStart"/>
      <w:r w:rsidRPr="00BF398A">
        <w:rPr>
          <w:rFonts w:ascii="Arial" w:hAnsi="Arial" w:cs="Arial"/>
          <w:bCs/>
          <w:lang w:val="es-ES"/>
        </w:rPr>
        <w:t>reportantes</w:t>
      </w:r>
      <w:proofErr w:type="spellEnd"/>
      <w:r w:rsidRPr="00BF398A">
        <w:rPr>
          <w:rFonts w:ascii="Arial" w:hAnsi="Arial" w:cs="Arial"/>
          <w:bCs/>
          <w:lang w:val="es-ES"/>
        </w:rPr>
        <w:t xml:space="preserve"> prohibiendo su acceso al Registro por hasta 1 año. Por último, se establecen sanciones penales para quienes revelen datos a terceros, sin la autorización que corresponda.</w:t>
      </w:r>
    </w:p>
    <w:p w14:paraId="70FAAA12"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7.</w:t>
      </w:r>
      <w:r w:rsidRPr="00BF398A">
        <w:rPr>
          <w:rFonts w:ascii="Arial" w:hAnsi="Arial" w:cs="Arial"/>
          <w:bCs/>
          <w:lang w:val="es-ES"/>
        </w:rPr>
        <w:tab/>
        <w:t>Transitoriedad: En considera-</w:t>
      </w:r>
      <w:proofErr w:type="spellStart"/>
      <w:r w:rsidRPr="00BF398A">
        <w:rPr>
          <w:rFonts w:ascii="Arial" w:hAnsi="Arial" w:cs="Arial"/>
          <w:bCs/>
          <w:lang w:val="es-ES"/>
        </w:rPr>
        <w:t>ción</w:t>
      </w:r>
      <w:proofErr w:type="spellEnd"/>
      <w:r w:rsidRPr="00BF398A">
        <w:rPr>
          <w:rFonts w:ascii="Arial" w:hAnsi="Arial" w:cs="Arial"/>
          <w:bCs/>
          <w:lang w:val="es-ES"/>
        </w:rPr>
        <w:t xml:space="preserve"> a los nuevos desafíos técnicos y operativos que implica el proyecto, se contempla un periodo razonable para su entrada en vigencia. </w:t>
      </w:r>
    </w:p>
    <w:p w14:paraId="5B5B7B2F" w14:textId="77777777" w:rsidR="00DA6CF4" w:rsidRPr="00BF398A" w:rsidRDefault="00DA6CF4" w:rsidP="00BF398A">
      <w:pPr>
        <w:pStyle w:val="Sinespaciado"/>
        <w:spacing w:line="276" w:lineRule="auto"/>
        <w:ind w:right="-518" w:firstLine="1701"/>
        <w:jc w:val="both"/>
        <w:rPr>
          <w:rFonts w:ascii="Arial" w:hAnsi="Arial" w:cs="Arial"/>
          <w:bCs/>
          <w:lang w:val="es-ES"/>
        </w:rPr>
      </w:pPr>
      <w:r w:rsidRPr="00BF398A">
        <w:rPr>
          <w:rFonts w:ascii="Arial" w:hAnsi="Arial" w:cs="Arial"/>
          <w:bCs/>
          <w:lang w:val="es-ES"/>
        </w:rPr>
        <w:t xml:space="preserve">Específicamente, señala que la ley entrará en vigencia a los 20 meses contados desde su publicación en el Diario Oficial. Sin perjuicio de lo anterior, se señala que la CMF deberá emitir las normativas correspondientes dentro del plazo de 12 meses, contado desde la publicación de la ley, y que deberá tener el Registro totalmente habilitado dentro del plazo de 15 meses, contado desde la publicación de la ley, de manera que los </w:t>
      </w:r>
      <w:proofErr w:type="spellStart"/>
      <w:r w:rsidRPr="00BF398A">
        <w:rPr>
          <w:rFonts w:ascii="Arial" w:hAnsi="Arial" w:cs="Arial"/>
          <w:bCs/>
          <w:lang w:val="es-ES"/>
        </w:rPr>
        <w:t>reportantes</w:t>
      </w:r>
      <w:proofErr w:type="spellEnd"/>
      <w:r w:rsidRPr="00BF398A">
        <w:rPr>
          <w:rFonts w:ascii="Arial" w:hAnsi="Arial" w:cs="Arial"/>
          <w:bCs/>
          <w:lang w:val="es-ES"/>
        </w:rPr>
        <w:t xml:space="preserve"> puedan comenzar a reportar sus obligaciones desde antes de la entrada en vigencia de la ley.</w:t>
      </w:r>
    </w:p>
    <w:p w14:paraId="5F91A3A6" w14:textId="77777777" w:rsidR="00687258" w:rsidRPr="00687258" w:rsidRDefault="00687258" w:rsidP="00687258">
      <w:pPr>
        <w:spacing w:line="276" w:lineRule="auto"/>
        <w:ind w:right="-518"/>
        <w:jc w:val="both"/>
        <w:rPr>
          <w:rFonts w:ascii="Arial" w:hAnsi="Arial" w:cs="Arial"/>
          <w:sz w:val="22"/>
          <w:szCs w:val="22"/>
          <w:lang w:val="es-MX"/>
        </w:rPr>
      </w:pPr>
    </w:p>
    <w:p w14:paraId="713FEE85" w14:textId="77777777" w:rsidR="00687258" w:rsidRPr="00687258" w:rsidRDefault="00687258" w:rsidP="00687258">
      <w:pPr>
        <w:pStyle w:val="Sinespaciado"/>
        <w:spacing w:line="276" w:lineRule="auto"/>
        <w:ind w:right="-518" w:firstLine="1701"/>
        <w:jc w:val="both"/>
        <w:rPr>
          <w:rFonts w:ascii="Arial" w:hAnsi="Arial" w:cs="Arial"/>
          <w:bCs/>
        </w:rPr>
      </w:pPr>
    </w:p>
    <w:p w14:paraId="3CAE4EA4" w14:textId="77777777" w:rsidR="00687258" w:rsidRDefault="00A43628" w:rsidP="00687258">
      <w:pPr>
        <w:pStyle w:val="Sinespaciado"/>
        <w:spacing w:line="276" w:lineRule="auto"/>
        <w:ind w:right="-518"/>
        <w:jc w:val="both"/>
        <w:rPr>
          <w:rFonts w:ascii="Arial" w:hAnsi="Arial" w:cs="Arial"/>
          <w:b/>
          <w:bCs/>
        </w:rPr>
      </w:pPr>
      <w:r>
        <w:rPr>
          <w:rFonts w:ascii="Arial" w:hAnsi="Arial" w:cs="Arial"/>
          <w:b/>
          <w:bCs/>
        </w:rPr>
        <w:t>III.</w:t>
      </w:r>
      <w:r w:rsidR="00687258" w:rsidRPr="00687258">
        <w:rPr>
          <w:rFonts w:ascii="Arial" w:hAnsi="Arial" w:cs="Arial"/>
          <w:b/>
          <w:bCs/>
        </w:rPr>
        <w:t xml:space="preserve">-INCIDENCIA </w:t>
      </w:r>
      <w:r w:rsidR="00BF398A">
        <w:rPr>
          <w:rFonts w:ascii="Arial" w:hAnsi="Arial" w:cs="Arial"/>
          <w:b/>
          <w:bCs/>
        </w:rPr>
        <w:t xml:space="preserve">EN MATERIA </w:t>
      </w:r>
      <w:r w:rsidR="00687258" w:rsidRPr="00687258">
        <w:rPr>
          <w:rFonts w:ascii="Arial" w:hAnsi="Arial" w:cs="Arial"/>
          <w:b/>
          <w:bCs/>
        </w:rPr>
        <w:t>FINANCIERA O PRESUPUESTARIA DEL ESTADO</w:t>
      </w:r>
    </w:p>
    <w:p w14:paraId="060BB9D5" w14:textId="77777777" w:rsidR="00BF398A" w:rsidRPr="00BF398A" w:rsidRDefault="00BF398A" w:rsidP="00687258">
      <w:pPr>
        <w:pStyle w:val="Sinespaciado"/>
        <w:spacing w:line="276" w:lineRule="auto"/>
        <w:ind w:right="-518"/>
        <w:jc w:val="both"/>
        <w:rPr>
          <w:rFonts w:ascii="Arial" w:hAnsi="Arial" w:cs="Arial"/>
          <w:bCs/>
        </w:rPr>
      </w:pPr>
    </w:p>
    <w:p w14:paraId="0AE4C21A" w14:textId="77777777" w:rsidR="00BF398A" w:rsidRDefault="00BF398A" w:rsidP="00BF398A">
      <w:pPr>
        <w:pStyle w:val="Sinespaciado"/>
        <w:spacing w:line="276" w:lineRule="auto"/>
        <w:ind w:right="-518" w:firstLine="1701"/>
        <w:jc w:val="both"/>
        <w:rPr>
          <w:rFonts w:ascii="Arial" w:hAnsi="Arial" w:cs="Arial"/>
          <w:bCs/>
        </w:rPr>
      </w:pPr>
      <w:r w:rsidRPr="00BF398A">
        <w:rPr>
          <w:rFonts w:ascii="Arial" w:hAnsi="Arial" w:cs="Arial"/>
          <w:bCs/>
        </w:rPr>
        <w:t xml:space="preserve">El informe </w:t>
      </w:r>
      <w:r>
        <w:rPr>
          <w:rFonts w:ascii="Arial" w:hAnsi="Arial" w:cs="Arial"/>
          <w:bCs/>
        </w:rPr>
        <w:t>financiero N° 77, elaborado por la Dirección de Presupuestos del Ministerio de Hacienda</w:t>
      </w:r>
      <w:r w:rsidR="00A43628">
        <w:rPr>
          <w:rFonts w:ascii="Arial" w:hAnsi="Arial" w:cs="Arial"/>
          <w:bCs/>
        </w:rPr>
        <w:t>,</w:t>
      </w:r>
      <w:r>
        <w:rPr>
          <w:rFonts w:ascii="Arial" w:hAnsi="Arial" w:cs="Arial"/>
          <w:bCs/>
        </w:rPr>
        <w:t xml:space="preserve"> y presentado en esta Comisión en el día de hoy, actualiza los datos contenidos en el informe financiero  N°142, de 2021, que acompañó al proyecto a su ingreso, en el siguiente sentido:</w:t>
      </w:r>
    </w:p>
    <w:p w14:paraId="04F708E2" w14:textId="77777777" w:rsidR="00BF398A" w:rsidRDefault="00BF398A" w:rsidP="00BF398A">
      <w:pPr>
        <w:pStyle w:val="Sinespaciado"/>
        <w:spacing w:line="276" w:lineRule="auto"/>
        <w:ind w:right="-518" w:firstLine="1701"/>
        <w:jc w:val="both"/>
        <w:rPr>
          <w:rFonts w:ascii="Arial" w:hAnsi="Arial" w:cs="Arial"/>
          <w:bCs/>
        </w:rPr>
      </w:pPr>
    </w:p>
    <w:p w14:paraId="141C8ABD" w14:textId="77777777" w:rsidR="00BF398A" w:rsidRPr="00A43628" w:rsidRDefault="00A43628" w:rsidP="00A43628">
      <w:pPr>
        <w:pStyle w:val="Sinespaciado"/>
        <w:spacing w:line="276" w:lineRule="auto"/>
        <w:ind w:right="-518" w:firstLine="1701"/>
        <w:jc w:val="both"/>
        <w:rPr>
          <w:rFonts w:ascii="Arial" w:hAnsi="Arial" w:cs="Arial"/>
          <w:b/>
          <w:bCs/>
        </w:rPr>
      </w:pPr>
      <w:r w:rsidRPr="00A43628">
        <w:rPr>
          <w:rFonts w:ascii="Arial" w:hAnsi="Arial" w:cs="Arial"/>
          <w:b/>
          <w:bCs/>
        </w:rPr>
        <w:lastRenderedPageBreak/>
        <w:t>EFECTO DEL PROYECTO DE LEY SOBRE EL PRESUPUESTO FISCAL</w:t>
      </w:r>
    </w:p>
    <w:p w14:paraId="260336D3" w14:textId="77777777" w:rsidR="00A43628" w:rsidRDefault="00A43628" w:rsidP="00A43628">
      <w:pPr>
        <w:pStyle w:val="Sinespaciado"/>
        <w:spacing w:line="276" w:lineRule="auto"/>
        <w:ind w:right="-518" w:firstLine="1701"/>
        <w:jc w:val="both"/>
        <w:rPr>
          <w:rFonts w:ascii="Arial" w:hAnsi="Arial" w:cs="Arial"/>
          <w:bCs/>
        </w:rPr>
      </w:pPr>
    </w:p>
    <w:p w14:paraId="645AFF09" w14:textId="77777777" w:rsidR="00BF398A" w:rsidRPr="00A43628" w:rsidRDefault="00BF398A" w:rsidP="00A43628">
      <w:pPr>
        <w:pStyle w:val="Sinespaciado"/>
        <w:spacing w:line="276" w:lineRule="auto"/>
        <w:ind w:right="-518" w:firstLine="1701"/>
        <w:jc w:val="both"/>
        <w:rPr>
          <w:rFonts w:ascii="Arial" w:hAnsi="Arial" w:cs="Arial"/>
          <w:bCs/>
        </w:rPr>
      </w:pPr>
      <w:r w:rsidRPr="00A43628">
        <w:rPr>
          <w:rFonts w:ascii="Arial" w:hAnsi="Arial" w:cs="Arial"/>
          <w:bCs/>
        </w:rPr>
        <w:t>La implementación del proyecto de ley implica el desarrollo e inversión en infraestructura informática que permitirá adaptar los actuales sistemas de la Comisión para el Mercado Financiero (CMF). El costo estimado por requerimientos tecnológicos asciende a $671.618 miles de 2023 para el primer año y $181.870 miles de 2023 para el segundo año</w:t>
      </w:r>
      <w:r w:rsidR="00A43628">
        <w:rPr>
          <w:rFonts w:ascii="Arial" w:hAnsi="Arial" w:cs="Arial"/>
          <w:bCs/>
        </w:rPr>
        <w:t xml:space="preserve"> (</w:t>
      </w:r>
      <w:r w:rsidRPr="00A43628">
        <w:rPr>
          <w:bCs/>
        </w:rPr>
        <w:footnoteReference w:id="2"/>
      </w:r>
      <w:r w:rsidR="00A43628">
        <w:rPr>
          <w:rFonts w:ascii="Arial" w:hAnsi="Arial" w:cs="Arial"/>
          <w:bCs/>
        </w:rPr>
        <w:t>)</w:t>
      </w:r>
      <w:r w:rsidRPr="00A43628">
        <w:rPr>
          <w:rFonts w:ascii="Arial" w:hAnsi="Arial" w:cs="Arial"/>
          <w:bCs/>
        </w:rPr>
        <w:t xml:space="preserve">. </w:t>
      </w:r>
    </w:p>
    <w:p w14:paraId="11F6F9ED" w14:textId="77777777" w:rsidR="00BF398A" w:rsidRPr="00A43628" w:rsidRDefault="00BF398A" w:rsidP="00A43628">
      <w:pPr>
        <w:pStyle w:val="Sinespaciado"/>
        <w:spacing w:line="276" w:lineRule="auto"/>
        <w:ind w:right="-518" w:firstLine="1701"/>
        <w:jc w:val="both"/>
        <w:rPr>
          <w:rFonts w:ascii="Arial" w:hAnsi="Arial" w:cs="Arial"/>
          <w:bCs/>
        </w:rPr>
      </w:pPr>
      <w:r w:rsidRPr="00A43628">
        <w:rPr>
          <w:rFonts w:ascii="Arial" w:hAnsi="Arial" w:cs="Arial"/>
          <w:bCs/>
        </w:rPr>
        <w:t>Adicionalmente, se deben considerar recursos para la mantención de la citada plataforma. Esto incluye la mantención de una nube con que respalde la información y servicios de ciberseguridad. Para ello, se consideran $29.938 miles de 2023 el segundo año de implementación y $115.004 miles de 2023 en régimen</w:t>
      </w:r>
      <w:r w:rsidR="00A43628">
        <w:rPr>
          <w:rFonts w:ascii="Arial" w:hAnsi="Arial" w:cs="Arial"/>
          <w:bCs/>
        </w:rPr>
        <w:t xml:space="preserve"> (</w:t>
      </w:r>
      <w:r w:rsidRPr="00A43628">
        <w:rPr>
          <w:bCs/>
        </w:rPr>
        <w:footnoteReference w:id="3"/>
      </w:r>
      <w:r w:rsidR="00A43628">
        <w:rPr>
          <w:rFonts w:ascii="Arial" w:hAnsi="Arial" w:cs="Arial"/>
          <w:bCs/>
        </w:rPr>
        <w:t>)</w:t>
      </w:r>
      <w:r w:rsidRPr="00A43628">
        <w:rPr>
          <w:rFonts w:ascii="Arial" w:hAnsi="Arial" w:cs="Arial"/>
          <w:bCs/>
        </w:rPr>
        <w:t>.</w:t>
      </w:r>
    </w:p>
    <w:p w14:paraId="4ADEC407" w14:textId="77777777" w:rsidR="00BF398A" w:rsidRPr="00A43628" w:rsidRDefault="00BF398A" w:rsidP="00BF398A">
      <w:pPr>
        <w:pStyle w:val="Prrafodelista"/>
        <w:rPr>
          <w:rFonts w:ascii="Arial" w:hAnsi="Arial" w:cs="Arial"/>
          <w:bCs/>
        </w:rPr>
      </w:pPr>
    </w:p>
    <w:p w14:paraId="5F130C98" w14:textId="77777777" w:rsidR="00BF398A" w:rsidRDefault="00BF398A" w:rsidP="00BF398A">
      <w:pPr>
        <w:pStyle w:val="Prrafodelista"/>
        <w:rPr>
          <w:rFonts w:ascii="Verdana" w:hAnsi="Verdana" w:cs="Arial"/>
          <w:bCs/>
        </w:rPr>
      </w:pPr>
    </w:p>
    <w:p w14:paraId="78D70B11" w14:textId="77777777" w:rsidR="00BF398A" w:rsidRDefault="00BF398A" w:rsidP="00A43628">
      <w:pPr>
        <w:pStyle w:val="Prrafodelista"/>
        <w:ind w:left="0"/>
        <w:jc w:val="center"/>
        <w:rPr>
          <w:rFonts w:ascii="Verdana" w:hAnsi="Verdana" w:cs="Arial"/>
          <w:b/>
          <w:szCs w:val="20"/>
        </w:rPr>
      </w:pPr>
      <w:r w:rsidRPr="007935BB">
        <w:rPr>
          <w:rFonts w:ascii="Verdana" w:hAnsi="Verdana" w:cs="Arial"/>
          <w:b/>
          <w:szCs w:val="20"/>
        </w:rPr>
        <w:t>Tabla 1: Costos de Implementación y Mantención del Registro Consolidado de Obligaciones Crediticias y su Plataforma Asociada</w:t>
      </w:r>
    </w:p>
    <w:p w14:paraId="6CD081EF" w14:textId="77777777" w:rsidR="00BF398A" w:rsidRPr="007A437B" w:rsidRDefault="00BF398A" w:rsidP="00BF398A">
      <w:pPr>
        <w:pStyle w:val="Prrafodelista"/>
        <w:jc w:val="center"/>
        <w:rPr>
          <w:rFonts w:ascii="Verdana" w:hAnsi="Verdana" w:cs="Arial"/>
          <w:bCs/>
          <w:szCs w:val="20"/>
        </w:rPr>
      </w:pPr>
      <w:r w:rsidRPr="007A437B">
        <w:rPr>
          <w:rFonts w:ascii="Verdana" w:hAnsi="Verdana" w:cs="Arial"/>
          <w:bCs/>
          <w:szCs w:val="20"/>
        </w:rPr>
        <w:t>(Miles de Pesos de 202</w:t>
      </w:r>
      <w:r>
        <w:rPr>
          <w:rFonts w:ascii="Verdana" w:hAnsi="Verdana" w:cs="Arial"/>
          <w:bCs/>
          <w:szCs w:val="20"/>
        </w:rPr>
        <w:t>3</w:t>
      </w:r>
      <w:r w:rsidRPr="007A437B">
        <w:rPr>
          <w:rFonts w:ascii="Verdana" w:hAnsi="Verdana" w:cs="Arial"/>
          <w:bCs/>
          <w:szCs w:val="20"/>
        </w:rPr>
        <w:t>)</w:t>
      </w:r>
    </w:p>
    <w:tbl>
      <w:tblPr>
        <w:tblW w:w="8908" w:type="dxa"/>
        <w:jc w:val="center"/>
        <w:tblLook w:val="04A0" w:firstRow="1" w:lastRow="0" w:firstColumn="1" w:lastColumn="0" w:noHBand="0" w:noVBand="1"/>
      </w:tblPr>
      <w:tblGrid>
        <w:gridCol w:w="3640"/>
        <w:gridCol w:w="1327"/>
        <w:gridCol w:w="1327"/>
        <w:gridCol w:w="1695"/>
        <w:gridCol w:w="1398"/>
      </w:tblGrid>
      <w:tr w:rsidR="00BF398A" w:rsidRPr="00871EBB" w14:paraId="054E732B" w14:textId="77777777" w:rsidTr="00B25E97">
        <w:trPr>
          <w:trHeight w:val="300"/>
          <w:jc w:val="center"/>
        </w:trPr>
        <w:tc>
          <w:tcPr>
            <w:tcW w:w="3640" w:type="dxa"/>
            <w:tcBorders>
              <w:top w:val="single" w:sz="4" w:space="0" w:color="auto"/>
              <w:left w:val="single" w:sz="4" w:space="0" w:color="auto"/>
              <w:right w:val="single" w:sz="4" w:space="0" w:color="auto"/>
            </w:tcBorders>
            <w:shd w:val="clear" w:color="000000" w:fill="4472C4"/>
            <w:noWrap/>
            <w:vAlign w:val="bottom"/>
          </w:tcPr>
          <w:p w14:paraId="1615AA48" w14:textId="77777777" w:rsidR="00BF398A" w:rsidRPr="00871EBB" w:rsidRDefault="00BF398A" w:rsidP="00B25E97">
            <w:pPr>
              <w:rPr>
                <w:rFonts w:ascii="Verdana" w:hAnsi="Verdana" w:cs="Calibri"/>
                <w:b/>
                <w:color w:val="FFFFFF"/>
                <w:szCs w:val="20"/>
                <w:lang w:val="es-CL" w:eastAsia="en-US"/>
              </w:rPr>
            </w:pPr>
          </w:p>
        </w:tc>
        <w:tc>
          <w:tcPr>
            <w:tcW w:w="1208" w:type="dxa"/>
            <w:tcBorders>
              <w:top w:val="single" w:sz="4" w:space="0" w:color="auto"/>
              <w:left w:val="single" w:sz="4" w:space="0" w:color="auto"/>
              <w:bottom w:val="single" w:sz="4" w:space="0" w:color="auto"/>
            </w:tcBorders>
            <w:shd w:val="clear" w:color="000000" w:fill="4472C4"/>
            <w:noWrap/>
            <w:vAlign w:val="bottom"/>
          </w:tcPr>
          <w:p w14:paraId="58325AC1" w14:textId="77777777" w:rsidR="00BF398A" w:rsidRPr="00871EBB" w:rsidRDefault="00BF398A" w:rsidP="00B25E97">
            <w:pPr>
              <w:jc w:val="right"/>
              <w:rPr>
                <w:rFonts w:ascii="Verdana" w:hAnsi="Verdana" w:cs="Calibri"/>
                <w:b/>
                <w:color w:val="FFFFFF"/>
                <w:szCs w:val="20"/>
                <w:lang w:val="es-CL" w:eastAsia="en-US"/>
              </w:rPr>
            </w:pPr>
          </w:p>
        </w:tc>
        <w:tc>
          <w:tcPr>
            <w:tcW w:w="1216" w:type="dxa"/>
            <w:tcBorders>
              <w:top w:val="single" w:sz="4" w:space="0" w:color="auto"/>
              <w:bottom w:val="single" w:sz="4" w:space="0" w:color="auto"/>
              <w:right w:val="single" w:sz="4" w:space="0" w:color="auto"/>
            </w:tcBorders>
            <w:shd w:val="clear" w:color="000000" w:fill="4472C4"/>
            <w:noWrap/>
            <w:vAlign w:val="bottom"/>
          </w:tcPr>
          <w:p w14:paraId="1ED08CB6" w14:textId="77777777" w:rsidR="00BF398A" w:rsidRPr="00871EBB" w:rsidRDefault="00BF398A" w:rsidP="00B25E97">
            <w:pPr>
              <w:jc w:val="right"/>
              <w:rPr>
                <w:rFonts w:ascii="Verdana" w:hAnsi="Verdana" w:cs="Calibri"/>
                <w:b/>
                <w:color w:val="FFFFFF"/>
                <w:szCs w:val="20"/>
                <w:lang w:val="es-CL" w:eastAsia="en-US"/>
              </w:rPr>
            </w:pPr>
          </w:p>
        </w:tc>
        <w:tc>
          <w:tcPr>
            <w:tcW w:w="2844" w:type="dxa"/>
            <w:gridSpan w:val="2"/>
            <w:tcBorders>
              <w:top w:val="single" w:sz="4" w:space="0" w:color="auto"/>
              <w:left w:val="single" w:sz="4" w:space="0" w:color="auto"/>
              <w:bottom w:val="single" w:sz="4" w:space="0" w:color="auto"/>
              <w:right w:val="single" w:sz="4" w:space="0" w:color="auto"/>
            </w:tcBorders>
            <w:shd w:val="clear" w:color="000000" w:fill="4472C4"/>
            <w:noWrap/>
            <w:vAlign w:val="bottom"/>
          </w:tcPr>
          <w:p w14:paraId="41B2D97D" w14:textId="77777777" w:rsidR="00BF398A" w:rsidRPr="00871EBB" w:rsidRDefault="00BF398A" w:rsidP="00B25E97">
            <w:pPr>
              <w:jc w:val="center"/>
              <w:rPr>
                <w:rFonts w:ascii="Verdana" w:hAnsi="Verdana" w:cs="Calibri"/>
                <w:b/>
                <w:color w:val="FFFFFF"/>
                <w:szCs w:val="20"/>
                <w:lang w:eastAsia="en-US"/>
              </w:rPr>
            </w:pPr>
            <w:r w:rsidRPr="00871EBB">
              <w:rPr>
                <w:rFonts w:ascii="Verdana" w:hAnsi="Verdana" w:cs="Calibri"/>
                <w:b/>
                <w:color w:val="FFFFFF"/>
                <w:szCs w:val="20"/>
                <w:lang w:eastAsia="en-US"/>
              </w:rPr>
              <w:t>Total</w:t>
            </w:r>
          </w:p>
        </w:tc>
      </w:tr>
      <w:tr w:rsidR="00BF398A" w:rsidRPr="00871EBB" w14:paraId="50B4BAF3" w14:textId="77777777" w:rsidTr="00B25E97">
        <w:trPr>
          <w:trHeight w:val="300"/>
          <w:jc w:val="center"/>
        </w:trPr>
        <w:tc>
          <w:tcPr>
            <w:tcW w:w="3640" w:type="dxa"/>
            <w:tcBorders>
              <w:left w:val="single" w:sz="4" w:space="0" w:color="auto"/>
              <w:right w:val="single" w:sz="4" w:space="0" w:color="auto"/>
            </w:tcBorders>
            <w:shd w:val="clear" w:color="000000" w:fill="4472C4"/>
            <w:noWrap/>
            <w:vAlign w:val="bottom"/>
            <w:hideMark/>
          </w:tcPr>
          <w:p w14:paraId="2DA4FB89" w14:textId="77777777" w:rsidR="00BF398A" w:rsidRPr="00871EBB" w:rsidRDefault="00BF398A" w:rsidP="00B25E97">
            <w:pPr>
              <w:rPr>
                <w:rFonts w:ascii="Verdana" w:hAnsi="Verdana" w:cs="Calibri"/>
                <w:b/>
                <w:color w:val="FFFFFF"/>
                <w:szCs w:val="20"/>
                <w:lang w:eastAsia="en-US"/>
              </w:rPr>
            </w:pPr>
            <w:r w:rsidRPr="00871EBB">
              <w:rPr>
                <w:rFonts w:ascii="Verdana" w:hAnsi="Verdana" w:cs="Calibri"/>
                <w:b/>
                <w:color w:val="FFFFFF"/>
                <w:szCs w:val="20"/>
                <w:lang w:eastAsia="en-US"/>
              </w:rPr>
              <w:t> </w:t>
            </w:r>
          </w:p>
        </w:tc>
        <w:tc>
          <w:tcPr>
            <w:tcW w:w="1208" w:type="dxa"/>
            <w:tcBorders>
              <w:top w:val="single" w:sz="4" w:space="0" w:color="auto"/>
              <w:left w:val="single" w:sz="4" w:space="0" w:color="auto"/>
            </w:tcBorders>
            <w:shd w:val="clear" w:color="000000" w:fill="4472C4"/>
            <w:noWrap/>
            <w:vAlign w:val="bottom"/>
            <w:hideMark/>
          </w:tcPr>
          <w:p w14:paraId="2D52721D" w14:textId="77777777" w:rsidR="00BF398A" w:rsidRPr="00871EBB" w:rsidRDefault="00BF398A" w:rsidP="00B25E97">
            <w:pPr>
              <w:jc w:val="right"/>
              <w:rPr>
                <w:rFonts w:ascii="Verdana" w:hAnsi="Verdana" w:cs="Calibri"/>
                <w:b/>
                <w:color w:val="FFFFFF"/>
                <w:szCs w:val="20"/>
                <w:lang w:eastAsia="en-US"/>
              </w:rPr>
            </w:pPr>
            <w:r w:rsidRPr="00871EBB">
              <w:rPr>
                <w:rFonts w:ascii="Verdana" w:hAnsi="Verdana" w:cs="Calibri"/>
                <w:b/>
                <w:color w:val="FFFFFF"/>
                <w:szCs w:val="20"/>
                <w:lang w:eastAsia="en-US"/>
              </w:rPr>
              <w:t>Año 1</w:t>
            </w:r>
          </w:p>
        </w:tc>
        <w:tc>
          <w:tcPr>
            <w:tcW w:w="1216" w:type="dxa"/>
            <w:tcBorders>
              <w:top w:val="single" w:sz="4" w:space="0" w:color="auto"/>
              <w:right w:val="single" w:sz="4" w:space="0" w:color="auto"/>
            </w:tcBorders>
            <w:shd w:val="clear" w:color="000000" w:fill="4472C4"/>
            <w:noWrap/>
            <w:vAlign w:val="bottom"/>
            <w:hideMark/>
          </w:tcPr>
          <w:p w14:paraId="4EF096FB" w14:textId="77777777" w:rsidR="00BF398A" w:rsidRPr="00871EBB" w:rsidRDefault="00BF398A" w:rsidP="00B25E97">
            <w:pPr>
              <w:jc w:val="right"/>
              <w:rPr>
                <w:rFonts w:ascii="Verdana" w:hAnsi="Verdana" w:cs="Calibri"/>
                <w:b/>
                <w:color w:val="FFFFFF"/>
                <w:szCs w:val="20"/>
                <w:lang w:eastAsia="en-US"/>
              </w:rPr>
            </w:pPr>
            <w:r w:rsidRPr="00871EBB">
              <w:rPr>
                <w:rFonts w:ascii="Verdana" w:hAnsi="Verdana" w:cs="Calibri"/>
                <w:b/>
                <w:color w:val="FFFFFF"/>
                <w:szCs w:val="20"/>
                <w:lang w:eastAsia="en-US"/>
              </w:rPr>
              <w:t>Año 2</w:t>
            </w:r>
          </w:p>
        </w:tc>
        <w:tc>
          <w:tcPr>
            <w:tcW w:w="1636" w:type="dxa"/>
            <w:tcBorders>
              <w:top w:val="single" w:sz="4" w:space="0" w:color="auto"/>
              <w:left w:val="single" w:sz="4" w:space="0" w:color="auto"/>
            </w:tcBorders>
            <w:shd w:val="clear" w:color="000000" w:fill="4472C4"/>
            <w:noWrap/>
            <w:vAlign w:val="bottom"/>
            <w:hideMark/>
          </w:tcPr>
          <w:p w14:paraId="7EDCE9DB" w14:textId="77777777" w:rsidR="00BF398A" w:rsidRPr="00871EBB" w:rsidRDefault="00BF398A" w:rsidP="00B25E97">
            <w:pPr>
              <w:jc w:val="right"/>
              <w:rPr>
                <w:rFonts w:ascii="Verdana" w:hAnsi="Verdana" w:cs="Calibri"/>
                <w:b/>
                <w:color w:val="FFFFFF"/>
                <w:szCs w:val="20"/>
                <w:lang w:eastAsia="en-US"/>
              </w:rPr>
            </w:pPr>
            <w:r w:rsidRPr="00871EBB">
              <w:rPr>
                <w:rFonts w:ascii="Verdana" w:hAnsi="Verdana" w:cs="Calibri"/>
                <w:b/>
                <w:color w:val="FFFFFF"/>
                <w:szCs w:val="20"/>
                <w:lang w:eastAsia="en-US"/>
              </w:rPr>
              <w:t>Transitorio</w:t>
            </w:r>
          </w:p>
        </w:tc>
        <w:tc>
          <w:tcPr>
            <w:tcW w:w="1208" w:type="dxa"/>
            <w:tcBorders>
              <w:top w:val="single" w:sz="4" w:space="0" w:color="auto"/>
              <w:right w:val="single" w:sz="4" w:space="0" w:color="auto"/>
            </w:tcBorders>
            <w:shd w:val="clear" w:color="000000" w:fill="4472C4"/>
            <w:noWrap/>
            <w:vAlign w:val="bottom"/>
            <w:hideMark/>
          </w:tcPr>
          <w:p w14:paraId="7C046C1E" w14:textId="77777777" w:rsidR="00BF398A" w:rsidRPr="00871EBB" w:rsidRDefault="00BF398A" w:rsidP="00B25E97">
            <w:pPr>
              <w:jc w:val="right"/>
              <w:rPr>
                <w:rFonts w:ascii="Verdana" w:hAnsi="Verdana" w:cs="Calibri"/>
                <w:b/>
                <w:color w:val="FFFFFF"/>
                <w:szCs w:val="20"/>
                <w:lang w:eastAsia="en-US"/>
              </w:rPr>
            </w:pPr>
            <w:r w:rsidRPr="00871EBB">
              <w:rPr>
                <w:rFonts w:ascii="Verdana" w:hAnsi="Verdana" w:cs="Calibri"/>
                <w:b/>
                <w:color w:val="FFFFFF"/>
                <w:szCs w:val="20"/>
                <w:lang w:eastAsia="en-US"/>
              </w:rPr>
              <w:t>Régimen</w:t>
            </w:r>
          </w:p>
        </w:tc>
      </w:tr>
      <w:tr w:rsidR="00BF398A" w:rsidRPr="00871EBB" w14:paraId="2442F020" w14:textId="77777777" w:rsidTr="00B25E97">
        <w:trPr>
          <w:trHeight w:val="300"/>
          <w:jc w:val="center"/>
        </w:trPr>
        <w:tc>
          <w:tcPr>
            <w:tcW w:w="3640" w:type="dxa"/>
            <w:tcBorders>
              <w:left w:val="single" w:sz="8" w:space="0" w:color="auto"/>
              <w:bottom w:val="nil"/>
              <w:right w:val="single" w:sz="4" w:space="0" w:color="auto"/>
            </w:tcBorders>
            <w:shd w:val="clear" w:color="auto" w:fill="auto"/>
            <w:noWrap/>
            <w:vAlign w:val="bottom"/>
            <w:hideMark/>
          </w:tcPr>
          <w:p w14:paraId="4074E673" w14:textId="77777777" w:rsidR="00BF398A" w:rsidRPr="00871EBB" w:rsidRDefault="00BF398A" w:rsidP="00B25E97">
            <w:pPr>
              <w:rPr>
                <w:rFonts w:ascii="Verdana" w:hAnsi="Verdana" w:cs="Calibri"/>
                <w:color w:val="000000"/>
                <w:szCs w:val="20"/>
                <w:lang w:eastAsia="en-US"/>
              </w:rPr>
            </w:pPr>
            <w:proofErr w:type="spellStart"/>
            <w:r w:rsidRPr="00871EBB">
              <w:rPr>
                <w:rFonts w:ascii="Verdana" w:hAnsi="Verdana" w:cs="Calibri"/>
                <w:color w:val="000000"/>
                <w:szCs w:val="20"/>
                <w:lang w:eastAsia="en-US"/>
              </w:rPr>
              <w:t>Creacion</w:t>
            </w:r>
            <w:proofErr w:type="spellEnd"/>
            <w:r w:rsidRPr="00871EBB">
              <w:rPr>
                <w:rFonts w:ascii="Verdana" w:hAnsi="Verdana" w:cs="Calibri"/>
                <w:color w:val="000000"/>
                <w:szCs w:val="20"/>
                <w:lang w:eastAsia="en-US"/>
              </w:rPr>
              <w:t xml:space="preserve"> del Registro (</w:t>
            </w:r>
            <w:proofErr w:type="spellStart"/>
            <w:r w:rsidRPr="00871EBB">
              <w:rPr>
                <w:rFonts w:ascii="Verdana" w:hAnsi="Verdana" w:cs="Calibri"/>
                <w:color w:val="000000"/>
                <w:szCs w:val="20"/>
                <w:lang w:eastAsia="en-US"/>
              </w:rPr>
              <w:t>subt</w:t>
            </w:r>
            <w:proofErr w:type="spellEnd"/>
            <w:r w:rsidRPr="00871EBB">
              <w:rPr>
                <w:rFonts w:ascii="Verdana" w:hAnsi="Verdana" w:cs="Calibri"/>
                <w:color w:val="000000"/>
                <w:szCs w:val="20"/>
                <w:lang w:eastAsia="en-US"/>
              </w:rPr>
              <w:t>. 29)</w:t>
            </w:r>
          </w:p>
        </w:tc>
        <w:tc>
          <w:tcPr>
            <w:tcW w:w="1208" w:type="dxa"/>
            <w:tcBorders>
              <w:left w:val="nil"/>
              <w:bottom w:val="single" w:sz="4" w:space="0" w:color="auto"/>
              <w:right w:val="nil"/>
            </w:tcBorders>
            <w:shd w:val="clear" w:color="auto" w:fill="auto"/>
            <w:noWrap/>
            <w:vAlign w:val="bottom"/>
            <w:hideMark/>
          </w:tcPr>
          <w:p w14:paraId="5FB9B260"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671.618</w:t>
            </w:r>
          </w:p>
        </w:tc>
        <w:tc>
          <w:tcPr>
            <w:tcW w:w="1216" w:type="dxa"/>
            <w:tcBorders>
              <w:left w:val="nil"/>
              <w:bottom w:val="nil"/>
              <w:right w:val="single" w:sz="4" w:space="0" w:color="auto"/>
            </w:tcBorders>
            <w:shd w:val="clear" w:color="auto" w:fill="auto"/>
            <w:noWrap/>
            <w:vAlign w:val="bottom"/>
            <w:hideMark/>
          </w:tcPr>
          <w:p w14:paraId="71FCFC97"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181.870</w:t>
            </w:r>
          </w:p>
        </w:tc>
        <w:tc>
          <w:tcPr>
            <w:tcW w:w="1636" w:type="dxa"/>
            <w:tcBorders>
              <w:left w:val="single" w:sz="4" w:space="0" w:color="auto"/>
              <w:bottom w:val="nil"/>
              <w:right w:val="nil"/>
            </w:tcBorders>
            <w:shd w:val="clear" w:color="auto" w:fill="auto"/>
            <w:noWrap/>
            <w:vAlign w:val="bottom"/>
            <w:hideMark/>
          </w:tcPr>
          <w:p w14:paraId="11732664"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853.488</w:t>
            </w:r>
          </w:p>
        </w:tc>
        <w:tc>
          <w:tcPr>
            <w:tcW w:w="1208" w:type="dxa"/>
            <w:tcBorders>
              <w:left w:val="nil"/>
              <w:bottom w:val="nil"/>
              <w:right w:val="single" w:sz="4" w:space="0" w:color="auto"/>
            </w:tcBorders>
            <w:shd w:val="clear" w:color="auto" w:fill="auto"/>
            <w:noWrap/>
            <w:vAlign w:val="bottom"/>
            <w:hideMark/>
          </w:tcPr>
          <w:p w14:paraId="099495C9"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0</w:t>
            </w:r>
          </w:p>
        </w:tc>
      </w:tr>
      <w:tr w:rsidR="00BF398A" w:rsidRPr="00871EBB" w14:paraId="37ACA572" w14:textId="77777777" w:rsidTr="00B25E97">
        <w:trPr>
          <w:trHeight w:val="300"/>
          <w:jc w:val="center"/>
        </w:trPr>
        <w:tc>
          <w:tcPr>
            <w:tcW w:w="36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02C6A1" w14:textId="77777777" w:rsidR="00BF398A" w:rsidRDefault="00BF398A" w:rsidP="00B25E97">
            <w:pPr>
              <w:rPr>
                <w:rFonts w:ascii="Verdana" w:hAnsi="Verdana" w:cs="Calibri"/>
                <w:color w:val="000000"/>
                <w:szCs w:val="20"/>
                <w:lang w:eastAsia="en-US"/>
              </w:rPr>
            </w:pPr>
            <w:r w:rsidRPr="00871EBB">
              <w:rPr>
                <w:rFonts w:ascii="Verdana" w:hAnsi="Verdana" w:cs="Calibri"/>
                <w:color w:val="000000"/>
                <w:szCs w:val="20"/>
                <w:lang w:eastAsia="en-US"/>
              </w:rPr>
              <w:t>Mantención Infraestructura</w:t>
            </w:r>
          </w:p>
          <w:p w14:paraId="008AE183" w14:textId="77777777" w:rsidR="00BF398A" w:rsidRPr="00871EBB" w:rsidRDefault="00BF398A" w:rsidP="00B25E97">
            <w:pPr>
              <w:rPr>
                <w:rFonts w:ascii="Verdana" w:hAnsi="Verdana" w:cs="Calibri"/>
                <w:color w:val="000000"/>
                <w:szCs w:val="20"/>
                <w:lang w:eastAsia="en-US"/>
              </w:rPr>
            </w:pPr>
            <w:r w:rsidRPr="00871EBB">
              <w:rPr>
                <w:rFonts w:ascii="Verdana" w:hAnsi="Verdana" w:cs="Calibri"/>
                <w:color w:val="000000"/>
                <w:szCs w:val="20"/>
                <w:lang w:eastAsia="en-US"/>
              </w:rPr>
              <w:t>(</w:t>
            </w:r>
            <w:proofErr w:type="spellStart"/>
            <w:r w:rsidRPr="00871EBB">
              <w:rPr>
                <w:rFonts w:ascii="Verdana" w:hAnsi="Verdana" w:cs="Calibri"/>
                <w:color w:val="000000"/>
                <w:szCs w:val="20"/>
                <w:lang w:eastAsia="en-US"/>
              </w:rPr>
              <w:t>subt</w:t>
            </w:r>
            <w:proofErr w:type="spellEnd"/>
            <w:r w:rsidRPr="00871EBB">
              <w:rPr>
                <w:rFonts w:ascii="Verdana" w:hAnsi="Verdana" w:cs="Calibri"/>
                <w:color w:val="000000"/>
                <w:szCs w:val="20"/>
                <w:lang w:eastAsia="en-US"/>
              </w:rPr>
              <w:t>. 22)</w:t>
            </w:r>
          </w:p>
        </w:tc>
        <w:tc>
          <w:tcPr>
            <w:tcW w:w="1208" w:type="dxa"/>
            <w:tcBorders>
              <w:top w:val="single" w:sz="4" w:space="0" w:color="auto"/>
              <w:left w:val="nil"/>
              <w:bottom w:val="single" w:sz="4" w:space="0" w:color="auto"/>
              <w:right w:val="nil"/>
            </w:tcBorders>
            <w:shd w:val="clear" w:color="auto" w:fill="auto"/>
            <w:noWrap/>
            <w:vAlign w:val="bottom"/>
            <w:hideMark/>
          </w:tcPr>
          <w:p w14:paraId="6AFA1BF4"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0</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180F56C8"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29.938</w:t>
            </w:r>
          </w:p>
        </w:tc>
        <w:tc>
          <w:tcPr>
            <w:tcW w:w="1636" w:type="dxa"/>
            <w:tcBorders>
              <w:top w:val="single" w:sz="4" w:space="0" w:color="auto"/>
              <w:left w:val="single" w:sz="4" w:space="0" w:color="auto"/>
              <w:bottom w:val="single" w:sz="4" w:space="0" w:color="auto"/>
              <w:right w:val="nil"/>
            </w:tcBorders>
            <w:shd w:val="clear" w:color="auto" w:fill="auto"/>
            <w:noWrap/>
            <w:vAlign w:val="bottom"/>
            <w:hideMark/>
          </w:tcPr>
          <w:p w14:paraId="1F80EE55"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29.938</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3043E4C8" w14:textId="77777777" w:rsidR="00BF398A" w:rsidRPr="00871EBB" w:rsidRDefault="00BF398A" w:rsidP="00B25E97">
            <w:pPr>
              <w:jc w:val="right"/>
              <w:rPr>
                <w:rFonts w:ascii="Verdana" w:hAnsi="Verdana" w:cs="Calibri"/>
                <w:color w:val="000000"/>
                <w:szCs w:val="20"/>
                <w:lang w:eastAsia="en-US"/>
              </w:rPr>
            </w:pPr>
            <w:r w:rsidRPr="00871EBB">
              <w:rPr>
                <w:rFonts w:ascii="Verdana" w:hAnsi="Verdana" w:cs="Calibri"/>
                <w:color w:val="000000"/>
                <w:szCs w:val="20"/>
                <w:lang w:eastAsia="en-US"/>
              </w:rPr>
              <w:t>115.004</w:t>
            </w:r>
          </w:p>
        </w:tc>
      </w:tr>
      <w:tr w:rsidR="00BF398A" w:rsidRPr="00871EBB" w14:paraId="5F1B48B0" w14:textId="77777777" w:rsidTr="00B25E97">
        <w:trPr>
          <w:trHeight w:val="315"/>
          <w:jc w:val="center"/>
        </w:trPr>
        <w:tc>
          <w:tcPr>
            <w:tcW w:w="3640" w:type="dxa"/>
            <w:tcBorders>
              <w:top w:val="nil"/>
              <w:left w:val="single" w:sz="8" w:space="0" w:color="auto"/>
              <w:bottom w:val="single" w:sz="8" w:space="0" w:color="auto"/>
              <w:right w:val="single" w:sz="4" w:space="0" w:color="auto"/>
            </w:tcBorders>
            <w:shd w:val="clear" w:color="auto" w:fill="auto"/>
            <w:noWrap/>
            <w:vAlign w:val="bottom"/>
            <w:hideMark/>
          </w:tcPr>
          <w:p w14:paraId="7553E99E" w14:textId="77777777" w:rsidR="00BF398A" w:rsidRPr="00871EBB" w:rsidRDefault="00BF398A" w:rsidP="00B25E97">
            <w:pPr>
              <w:rPr>
                <w:rFonts w:ascii="Verdana" w:hAnsi="Verdana" w:cs="Calibri"/>
                <w:b/>
                <w:color w:val="000000"/>
                <w:szCs w:val="20"/>
                <w:lang w:eastAsia="en-US"/>
              </w:rPr>
            </w:pPr>
            <w:r w:rsidRPr="00871EBB">
              <w:rPr>
                <w:rFonts w:ascii="Verdana" w:hAnsi="Verdana" w:cs="Calibri"/>
                <w:b/>
                <w:color w:val="000000"/>
                <w:szCs w:val="20"/>
                <w:lang w:eastAsia="en-US"/>
              </w:rPr>
              <w:t>Total</w:t>
            </w:r>
          </w:p>
        </w:tc>
        <w:tc>
          <w:tcPr>
            <w:tcW w:w="1208" w:type="dxa"/>
            <w:tcBorders>
              <w:top w:val="nil"/>
              <w:left w:val="nil"/>
              <w:bottom w:val="single" w:sz="8" w:space="0" w:color="auto"/>
              <w:right w:val="nil"/>
            </w:tcBorders>
            <w:shd w:val="clear" w:color="auto" w:fill="auto"/>
            <w:noWrap/>
            <w:vAlign w:val="bottom"/>
            <w:hideMark/>
          </w:tcPr>
          <w:p w14:paraId="2F363F1F" w14:textId="77777777" w:rsidR="00BF398A" w:rsidRPr="00871EBB" w:rsidRDefault="00BF398A" w:rsidP="00B25E97">
            <w:pPr>
              <w:jc w:val="right"/>
              <w:rPr>
                <w:rFonts w:ascii="Verdana" w:hAnsi="Verdana" w:cs="Calibri"/>
                <w:b/>
                <w:color w:val="000000"/>
                <w:szCs w:val="20"/>
                <w:lang w:eastAsia="en-US"/>
              </w:rPr>
            </w:pPr>
            <w:r w:rsidRPr="00871EBB">
              <w:rPr>
                <w:rFonts w:ascii="Verdana" w:hAnsi="Verdana" w:cs="Calibri"/>
                <w:b/>
                <w:color w:val="000000"/>
                <w:szCs w:val="20"/>
                <w:lang w:eastAsia="en-US"/>
              </w:rPr>
              <w:t>671.618</w:t>
            </w:r>
          </w:p>
        </w:tc>
        <w:tc>
          <w:tcPr>
            <w:tcW w:w="1216" w:type="dxa"/>
            <w:tcBorders>
              <w:top w:val="nil"/>
              <w:left w:val="nil"/>
              <w:bottom w:val="single" w:sz="8" w:space="0" w:color="auto"/>
              <w:right w:val="single" w:sz="4" w:space="0" w:color="auto"/>
            </w:tcBorders>
            <w:shd w:val="clear" w:color="auto" w:fill="auto"/>
            <w:noWrap/>
            <w:vAlign w:val="bottom"/>
            <w:hideMark/>
          </w:tcPr>
          <w:p w14:paraId="4F205151" w14:textId="77777777" w:rsidR="00BF398A" w:rsidRPr="00871EBB" w:rsidRDefault="00BF398A" w:rsidP="00B25E97">
            <w:pPr>
              <w:jc w:val="right"/>
              <w:rPr>
                <w:rFonts w:ascii="Verdana" w:hAnsi="Verdana" w:cs="Calibri"/>
                <w:b/>
                <w:color w:val="000000"/>
                <w:szCs w:val="20"/>
                <w:lang w:eastAsia="en-US"/>
              </w:rPr>
            </w:pPr>
            <w:r w:rsidRPr="00871EBB">
              <w:rPr>
                <w:rFonts w:ascii="Verdana" w:hAnsi="Verdana" w:cs="Calibri"/>
                <w:b/>
                <w:color w:val="000000"/>
                <w:szCs w:val="20"/>
                <w:lang w:eastAsia="en-US"/>
              </w:rPr>
              <w:t>211.808</w:t>
            </w:r>
          </w:p>
        </w:tc>
        <w:tc>
          <w:tcPr>
            <w:tcW w:w="1636" w:type="dxa"/>
            <w:tcBorders>
              <w:top w:val="nil"/>
              <w:left w:val="single" w:sz="4" w:space="0" w:color="auto"/>
              <w:bottom w:val="single" w:sz="8" w:space="0" w:color="auto"/>
              <w:right w:val="nil"/>
            </w:tcBorders>
            <w:shd w:val="clear" w:color="auto" w:fill="auto"/>
            <w:noWrap/>
            <w:vAlign w:val="bottom"/>
            <w:hideMark/>
          </w:tcPr>
          <w:p w14:paraId="25DC6E17" w14:textId="77777777" w:rsidR="00BF398A" w:rsidRPr="00871EBB" w:rsidRDefault="00BF398A" w:rsidP="00B25E97">
            <w:pPr>
              <w:jc w:val="right"/>
              <w:rPr>
                <w:rFonts w:ascii="Verdana" w:hAnsi="Verdana" w:cs="Calibri"/>
                <w:b/>
                <w:color w:val="000000"/>
                <w:szCs w:val="20"/>
                <w:lang w:eastAsia="en-US"/>
              </w:rPr>
            </w:pPr>
            <w:r w:rsidRPr="00871EBB">
              <w:rPr>
                <w:rFonts w:ascii="Verdana" w:hAnsi="Verdana" w:cs="Calibri"/>
                <w:b/>
                <w:color w:val="000000"/>
                <w:szCs w:val="20"/>
                <w:lang w:eastAsia="en-US"/>
              </w:rPr>
              <w:t>883.426</w:t>
            </w:r>
          </w:p>
        </w:tc>
        <w:tc>
          <w:tcPr>
            <w:tcW w:w="1208" w:type="dxa"/>
            <w:tcBorders>
              <w:top w:val="nil"/>
              <w:left w:val="nil"/>
              <w:bottom w:val="single" w:sz="8" w:space="0" w:color="auto"/>
              <w:right w:val="single" w:sz="4" w:space="0" w:color="auto"/>
            </w:tcBorders>
            <w:shd w:val="clear" w:color="auto" w:fill="auto"/>
            <w:noWrap/>
            <w:vAlign w:val="bottom"/>
            <w:hideMark/>
          </w:tcPr>
          <w:p w14:paraId="14781DC8" w14:textId="77777777" w:rsidR="00BF398A" w:rsidRPr="00871EBB" w:rsidRDefault="00BF398A" w:rsidP="00B25E97">
            <w:pPr>
              <w:jc w:val="right"/>
              <w:rPr>
                <w:rFonts w:ascii="Verdana" w:hAnsi="Verdana" w:cs="Calibri"/>
                <w:b/>
                <w:color w:val="000000"/>
                <w:szCs w:val="20"/>
                <w:lang w:eastAsia="en-US"/>
              </w:rPr>
            </w:pPr>
            <w:r w:rsidRPr="00871EBB">
              <w:rPr>
                <w:rFonts w:ascii="Verdana" w:hAnsi="Verdana" w:cs="Calibri"/>
                <w:b/>
                <w:color w:val="000000"/>
                <w:szCs w:val="20"/>
                <w:lang w:eastAsia="en-US"/>
              </w:rPr>
              <w:t>115.004</w:t>
            </w:r>
          </w:p>
        </w:tc>
      </w:tr>
    </w:tbl>
    <w:p w14:paraId="34C06945" w14:textId="77777777" w:rsidR="00BF398A" w:rsidRPr="007935BB" w:rsidRDefault="00BF398A" w:rsidP="00BF398A">
      <w:pPr>
        <w:spacing w:after="240" w:line="276" w:lineRule="auto"/>
        <w:jc w:val="both"/>
        <w:rPr>
          <w:rFonts w:ascii="Verdana" w:hAnsi="Verdana" w:cs="Arial"/>
          <w:bCs/>
          <w:sz w:val="22"/>
          <w:szCs w:val="22"/>
        </w:rPr>
      </w:pPr>
    </w:p>
    <w:p w14:paraId="54935408" w14:textId="77777777" w:rsidR="00BF398A" w:rsidRDefault="00BF398A" w:rsidP="00A43628">
      <w:pPr>
        <w:pStyle w:val="Sinespaciado"/>
        <w:spacing w:line="276" w:lineRule="auto"/>
        <w:ind w:right="-518" w:firstLine="1701"/>
        <w:jc w:val="both"/>
        <w:rPr>
          <w:rFonts w:ascii="Arial" w:hAnsi="Arial" w:cs="Arial"/>
          <w:bCs/>
        </w:rPr>
      </w:pPr>
      <w:r w:rsidRPr="00A43628">
        <w:rPr>
          <w:rFonts w:ascii="Arial" w:hAnsi="Arial" w:cs="Arial"/>
          <w:bCs/>
        </w:rPr>
        <w:t>En virtud de lo anterior, las presentes indicaciones conllevan un mayor gasto fiscal transitorio de $883.426 miles y $115.004 miles en régimen.</w:t>
      </w:r>
    </w:p>
    <w:p w14:paraId="330B9A30" w14:textId="77777777" w:rsidR="00A43628" w:rsidRDefault="00A43628" w:rsidP="00A43628">
      <w:pPr>
        <w:pStyle w:val="Sinespaciado"/>
        <w:spacing w:line="276" w:lineRule="auto"/>
        <w:ind w:right="-518" w:firstLine="1701"/>
        <w:jc w:val="both"/>
        <w:rPr>
          <w:rFonts w:ascii="Arial" w:hAnsi="Arial" w:cs="Arial"/>
          <w:bCs/>
        </w:rPr>
      </w:pPr>
    </w:p>
    <w:p w14:paraId="5F26F0C3" w14:textId="77777777" w:rsidR="00A43628" w:rsidRPr="00A43628" w:rsidRDefault="00A43628" w:rsidP="00A43628">
      <w:pPr>
        <w:pStyle w:val="Sinespaciado"/>
        <w:spacing w:line="276" w:lineRule="auto"/>
        <w:ind w:right="-518" w:firstLine="1701"/>
        <w:jc w:val="both"/>
        <w:rPr>
          <w:rFonts w:ascii="Arial" w:hAnsi="Arial" w:cs="Arial"/>
          <w:b/>
          <w:bCs/>
        </w:rPr>
      </w:pPr>
      <w:r w:rsidRPr="00A43628">
        <w:rPr>
          <w:rFonts w:ascii="Arial" w:hAnsi="Arial" w:cs="Arial"/>
          <w:b/>
          <w:bCs/>
        </w:rPr>
        <w:t>FUENTE DE LOS RECURSOS</w:t>
      </w:r>
    </w:p>
    <w:p w14:paraId="73EF540F" w14:textId="77777777" w:rsidR="00BF398A" w:rsidRPr="00A43628" w:rsidRDefault="00BF398A" w:rsidP="00A43628">
      <w:pPr>
        <w:pStyle w:val="Sinespaciado"/>
        <w:spacing w:line="276" w:lineRule="auto"/>
        <w:ind w:right="-518" w:firstLine="1701"/>
        <w:jc w:val="both"/>
        <w:rPr>
          <w:rFonts w:ascii="Arial" w:hAnsi="Arial" w:cs="Arial"/>
          <w:bCs/>
        </w:rPr>
      </w:pPr>
      <w:r w:rsidRPr="00A43628">
        <w:rPr>
          <w:rFonts w:ascii="Arial" w:hAnsi="Arial" w:cs="Arial"/>
          <w:bCs/>
        </w:rPr>
        <w:t xml:space="preserve">El mayor gasto fiscal que represente la aplicación de esta ley, durante el primer año presupuestario de su entrada en vigencia, se financiará con cargo al presupuesto asignado a la Comisión para el Mercado Financiero y, en lo que faltare, con cargo a la Partida Presupuestaria del Tesoro Público. En los años siguientes, se financiará con los recursos que se establezcan en las respectivas leyes de presupuesto del sector público.  </w:t>
      </w:r>
    </w:p>
    <w:p w14:paraId="3F78C0E1" w14:textId="77777777" w:rsidR="00BF398A" w:rsidRPr="00A43628" w:rsidRDefault="00BF398A" w:rsidP="00A43628">
      <w:pPr>
        <w:pStyle w:val="Sinespaciado"/>
        <w:spacing w:line="276" w:lineRule="auto"/>
        <w:ind w:right="-518" w:firstLine="1701"/>
        <w:jc w:val="both"/>
        <w:rPr>
          <w:rFonts w:ascii="Arial" w:hAnsi="Arial" w:cs="Arial"/>
          <w:b/>
          <w:bCs/>
        </w:rPr>
      </w:pPr>
      <w:r w:rsidRPr="00A43628">
        <w:rPr>
          <w:rFonts w:ascii="Arial" w:hAnsi="Arial" w:cs="Arial"/>
          <w:b/>
          <w:bCs/>
        </w:rPr>
        <w:t>Fuentes de Información</w:t>
      </w:r>
    </w:p>
    <w:p w14:paraId="168C5447" w14:textId="77777777" w:rsidR="00BF398A" w:rsidRPr="00A43628" w:rsidRDefault="00BF398A" w:rsidP="00A43628">
      <w:pPr>
        <w:pStyle w:val="Sinespaciado"/>
        <w:spacing w:line="276" w:lineRule="auto"/>
        <w:ind w:right="-518" w:firstLine="1701"/>
        <w:jc w:val="both"/>
        <w:rPr>
          <w:rFonts w:ascii="Arial" w:hAnsi="Arial" w:cs="Arial"/>
          <w:bCs/>
        </w:rPr>
      </w:pPr>
      <w:r w:rsidRPr="00A43628">
        <w:rPr>
          <w:rFonts w:ascii="Arial" w:hAnsi="Arial" w:cs="Arial"/>
          <w:bCs/>
        </w:rPr>
        <w:t xml:space="preserve">Informe Financiero N° 142, de 2021. </w:t>
      </w:r>
    </w:p>
    <w:p w14:paraId="2089E7C9" w14:textId="77777777" w:rsidR="00BF398A" w:rsidRPr="00A43628" w:rsidRDefault="00BF398A" w:rsidP="00A43628">
      <w:pPr>
        <w:pStyle w:val="Sinespaciado"/>
        <w:spacing w:line="276" w:lineRule="auto"/>
        <w:ind w:right="-518" w:firstLine="1701"/>
        <w:jc w:val="both"/>
        <w:rPr>
          <w:rFonts w:ascii="Arial" w:hAnsi="Arial" w:cs="Arial"/>
          <w:bCs/>
        </w:rPr>
      </w:pPr>
      <w:r w:rsidRPr="00A43628">
        <w:rPr>
          <w:rFonts w:ascii="Arial" w:hAnsi="Arial" w:cs="Arial"/>
          <w:bCs/>
        </w:rPr>
        <w:t>IPC General base promedio 2018=100, índice (empalmado). Base de datos estadísticos. Banco Central de Chile (2021-2022).</w:t>
      </w:r>
    </w:p>
    <w:p w14:paraId="658DC224" w14:textId="77777777" w:rsidR="00BF398A" w:rsidRDefault="00BF398A" w:rsidP="00A43628">
      <w:pPr>
        <w:pStyle w:val="Sinespaciado"/>
        <w:spacing w:line="276" w:lineRule="auto"/>
        <w:ind w:right="-518" w:firstLine="1701"/>
        <w:jc w:val="both"/>
        <w:rPr>
          <w:rFonts w:ascii="Arial" w:hAnsi="Arial" w:cs="Arial"/>
          <w:bCs/>
        </w:rPr>
      </w:pPr>
      <w:r w:rsidRPr="00A43628">
        <w:rPr>
          <w:rFonts w:ascii="Arial" w:hAnsi="Arial" w:cs="Arial"/>
          <w:bCs/>
        </w:rPr>
        <w:lastRenderedPageBreak/>
        <w:t>Informe de Finanzas Públicas, cuarto trimestre 2022, Dirección del Presupuestos</w:t>
      </w:r>
      <w:r w:rsidR="00A43628">
        <w:rPr>
          <w:rFonts w:ascii="Arial" w:hAnsi="Arial" w:cs="Arial"/>
          <w:bCs/>
        </w:rPr>
        <w:t>.</w:t>
      </w:r>
    </w:p>
    <w:p w14:paraId="0A5DBACB" w14:textId="77777777" w:rsidR="00840AF5" w:rsidRPr="00687258" w:rsidRDefault="00A43628" w:rsidP="00687258">
      <w:pPr>
        <w:pStyle w:val="Ttulo1"/>
        <w:tabs>
          <w:tab w:val="left" w:pos="709"/>
        </w:tabs>
        <w:spacing w:before="480" w:line="276" w:lineRule="auto"/>
        <w:ind w:right="-518"/>
        <w:jc w:val="both"/>
        <w:rPr>
          <w:bCs w:val="0"/>
          <w:sz w:val="22"/>
          <w:szCs w:val="22"/>
        </w:rPr>
      </w:pPr>
      <w:r>
        <w:rPr>
          <w:bCs w:val="0"/>
          <w:sz w:val="22"/>
          <w:szCs w:val="22"/>
        </w:rPr>
        <w:t>I</w:t>
      </w:r>
      <w:r w:rsidR="009E2236" w:rsidRPr="00687258">
        <w:rPr>
          <w:bCs w:val="0"/>
          <w:sz w:val="22"/>
          <w:szCs w:val="22"/>
        </w:rPr>
        <w:t>V</w:t>
      </w:r>
      <w:bookmarkStart w:id="18" w:name="_Toc408309939"/>
      <w:bookmarkStart w:id="19" w:name="_Toc409556941"/>
      <w:bookmarkStart w:id="20" w:name="_Toc499712194"/>
      <w:bookmarkEnd w:id="15"/>
      <w:bookmarkEnd w:id="16"/>
      <w:bookmarkEnd w:id="17"/>
      <w:r w:rsidR="00840AF5" w:rsidRPr="00687258">
        <w:rPr>
          <w:sz w:val="22"/>
          <w:szCs w:val="22"/>
        </w:rPr>
        <w:t xml:space="preserve">.- </w:t>
      </w:r>
      <w:r w:rsidR="00840AF5" w:rsidRPr="00687258">
        <w:rPr>
          <w:spacing w:val="-3"/>
          <w:sz w:val="22"/>
          <w:szCs w:val="22"/>
        </w:rPr>
        <w:t>SÍNTESIS DE LA DISCUSIÓN EN LA COMISIÓN Y ACUERDOS ADOPTADOS</w:t>
      </w:r>
      <w:r w:rsidR="00840AF5" w:rsidRPr="00687258">
        <w:rPr>
          <w:bCs w:val="0"/>
          <w:sz w:val="22"/>
          <w:szCs w:val="22"/>
        </w:rPr>
        <w:t xml:space="preserve"> </w:t>
      </w:r>
    </w:p>
    <w:p w14:paraId="48D3BDCF" w14:textId="77777777" w:rsidR="00840AF5" w:rsidRPr="00687258" w:rsidRDefault="00840AF5" w:rsidP="00944E51">
      <w:pPr>
        <w:spacing w:line="276" w:lineRule="auto"/>
        <w:ind w:right="-234" w:firstLine="1701"/>
        <w:jc w:val="both"/>
        <w:rPr>
          <w:rFonts w:ascii="Arial" w:eastAsia="Calibri" w:hAnsi="Arial" w:cs="Arial"/>
          <w:sz w:val="22"/>
          <w:szCs w:val="22"/>
          <w:lang w:val="es-CL" w:eastAsia="en-US"/>
        </w:rPr>
      </w:pPr>
    </w:p>
    <w:p w14:paraId="7E2593A6"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419"/>
        </w:rPr>
      </w:pPr>
      <w:r w:rsidRPr="00A43628">
        <w:rPr>
          <w:rFonts w:ascii="Arial" w:hAnsi="Arial" w:cs="Arial"/>
          <w:b/>
          <w:sz w:val="22"/>
          <w:szCs w:val="22"/>
          <w:lang w:val="es-419"/>
        </w:rPr>
        <w:t xml:space="preserve">La Subsecretaria de Hacienda, señora Heidi </w:t>
      </w:r>
      <w:proofErr w:type="spellStart"/>
      <w:r w:rsidRPr="00A43628">
        <w:rPr>
          <w:rFonts w:ascii="Arial" w:hAnsi="Arial" w:cs="Arial"/>
          <w:b/>
          <w:sz w:val="22"/>
          <w:szCs w:val="22"/>
          <w:lang w:val="es-419"/>
        </w:rPr>
        <w:t>Berner</w:t>
      </w:r>
      <w:proofErr w:type="spellEnd"/>
      <w:r w:rsidRPr="00A43628">
        <w:rPr>
          <w:rFonts w:ascii="Arial" w:hAnsi="Arial" w:cs="Arial"/>
          <w:sz w:val="22"/>
          <w:szCs w:val="22"/>
          <w:lang w:val="es-419"/>
        </w:rPr>
        <w:t xml:space="preserve"> se refirió en primer lugar a</w:t>
      </w:r>
      <w:r>
        <w:rPr>
          <w:rFonts w:ascii="Arial" w:hAnsi="Arial" w:cs="Arial"/>
          <w:sz w:val="22"/>
          <w:szCs w:val="22"/>
          <w:lang w:val="es-419"/>
        </w:rPr>
        <w:t xml:space="preserve"> l</w:t>
      </w:r>
      <w:r w:rsidRPr="00A43628">
        <w:rPr>
          <w:rFonts w:ascii="Arial" w:hAnsi="Arial" w:cs="Arial"/>
          <w:sz w:val="22"/>
          <w:szCs w:val="22"/>
          <w:lang w:val="es-419"/>
        </w:rPr>
        <w:t xml:space="preserve">a idea de legislar sobre un registro consolidado de deuda, indicando que esta ha sido presentada en distintos proyectos de ley. Sin embargo, en el contexto económico actual- post estallido social y aún dimensionando los efectos de la pandemia (además de otros factores mundiales) las medidas tendientes a prevenir el sobreendeudamiento de las personas y familias cobran especial importancia. </w:t>
      </w:r>
    </w:p>
    <w:p w14:paraId="029E4543"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Por ello, se optó por presentar un nuevo proyecto de ley con características simples, enfocado en la creación de un registro único y consolidado de las deudas, y en la protección de la seguridad de los derechos de los deudores.</w:t>
      </w:r>
    </w:p>
    <w:p w14:paraId="0CD3DBD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1. Actualmente, los Bancos, las sociedades de apoyo al giro y las Cooperativas de Ahorro y Crédito con patrimonio sobre 400.000 UF, están obligadas a reportar a la CMF los créditos vigentes, y, asimismo, pueden acceder a este registro para evaluar el riesgo de potenciales clientes. </w:t>
      </w:r>
    </w:p>
    <w:p w14:paraId="36A62319"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2. En contraste, los oferentes de crédito no bancario (como emisores de tarjetas de crédito, compañías de seguro y otros) no están sujetos a esta obligación y, en consecuencia, no acceden a este registro para hacer evaluación de riesgos.</w:t>
      </w:r>
    </w:p>
    <w:p w14:paraId="1E9D4BF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13772D40" w14:textId="77777777" w:rsidR="00A43628" w:rsidRPr="002A377C" w:rsidRDefault="00A43628" w:rsidP="00A43628">
      <w:pPr>
        <w:tabs>
          <w:tab w:val="left" w:pos="0"/>
        </w:tabs>
        <w:spacing w:line="276" w:lineRule="auto"/>
        <w:ind w:right="-518" w:firstLine="1701"/>
        <w:jc w:val="both"/>
        <w:rPr>
          <w:rFonts w:ascii="Arial" w:hAnsi="Arial" w:cs="Arial"/>
          <w:sz w:val="22"/>
          <w:szCs w:val="22"/>
          <w:u w:val="single"/>
          <w:lang w:val="es-CL"/>
        </w:rPr>
      </w:pPr>
      <w:r w:rsidRPr="002A377C">
        <w:rPr>
          <w:rFonts w:ascii="Arial" w:hAnsi="Arial" w:cs="Arial"/>
          <w:sz w:val="22"/>
          <w:szCs w:val="22"/>
          <w:u w:val="single"/>
          <w:lang w:val="es-CL"/>
        </w:rPr>
        <w:t>Problemas de la parcialidad de la información</w:t>
      </w:r>
    </w:p>
    <w:p w14:paraId="5E0FBBC7"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1. Genera mercados desintegrados, reduciendo la competencia en el otorgamiento de créditos. </w:t>
      </w:r>
    </w:p>
    <w:p w14:paraId="1CA39EB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2. Empeora las condiciones de financiamiento de los buenos pagadores, en la medida que los oferentes de crédito no tienen información suficiente que permita distinguirlos. </w:t>
      </w:r>
    </w:p>
    <w:p w14:paraId="4C0D32D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3. Fomenta el sobreendeudamiento y con ello, malas decisiones financieras para las personas. </w:t>
      </w:r>
    </w:p>
    <w:p w14:paraId="31634F52"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4. Debilita la supervisión financiera, y, en consecuencia, la posibilidad de oportuno diseño de políticas públicas, puesto que los reguladores no pueden acceder a información completa.</w:t>
      </w:r>
    </w:p>
    <w:p w14:paraId="49E6DCFF"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38B9052B" w14:textId="77777777" w:rsidR="00A43628" w:rsidRPr="002A377C" w:rsidRDefault="00A43628" w:rsidP="00A43628">
      <w:pPr>
        <w:tabs>
          <w:tab w:val="left" w:pos="0"/>
        </w:tabs>
        <w:spacing w:line="276" w:lineRule="auto"/>
        <w:ind w:right="-518" w:firstLine="1701"/>
        <w:jc w:val="both"/>
        <w:rPr>
          <w:rFonts w:ascii="Arial" w:hAnsi="Arial" w:cs="Arial"/>
          <w:sz w:val="22"/>
          <w:szCs w:val="22"/>
          <w:u w:val="single"/>
          <w:lang w:val="es-CL"/>
        </w:rPr>
      </w:pPr>
      <w:r w:rsidRPr="002A377C">
        <w:rPr>
          <w:rFonts w:ascii="Arial" w:hAnsi="Arial" w:cs="Arial"/>
          <w:sz w:val="22"/>
          <w:szCs w:val="22"/>
          <w:u w:val="single"/>
          <w:lang w:val="es-CL"/>
        </w:rPr>
        <w:t>Objetivos del proyecto de ley</w:t>
      </w:r>
    </w:p>
    <w:p w14:paraId="2D0816FE"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rPr>
        <w:t>Mejora la información sobre obligaciones crediticias</w:t>
      </w:r>
    </w:p>
    <w:p w14:paraId="2A66D5F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Mejorar información sobre el comportamiento de pago, de manera que los buenos pagadores puedan beneficiarse con menores tasas. </w:t>
      </w:r>
    </w:p>
    <w:p w14:paraId="462BD18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Incorporar Oferentes de Créditos No Bancarios y otras entidades como aportantes y receptores de información. </w:t>
      </w:r>
    </w:p>
    <w:p w14:paraId="1A111B1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Permitir que las personas tomen mejores decisiones sobre sus niveles de endeudamiento. </w:t>
      </w:r>
    </w:p>
    <w:p w14:paraId="1D499B19"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lang w:val="es-CL"/>
        </w:rPr>
        <w:t>• Acceso a mejor información para políticas de educación financiera.</w:t>
      </w:r>
    </w:p>
    <w:p w14:paraId="2BCFE214"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p>
    <w:p w14:paraId="6120E47E"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rPr>
        <w:t>Entregar herramientas a regulador y otras instituciones públicas.</w:t>
      </w:r>
    </w:p>
    <w:p w14:paraId="45EA9DB3"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El Registro será administrado y protegido por la CMF. </w:t>
      </w:r>
    </w:p>
    <w:p w14:paraId="54B0B365"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Será una herramienta para supervisar el comportamiento del mercado financiero. </w:t>
      </w:r>
    </w:p>
    <w:p w14:paraId="19DEFB97"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Impulsar políticas en materia de endeudamiento y educación financiera.</w:t>
      </w:r>
    </w:p>
    <w:p w14:paraId="1A6697CA"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Reforzar los derechos de los deudores.</w:t>
      </w:r>
    </w:p>
    <w:p w14:paraId="6CD9E23E"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lastRenderedPageBreak/>
        <w:t xml:space="preserve">• Reconocer a las personas como los dueños de su información crediticia </w:t>
      </w:r>
    </w:p>
    <w:p w14:paraId="7DC957C2"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Reconocer que tienen derecho a acceder, modificar y eliminar su información, cuando corresponda.</w:t>
      </w:r>
    </w:p>
    <w:p w14:paraId="3038BBC4"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p>
    <w:p w14:paraId="0B8825A6" w14:textId="77777777" w:rsidR="00A43628" w:rsidRPr="002A377C" w:rsidRDefault="00A43628" w:rsidP="00A43628">
      <w:pPr>
        <w:tabs>
          <w:tab w:val="left" w:pos="0"/>
        </w:tabs>
        <w:spacing w:line="276" w:lineRule="auto"/>
        <w:ind w:right="-518" w:firstLine="1701"/>
        <w:jc w:val="both"/>
        <w:rPr>
          <w:rFonts w:ascii="Arial" w:hAnsi="Arial" w:cs="Arial"/>
          <w:sz w:val="22"/>
          <w:szCs w:val="22"/>
          <w:u w:val="single"/>
          <w:lang w:val="es-CL"/>
        </w:rPr>
      </w:pPr>
      <w:r w:rsidRPr="002A377C">
        <w:rPr>
          <w:rFonts w:ascii="Arial" w:hAnsi="Arial" w:cs="Arial"/>
          <w:sz w:val="22"/>
          <w:szCs w:val="22"/>
          <w:u w:val="single"/>
          <w:lang w:val="es-CL"/>
        </w:rPr>
        <w:t xml:space="preserve">Contenido del Proyecto de Ley </w:t>
      </w:r>
    </w:p>
    <w:p w14:paraId="011903CF"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1. Registro de Deuda Consolidada </w:t>
      </w:r>
    </w:p>
    <w:p w14:paraId="37B3E003"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El proyecto crea un nuevo registro de información crediticia, denominado “Registro de Deuda Consolidada” (“RDC”), que es administrado por la CMF, como Registro Oficial de información relativa a las obligaciones crediticias. </w:t>
      </w:r>
    </w:p>
    <w:p w14:paraId="0AA59555"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Los oferentes de crédito bancarios y no bancarios y otras entidades estarán obligadas a reportar a la CMF información respecto de obligaciones crediticias, la que será almacenada en el RDC. </w:t>
      </w:r>
    </w:p>
    <w:p w14:paraId="0D5E8C56"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Serán obligaciones reportables las de operaciones de crédito, así como las de otras operaciones de carácter financiero, de conformidad a lo que pueda establecer la CMF mediante Norma de Carácter General. </w:t>
      </w:r>
    </w:p>
    <w:p w14:paraId="7F3A8A64"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Los oferentes de créditos deberán informar todas las obligaciones reportables de sus clientes, especificando: i) identidad del deudor, ii) naturaleza de deuda, iii) principales términos y condiciones, iv) plazos, v) garantías constituidas, vi) estado de cumplimiento, y vii) toda otra información relacionada que pueda determinar la CMF.</w:t>
      </w:r>
    </w:p>
    <w:p w14:paraId="03DC25A7"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2F9D2CF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2.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del RDC </w:t>
      </w:r>
    </w:p>
    <w:p w14:paraId="3BD1F903"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Los bancos, las compañías de seguro, los agentes administradores de mutuos hipotecarios endosables, los emisores de tarjeta de crédito fiscalizados por la CMF, las CCAF y las CAC fiscalizadas por la CMF, respecto de obligaciones reportables en las que tengan la calidad de acreedor. </w:t>
      </w:r>
    </w:p>
    <w:p w14:paraId="014AAB4E"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Las sociedades securitizadoras, respecto de las obligaciones reportables en que el acreedor sea un patrimonio separado constituido por estas, y cualquier otra entidad fiscalizada por la CMF, que esta determine a través de Norma de Carácter General. </w:t>
      </w:r>
    </w:p>
    <w:p w14:paraId="289A803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Las personas naturales o jurídicas y otras entidades que, habiendo celebrado en el último año calendario operaciones en calidad de acreedor de obligaciones reportables, cumplan con las condiciones que establezca la CMF por Norma de Carácter General (a lo menos 1.000 operaciones, por montos totales superiores a 100.000 UF).</w:t>
      </w:r>
    </w:p>
    <w:p w14:paraId="4A349BC3"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5F486383" w14:textId="77777777" w:rsidR="00A43628" w:rsidRPr="00A43628" w:rsidRDefault="00A43628" w:rsidP="002A377C">
      <w:pPr>
        <w:tabs>
          <w:tab w:val="left" w:pos="0"/>
        </w:tabs>
        <w:spacing w:line="276" w:lineRule="auto"/>
        <w:ind w:right="-518"/>
        <w:jc w:val="both"/>
        <w:rPr>
          <w:rFonts w:ascii="Arial" w:hAnsi="Arial" w:cs="Arial"/>
          <w:sz w:val="22"/>
          <w:szCs w:val="22"/>
        </w:rPr>
      </w:pPr>
      <w:r w:rsidRPr="00A43628">
        <w:rPr>
          <w:rFonts w:ascii="Arial" w:hAnsi="Arial" w:cs="Arial"/>
          <w:noProof/>
          <w:sz w:val="22"/>
          <w:szCs w:val="22"/>
          <w:lang w:val="es-CL"/>
        </w:rPr>
        <w:drawing>
          <wp:inline distT="0" distB="0" distL="0" distR="0" wp14:anchorId="0F197ED5" wp14:editId="60237C88">
            <wp:extent cx="5365750" cy="882650"/>
            <wp:effectExtent l="0" t="0" r="6350" b="0"/>
            <wp:docPr id="13750442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44243" name=""/>
                    <pic:cNvPicPr/>
                  </pic:nvPicPr>
                  <pic:blipFill rotWithShape="1">
                    <a:blip r:embed="rId11"/>
                    <a:srcRect l="1471" t="43050" r="2919" b="28988"/>
                    <a:stretch/>
                  </pic:blipFill>
                  <pic:spPr bwMode="auto">
                    <a:xfrm>
                      <a:off x="0" y="0"/>
                      <a:ext cx="5365750" cy="882650"/>
                    </a:xfrm>
                    <a:prstGeom prst="rect">
                      <a:avLst/>
                    </a:prstGeom>
                    <a:ln>
                      <a:noFill/>
                    </a:ln>
                    <a:extLst>
                      <a:ext uri="{53640926-AAD7-44D8-BBD7-CCE9431645EC}">
                        <a14:shadowObscured xmlns:a14="http://schemas.microsoft.com/office/drawing/2010/main"/>
                      </a:ext>
                    </a:extLst>
                  </pic:spPr>
                </pic:pic>
              </a:graphicData>
            </a:graphic>
          </wp:inline>
        </w:drawing>
      </w:r>
    </w:p>
    <w:p w14:paraId="771E8EAC"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p>
    <w:p w14:paraId="6A5466E0"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3. Acceso al RDC. La CMF será la encargada de otorgar acceso al RDC a los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sus mandatarios, los deudores y los terceros autorizados por los deudores. </w:t>
      </w:r>
    </w:p>
    <w:p w14:paraId="42FB8C19"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Acceso de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solo tendrán acceso a información de obligaciones reportables de deudores específicos y respecto de obligaciones específicas. </w:t>
      </w:r>
    </w:p>
    <w:p w14:paraId="473A6410" w14:textId="77777777" w:rsidR="00A43628" w:rsidRPr="00A43628" w:rsidRDefault="00A43628" w:rsidP="00A43628">
      <w:pPr>
        <w:numPr>
          <w:ilvl w:val="0"/>
          <w:numId w:val="4"/>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 xml:space="preserve">No podrán tener acceso a información sobre obligaciones reportables que se hayan hecho exigibles o extinguido, lo primero que ocurra, hace más de cinco años. </w:t>
      </w:r>
    </w:p>
    <w:p w14:paraId="261D9082" w14:textId="77777777" w:rsidR="00A43628" w:rsidRPr="00A43628" w:rsidRDefault="00A43628" w:rsidP="00A43628">
      <w:pPr>
        <w:numPr>
          <w:ilvl w:val="0"/>
          <w:numId w:val="4"/>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 xml:space="preserve">Para tener acceso a la información del deudor, los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deberán contar con el consentimiento previo de este. </w:t>
      </w:r>
    </w:p>
    <w:p w14:paraId="573D84C5" w14:textId="77777777" w:rsidR="00A43628" w:rsidRPr="00A43628" w:rsidRDefault="00A43628" w:rsidP="00A43628">
      <w:pPr>
        <w:numPr>
          <w:ilvl w:val="0"/>
          <w:numId w:val="4"/>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lastRenderedPageBreak/>
        <w:t xml:space="preserve">Sólo podrán acceder al RDC con la finalidad de evaluar el riesgo comercial, riesgo crediticio y la gestión de riesgos, bajo sanciones corporales y de multas. </w:t>
      </w:r>
    </w:p>
    <w:p w14:paraId="6E1B6696"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Acceso Deudores: Toda persona natural o jurídica, puede acceder al RDC, respecto de toda su información y la de sus obligaciones, que se encuentre almacenada. </w:t>
      </w:r>
    </w:p>
    <w:p w14:paraId="2C3B6D59" w14:textId="77777777" w:rsidR="00A43628" w:rsidRPr="00A43628" w:rsidRDefault="00A43628" w:rsidP="00A43628">
      <w:pPr>
        <w:numPr>
          <w:ilvl w:val="0"/>
          <w:numId w:val="4"/>
        </w:numPr>
        <w:tabs>
          <w:tab w:val="left" w:pos="0"/>
        </w:tabs>
        <w:spacing w:line="276" w:lineRule="auto"/>
        <w:ind w:right="-518"/>
        <w:jc w:val="both"/>
        <w:rPr>
          <w:rFonts w:ascii="Arial" w:hAnsi="Arial" w:cs="Arial"/>
          <w:sz w:val="22"/>
          <w:szCs w:val="22"/>
        </w:rPr>
      </w:pPr>
      <w:r w:rsidRPr="00A43628">
        <w:rPr>
          <w:rFonts w:ascii="Arial" w:hAnsi="Arial" w:cs="Arial"/>
          <w:sz w:val="22"/>
          <w:szCs w:val="22"/>
          <w:lang w:val="es-CL"/>
        </w:rPr>
        <w:t xml:space="preserve">Sin perjuicio de lo anterior, los deudores serán notificados sobre toda consulta a su respecto. </w:t>
      </w:r>
    </w:p>
    <w:p w14:paraId="7EDEB5B0" w14:textId="77777777" w:rsidR="00A43628" w:rsidRPr="00A43628" w:rsidRDefault="00A43628" w:rsidP="00A43628">
      <w:pPr>
        <w:numPr>
          <w:ilvl w:val="0"/>
          <w:numId w:val="4"/>
        </w:numPr>
        <w:tabs>
          <w:tab w:val="left" w:pos="0"/>
        </w:tabs>
        <w:spacing w:line="276" w:lineRule="auto"/>
        <w:ind w:right="-518"/>
        <w:jc w:val="both"/>
        <w:rPr>
          <w:rFonts w:ascii="Arial" w:hAnsi="Arial" w:cs="Arial"/>
          <w:sz w:val="22"/>
          <w:szCs w:val="22"/>
        </w:rPr>
      </w:pPr>
      <w:r w:rsidRPr="00A43628">
        <w:rPr>
          <w:rFonts w:ascii="Arial" w:hAnsi="Arial" w:cs="Arial"/>
          <w:sz w:val="22"/>
          <w:szCs w:val="22"/>
          <w:lang w:val="es-CL"/>
        </w:rPr>
        <w:t>El deudor podrá autorizar de manera expresa dicha facultad en terceros.</w:t>
      </w:r>
    </w:p>
    <w:p w14:paraId="40ED1048"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619670FF"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4. </w:t>
      </w:r>
      <w:r w:rsidRPr="002A377C">
        <w:rPr>
          <w:rFonts w:ascii="Arial" w:hAnsi="Arial" w:cs="Arial"/>
          <w:sz w:val="22"/>
          <w:szCs w:val="22"/>
          <w:u w:val="single"/>
          <w:lang w:val="es-CL"/>
        </w:rPr>
        <w:t>Derechos de los deudores</w:t>
      </w:r>
      <w:r w:rsidRPr="00A43628">
        <w:rPr>
          <w:rFonts w:ascii="Arial" w:hAnsi="Arial" w:cs="Arial"/>
          <w:sz w:val="22"/>
          <w:szCs w:val="22"/>
          <w:lang w:val="es-CL"/>
        </w:rPr>
        <w:t xml:space="preserve"> </w:t>
      </w:r>
    </w:p>
    <w:p w14:paraId="6379D47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El proyecto implica reconocer que los deudores son los dueños de sus datos al consagrar la existencia de los derechos de acceso, rectificación y cancelación. </w:t>
      </w:r>
    </w:p>
    <w:p w14:paraId="53D95776"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Los derechos mencionados son irrenunciables, de carácter gratuito y podrán ejercerse de forma presencial o mediante medios digitales. </w:t>
      </w:r>
    </w:p>
    <w:p w14:paraId="53FD2F78"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Por primera vez se reconocen claramente estos derechos a todos los deudores, ya que la ley de datos personales solo aplica para personas naturales (no aplica por ejemplo a empresas de menor tamaño) y la regulación del boletín comercial no reconoce estos derechos de forma expresa. </w:t>
      </w:r>
    </w:p>
    <w:p w14:paraId="3312F41F"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Los derechos son claramente regulados y fiscalizados por la CMF, a diferencia de la actualidad que no existe un regulador y fiscalizador en materia de datos financieros. </w:t>
      </w:r>
    </w:p>
    <w:p w14:paraId="792C27D1"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lang w:val="es-CL"/>
        </w:rPr>
        <w:t>• Lo anterior implica un avance significativo en la posición de los deudores frente al tratamiento de sus datos financieros.</w:t>
      </w:r>
    </w:p>
    <w:p w14:paraId="2E0085F9"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p>
    <w:p w14:paraId="65205D79"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Los derechos de los deudores reconocidos en el </w:t>
      </w:r>
      <w:proofErr w:type="spellStart"/>
      <w:r w:rsidRPr="00A43628">
        <w:rPr>
          <w:rFonts w:ascii="Arial" w:hAnsi="Arial" w:cs="Arial"/>
          <w:sz w:val="22"/>
          <w:szCs w:val="22"/>
          <w:lang w:val="es-CL"/>
        </w:rPr>
        <w:t>PdL</w:t>
      </w:r>
      <w:proofErr w:type="spellEnd"/>
      <w:r w:rsidRPr="00A43628">
        <w:rPr>
          <w:rFonts w:ascii="Arial" w:hAnsi="Arial" w:cs="Arial"/>
          <w:sz w:val="22"/>
          <w:szCs w:val="22"/>
          <w:lang w:val="es-CL"/>
        </w:rPr>
        <w:t xml:space="preserve"> son: </w:t>
      </w:r>
    </w:p>
    <w:p w14:paraId="25AED7C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Derecho de acceso: Toda persona, natural o jurídica, puede acceder al RDC, respecto de toda su información y la de sus obligaciones, que se encuentre almacenada. </w:t>
      </w:r>
    </w:p>
    <w:p w14:paraId="3F97D710"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Derecho de actualización, rectificación o complementación: Toda persona, natural o jurídica, puede solicitar al respectivo </w:t>
      </w:r>
      <w:proofErr w:type="spellStart"/>
      <w:r w:rsidRPr="00A43628">
        <w:rPr>
          <w:rFonts w:ascii="Arial" w:hAnsi="Arial" w:cs="Arial"/>
          <w:sz w:val="22"/>
          <w:szCs w:val="22"/>
          <w:lang w:val="es-CL"/>
        </w:rPr>
        <w:t>reportante</w:t>
      </w:r>
      <w:proofErr w:type="spellEnd"/>
      <w:r w:rsidRPr="00A43628">
        <w:rPr>
          <w:rFonts w:ascii="Arial" w:hAnsi="Arial" w:cs="Arial"/>
          <w:sz w:val="22"/>
          <w:szCs w:val="22"/>
          <w:lang w:val="es-CL"/>
        </w:rPr>
        <w:t xml:space="preserve">, la actualización, rectificación o complementación de su información o de sus obligaciones, almacenada en el RDC. </w:t>
      </w:r>
    </w:p>
    <w:p w14:paraId="3F225362"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Derecho de cancelación: El deudor tendrá derecho a solicitar al respectivo </w:t>
      </w:r>
      <w:proofErr w:type="spellStart"/>
      <w:r w:rsidRPr="00A43628">
        <w:rPr>
          <w:rFonts w:ascii="Arial" w:hAnsi="Arial" w:cs="Arial"/>
          <w:sz w:val="22"/>
          <w:szCs w:val="22"/>
          <w:lang w:val="es-CL"/>
        </w:rPr>
        <w:t>reportante</w:t>
      </w:r>
      <w:proofErr w:type="spellEnd"/>
      <w:r w:rsidRPr="00A43628">
        <w:rPr>
          <w:rFonts w:ascii="Arial" w:hAnsi="Arial" w:cs="Arial"/>
          <w:sz w:val="22"/>
          <w:szCs w:val="22"/>
          <w:lang w:val="es-CL"/>
        </w:rPr>
        <w:t xml:space="preserve">, la eliminación de su información o de sus obligaciones, almacenada en el RDC que, de conformidad a la ley, no corresponda ser almacenada en dicho registro. </w:t>
      </w:r>
    </w:p>
    <w:p w14:paraId="22E5B6E3"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lang w:val="es-CL"/>
        </w:rPr>
        <w:t>Estos 3 derechos principales van acompañados de otros resguardos para los deudores, como la prohibición de los acreedores de acceder a información de más de 5 años, la obligación de que estos eliminen la información una vez hecha la evaluación crediticia, o la limitación de solicitar información solo de deudores específicos, prohibiendo accesos de forma masiva, entre otros.</w:t>
      </w:r>
    </w:p>
    <w:p w14:paraId="61A5E599"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34661532"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5. </w:t>
      </w:r>
      <w:r w:rsidRPr="002A377C">
        <w:rPr>
          <w:rFonts w:ascii="Arial" w:hAnsi="Arial" w:cs="Arial"/>
          <w:sz w:val="22"/>
          <w:szCs w:val="22"/>
          <w:u w:val="single"/>
          <w:lang w:val="es-CL"/>
        </w:rPr>
        <w:t>Facultades y deberes de la CMF</w:t>
      </w:r>
      <w:r w:rsidRPr="00A43628">
        <w:rPr>
          <w:rFonts w:ascii="Arial" w:hAnsi="Arial" w:cs="Arial"/>
          <w:sz w:val="22"/>
          <w:szCs w:val="22"/>
          <w:lang w:val="es-CL"/>
        </w:rPr>
        <w:t xml:space="preserve"> </w:t>
      </w:r>
    </w:p>
    <w:p w14:paraId="4B47E73F"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La CMF es la encargada de mantener y administrar el RDC y de fiscalizar que los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entreguen información de manera completa, actualizada y exacta. </w:t>
      </w:r>
    </w:p>
    <w:p w14:paraId="207F2BB0"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Para ello podrá: </w:t>
      </w:r>
    </w:p>
    <w:p w14:paraId="49BBC392"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i. Determinar obligaciones reportables. </w:t>
      </w:r>
    </w:p>
    <w:p w14:paraId="434AA090"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ii. Determinar requisitos mínimos para ser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w:t>
      </w:r>
    </w:p>
    <w:p w14:paraId="20FE9D1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iii. Regular la operatividad del RDC. </w:t>
      </w:r>
    </w:p>
    <w:p w14:paraId="62DC461A"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lastRenderedPageBreak/>
        <w:t xml:space="preserve">iv. Determinar las condiciones, formas y plazos de entrega de información al RDC. </w:t>
      </w:r>
    </w:p>
    <w:p w14:paraId="377A44BD"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v. Fiscalizar a los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w:t>
      </w:r>
    </w:p>
    <w:p w14:paraId="68ABD2B6"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vi. Exigir estándares mínimos de seguridad a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y sus mandatarios.</w:t>
      </w:r>
    </w:p>
    <w:p w14:paraId="22BF77F8"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266A357E"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6. </w:t>
      </w:r>
      <w:r w:rsidRPr="002A377C">
        <w:rPr>
          <w:rFonts w:ascii="Arial" w:hAnsi="Arial" w:cs="Arial"/>
          <w:sz w:val="22"/>
          <w:szCs w:val="22"/>
          <w:u w:val="single"/>
          <w:lang w:val="es-CL"/>
        </w:rPr>
        <w:t xml:space="preserve">Deberes de los </w:t>
      </w:r>
      <w:proofErr w:type="spellStart"/>
      <w:r w:rsidRPr="002A377C">
        <w:rPr>
          <w:rFonts w:ascii="Arial" w:hAnsi="Arial" w:cs="Arial"/>
          <w:sz w:val="22"/>
          <w:szCs w:val="22"/>
          <w:u w:val="single"/>
          <w:lang w:val="es-CL"/>
        </w:rPr>
        <w:t>reportantes</w:t>
      </w:r>
      <w:proofErr w:type="spellEnd"/>
      <w:r w:rsidRPr="00A43628">
        <w:rPr>
          <w:rFonts w:ascii="Arial" w:hAnsi="Arial" w:cs="Arial"/>
          <w:sz w:val="22"/>
          <w:szCs w:val="22"/>
          <w:lang w:val="es-CL"/>
        </w:rPr>
        <w:t xml:space="preserve"> </w:t>
      </w:r>
    </w:p>
    <w:p w14:paraId="5392F8CA"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Los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estarán obligados a entregar información al registro en la forma que determine la CMF, y serán responsables sobre la exactitud de la información entregada. Por otro lado, deberán actualizar, rectificar o eliminar información en base a solicitudes de los deudores y cumplir con estándares mínimos de seguridad de información. </w:t>
      </w:r>
    </w:p>
    <w:p w14:paraId="485F4B4D"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Adicionalmente, estarán obligados a garantizar estándares adecuados de seguridad, protegiendo la información a la que hayan tenido acceso en virtud de esta ley contra su pérdida, tratamiento ilegítimo, filtración, daño o destrucción. </w:t>
      </w:r>
    </w:p>
    <w:p w14:paraId="0AD8B4B9"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 Los </w:t>
      </w:r>
      <w:proofErr w:type="spellStart"/>
      <w:r w:rsidRPr="00A43628">
        <w:rPr>
          <w:rFonts w:ascii="Arial" w:hAnsi="Arial" w:cs="Arial"/>
          <w:sz w:val="22"/>
          <w:szCs w:val="22"/>
          <w:lang w:val="es-CL"/>
        </w:rPr>
        <w:t>reportantes</w:t>
      </w:r>
      <w:proofErr w:type="spellEnd"/>
      <w:r w:rsidRPr="00A43628">
        <w:rPr>
          <w:rFonts w:ascii="Arial" w:hAnsi="Arial" w:cs="Arial"/>
          <w:sz w:val="22"/>
          <w:szCs w:val="22"/>
          <w:lang w:val="es-CL"/>
        </w:rPr>
        <w:t xml:space="preserve"> deberán eliminar la información obtenida del RDC una vez que haya sido utilizada para la respectiva evaluación crediticia. De esta forma se evita y se sanciona el uso de la información del registro más allá de los fines del mismo (“listas negras”), ya que ahora la CMF va a tener la facultad de fiscalizar y sancionar (sin necesidad de asistir a un tribunal). </w:t>
      </w:r>
    </w:p>
    <w:p w14:paraId="3699D854"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lang w:val="es-CL"/>
        </w:rPr>
        <w:t>• Se establece que, los incumplimientos a la ley o a las normas relacionadas que emita la CMF, se sancionará bajo las reglas de la CMF.</w:t>
      </w:r>
    </w:p>
    <w:p w14:paraId="470CCE0E"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p>
    <w:p w14:paraId="5149CA20"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Mejoras Comisión de Economía: Aclaratorias del texto o del espíritu del Proyecto:</w:t>
      </w:r>
    </w:p>
    <w:p w14:paraId="16DBFBB4" w14:textId="77777777" w:rsidR="00A43628" w:rsidRPr="00A43628" w:rsidRDefault="00A43628" w:rsidP="00A43628">
      <w:pPr>
        <w:numPr>
          <w:ilvl w:val="0"/>
          <w:numId w:val="5"/>
        </w:numPr>
        <w:tabs>
          <w:tab w:val="left" w:pos="0"/>
        </w:tabs>
        <w:spacing w:line="276" w:lineRule="auto"/>
        <w:ind w:right="-518"/>
        <w:jc w:val="both"/>
        <w:rPr>
          <w:rFonts w:ascii="Arial" w:hAnsi="Arial" w:cs="Arial"/>
          <w:sz w:val="22"/>
          <w:szCs w:val="22"/>
        </w:rPr>
      </w:pPr>
      <w:r w:rsidRPr="00A43628">
        <w:rPr>
          <w:rFonts w:ascii="Arial" w:hAnsi="Arial" w:cs="Arial"/>
          <w:sz w:val="22"/>
          <w:szCs w:val="22"/>
          <w:lang w:val="es-CL"/>
        </w:rPr>
        <w:t>Registro oficial de información crediticia.</w:t>
      </w:r>
    </w:p>
    <w:p w14:paraId="1053E636" w14:textId="77777777" w:rsidR="00A43628" w:rsidRPr="00A43628" w:rsidRDefault="00A43628" w:rsidP="00A43628">
      <w:pPr>
        <w:numPr>
          <w:ilvl w:val="0"/>
          <w:numId w:val="5"/>
        </w:numPr>
        <w:tabs>
          <w:tab w:val="left" w:pos="0"/>
        </w:tabs>
        <w:spacing w:line="276" w:lineRule="auto"/>
        <w:ind w:right="-518"/>
        <w:jc w:val="both"/>
        <w:rPr>
          <w:rFonts w:ascii="Arial" w:hAnsi="Arial" w:cs="Arial"/>
          <w:sz w:val="22"/>
          <w:szCs w:val="22"/>
        </w:rPr>
      </w:pPr>
      <w:r w:rsidRPr="00A43628">
        <w:rPr>
          <w:rFonts w:ascii="Arial" w:hAnsi="Arial" w:cs="Arial"/>
          <w:sz w:val="22"/>
          <w:szCs w:val="22"/>
          <w:lang w:val="es-CL"/>
        </w:rPr>
        <w:t>Se precisa que la consulta es respecto de personas determinadas y para operaciones específicas.</w:t>
      </w:r>
    </w:p>
    <w:p w14:paraId="7DB35378" w14:textId="77777777" w:rsidR="00A43628" w:rsidRPr="00A43628" w:rsidRDefault="00A43628" w:rsidP="00A43628">
      <w:pPr>
        <w:numPr>
          <w:ilvl w:val="0"/>
          <w:numId w:val="5"/>
        </w:numPr>
        <w:tabs>
          <w:tab w:val="left" w:pos="0"/>
        </w:tabs>
        <w:spacing w:line="276" w:lineRule="auto"/>
        <w:ind w:right="-518"/>
        <w:jc w:val="both"/>
        <w:rPr>
          <w:rFonts w:ascii="Arial" w:hAnsi="Arial" w:cs="Arial"/>
          <w:sz w:val="22"/>
          <w:szCs w:val="22"/>
        </w:rPr>
      </w:pPr>
      <w:r w:rsidRPr="00A43628">
        <w:rPr>
          <w:rFonts w:ascii="Arial" w:hAnsi="Arial" w:cs="Arial"/>
          <w:sz w:val="22"/>
          <w:szCs w:val="22"/>
          <w:lang w:val="es-CL"/>
        </w:rPr>
        <w:t>Suficiencia del registro (no pueden requerirse antecedentes adicionales).</w:t>
      </w:r>
    </w:p>
    <w:p w14:paraId="63962917" w14:textId="77777777" w:rsidR="00A43628" w:rsidRPr="00A43628" w:rsidRDefault="00A43628" w:rsidP="00A43628">
      <w:pPr>
        <w:numPr>
          <w:ilvl w:val="0"/>
          <w:numId w:val="5"/>
        </w:numPr>
        <w:tabs>
          <w:tab w:val="left" w:pos="0"/>
        </w:tabs>
        <w:spacing w:line="276" w:lineRule="auto"/>
        <w:ind w:right="-518"/>
        <w:jc w:val="both"/>
        <w:rPr>
          <w:rFonts w:ascii="Arial" w:hAnsi="Arial" w:cs="Arial"/>
          <w:sz w:val="22"/>
          <w:szCs w:val="22"/>
        </w:rPr>
      </w:pPr>
      <w:r w:rsidRPr="00A43628">
        <w:rPr>
          <w:rFonts w:ascii="Arial" w:hAnsi="Arial" w:cs="Arial"/>
          <w:sz w:val="22"/>
          <w:szCs w:val="22"/>
          <w:lang w:val="es-CL"/>
        </w:rPr>
        <w:t>Facultad exclusiva del administrador (CMF).</w:t>
      </w:r>
    </w:p>
    <w:p w14:paraId="12B332FF" w14:textId="77777777" w:rsidR="00A43628" w:rsidRPr="00A43628" w:rsidRDefault="00A43628" w:rsidP="00A43628">
      <w:pPr>
        <w:numPr>
          <w:ilvl w:val="0"/>
          <w:numId w:val="5"/>
        </w:numPr>
        <w:tabs>
          <w:tab w:val="left" w:pos="0"/>
        </w:tabs>
        <w:spacing w:line="276" w:lineRule="auto"/>
        <w:ind w:right="-518"/>
        <w:jc w:val="both"/>
        <w:rPr>
          <w:rFonts w:ascii="Arial" w:hAnsi="Arial" w:cs="Arial"/>
          <w:sz w:val="22"/>
          <w:szCs w:val="22"/>
        </w:rPr>
      </w:pPr>
      <w:r w:rsidRPr="00A43628">
        <w:rPr>
          <w:rFonts w:ascii="Arial" w:hAnsi="Arial" w:cs="Arial"/>
          <w:sz w:val="22"/>
          <w:szCs w:val="22"/>
          <w:lang w:val="es-CL"/>
        </w:rPr>
        <w:t>Forma de otorgar el consentimiento por parte del deudor.</w:t>
      </w:r>
    </w:p>
    <w:p w14:paraId="7FB819B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54C00482"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Mejoras de fondo directamente relacionadas con el Proyecto:</w:t>
      </w:r>
    </w:p>
    <w:p w14:paraId="6579C684" w14:textId="77777777" w:rsidR="00A43628" w:rsidRPr="00A43628" w:rsidRDefault="00A43628" w:rsidP="00A43628">
      <w:pPr>
        <w:numPr>
          <w:ilvl w:val="0"/>
          <w:numId w:val="6"/>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Consentimiento: Se traslada la carga del soporte a la entidad que consulta el registro, y se definen sanciones por mal uso del registro.</w:t>
      </w:r>
    </w:p>
    <w:p w14:paraId="0BC1A740" w14:textId="77777777" w:rsidR="00A43628" w:rsidRPr="00A43628" w:rsidRDefault="00A43628" w:rsidP="00A43628">
      <w:pPr>
        <w:numPr>
          <w:ilvl w:val="0"/>
          <w:numId w:val="6"/>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Notificación: Se establece la oportunidad de enrolamiento de deudores para ser notificados de las consultas a su información, y se establece un reporte periódico.</w:t>
      </w:r>
    </w:p>
    <w:p w14:paraId="1F39E7F1"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0B83CA0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Mejoras de fondo sobre temas conexos al PDL.</w:t>
      </w:r>
    </w:p>
    <w:p w14:paraId="59EAB208" w14:textId="77777777" w:rsidR="00A43628" w:rsidRPr="00A43628" w:rsidRDefault="00A43628" w:rsidP="00A43628">
      <w:pPr>
        <w:numPr>
          <w:ilvl w:val="0"/>
          <w:numId w:val="7"/>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Fiscalización: Fortalecimiento sobre régimen sancionatorio. Subsisten otras acciones (</w:t>
      </w:r>
      <w:proofErr w:type="spellStart"/>
      <w:r w:rsidRPr="00A43628">
        <w:rPr>
          <w:rFonts w:ascii="Arial" w:hAnsi="Arial" w:cs="Arial"/>
          <w:sz w:val="22"/>
          <w:szCs w:val="22"/>
          <w:lang w:val="es-CL"/>
        </w:rPr>
        <w:t>Ej</w:t>
      </w:r>
      <w:proofErr w:type="spellEnd"/>
      <w:r w:rsidRPr="00A43628">
        <w:rPr>
          <w:rFonts w:ascii="Arial" w:hAnsi="Arial" w:cs="Arial"/>
          <w:sz w:val="22"/>
          <w:szCs w:val="22"/>
          <w:lang w:val="es-CL"/>
        </w:rPr>
        <w:t>: Consumidor) que pudieran resultar en otras sanciones.</w:t>
      </w:r>
    </w:p>
    <w:p w14:paraId="1BBCB2ED" w14:textId="77777777" w:rsidR="00A43628" w:rsidRPr="00A43628" w:rsidRDefault="00A43628" w:rsidP="00A43628">
      <w:pPr>
        <w:numPr>
          <w:ilvl w:val="0"/>
          <w:numId w:val="7"/>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Coordinación: Se consagra expresamente el principio de coordinación de la Ley Nº19.880 y la obligación de consultas públicas de la Ley Nº21.000.</w:t>
      </w:r>
    </w:p>
    <w:p w14:paraId="3128F5A8"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0B64F36B"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Modificaciones fuera de las ideas centrales </w:t>
      </w:r>
    </w:p>
    <w:p w14:paraId="3ADB0AFD" w14:textId="77777777" w:rsidR="00A43628" w:rsidRPr="00A43628" w:rsidRDefault="00A43628" w:rsidP="00A43628">
      <w:pPr>
        <w:numPr>
          <w:ilvl w:val="0"/>
          <w:numId w:val="8"/>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 xml:space="preserve">Obligación de eliminar información no-anonimizada, más allá del registro, que esté prescrita o se haya extinguido o vuelto inexigible </w:t>
      </w:r>
      <w:r w:rsidRPr="00A43628">
        <w:rPr>
          <w:rFonts w:ascii="Arial" w:hAnsi="Arial" w:cs="Arial"/>
          <w:sz w:val="22"/>
          <w:szCs w:val="22"/>
          <w:lang w:val="es-CL"/>
        </w:rPr>
        <w:lastRenderedPageBreak/>
        <w:t xml:space="preserve">hace más de 5 años, y establecimiento de sanciones al respecto. Va más allá del Registro de que trata de este PDL, y se superpone con regulaciones similares en PDL de Datos Personales y Olvido Financiero. </w:t>
      </w:r>
    </w:p>
    <w:p w14:paraId="004171D1" w14:textId="77777777" w:rsidR="00A43628" w:rsidRPr="00A43628" w:rsidRDefault="00A43628" w:rsidP="00A43628">
      <w:pPr>
        <w:numPr>
          <w:ilvl w:val="0"/>
          <w:numId w:val="8"/>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 xml:space="preserve">Obligación de presentar respuestas fundadas ante el rechazo de una solicitud de crédito. Se superpone con regulación de la Ley del Consumidor, siendo menos exigente que esta última. </w:t>
      </w:r>
    </w:p>
    <w:p w14:paraId="69B81399" w14:textId="77777777" w:rsidR="00A43628" w:rsidRPr="00A43628" w:rsidRDefault="00A43628" w:rsidP="00A43628">
      <w:pPr>
        <w:numPr>
          <w:ilvl w:val="0"/>
          <w:numId w:val="8"/>
        </w:numPr>
        <w:tabs>
          <w:tab w:val="left" w:pos="0"/>
        </w:tabs>
        <w:spacing w:line="276" w:lineRule="auto"/>
        <w:ind w:right="-518"/>
        <w:jc w:val="both"/>
        <w:rPr>
          <w:rFonts w:ascii="Arial" w:hAnsi="Arial" w:cs="Arial"/>
          <w:sz w:val="22"/>
          <w:szCs w:val="22"/>
          <w:lang w:val="es-CL"/>
        </w:rPr>
      </w:pPr>
      <w:r w:rsidRPr="00A43628">
        <w:rPr>
          <w:rFonts w:ascii="Arial" w:hAnsi="Arial" w:cs="Arial"/>
          <w:sz w:val="22"/>
          <w:szCs w:val="22"/>
          <w:lang w:val="es-CL"/>
        </w:rPr>
        <w:t>Restricción de acceso a información negativa. Actualmente, la información negativa está disponible sin consentimiento. Con esta modificación, se incentiva el uso de información alternativa, con distintos niveles de calidad y sin protección a los derechos de los deudores.</w:t>
      </w:r>
    </w:p>
    <w:p w14:paraId="55D4C905"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5F30B761" w14:textId="77777777" w:rsidR="00A43628" w:rsidRPr="00A43628" w:rsidRDefault="00DD0B26" w:rsidP="00A43628">
      <w:pPr>
        <w:tabs>
          <w:tab w:val="left" w:pos="0"/>
        </w:tabs>
        <w:spacing w:line="276" w:lineRule="auto"/>
        <w:ind w:right="-518" w:firstLine="1701"/>
        <w:jc w:val="both"/>
        <w:rPr>
          <w:rFonts w:ascii="Arial" w:hAnsi="Arial" w:cs="Arial"/>
          <w:sz w:val="22"/>
          <w:szCs w:val="22"/>
          <w:lang w:val="es-CL"/>
        </w:rPr>
      </w:pPr>
      <w:r>
        <w:rPr>
          <w:rFonts w:ascii="Arial" w:hAnsi="Arial" w:cs="Arial"/>
          <w:sz w:val="22"/>
          <w:szCs w:val="22"/>
          <w:lang w:val="es-CL"/>
        </w:rPr>
        <w:t>Terminó su exposición señalando que p</w:t>
      </w:r>
      <w:r w:rsidR="00A43628" w:rsidRPr="00A43628">
        <w:rPr>
          <w:rFonts w:ascii="Arial" w:hAnsi="Arial" w:cs="Arial"/>
          <w:sz w:val="22"/>
          <w:szCs w:val="22"/>
          <w:lang w:val="es-CL"/>
        </w:rPr>
        <w:t xml:space="preserve">ara el Ministerio de Hacienda es importante que esta Comisión se familiarizara con el contenido del PDL en detalle, por atender materias financieras muy relevantes para la cartera. </w:t>
      </w:r>
    </w:p>
    <w:p w14:paraId="6AF7FA06"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463FA6B3"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DD0B26">
        <w:rPr>
          <w:rFonts w:ascii="Arial" w:hAnsi="Arial" w:cs="Arial"/>
          <w:b/>
          <w:sz w:val="22"/>
          <w:szCs w:val="22"/>
          <w:lang w:val="es-CL"/>
        </w:rPr>
        <w:t xml:space="preserve">El diputado </w:t>
      </w:r>
      <w:proofErr w:type="spellStart"/>
      <w:r w:rsidRPr="00DD0B26">
        <w:rPr>
          <w:rFonts w:ascii="Arial" w:hAnsi="Arial" w:cs="Arial"/>
          <w:b/>
          <w:sz w:val="22"/>
          <w:szCs w:val="22"/>
          <w:lang w:val="es-CL"/>
        </w:rPr>
        <w:t>Saéz</w:t>
      </w:r>
      <w:proofErr w:type="spellEnd"/>
      <w:r w:rsidRPr="00A43628">
        <w:rPr>
          <w:rFonts w:ascii="Arial" w:hAnsi="Arial" w:cs="Arial"/>
          <w:sz w:val="22"/>
          <w:szCs w:val="22"/>
          <w:lang w:val="es-CL"/>
        </w:rPr>
        <w:t xml:space="preserve"> preguntó si las deudas de más de cinco años que estando castigadas ingresarán al registro.</w:t>
      </w:r>
    </w:p>
    <w:p w14:paraId="12EAF7DF" w14:textId="77777777" w:rsidR="00DD0B26" w:rsidRDefault="00DD0B26" w:rsidP="00A43628">
      <w:pPr>
        <w:tabs>
          <w:tab w:val="left" w:pos="0"/>
        </w:tabs>
        <w:spacing w:line="276" w:lineRule="auto"/>
        <w:ind w:right="-518" w:firstLine="1701"/>
        <w:jc w:val="both"/>
        <w:rPr>
          <w:rFonts w:ascii="Arial" w:hAnsi="Arial" w:cs="Arial"/>
          <w:b/>
          <w:sz w:val="22"/>
          <w:szCs w:val="22"/>
          <w:lang w:val="es-CL"/>
        </w:rPr>
      </w:pPr>
    </w:p>
    <w:p w14:paraId="5B33ED7E"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DD0B26">
        <w:rPr>
          <w:rFonts w:ascii="Arial" w:hAnsi="Arial" w:cs="Arial"/>
          <w:b/>
          <w:sz w:val="22"/>
          <w:szCs w:val="22"/>
          <w:lang w:val="es-CL"/>
        </w:rPr>
        <w:t>El diputado Mellado</w:t>
      </w:r>
      <w:r w:rsidRPr="00A43628">
        <w:rPr>
          <w:rFonts w:ascii="Arial" w:hAnsi="Arial" w:cs="Arial"/>
          <w:sz w:val="22"/>
          <w:szCs w:val="22"/>
          <w:lang w:val="es-CL"/>
        </w:rPr>
        <w:t xml:space="preserve"> explicó que los bancos hoy, al contratar un crédito hipotecario, envían cartola trimestral del crédito. Preguntó si es posible que exista un registro consolidado de deuda y que se a su titular, a fin de que la gente pueda saber cuánto debe.</w:t>
      </w:r>
    </w:p>
    <w:p w14:paraId="722ADF8D"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DD0B26">
        <w:rPr>
          <w:rFonts w:ascii="Arial" w:hAnsi="Arial" w:cs="Arial"/>
          <w:b/>
          <w:sz w:val="22"/>
          <w:szCs w:val="22"/>
          <w:lang w:val="es-CL"/>
        </w:rPr>
        <w:t>El diputado Soto</w:t>
      </w:r>
      <w:r w:rsidRPr="00A43628">
        <w:rPr>
          <w:rFonts w:ascii="Arial" w:hAnsi="Arial" w:cs="Arial"/>
          <w:sz w:val="22"/>
          <w:szCs w:val="22"/>
          <w:lang w:val="es-CL"/>
        </w:rPr>
        <w:t xml:space="preserve"> señaló que la consolidación de información siempre ayuda a alcanzar los objetivos de iniciativas como estas y facilita la vida de las personas. Sin embargo, se está entregando mucha información a la CMF, por lo que resulta esencial que existan límites y sanciones para quienes hacen mal uso de esta información. En este sentido, sostuvo, las multas que se ven en el proyecto no parecen ser suficientes. Preguntó cuáles son los mayores resguardos que se tomarán.</w:t>
      </w:r>
    </w:p>
    <w:p w14:paraId="71CF09D3" w14:textId="77777777" w:rsidR="00DD0B26" w:rsidRDefault="00DD0B26" w:rsidP="00A43628">
      <w:pPr>
        <w:tabs>
          <w:tab w:val="left" w:pos="0"/>
        </w:tabs>
        <w:spacing w:line="276" w:lineRule="auto"/>
        <w:ind w:right="-518" w:firstLine="1701"/>
        <w:jc w:val="both"/>
        <w:rPr>
          <w:rFonts w:ascii="Arial" w:hAnsi="Arial" w:cs="Arial"/>
          <w:b/>
          <w:sz w:val="22"/>
          <w:szCs w:val="22"/>
          <w:lang w:val="es-CL"/>
        </w:rPr>
      </w:pPr>
    </w:p>
    <w:p w14:paraId="2EB8C92E"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DD0B26">
        <w:rPr>
          <w:rFonts w:ascii="Arial" w:hAnsi="Arial" w:cs="Arial"/>
          <w:b/>
          <w:sz w:val="22"/>
          <w:szCs w:val="22"/>
          <w:lang w:val="es-CL"/>
        </w:rPr>
        <w:t>El diputado Romero</w:t>
      </w:r>
      <w:r w:rsidRPr="00A43628">
        <w:rPr>
          <w:rFonts w:ascii="Arial" w:hAnsi="Arial" w:cs="Arial"/>
          <w:sz w:val="22"/>
          <w:szCs w:val="22"/>
          <w:lang w:val="es-CL"/>
        </w:rPr>
        <w:t xml:space="preserve"> se refirió al uso de la palabra prescripción, puesto que esta institución requiere de declaración judicial para operar. En este orden de ideas, preguntó desde qué perspectiva se consideró la prescripción en el proyecto, si desde una perspectiva civil o bien de otra forma. Finalmente preguntó si este es el único registro que existirá o si seguirá existiendo registros como Equifax o </w:t>
      </w:r>
      <w:proofErr w:type="spellStart"/>
      <w:r w:rsidRPr="00A43628">
        <w:rPr>
          <w:rFonts w:ascii="Arial" w:hAnsi="Arial" w:cs="Arial"/>
          <w:sz w:val="22"/>
          <w:szCs w:val="22"/>
          <w:lang w:val="es-CL"/>
        </w:rPr>
        <w:t>Dicom</w:t>
      </w:r>
      <w:proofErr w:type="spellEnd"/>
      <w:r w:rsidRPr="00A43628">
        <w:rPr>
          <w:rFonts w:ascii="Arial" w:hAnsi="Arial" w:cs="Arial"/>
          <w:sz w:val="22"/>
          <w:szCs w:val="22"/>
          <w:lang w:val="es-CL"/>
        </w:rPr>
        <w:t>.</w:t>
      </w:r>
    </w:p>
    <w:p w14:paraId="020AC859" w14:textId="77777777" w:rsidR="00DD0B26" w:rsidRDefault="00DD0B26" w:rsidP="00A43628">
      <w:pPr>
        <w:tabs>
          <w:tab w:val="left" w:pos="0"/>
        </w:tabs>
        <w:spacing w:line="276" w:lineRule="auto"/>
        <w:ind w:right="-518" w:firstLine="1701"/>
        <w:jc w:val="both"/>
        <w:rPr>
          <w:rFonts w:ascii="Arial" w:hAnsi="Arial" w:cs="Arial"/>
          <w:b/>
          <w:sz w:val="22"/>
          <w:szCs w:val="22"/>
          <w:lang w:val="es-CL"/>
        </w:rPr>
      </w:pPr>
    </w:p>
    <w:p w14:paraId="72B4C19D"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DD0B26">
        <w:rPr>
          <w:rFonts w:ascii="Arial" w:hAnsi="Arial" w:cs="Arial"/>
          <w:b/>
          <w:sz w:val="22"/>
          <w:szCs w:val="22"/>
          <w:lang w:val="es-CL"/>
        </w:rPr>
        <w:t>La diputada Yeomans</w:t>
      </w:r>
      <w:r w:rsidRPr="00A43628">
        <w:rPr>
          <w:rFonts w:ascii="Arial" w:hAnsi="Arial" w:cs="Arial"/>
          <w:sz w:val="22"/>
          <w:szCs w:val="22"/>
          <w:lang w:val="es-CL"/>
        </w:rPr>
        <w:t xml:space="preserve"> manifestó preocupación de las consecuencias del manejo de la información y el hecho de que se comparta esta información para hipótesis no contempladas en la ley, afectándose así cuestiones como la apertura de cuentas bancarias.</w:t>
      </w:r>
    </w:p>
    <w:p w14:paraId="1B74A897"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DD0B26">
        <w:rPr>
          <w:rFonts w:ascii="Arial" w:hAnsi="Arial" w:cs="Arial"/>
          <w:b/>
          <w:sz w:val="22"/>
          <w:szCs w:val="22"/>
          <w:lang w:val="es-CL"/>
        </w:rPr>
        <w:t>La Subsecretaria</w:t>
      </w:r>
      <w:r w:rsidRPr="00A43628">
        <w:rPr>
          <w:rFonts w:ascii="Arial" w:hAnsi="Arial" w:cs="Arial"/>
          <w:sz w:val="22"/>
          <w:szCs w:val="22"/>
          <w:lang w:val="es-CL"/>
        </w:rPr>
        <w:t xml:space="preserve"> señaló que las deudas castigadas si están en el registro, pero no pueden verse</w:t>
      </w:r>
      <w:r w:rsidR="00DD0B26">
        <w:rPr>
          <w:rFonts w:ascii="Arial" w:hAnsi="Arial" w:cs="Arial"/>
          <w:sz w:val="22"/>
          <w:szCs w:val="22"/>
          <w:lang w:val="es-CL"/>
        </w:rPr>
        <w:t>.</w:t>
      </w:r>
      <w:r w:rsidRPr="00A43628">
        <w:rPr>
          <w:rFonts w:ascii="Arial" w:hAnsi="Arial" w:cs="Arial"/>
          <w:sz w:val="22"/>
          <w:szCs w:val="22"/>
          <w:lang w:val="es-CL"/>
        </w:rPr>
        <w:t xml:space="preserve"> En efecto debe distinguirse entre lo que puede ver un solicitante de información y el registro completo que mantiene la CMF. Agregó que la información no está abierta para ser consultada por cualquier razón, sólo puede consultarse por hipótesis específicas.</w:t>
      </w:r>
    </w:p>
    <w:p w14:paraId="65745955"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lang w:val="es-CL"/>
        </w:rPr>
        <w:t>A su vez, explicó que el registro busca que esté toda la información consolidada y que las personas puedan acceder a dicha información. En este sentido, se enrolará a las personas y al momento de enrolarlas, se les pedirá consentimiento para que la CMF les mande un reporte.</w:t>
      </w:r>
    </w:p>
    <w:p w14:paraId="3B93FFB9"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A43628">
        <w:rPr>
          <w:rFonts w:ascii="Arial" w:hAnsi="Arial" w:cs="Arial"/>
          <w:sz w:val="22"/>
          <w:szCs w:val="22"/>
        </w:rPr>
        <w:lastRenderedPageBreak/>
        <w:t>Respecto a las sanciones, señaló que no sólo se contempla una sanción de límite del acceso al registro de un año, sino que hay otras sanciones como lo son la aplicación de multas y penas privativas de libertad.</w:t>
      </w:r>
    </w:p>
    <w:p w14:paraId="37C640FD"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DD0B26">
        <w:rPr>
          <w:rFonts w:ascii="Arial" w:hAnsi="Arial" w:cs="Arial"/>
          <w:b/>
          <w:sz w:val="22"/>
          <w:szCs w:val="22"/>
        </w:rPr>
        <w:t>El diputado Soto</w:t>
      </w:r>
      <w:r w:rsidRPr="00A43628">
        <w:rPr>
          <w:rFonts w:ascii="Arial" w:hAnsi="Arial" w:cs="Arial"/>
          <w:sz w:val="22"/>
          <w:szCs w:val="22"/>
        </w:rPr>
        <w:t xml:space="preserve"> señaló que el uso de la palabra prescripción e inexigibilidad no está en su sentido técnico, porque más bien lo que hay en el proyecto, es una prohibición de entregar informaci</w:t>
      </w:r>
      <w:r w:rsidRPr="00A43628">
        <w:rPr>
          <w:rFonts w:ascii="Arial" w:hAnsi="Arial" w:cs="Arial" w:hint="eastAsia"/>
          <w:sz w:val="22"/>
          <w:szCs w:val="22"/>
        </w:rPr>
        <w:t>ó</w:t>
      </w:r>
      <w:r w:rsidRPr="00A43628">
        <w:rPr>
          <w:rFonts w:ascii="Arial" w:hAnsi="Arial" w:cs="Arial"/>
          <w:sz w:val="22"/>
          <w:szCs w:val="22"/>
        </w:rPr>
        <w:t>n.</w:t>
      </w:r>
    </w:p>
    <w:p w14:paraId="4BB7E926" w14:textId="77777777" w:rsidR="00DD0B26" w:rsidRDefault="00DD0B26" w:rsidP="00A43628">
      <w:pPr>
        <w:tabs>
          <w:tab w:val="left" w:pos="0"/>
        </w:tabs>
        <w:spacing w:line="276" w:lineRule="auto"/>
        <w:ind w:right="-518" w:firstLine="1701"/>
        <w:jc w:val="both"/>
        <w:rPr>
          <w:rFonts w:ascii="Arial" w:hAnsi="Arial" w:cs="Arial"/>
          <w:sz w:val="22"/>
          <w:szCs w:val="22"/>
        </w:rPr>
      </w:pPr>
    </w:p>
    <w:p w14:paraId="69783C55"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DD0B26">
        <w:rPr>
          <w:rFonts w:ascii="Arial" w:hAnsi="Arial" w:cs="Arial"/>
          <w:b/>
          <w:sz w:val="22"/>
          <w:szCs w:val="22"/>
        </w:rPr>
        <w:t>El diputado Romero</w:t>
      </w:r>
      <w:r w:rsidRPr="00A43628">
        <w:rPr>
          <w:rFonts w:ascii="Arial" w:hAnsi="Arial" w:cs="Arial"/>
          <w:sz w:val="22"/>
          <w:szCs w:val="22"/>
        </w:rPr>
        <w:t xml:space="preserve"> sostuvo que la intención es precisar el alcance de la norma, de forma que luego en su aplicación no haya problemas. En esta línea, señaló que cuando se habla de extinción, debe haber operado un modo de extinguir obligaciones. </w:t>
      </w:r>
    </w:p>
    <w:p w14:paraId="44AF6770" w14:textId="77777777" w:rsidR="00DD0B26" w:rsidRDefault="00DD0B26" w:rsidP="00A43628">
      <w:pPr>
        <w:tabs>
          <w:tab w:val="left" w:pos="0"/>
        </w:tabs>
        <w:spacing w:line="276" w:lineRule="auto"/>
        <w:ind w:right="-518" w:firstLine="1701"/>
        <w:jc w:val="both"/>
        <w:rPr>
          <w:rFonts w:ascii="Arial" w:hAnsi="Arial" w:cs="Arial"/>
          <w:b/>
          <w:sz w:val="22"/>
          <w:szCs w:val="22"/>
        </w:rPr>
      </w:pPr>
    </w:p>
    <w:p w14:paraId="1820165F"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DD0B26">
        <w:rPr>
          <w:rFonts w:ascii="Arial" w:hAnsi="Arial" w:cs="Arial"/>
          <w:b/>
          <w:sz w:val="22"/>
          <w:szCs w:val="22"/>
        </w:rPr>
        <w:t>El diputado Soto</w:t>
      </w:r>
      <w:r w:rsidRPr="00A43628">
        <w:rPr>
          <w:rFonts w:ascii="Arial" w:hAnsi="Arial" w:cs="Arial"/>
          <w:sz w:val="22"/>
          <w:szCs w:val="22"/>
        </w:rPr>
        <w:t xml:space="preserve"> estimó que una cosa es informar y otra cosa es tener derecho a acceder a esa información. En este sentido, preguntó si las deudas estarán informadas, pero desde que se cumplen cinco años no podrá accederse a dicha información.</w:t>
      </w:r>
    </w:p>
    <w:p w14:paraId="2206F675" w14:textId="77777777" w:rsidR="00A43628" w:rsidRPr="00A43628" w:rsidRDefault="00A43628" w:rsidP="00A43628">
      <w:pPr>
        <w:tabs>
          <w:tab w:val="left" w:pos="0"/>
        </w:tabs>
        <w:spacing w:line="276" w:lineRule="auto"/>
        <w:ind w:right="-518" w:firstLine="1701"/>
        <w:jc w:val="both"/>
        <w:rPr>
          <w:rFonts w:ascii="Arial" w:hAnsi="Arial" w:cs="Arial"/>
          <w:sz w:val="22"/>
          <w:szCs w:val="22"/>
        </w:rPr>
      </w:pPr>
      <w:r w:rsidRPr="00DD0B26">
        <w:rPr>
          <w:rFonts w:ascii="Arial" w:hAnsi="Arial" w:cs="Arial"/>
          <w:b/>
          <w:sz w:val="22"/>
          <w:szCs w:val="22"/>
        </w:rPr>
        <w:t>La Asesora de Mercado de Capitales</w:t>
      </w:r>
      <w:r w:rsidR="00DD0B26">
        <w:rPr>
          <w:rFonts w:ascii="Arial" w:hAnsi="Arial" w:cs="Arial"/>
          <w:b/>
          <w:sz w:val="22"/>
          <w:szCs w:val="22"/>
        </w:rPr>
        <w:t xml:space="preserve"> señorita</w:t>
      </w:r>
      <w:r w:rsidRPr="00DD0B26">
        <w:rPr>
          <w:rFonts w:ascii="Arial" w:hAnsi="Arial" w:cs="Arial"/>
          <w:b/>
          <w:sz w:val="22"/>
          <w:szCs w:val="22"/>
        </w:rPr>
        <w:t xml:space="preserve"> Catalina </w:t>
      </w:r>
      <w:proofErr w:type="spellStart"/>
      <w:r w:rsidRPr="00DD0B26">
        <w:rPr>
          <w:rFonts w:ascii="Arial" w:hAnsi="Arial" w:cs="Arial"/>
          <w:b/>
          <w:sz w:val="22"/>
          <w:szCs w:val="22"/>
        </w:rPr>
        <w:t>Coddou</w:t>
      </w:r>
      <w:proofErr w:type="spellEnd"/>
      <w:r w:rsidRPr="00A43628">
        <w:rPr>
          <w:rFonts w:ascii="Arial" w:hAnsi="Arial" w:cs="Arial"/>
          <w:sz w:val="22"/>
          <w:szCs w:val="22"/>
        </w:rPr>
        <w:t xml:space="preserve">, explicó que la obligación es de informar a la entidad que mantiene este registro, y que una cosa es el plazo para mostrar la información contenida en el registro, y otra distinta, la información que sale del registro por extinción de las deudas o prescripción. En este sentido, indicó que la intención fue ampliar las opciones, de forma tal de beneficiar a los deudores, y que salga esta información del registro aun cuando no haya operado la prescripción por declaración judicial, como ocurre ante la inactividad de las instituciones financieras para obtener el cobro. </w:t>
      </w:r>
    </w:p>
    <w:p w14:paraId="0029A5F9" w14:textId="77777777" w:rsidR="00DD0B26" w:rsidRDefault="00DD0B26" w:rsidP="00A43628">
      <w:pPr>
        <w:tabs>
          <w:tab w:val="left" w:pos="0"/>
        </w:tabs>
        <w:spacing w:line="276" w:lineRule="auto"/>
        <w:ind w:right="-518" w:firstLine="1701"/>
        <w:jc w:val="both"/>
        <w:rPr>
          <w:rFonts w:ascii="Arial" w:hAnsi="Arial" w:cs="Arial"/>
          <w:sz w:val="22"/>
          <w:szCs w:val="22"/>
          <w:lang w:val="es-419"/>
        </w:rPr>
      </w:pPr>
    </w:p>
    <w:p w14:paraId="58D0EF29"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419"/>
        </w:rPr>
      </w:pPr>
      <w:r w:rsidRPr="00DD0B26">
        <w:rPr>
          <w:rFonts w:ascii="Arial" w:hAnsi="Arial" w:cs="Arial"/>
          <w:b/>
          <w:sz w:val="22"/>
          <w:szCs w:val="22"/>
          <w:lang w:val="es-419"/>
        </w:rPr>
        <w:t>El Director de Regulación Bancos y Entidades Financieras de la Comisión para el Mercado Financiero, señor Jaime Forteza Saavedra</w:t>
      </w:r>
      <w:r w:rsidRPr="00A43628">
        <w:rPr>
          <w:rFonts w:ascii="Arial" w:hAnsi="Arial" w:cs="Arial"/>
          <w:sz w:val="22"/>
          <w:szCs w:val="22"/>
          <w:lang w:val="es-419"/>
        </w:rPr>
        <w:t>, se refirió a las sanciones que contempla el proyecto, señalando que se consideran penas privativas de libertad que van desde presidio menor a presidio en su grado medio. Asimismo, la CMF tiene un deber de reserva y una política propia sobre acceso a la información, donde se restringe al interior del órgano, quienes pueden acceder a estos datos, atendido el carácter sensible de ellos.</w:t>
      </w:r>
    </w:p>
    <w:p w14:paraId="6273F074" w14:textId="77777777" w:rsidR="00A43628" w:rsidRDefault="00A43628" w:rsidP="00A43628">
      <w:pPr>
        <w:tabs>
          <w:tab w:val="left" w:pos="0"/>
        </w:tabs>
        <w:spacing w:line="276" w:lineRule="auto"/>
        <w:ind w:right="-518" w:firstLine="1701"/>
        <w:jc w:val="both"/>
        <w:rPr>
          <w:rFonts w:ascii="Arial" w:hAnsi="Arial" w:cs="Arial"/>
          <w:sz w:val="22"/>
          <w:szCs w:val="22"/>
          <w:lang w:val="es-CL"/>
        </w:rPr>
      </w:pPr>
    </w:p>
    <w:p w14:paraId="14DC8456" w14:textId="77777777" w:rsidR="00DD0B26" w:rsidRDefault="00DD0B26" w:rsidP="00A43628">
      <w:pPr>
        <w:tabs>
          <w:tab w:val="left" w:pos="0"/>
        </w:tabs>
        <w:spacing w:line="276" w:lineRule="auto"/>
        <w:ind w:right="-518" w:firstLine="1701"/>
        <w:jc w:val="both"/>
        <w:rPr>
          <w:rFonts w:ascii="Arial" w:hAnsi="Arial" w:cs="Arial"/>
          <w:b/>
          <w:sz w:val="22"/>
          <w:szCs w:val="22"/>
          <w:lang w:val="es-CL"/>
        </w:rPr>
      </w:pPr>
      <w:r w:rsidRPr="00DD0B26">
        <w:rPr>
          <w:rFonts w:ascii="Arial" w:hAnsi="Arial" w:cs="Arial"/>
          <w:b/>
          <w:sz w:val="22"/>
          <w:szCs w:val="22"/>
          <w:lang w:val="es-CL"/>
        </w:rPr>
        <w:t>VOTACIÓN</w:t>
      </w:r>
      <w:r>
        <w:rPr>
          <w:rFonts w:ascii="Arial" w:hAnsi="Arial" w:cs="Arial"/>
          <w:b/>
          <w:sz w:val="22"/>
          <w:szCs w:val="22"/>
          <w:lang w:val="es-CL"/>
        </w:rPr>
        <w:t xml:space="preserve"> DE LA NORMA DE COMPETENCIA DE ESTA COMISIÓN DE HACIENDA:</w:t>
      </w:r>
    </w:p>
    <w:p w14:paraId="6ACD83D2" w14:textId="77777777" w:rsidR="00DD0B26" w:rsidRDefault="00DD0B26" w:rsidP="00DD0B26">
      <w:pPr>
        <w:tabs>
          <w:tab w:val="left" w:pos="0"/>
        </w:tabs>
        <w:spacing w:line="276" w:lineRule="auto"/>
        <w:ind w:right="-518" w:firstLine="1701"/>
        <w:jc w:val="both"/>
        <w:rPr>
          <w:rFonts w:ascii="Arial" w:hAnsi="Arial" w:cs="Arial"/>
          <w:bCs/>
          <w:sz w:val="22"/>
          <w:szCs w:val="22"/>
          <w:lang w:val="es-CL"/>
        </w:rPr>
      </w:pPr>
    </w:p>
    <w:p w14:paraId="69471269" w14:textId="77777777" w:rsidR="00DD0B26" w:rsidRPr="00DD0B26" w:rsidRDefault="00DD0B26" w:rsidP="00DD0B26">
      <w:pPr>
        <w:tabs>
          <w:tab w:val="left" w:pos="0"/>
        </w:tabs>
        <w:spacing w:line="276" w:lineRule="auto"/>
        <w:ind w:right="-518" w:firstLine="1701"/>
        <w:jc w:val="both"/>
        <w:rPr>
          <w:rFonts w:ascii="Arial" w:hAnsi="Arial" w:cs="Arial"/>
          <w:bCs/>
          <w:sz w:val="22"/>
          <w:szCs w:val="22"/>
          <w:u w:val="single"/>
          <w:lang w:val="es-CL"/>
        </w:rPr>
      </w:pPr>
      <w:r w:rsidRPr="00DD0B26">
        <w:rPr>
          <w:rFonts w:ascii="Arial" w:hAnsi="Arial" w:cs="Arial"/>
          <w:bCs/>
          <w:sz w:val="22"/>
          <w:szCs w:val="22"/>
          <w:u w:val="single"/>
          <w:lang w:val="es-CL"/>
        </w:rPr>
        <w:t>Disposición transitoria:</w:t>
      </w:r>
    </w:p>
    <w:p w14:paraId="669A418D" w14:textId="77777777" w:rsidR="00DD0B26" w:rsidRPr="00DD0B26" w:rsidRDefault="00DD0B26" w:rsidP="00DD0B26">
      <w:pPr>
        <w:tabs>
          <w:tab w:val="left" w:pos="0"/>
        </w:tabs>
        <w:spacing w:line="276" w:lineRule="auto"/>
        <w:ind w:right="-518" w:firstLine="1701"/>
        <w:jc w:val="both"/>
        <w:rPr>
          <w:rFonts w:ascii="Arial" w:hAnsi="Arial" w:cs="Arial"/>
          <w:bCs/>
          <w:sz w:val="22"/>
          <w:szCs w:val="22"/>
          <w:lang w:val="es-CL"/>
        </w:rPr>
      </w:pPr>
      <w:r>
        <w:rPr>
          <w:rFonts w:ascii="Arial" w:hAnsi="Arial" w:cs="Arial"/>
          <w:bCs/>
          <w:sz w:val="22"/>
          <w:szCs w:val="22"/>
          <w:lang w:val="es-CL"/>
        </w:rPr>
        <w:t>“</w:t>
      </w:r>
      <w:r w:rsidRPr="00DD0B26">
        <w:rPr>
          <w:rFonts w:ascii="Arial" w:hAnsi="Arial" w:cs="Arial"/>
          <w:bCs/>
          <w:sz w:val="22"/>
          <w:szCs w:val="22"/>
          <w:lang w:val="es-CL"/>
        </w:rPr>
        <w:t>Artículo quinto.- El mayor gasto fiscal que represente la aplicación de esta ley, durante el primer año presupuestario de su entrada en vigencia, se financiará con cargo al presupuesto asignado a la Comisión para el Mercado Financiero, y en lo que faltare, con cargo a la Partida Presupuestaria del Tesoro Público. En los años siguientes, se financiará con los recursos que se establezcan en las respectivas leyes de presupuesto del sector público.”.</w:t>
      </w:r>
    </w:p>
    <w:p w14:paraId="46D19E48" w14:textId="77777777" w:rsidR="00DD0B26" w:rsidRPr="00DD0B26" w:rsidRDefault="00DD0B26" w:rsidP="00DD0B26">
      <w:pPr>
        <w:tabs>
          <w:tab w:val="left" w:pos="0"/>
        </w:tabs>
        <w:spacing w:line="276" w:lineRule="auto"/>
        <w:ind w:right="-518" w:firstLine="1701"/>
        <w:jc w:val="both"/>
        <w:rPr>
          <w:rFonts w:ascii="Arial" w:hAnsi="Arial" w:cs="Arial"/>
          <w:b/>
          <w:bCs/>
          <w:sz w:val="22"/>
          <w:szCs w:val="22"/>
          <w:lang w:val="es-CL"/>
        </w:rPr>
      </w:pPr>
      <w:r w:rsidRPr="00DD0B26">
        <w:rPr>
          <w:rFonts w:ascii="Arial" w:hAnsi="Arial" w:cs="Arial"/>
          <w:b/>
          <w:bCs/>
          <w:sz w:val="22"/>
          <w:szCs w:val="22"/>
          <w:lang w:val="es-CL"/>
        </w:rPr>
        <w:t xml:space="preserve"> </w:t>
      </w:r>
    </w:p>
    <w:p w14:paraId="72B204BF"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r w:rsidRPr="00A43628">
        <w:rPr>
          <w:rFonts w:ascii="Arial" w:hAnsi="Arial" w:cs="Arial"/>
          <w:sz w:val="22"/>
          <w:szCs w:val="22"/>
          <w:lang w:val="es-CL"/>
        </w:rPr>
        <w:t xml:space="preserve">Puesta en votación </w:t>
      </w:r>
      <w:r w:rsidR="00DD0B26">
        <w:rPr>
          <w:rFonts w:ascii="Arial" w:hAnsi="Arial" w:cs="Arial"/>
          <w:sz w:val="22"/>
          <w:szCs w:val="22"/>
          <w:lang w:val="es-CL"/>
        </w:rPr>
        <w:t xml:space="preserve">el artículo </w:t>
      </w:r>
      <w:r w:rsidRPr="00A43628">
        <w:rPr>
          <w:rFonts w:ascii="Arial" w:hAnsi="Arial" w:cs="Arial"/>
          <w:sz w:val="22"/>
          <w:szCs w:val="22"/>
          <w:lang w:val="es-CL"/>
        </w:rPr>
        <w:t xml:space="preserve">resultó aprobado por la unanimidad de nueve </w:t>
      </w:r>
      <w:r w:rsidR="00DD0B26">
        <w:rPr>
          <w:rFonts w:ascii="Arial" w:hAnsi="Arial" w:cs="Arial"/>
          <w:sz w:val="22"/>
          <w:szCs w:val="22"/>
          <w:lang w:val="es-CL"/>
        </w:rPr>
        <w:t xml:space="preserve">de sus </w:t>
      </w:r>
      <w:r w:rsidRPr="00A43628">
        <w:rPr>
          <w:rFonts w:ascii="Arial" w:hAnsi="Arial" w:cs="Arial"/>
          <w:sz w:val="22"/>
          <w:szCs w:val="22"/>
          <w:lang w:val="es-CL"/>
        </w:rPr>
        <w:t>miembros presentes</w:t>
      </w:r>
      <w:r w:rsidRPr="00A43628">
        <w:rPr>
          <w:rFonts w:ascii="Arial" w:hAnsi="Arial" w:cs="Arial"/>
          <w:b/>
          <w:bCs/>
          <w:sz w:val="22"/>
          <w:szCs w:val="22"/>
          <w:lang w:val="es-CL"/>
        </w:rPr>
        <w:t>.</w:t>
      </w:r>
      <w:r w:rsidRPr="00A43628">
        <w:rPr>
          <w:rFonts w:ascii="Arial" w:hAnsi="Arial" w:cs="Arial"/>
          <w:sz w:val="22"/>
          <w:szCs w:val="22"/>
          <w:lang w:val="es-CL"/>
        </w:rPr>
        <w:t xml:space="preserve"> Votaron a favor</w:t>
      </w:r>
      <w:r w:rsidR="00DD0B26">
        <w:rPr>
          <w:rFonts w:ascii="Arial" w:hAnsi="Arial" w:cs="Arial"/>
          <w:sz w:val="22"/>
          <w:szCs w:val="22"/>
          <w:lang w:val="es-CL"/>
        </w:rPr>
        <w:t xml:space="preserve"> las diputadas y </w:t>
      </w:r>
      <w:r w:rsidRPr="00A43628">
        <w:rPr>
          <w:rFonts w:ascii="Arial" w:hAnsi="Arial" w:cs="Arial"/>
          <w:sz w:val="22"/>
          <w:szCs w:val="22"/>
          <w:lang w:val="es-CL"/>
        </w:rPr>
        <w:t xml:space="preserve">diputados Mellado, Ramírez, Rojas, Romero, Sáez, Sepúlveda, Soto, </w:t>
      </w:r>
      <w:proofErr w:type="spellStart"/>
      <w:r w:rsidRPr="00A43628">
        <w:rPr>
          <w:rFonts w:ascii="Arial" w:hAnsi="Arial" w:cs="Arial"/>
          <w:sz w:val="22"/>
          <w:szCs w:val="22"/>
          <w:lang w:val="es-CL"/>
        </w:rPr>
        <w:t>Von</w:t>
      </w:r>
      <w:proofErr w:type="spellEnd"/>
      <w:r w:rsidRPr="00A43628">
        <w:rPr>
          <w:rFonts w:ascii="Arial" w:hAnsi="Arial" w:cs="Arial"/>
          <w:sz w:val="22"/>
          <w:szCs w:val="22"/>
          <w:lang w:val="es-CL"/>
        </w:rPr>
        <w:t xml:space="preserve"> </w:t>
      </w:r>
      <w:proofErr w:type="spellStart"/>
      <w:r w:rsidRPr="00A43628">
        <w:rPr>
          <w:rFonts w:ascii="Arial" w:hAnsi="Arial" w:cs="Arial"/>
          <w:sz w:val="22"/>
          <w:szCs w:val="22"/>
          <w:lang w:val="es-CL"/>
        </w:rPr>
        <w:t>Mühlenbrock</w:t>
      </w:r>
      <w:proofErr w:type="spellEnd"/>
      <w:r w:rsidRPr="00A43628">
        <w:rPr>
          <w:rFonts w:ascii="Arial" w:hAnsi="Arial" w:cs="Arial"/>
          <w:sz w:val="22"/>
          <w:szCs w:val="22"/>
          <w:lang w:val="es-CL"/>
        </w:rPr>
        <w:t xml:space="preserve"> y </w:t>
      </w:r>
      <w:proofErr w:type="spellStart"/>
      <w:r w:rsidRPr="00A43628">
        <w:rPr>
          <w:rFonts w:ascii="Arial" w:hAnsi="Arial" w:cs="Arial"/>
          <w:sz w:val="22"/>
          <w:szCs w:val="22"/>
          <w:lang w:val="es-CL"/>
        </w:rPr>
        <w:t>Yeomans</w:t>
      </w:r>
      <w:proofErr w:type="spellEnd"/>
      <w:r w:rsidR="00DD0B26">
        <w:rPr>
          <w:rFonts w:ascii="Arial" w:hAnsi="Arial" w:cs="Arial"/>
          <w:sz w:val="22"/>
          <w:szCs w:val="22"/>
          <w:lang w:val="es-CL"/>
        </w:rPr>
        <w:t xml:space="preserve"> (Presidenta)</w:t>
      </w:r>
      <w:r w:rsidRPr="00A43628">
        <w:rPr>
          <w:rFonts w:ascii="Arial" w:hAnsi="Arial" w:cs="Arial"/>
          <w:sz w:val="22"/>
          <w:szCs w:val="22"/>
          <w:lang w:val="es-CL"/>
        </w:rPr>
        <w:t>.</w:t>
      </w:r>
    </w:p>
    <w:p w14:paraId="326D165D" w14:textId="77777777" w:rsidR="00A43628" w:rsidRPr="00A43628" w:rsidRDefault="00A43628" w:rsidP="00A43628">
      <w:pPr>
        <w:tabs>
          <w:tab w:val="left" w:pos="0"/>
        </w:tabs>
        <w:spacing w:line="276" w:lineRule="auto"/>
        <w:ind w:right="-518" w:firstLine="1701"/>
        <w:jc w:val="both"/>
        <w:rPr>
          <w:rFonts w:ascii="Arial" w:hAnsi="Arial" w:cs="Arial"/>
          <w:sz w:val="22"/>
          <w:szCs w:val="22"/>
          <w:lang w:val="es-CL"/>
        </w:rPr>
      </w:pPr>
    </w:p>
    <w:p w14:paraId="1DFFB4BF" w14:textId="77777777" w:rsidR="00827DE9" w:rsidRPr="00827DE9" w:rsidRDefault="00827DE9" w:rsidP="00827DE9">
      <w:pPr>
        <w:tabs>
          <w:tab w:val="left" w:pos="0"/>
        </w:tabs>
        <w:spacing w:line="276" w:lineRule="auto"/>
        <w:ind w:right="-518" w:firstLine="1701"/>
        <w:jc w:val="both"/>
        <w:rPr>
          <w:rFonts w:ascii="Arial" w:hAnsi="Arial" w:cs="Arial"/>
          <w:sz w:val="22"/>
          <w:szCs w:val="22"/>
        </w:rPr>
      </w:pPr>
    </w:p>
    <w:p w14:paraId="75C5B762" w14:textId="77777777" w:rsidR="007D6A0A" w:rsidRPr="00687258" w:rsidRDefault="007D6A0A" w:rsidP="00687258">
      <w:pPr>
        <w:tabs>
          <w:tab w:val="left" w:pos="2835"/>
        </w:tabs>
        <w:spacing w:before="240" w:after="240" w:line="276" w:lineRule="auto"/>
        <w:ind w:right="-234"/>
        <w:jc w:val="center"/>
        <w:rPr>
          <w:rFonts w:ascii="Arial" w:hAnsi="Arial" w:cs="Arial"/>
          <w:spacing w:val="-3"/>
          <w:sz w:val="22"/>
          <w:szCs w:val="22"/>
        </w:rPr>
      </w:pPr>
      <w:r w:rsidRPr="00687258">
        <w:rPr>
          <w:rFonts w:ascii="Arial" w:hAnsi="Arial" w:cs="Arial"/>
          <w:sz w:val="22"/>
          <w:szCs w:val="22"/>
          <w:lang w:val="es-MX"/>
        </w:rPr>
        <w:t>********</w:t>
      </w:r>
    </w:p>
    <w:bookmarkEnd w:id="18"/>
    <w:bookmarkEnd w:id="19"/>
    <w:bookmarkEnd w:id="20"/>
    <w:p w14:paraId="3D192D0D" w14:textId="77777777" w:rsidR="00A422F4" w:rsidRPr="00687258" w:rsidRDefault="00A422F4" w:rsidP="00687258">
      <w:pPr>
        <w:tabs>
          <w:tab w:val="left" w:pos="2268"/>
        </w:tabs>
        <w:spacing w:line="276" w:lineRule="auto"/>
        <w:ind w:right="-234" w:firstLine="1701"/>
        <w:jc w:val="both"/>
        <w:rPr>
          <w:rFonts w:ascii="Arial" w:hAnsi="Arial" w:cs="Arial"/>
          <w:spacing w:val="-3"/>
          <w:sz w:val="22"/>
          <w:szCs w:val="22"/>
          <w:lang w:val="es-CL" w:eastAsia="en-US" w:bidi="en-US"/>
        </w:rPr>
      </w:pPr>
      <w:r w:rsidRPr="00687258">
        <w:rPr>
          <w:rFonts w:ascii="Arial" w:hAnsi="Arial" w:cs="Arial"/>
          <w:spacing w:val="-3"/>
          <w:sz w:val="22"/>
          <w:szCs w:val="22"/>
          <w:lang w:val="es-CL" w:eastAsia="en-US" w:bidi="en-US"/>
        </w:rPr>
        <w:lastRenderedPageBreak/>
        <w:t xml:space="preserve">Por las razones señaladas y consideraciones que expondrá el Diputado Informante, la Comisión de Hacienda recomienda aprobar los artículos sometidos a su conocimiento, en la forma explicada. </w:t>
      </w:r>
    </w:p>
    <w:p w14:paraId="09E22EB5" w14:textId="77777777" w:rsidR="00CD4DF2" w:rsidRPr="00687258" w:rsidRDefault="00CD4DF2" w:rsidP="00687258">
      <w:pPr>
        <w:spacing w:after="160" w:line="276" w:lineRule="auto"/>
        <w:ind w:right="-234" w:firstLine="1701"/>
        <w:jc w:val="both"/>
        <w:rPr>
          <w:rFonts w:ascii="Arial" w:hAnsi="Arial" w:cs="Arial"/>
          <w:snapToGrid w:val="0"/>
          <w:sz w:val="22"/>
          <w:szCs w:val="22"/>
        </w:rPr>
      </w:pPr>
    </w:p>
    <w:p w14:paraId="45268735" w14:textId="77777777" w:rsidR="001D3430" w:rsidRPr="001D3430" w:rsidRDefault="001D3430" w:rsidP="001D3430">
      <w:pPr>
        <w:spacing w:line="276" w:lineRule="auto"/>
        <w:ind w:right="-518" w:firstLine="1701"/>
        <w:jc w:val="both"/>
        <w:rPr>
          <w:rFonts w:ascii="Arial" w:hAnsi="Arial" w:cs="Arial"/>
          <w:sz w:val="22"/>
          <w:szCs w:val="22"/>
          <w:lang w:val="es-ES_tradnl"/>
        </w:rPr>
      </w:pPr>
      <w:r w:rsidRPr="001D3430">
        <w:rPr>
          <w:rFonts w:ascii="Arial" w:hAnsi="Arial" w:cs="Arial"/>
          <w:sz w:val="22"/>
          <w:szCs w:val="22"/>
          <w:lang w:val="es-ES_tradnl"/>
        </w:rPr>
        <w:t xml:space="preserve">Tratado y acordado en la sesión ordinaria celebrada el 19 de abril del año en curso, con la asistencia presencial o remota, de los diputados señores, Miguel Mellado Suazo, Guillermo Ramírez Diez,  Agustín Romero Leiva, Jaime Sáez Quiroz, Alexis Sepúlveda Soto, Raúl Soto Mardones, Gastón </w:t>
      </w:r>
      <w:proofErr w:type="spellStart"/>
      <w:r w:rsidRPr="001D3430">
        <w:rPr>
          <w:rFonts w:ascii="Arial" w:hAnsi="Arial" w:cs="Arial"/>
          <w:sz w:val="22"/>
          <w:szCs w:val="22"/>
          <w:lang w:val="es-ES_tradnl"/>
        </w:rPr>
        <w:t>Von</w:t>
      </w:r>
      <w:proofErr w:type="spellEnd"/>
      <w:r w:rsidRPr="001D3430">
        <w:rPr>
          <w:rFonts w:ascii="Arial" w:hAnsi="Arial" w:cs="Arial"/>
          <w:sz w:val="22"/>
          <w:szCs w:val="22"/>
          <w:lang w:val="es-ES_tradnl"/>
        </w:rPr>
        <w:t xml:space="preserve"> </w:t>
      </w:r>
      <w:proofErr w:type="spellStart"/>
      <w:r w:rsidRPr="001D3430">
        <w:rPr>
          <w:rFonts w:ascii="Arial" w:hAnsi="Arial" w:cs="Arial"/>
          <w:sz w:val="22"/>
          <w:szCs w:val="22"/>
          <w:lang w:val="es-ES_tradnl"/>
        </w:rPr>
        <w:t>Mühlenbrock</w:t>
      </w:r>
      <w:proofErr w:type="spellEnd"/>
      <w:r w:rsidRPr="001D3430">
        <w:rPr>
          <w:rFonts w:ascii="Arial" w:hAnsi="Arial" w:cs="Arial"/>
          <w:sz w:val="22"/>
          <w:szCs w:val="22"/>
          <w:lang w:val="es-ES_tradnl"/>
        </w:rPr>
        <w:t xml:space="preserve"> Zamora y señoras, Camila Rojas Valderrama y Gael Yeomans Araya (Presidenta). </w:t>
      </w:r>
    </w:p>
    <w:p w14:paraId="721DD198" w14:textId="77777777" w:rsidR="00CD4DF2" w:rsidRDefault="00CD4DF2" w:rsidP="00CD4DF2">
      <w:pPr>
        <w:spacing w:after="160" w:line="276" w:lineRule="auto"/>
        <w:ind w:right="-234" w:firstLine="1701"/>
        <w:jc w:val="both"/>
        <w:rPr>
          <w:rFonts w:ascii="Arial" w:hAnsi="Arial" w:cs="Arial"/>
          <w:sz w:val="22"/>
          <w:szCs w:val="22"/>
        </w:rPr>
      </w:pPr>
    </w:p>
    <w:p w14:paraId="7CFEB026" w14:textId="77777777" w:rsidR="00CD4DF2" w:rsidRPr="00861179" w:rsidRDefault="00CD4DF2" w:rsidP="00CD4DF2">
      <w:pPr>
        <w:spacing w:after="160" w:line="276" w:lineRule="auto"/>
        <w:ind w:right="-234" w:firstLine="1701"/>
        <w:jc w:val="both"/>
        <w:rPr>
          <w:rFonts w:ascii="Arial" w:eastAsiaTheme="minorHAnsi" w:hAnsi="Arial" w:cs="Arial"/>
          <w:sz w:val="22"/>
          <w:szCs w:val="22"/>
          <w:lang w:val="es-CL" w:eastAsia="en-US"/>
        </w:rPr>
      </w:pPr>
    </w:p>
    <w:p w14:paraId="51B88C6D" w14:textId="77777777" w:rsidR="00294656" w:rsidRPr="00861179" w:rsidRDefault="00655FE8" w:rsidP="00861179">
      <w:pPr>
        <w:tabs>
          <w:tab w:val="left" w:pos="709"/>
        </w:tabs>
        <w:spacing w:before="120" w:line="276" w:lineRule="auto"/>
        <w:ind w:right="-234"/>
        <w:jc w:val="right"/>
        <w:rPr>
          <w:rFonts w:ascii="Arial" w:hAnsi="Arial" w:cs="Arial"/>
          <w:snapToGrid w:val="0"/>
          <w:sz w:val="22"/>
          <w:szCs w:val="22"/>
        </w:rPr>
      </w:pPr>
      <w:r w:rsidRPr="00861179">
        <w:rPr>
          <w:rFonts w:ascii="Arial" w:hAnsi="Arial" w:cs="Arial"/>
          <w:snapToGrid w:val="0"/>
          <w:sz w:val="22"/>
          <w:szCs w:val="22"/>
        </w:rPr>
        <w:t xml:space="preserve">Sala de la Comisión, a </w:t>
      </w:r>
      <w:r w:rsidR="001D3430">
        <w:rPr>
          <w:rFonts w:ascii="Arial" w:hAnsi="Arial" w:cs="Arial"/>
          <w:snapToGrid w:val="0"/>
          <w:sz w:val="22"/>
          <w:szCs w:val="22"/>
        </w:rPr>
        <w:t xml:space="preserve">19 de abril </w:t>
      </w:r>
      <w:r w:rsidR="00380F78">
        <w:rPr>
          <w:rFonts w:ascii="Arial" w:hAnsi="Arial" w:cs="Arial"/>
          <w:snapToGrid w:val="0"/>
          <w:sz w:val="22"/>
          <w:szCs w:val="22"/>
        </w:rPr>
        <w:t xml:space="preserve"> </w:t>
      </w:r>
      <w:r w:rsidR="00483DCE" w:rsidRPr="00861179">
        <w:rPr>
          <w:rFonts w:ascii="Arial" w:hAnsi="Arial" w:cs="Arial"/>
          <w:snapToGrid w:val="0"/>
          <w:sz w:val="22"/>
          <w:szCs w:val="22"/>
        </w:rPr>
        <w:t>de</w:t>
      </w:r>
      <w:r w:rsidR="00523189" w:rsidRPr="00861179">
        <w:rPr>
          <w:rFonts w:ascii="Arial" w:hAnsi="Arial" w:cs="Arial"/>
          <w:snapToGrid w:val="0"/>
          <w:sz w:val="22"/>
          <w:szCs w:val="22"/>
        </w:rPr>
        <w:t xml:space="preserve"> 202</w:t>
      </w:r>
      <w:r w:rsidR="001D3430">
        <w:rPr>
          <w:rFonts w:ascii="Arial" w:hAnsi="Arial" w:cs="Arial"/>
          <w:snapToGrid w:val="0"/>
          <w:sz w:val="22"/>
          <w:szCs w:val="22"/>
        </w:rPr>
        <w:t>3</w:t>
      </w:r>
      <w:r w:rsidR="00483DCE" w:rsidRPr="00861179">
        <w:rPr>
          <w:rFonts w:ascii="Arial" w:hAnsi="Arial" w:cs="Arial"/>
          <w:snapToGrid w:val="0"/>
          <w:sz w:val="22"/>
          <w:szCs w:val="22"/>
        </w:rPr>
        <w:t>.</w:t>
      </w:r>
    </w:p>
    <w:p w14:paraId="2FF01DB8" w14:textId="77777777" w:rsidR="00655FE8" w:rsidRDefault="00655FE8" w:rsidP="00861179">
      <w:pPr>
        <w:tabs>
          <w:tab w:val="left" w:pos="709"/>
        </w:tabs>
        <w:spacing w:line="276" w:lineRule="auto"/>
        <w:ind w:right="-234" w:firstLine="1701"/>
        <w:jc w:val="center"/>
        <w:rPr>
          <w:rFonts w:ascii="Arial" w:hAnsi="Arial" w:cs="Arial"/>
          <w:b/>
          <w:snapToGrid w:val="0"/>
          <w:sz w:val="22"/>
          <w:szCs w:val="22"/>
        </w:rPr>
      </w:pPr>
    </w:p>
    <w:p w14:paraId="29B0F9CE" w14:textId="77777777" w:rsidR="00A422F4" w:rsidRDefault="00A422F4" w:rsidP="00861179">
      <w:pPr>
        <w:tabs>
          <w:tab w:val="left" w:pos="709"/>
        </w:tabs>
        <w:spacing w:line="276" w:lineRule="auto"/>
        <w:ind w:right="-234" w:firstLine="1701"/>
        <w:jc w:val="center"/>
        <w:rPr>
          <w:rFonts w:ascii="Arial" w:hAnsi="Arial" w:cs="Arial"/>
          <w:b/>
          <w:snapToGrid w:val="0"/>
          <w:sz w:val="22"/>
          <w:szCs w:val="22"/>
        </w:rPr>
      </w:pPr>
    </w:p>
    <w:p w14:paraId="056C2523" w14:textId="77777777" w:rsidR="00A422F4" w:rsidRDefault="00A422F4" w:rsidP="00861179">
      <w:pPr>
        <w:tabs>
          <w:tab w:val="left" w:pos="709"/>
        </w:tabs>
        <w:spacing w:line="276" w:lineRule="auto"/>
        <w:ind w:right="-234" w:firstLine="1701"/>
        <w:jc w:val="center"/>
        <w:rPr>
          <w:rFonts w:ascii="Arial" w:hAnsi="Arial" w:cs="Arial"/>
          <w:b/>
          <w:snapToGrid w:val="0"/>
          <w:sz w:val="22"/>
          <w:szCs w:val="22"/>
        </w:rPr>
      </w:pPr>
    </w:p>
    <w:p w14:paraId="20D96644" w14:textId="77777777" w:rsidR="00A422F4" w:rsidRDefault="00A422F4" w:rsidP="00861179">
      <w:pPr>
        <w:tabs>
          <w:tab w:val="left" w:pos="709"/>
        </w:tabs>
        <w:spacing w:line="276" w:lineRule="auto"/>
        <w:ind w:right="-234" w:firstLine="1701"/>
        <w:jc w:val="center"/>
        <w:rPr>
          <w:rFonts w:ascii="Arial" w:hAnsi="Arial" w:cs="Arial"/>
          <w:b/>
          <w:snapToGrid w:val="0"/>
          <w:sz w:val="22"/>
          <w:szCs w:val="22"/>
        </w:rPr>
      </w:pPr>
    </w:p>
    <w:p w14:paraId="4F34FB2B" w14:textId="77777777" w:rsidR="00A422F4" w:rsidRPr="00861179" w:rsidRDefault="00A422F4" w:rsidP="00861179">
      <w:pPr>
        <w:tabs>
          <w:tab w:val="left" w:pos="709"/>
        </w:tabs>
        <w:spacing w:line="276" w:lineRule="auto"/>
        <w:ind w:right="-234" w:firstLine="1701"/>
        <w:jc w:val="center"/>
        <w:rPr>
          <w:rFonts w:ascii="Arial" w:hAnsi="Arial" w:cs="Arial"/>
          <w:b/>
          <w:snapToGrid w:val="0"/>
          <w:sz w:val="22"/>
          <w:szCs w:val="22"/>
        </w:rPr>
      </w:pPr>
    </w:p>
    <w:p w14:paraId="3E9490DD" w14:textId="77777777" w:rsidR="00185BD9" w:rsidRPr="00861179" w:rsidRDefault="0021585A" w:rsidP="00861179">
      <w:pPr>
        <w:tabs>
          <w:tab w:val="left" w:pos="709"/>
        </w:tabs>
        <w:spacing w:line="276" w:lineRule="auto"/>
        <w:ind w:right="-234"/>
        <w:jc w:val="center"/>
        <w:rPr>
          <w:rFonts w:ascii="Arial" w:hAnsi="Arial" w:cs="Arial"/>
          <w:b/>
          <w:snapToGrid w:val="0"/>
          <w:sz w:val="22"/>
          <w:szCs w:val="22"/>
        </w:rPr>
      </w:pPr>
      <w:r w:rsidRPr="00861179">
        <w:rPr>
          <w:rFonts w:ascii="Arial" w:hAnsi="Arial" w:cs="Arial"/>
          <w:b/>
          <w:snapToGrid w:val="0"/>
          <w:sz w:val="22"/>
          <w:szCs w:val="22"/>
        </w:rPr>
        <w:t>MARÍA EUGENIA SILVA FERRER</w:t>
      </w:r>
    </w:p>
    <w:p w14:paraId="64864BDE" w14:textId="77777777" w:rsidR="00F746CE" w:rsidRPr="00861179" w:rsidRDefault="00F746CE" w:rsidP="00861179">
      <w:pPr>
        <w:tabs>
          <w:tab w:val="left" w:pos="709"/>
        </w:tabs>
        <w:spacing w:line="276" w:lineRule="auto"/>
        <w:ind w:right="-234"/>
        <w:jc w:val="center"/>
        <w:rPr>
          <w:rFonts w:ascii="Arial" w:hAnsi="Arial" w:cs="Arial"/>
          <w:b/>
          <w:snapToGrid w:val="0"/>
          <w:sz w:val="22"/>
          <w:szCs w:val="22"/>
        </w:rPr>
      </w:pPr>
      <w:r w:rsidRPr="00861179">
        <w:rPr>
          <w:rFonts w:ascii="Arial" w:hAnsi="Arial" w:cs="Arial"/>
          <w:b/>
          <w:snapToGrid w:val="0"/>
          <w:sz w:val="22"/>
          <w:szCs w:val="22"/>
        </w:rPr>
        <w:t>Abogad</w:t>
      </w:r>
      <w:r w:rsidR="0021585A" w:rsidRPr="00861179">
        <w:rPr>
          <w:rFonts w:ascii="Arial" w:hAnsi="Arial" w:cs="Arial"/>
          <w:b/>
          <w:snapToGrid w:val="0"/>
          <w:sz w:val="22"/>
          <w:szCs w:val="22"/>
        </w:rPr>
        <w:t>o</w:t>
      </w:r>
      <w:r w:rsidRPr="00861179">
        <w:rPr>
          <w:rFonts w:ascii="Arial" w:hAnsi="Arial" w:cs="Arial"/>
          <w:b/>
          <w:snapToGrid w:val="0"/>
          <w:sz w:val="22"/>
          <w:szCs w:val="22"/>
        </w:rPr>
        <w:t xml:space="preserve"> Secretaria de Comisiones</w:t>
      </w:r>
    </w:p>
    <w:sectPr w:rsidR="00F746CE" w:rsidRPr="00861179" w:rsidSect="000C75B4">
      <w:headerReference w:type="even" r:id="rId12"/>
      <w:headerReference w:type="default" r:id="rId13"/>
      <w:pgSz w:w="12240" w:h="20160" w:code="5"/>
      <w:pgMar w:top="2552" w:right="1701" w:bottom="2835" w:left="226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BE2F" w14:textId="77777777" w:rsidR="000D2EAE" w:rsidRDefault="000D2EAE" w:rsidP="00F746CE">
      <w:pPr>
        <w:pStyle w:val="Textoindependiente"/>
      </w:pPr>
      <w:r>
        <w:separator/>
      </w:r>
    </w:p>
  </w:endnote>
  <w:endnote w:type="continuationSeparator" w:id="0">
    <w:p w14:paraId="50D07C12" w14:textId="77777777" w:rsidR="000D2EAE" w:rsidRDefault="000D2EAE" w:rsidP="00F746CE">
      <w:pPr>
        <w:pStyle w:val="Texto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4E5D" w14:textId="77777777" w:rsidR="000D2EAE" w:rsidRDefault="000D2EAE" w:rsidP="00F746CE">
      <w:pPr>
        <w:pStyle w:val="Textoindependiente"/>
      </w:pPr>
      <w:r>
        <w:separator/>
      </w:r>
    </w:p>
  </w:footnote>
  <w:footnote w:type="continuationSeparator" w:id="0">
    <w:p w14:paraId="545D4BF3" w14:textId="77777777" w:rsidR="000D2EAE" w:rsidRDefault="000D2EAE" w:rsidP="00F746CE">
      <w:pPr>
        <w:pStyle w:val="Textoindependiente"/>
      </w:pPr>
      <w:r>
        <w:continuationSeparator/>
      </w:r>
    </w:p>
  </w:footnote>
  <w:footnote w:id="1">
    <w:p w14:paraId="1DDCC286" w14:textId="77777777" w:rsidR="00DA6CF4" w:rsidRPr="00BF398A" w:rsidRDefault="00DA6CF4" w:rsidP="00BF398A">
      <w:pPr>
        <w:pStyle w:val="Textonotapie"/>
        <w:ind w:right="-518"/>
        <w:jc w:val="both"/>
        <w:rPr>
          <w:rFonts w:ascii="Arial" w:hAnsi="Arial" w:cs="Arial"/>
          <w:sz w:val="18"/>
          <w:szCs w:val="18"/>
        </w:rPr>
      </w:pPr>
      <w:r w:rsidRPr="00BF398A">
        <w:rPr>
          <w:rStyle w:val="Refdenotaalpie"/>
          <w:rFonts w:ascii="Arial" w:hAnsi="Arial" w:cs="Arial"/>
          <w:sz w:val="18"/>
          <w:szCs w:val="18"/>
        </w:rPr>
        <w:footnoteRef/>
      </w:r>
      <w:r w:rsidRPr="00BF398A">
        <w:rPr>
          <w:rFonts w:ascii="Arial" w:hAnsi="Arial" w:cs="Arial"/>
          <w:sz w:val="18"/>
          <w:szCs w:val="18"/>
        </w:rPr>
        <w:t xml:space="preserve"> </w:t>
      </w:r>
      <w:hyperlink r:id="rId1" w:history="1">
        <w:r w:rsidRPr="00BF398A">
          <w:rPr>
            <w:rStyle w:val="Hipervnculo"/>
            <w:rFonts w:ascii="Arial" w:hAnsi="Arial" w:cs="Arial"/>
            <w:sz w:val="18"/>
            <w:szCs w:val="18"/>
          </w:rPr>
          <w:t>Boletín N° 7886-03</w:t>
        </w:r>
      </w:hyperlink>
      <w:r w:rsidRPr="00BF398A">
        <w:rPr>
          <w:rFonts w:ascii="Arial" w:hAnsi="Arial" w:cs="Arial"/>
          <w:sz w:val="18"/>
          <w:szCs w:val="18"/>
        </w:rPr>
        <w:t>, regula el tratamiento de la información sobre obligaciones de carácter financiero o crediticio.</w:t>
      </w:r>
    </w:p>
  </w:footnote>
  <w:footnote w:id="2">
    <w:p w14:paraId="391F6333" w14:textId="77777777" w:rsidR="00BF398A" w:rsidRPr="009C6AA2" w:rsidRDefault="00BF398A" w:rsidP="00A43628">
      <w:pPr>
        <w:pStyle w:val="Textonotapie"/>
        <w:ind w:right="-518"/>
        <w:jc w:val="both"/>
        <w:rPr>
          <w:rFonts w:ascii="Verdana" w:hAnsi="Verdana"/>
          <w:sz w:val="16"/>
          <w:szCs w:val="16"/>
          <w:lang w:val="es-CL"/>
        </w:rPr>
      </w:pPr>
      <w:r w:rsidRPr="00945470">
        <w:rPr>
          <w:rStyle w:val="Refdenotaalpie"/>
          <w:rFonts w:ascii="Verdana" w:hAnsi="Verdana"/>
          <w:sz w:val="16"/>
          <w:szCs w:val="16"/>
        </w:rPr>
        <w:footnoteRef/>
      </w:r>
      <w:r w:rsidRPr="00945470">
        <w:rPr>
          <w:rFonts w:ascii="Verdana" w:hAnsi="Verdana"/>
          <w:sz w:val="16"/>
          <w:szCs w:val="16"/>
          <w:vertAlign w:val="superscript"/>
        </w:rPr>
        <w:t xml:space="preserve"> </w:t>
      </w:r>
      <w:r w:rsidRPr="009C6AA2">
        <w:rPr>
          <w:rFonts w:ascii="Verdana" w:hAnsi="Verdana"/>
          <w:sz w:val="16"/>
          <w:szCs w:val="16"/>
          <w:lang w:val="es-CL"/>
        </w:rPr>
        <w:t>Para determinar los montos expuestos para el primer y segundo año de implementación se consideró</w:t>
      </w:r>
      <w:r>
        <w:rPr>
          <w:rFonts w:ascii="Verdana" w:hAnsi="Verdana"/>
          <w:sz w:val="16"/>
          <w:szCs w:val="16"/>
          <w:lang w:val="es-CL"/>
        </w:rPr>
        <w:t xml:space="preserve"> la construcción de un registro de consultas con una volumetría promedio de 206 consultas por Minuto.</w:t>
      </w:r>
      <w:r w:rsidRPr="009C6AA2">
        <w:rPr>
          <w:rFonts w:ascii="Verdana" w:hAnsi="Verdana"/>
          <w:sz w:val="16"/>
          <w:szCs w:val="16"/>
          <w:lang w:val="es-CL"/>
        </w:rPr>
        <w:t xml:space="preserve"> </w:t>
      </w:r>
      <w:r>
        <w:rPr>
          <w:rFonts w:ascii="Verdana" w:hAnsi="Verdana"/>
          <w:sz w:val="16"/>
          <w:szCs w:val="16"/>
          <w:lang w:val="es-CL"/>
        </w:rPr>
        <w:t>En base a dicha volumetría se simuló el</w:t>
      </w:r>
      <w:r w:rsidRPr="009C6AA2">
        <w:rPr>
          <w:rFonts w:ascii="Verdana" w:hAnsi="Verdana"/>
          <w:sz w:val="16"/>
          <w:szCs w:val="16"/>
          <w:lang w:val="es-CL"/>
        </w:rPr>
        <w:t xml:space="preserve"> costo de contratación de un equipo desarrollador compuesto por un jefe de proyecto, arquitecto (de sistemas), un experto en </w:t>
      </w:r>
      <w:r w:rsidRPr="009C6AA2">
        <w:rPr>
          <w:rFonts w:ascii="Verdana" w:hAnsi="Verdana"/>
          <w:sz w:val="16"/>
          <w:szCs w:val="16"/>
          <w:lang w:val="es-CL"/>
        </w:rPr>
        <w:t>ciberseguridad, un administrador de base de datos, un analista, un diseñador, un encargado de desarrollo y operaciones y un profesional en QA (</w:t>
      </w:r>
      <w:r>
        <w:rPr>
          <w:rFonts w:ascii="Verdana" w:hAnsi="Verdana"/>
          <w:sz w:val="16"/>
          <w:szCs w:val="16"/>
          <w:lang w:val="es-CL"/>
        </w:rPr>
        <w:t>control</w:t>
      </w:r>
      <w:r w:rsidRPr="009C6AA2">
        <w:rPr>
          <w:rFonts w:ascii="Verdana" w:hAnsi="Verdana"/>
          <w:sz w:val="16"/>
          <w:szCs w:val="16"/>
          <w:lang w:val="es-CL"/>
        </w:rPr>
        <w:t xml:space="preserve"> de calidad). </w:t>
      </w:r>
      <w:r>
        <w:rPr>
          <w:rFonts w:ascii="Verdana" w:hAnsi="Verdana"/>
          <w:sz w:val="16"/>
          <w:szCs w:val="16"/>
          <w:lang w:val="es-CL"/>
        </w:rPr>
        <w:t>Para determinar el costo del equipo se utilizaron valores de Mercado Público ajustándolo al valor de la Unidad de Fomento a marzo del 2021 y luego dicho valor se lleva a pesos de 2023, considerando la inflación efectiva informada por el Banco Central de Chile (2021-2022) y esperada para 2023 de acuerdo al Escenario Macroeconómico del Informe de Finanzas Públicas del cuarto trimestre de 2022.</w:t>
      </w:r>
    </w:p>
  </w:footnote>
  <w:footnote w:id="3">
    <w:p w14:paraId="042D712D" w14:textId="77777777" w:rsidR="00BF398A" w:rsidRPr="00F53A5D" w:rsidRDefault="00BF398A" w:rsidP="00A43628">
      <w:pPr>
        <w:pStyle w:val="Textonotapie"/>
        <w:ind w:right="-518"/>
        <w:jc w:val="both"/>
      </w:pPr>
      <w:r w:rsidRPr="00945470">
        <w:rPr>
          <w:rStyle w:val="Refdenotaalpie"/>
        </w:rPr>
        <w:footnoteRef/>
      </w:r>
      <w:r w:rsidRPr="00945470">
        <w:rPr>
          <w:vertAlign w:val="superscript"/>
        </w:rPr>
        <w:t xml:space="preserve"> </w:t>
      </w:r>
      <w:r>
        <w:rPr>
          <w:rFonts w:ascii="Verdana" w:hAnsi="Verdana"/>
          <w:sz w:val="16"/>
          <w:szCs w:val="16"/>
        </w:rPr>
        <w:t>Esto</w:t>
      </w:r>
      <w:r w:rsidRPr="00F53A5D">
        <w:rPr>
          <w:rFonts w:ascii="Verdana" w:hAnsi="Verdana"/>
          <w:sz w:val="16"/>
          <w:szCs w:val="16"/>
          <w:lang w:val="es-CL"/>
        </w:rPr>
        <w:t xml:space="preserve"> considera soporte y mantenimiento; seguridad y </w:t>
      </w:r>
      <w:r w:rsidRPr="00F53A5D">
        <w:rPr>
          <w:rFonts w:ascii="Verdana" w:hAnsi="Verdana"/>
          <w:sz w:val="16"/>
          <w:szCs w:val="16"/>
          <w:lang w:val="es-CL"/>
        </w:rPr>
        <w:t>ciberseguridad; conectividad y respaldo; producción y desarrollo de hardware, control de calidad y licencias.</w:t>
      </w:r>
      <w:r>
        <w:rPr>
          <w:rFonts w:ascii="Verdana" w:hAnsi="Verdana"/>
          <w:sz w:val="16"/>
          <w:szCs w:val="16"/>
          <w:lang w:val="es-CL"/>
        </w:rPr>
        <w:t xml:space="preserve"> Para el cálculo de estos costos se utilizan aproximaciones basadas en los valores internacionales de estos servicios, ajustados a pesos chilenos según el precio promedio del dólar del IFP del cuarto trimestre de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01D7" w14:textId="77777777" w:rsidR="00840AF5" w:rsidRDefault="00840AF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4D679A" w14:textId="77777777" w:rsidR="00840AF5" w:rsidRDefault="00840AF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C998" w14:textId="77777777" w:rsidR="00840AF5" w:rsidRDefault="00840AF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06CF">
      <w:rPr>
        <w:rStyle w:val="Nmerodepgina"/>
        <w:noProof/>
      </w:rPr>
      <w:t>11</w:t>
    </w:r>
    <w:r>
      <w:rPr>
        <w:rStyle w:val="Nmerodepgina"/>
      </w:rPr>
      <w:fldChar w:fldCharType="end"/>
    </w:r>
  </w:p>
  <w:p w14:paraId="6A9CC274" w14:textId="77777777" w:rsidR="00840AF5" w:rsidRDefault="00840AF5">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D64"/>
    <w:multiLevelType w:val="hybridMultilevel"/>
    <w:tmpl w:val="EDA8EA60"/>
    <w:lvl w:ilvl="0" w:tplc="E384F35E">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1" w15:restartNumberingAfterBreak="0">
    <w:nsid w:val="089F7C37"/>
    <w:multiLevelType w:val="hybridMultilevel"/>
    <w:tmpl w:val="F0FA344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F16374"/>
    <w:multiLevelType w:val="hybridMultilevel"/>
    <w:tmpl w:val="1954EFA4"/>
    <w:lvl w:ilvl="0" w:tplc="03E2644C">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3" w15:restartNumberingAfterBreak="0">
    <w:nsid w:val="1258697C"/>
    <w:multiLevelType w:val="hybridMultilevel"/>
    <w:tmpl w:val="F57A0F1C"/>
    <w:lvl w:ilvl="0" w:tplc="E8C21AF6">
      <w:start w:val="1"/>
      <w:numFmt w:val="lowerLetter"/>
      <w:lvlText w:val="%1)"/>
      <w:lvlJc w:val="left"/>
      <w:pPr>
        <w:ind w:left="3195" w:hanging="360"/>
      </w:pPr>
      <w:rPr>
        <w:rFonts w:hint="default"/>
        <w:b/>
        <w:bCs w:val="0"/>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4" w15:restartNumberingAfterBreak="0">
    <w:nsid w:val="4A3D4814"/>
    <w:multiLevelType w:val="hybridMultilevel"/>
    <w:tmpl w:val="E09A2346"/>
    <w:lvl w:ilvl="0" w:tplc="42648752">
      <w:start w:val="3"/>
      <w:numFmt w:val="bullet"/>
      <w:lvlText w:val="-"/>
      <w:lvlJc w:val="left"/>
      <w:pPr>
        <w:ind w:left="2061" w:hanging="360"/>
      </w:pPr>
      <w:rPr>
        <w:rFonts w:ascii="Calibri" w:eastAsiaTheme="minorHAnsi" w:hAnsi="Calibri" w:cs="Calibri"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5" w15:restartNumberingAfterBreak="0">
    <w:nsid w:val="4DE509B4"/>
    <w:multiLevelType w:val="hybridMultilevel"/>
    <w:tmpl w:val="3D3A284C"/>
    <w:lvl w:ilvl="0" w:tplc="6EF4ECD0">
      <w:start w:val="1"/>
      <w:numFmt w:val="decimal"/>
      <w:lvlText w:val="%1."/>
      <w:lvlJc w:val="left"/>
      <w:pPr>
        <w:ind w:left="2061" w:hanging="360"/>
      </w:pPr>
      <w:rPr>
        <w:rFonts w:ascii="Arial MT" w:hAnsi="Arial MT"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6" w15:restartNumberingAfterBreak="0">
    <w:nsid w:val="68455D91"/>
    <w:multiLevelType w:val="hybridMultilevel"/>
    <w:tmpl w:val="A308DD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CE23163"/>
    <w:multiLevelType w:val="hybridMultilevel"/>
    <w:tmpl w:val="BE3235B2"/>
    <w:lvl w:ilvl="0" w:tplc="280CD924">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num w:numId="1" w16cid:durableId="1350640192">
    <w:abstractNumId w:val="1"/>
  </w:num>
  <w:num w:numId="2" w16cid:durableId="530193443">
    <w:abstractNumId w:val="3"/>
  </w:num>
  <w:num w:numId="3" w16cid:durableId="1941642383">
    <w:abstractNumId w:val="6"/>
  </w:num>
  <w:num w:numId="4" w16cid:durableId="1872255599">
    <w:abstractNumId w:val="4"/>
  </w:num>
  <w:num w:numId="5" w16cid:durableId="861170711">
    <w:abstractNumId w:val="5"/>
  </w:num>
  <w:num w:numId="6" w16cid:durableId="121969602">
    <w:abstractNumId w:val="7"/>
  </w:num>
  <w:num w:numId="7" w16cid:durableId="1551648719">
    <w:abstractNumId w:val="2"/>
  </w:num>
  <w:num w:numId="8" w16cid:durableId="2320131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DCD"/>
    <w:rsid w:val="00000667"/>
    <w:rsid w:val="00000917"/>
    <w:rsid w:val="00002A12"/>
    <w:rsid w:val="00003F08"/>
    <w:rsid w:val="00004ACA"/>
    <w:rsid w:val="00005150"/>
    <w:rsid w:val="000057C7"/>
    <w:rsid w:val="0001136E"/>
    <w:rsid w:val="00013711"/>
    <w:rsid w:val="00014E0B"/>
    <w:rsid w:val="000153B5"/>
    <w:rsid w:val="00020981"/>
    <w:rsid w:val="00021311"/>
    <w:rsid w:val="00021CB1"/>
    <w:rsid w:val="00022B6E"/>
    <w:rsid w:val="00023322"/>
    <w:rsid w:val="0002367D"/>
    <w:rsid w:val="0002381C"/>
    <w:rsid w:val="00023C3F"/>
    <w:rsid w:val="00032EA7"/>
    <w:rsid w:val="000334A6"/>
    <w:rsid w:val="00034AFD"/>
    <w:rsid w:val="0003642C"/>
    <w:rsid w:val="00037879"/>
    <w:rsid w:val="00037E91"/>
    <w:rsid w:val="000425F4"/>
    <w:rsid w:val="00042AC3"/>
    <w:rsid w:val="00043B08"/>
    <w:rsid w:val="0004491C"/>
    <w:rsid w:val="00051C6D"/>
    <w:rsid w:val="00052706"/>
    <w:rsid w:val="000527BF"/>
    <w:rsid w:val="00054C9D"/>
    <w:rsid w:val="000562FC"/>
    <w:rsid w:val="00056AFD"/>
    <w:rsid w:val="00057973"/>
    <w:rsid w:val="00057BCD"/>
    <w:rsid w:val="00060F6E"/>
    <w:rsid w:val="00062504"/>
    <w:rsid w:val="00065AED"/>
    <w:rsid w:val="00067CA1"/>
    <w:rsid w:val="0007103D"/>
    <w:rsid w:val="000712D1"/>
    <w:rsid w:val="00072B9B"/>
    <w:rsid w:val="00074B63"/>
    <w:rsid w:val="000771A8"/>
    <w:rsid w:val="000824FA"/>
    <w:rsid w:val="00085DC0"/>
    <w:rsid w:val="00086A01"/>
    <w:rsid w:val="00087447"/>
    <w:rsid w:val="00087A84"/>
    <w:rsid w:val="0009254C"/>
    <w:rsid w:val="00092663"/>
    <w:rsid w:val="00092F02"/>
    <w:rsid w:val="0009308D"/>
    <w:rsid w:val="00093CDA"/>
    <w:rsid w:val="000944AB"/>
    <w:rsid w:val="0009559B"/>
    <w:rsid w:val="0009764F"/>
    <w:rsid w:val="000A0900"/>
    <w:rsid w:val="000A5135"/>
    <w:rsid w:val="000A5DC6"/>
    <w:rsid w:val="000A647D"/>
    <w:rsid w:val="000A6BE6"/>
    <w:rsid w:val="000B00ED"/>
    <w:rsid w:val="000B03DA"/>
    <w:rsid w:val="000B07C2"/>
    <w:rsid w:val="000B238E"/>
    <w:rsid w:val="000B2A99"/>
    <w:rsid w:val="000B5DC5"/>
    <w:rsid w:val="000B6677"/>
    <w:rsid w:val="000B7411"/>
    <w:rsid w:val="000B7D3A"/>
    <w:rsid w:val="000C02CC"/>
    <w:rsid w:val="000C49AE"/>
    <w:rsid w:val="000C5321"/>
    <w:rsid w:val="000C5384"/>
    <w:rsid w:val="000C7124"/>
    <w:rsid w:val="000C75B4"/>
    <w:rsid w:val="000C7DA1"/>
    <w:rsid w:val="000D0F07"/>
    <w:rsid w:val="000D2B0F"/>
    <w:rsid w:val="000D2EAE"/>
    <w:rsid w:val="000D328C"/>
    <w:rsid w:val="000D493D"/>
    <w:rsid w:val="000D5486"/>
    <w:rsid w:val="000D5A97"/>
    <w:rsid w:val="000D5AB6"/>
    <w:rsid w:val="000D5E8D"/>
    <w:rsid w:val="000D5EB4"/>
    <w:rsid w:val="000D6EF9"/>
    <w:rsid w:val="000D71CB"/>
    <w:rsid w:val="000D7736"/>
    <w:rsid w:val="000E0CE2"/>
    <w:rsid w:val="000E10B3"/>
    <w:rsid w:val="000E3749"/>
    <w:rsid w:val="000E41BF"/>
    <w:rsid w:val="000E59C4"/>
    <w:rsid w:val="000E7187"/>
    <w:rsid w:val="000E7FFA"/>
    <w:rsid w:val="000F1654"/>
    <w:rsid w:val="000F1A8E"/>
    <w:rsid w:val="000F2652"/>
    <w:rsid w:val="000F310F"/>
    <w:rsid w:val="000F5B43"/>
    <w:rsid w:val="00102801"/>
    <w:rsid w:val="00103562"/>
    <w:rsid w:val="00103603"/>
    <w:rsid w:val="00105D3F"/>
    <w:rsid w:val="00106E74"/>
    <w:rsid w:val="00113501"/>
    <w:rsid w:val="0011525A"/>
    <w:rsid w:val="001152C4"/>
    <w:rsid w:val="00115CE8"/>
    <w:rsid w:val="001162CB"/>
    <w:rsid w:val="00117C57"/>
    <w:rsid w:val="001206CF"/>
    <w:rsid w:val="00123E2D"/>
    <w:rsid w:val="001254D4"/>
    <w:rsid w:val="00126F20"/>
    <w:rsid w:val="00130912"/>
    <w:rsid w:val="00131010"/>
    <w:rsid w:val="00133938"/>
    <w:rsid w:val="00133B3F"/>
    <w:rsid w:val="00135755"/>
    <w:rsid w:val="00135A7C"/>
    <w:rsid w:val="00136DDF"/>
    <w:rsid w:val="001379A5"/>
    <w:rsid w:val="00140378"/>
    <w:rsid w:val="00142275"/>
    <w:rsid w:val="001425DF"/>
    <w:rsid w:val="00142DED"/>
    <w:rsid w:val="00145514"/>
    <w:rsid w:val="0014589F"/>
    <w:rsid w:val="00147EE7"/>
    <w:rsid w:val="00150D25"/>
    <w:rsid w:val="00151054"/>
    <w:rsid w:val="001510C0"/>
    <w:rsid w:val="0015307F"/>
    <w:rsid w:val="00156A56"/>
    <w:rsid w:val="00156A9B"/>
    <w:rsid w:val="001630F8"/>
    <w:rsid w:val="00163229"/>
    <w:rsid w:val="00166E12"/>
    <w:rsid w:val="00170EE5"/>
    <w:rsid w:val="00172075"/>
    <w:rsid w:val="001741FF"/>
    <w:rsid w:val="00174B4E"/>
    <w:rsid w:val="00174C5D"/>
    <w:rsid w:val="001756E7"/>
    <w:rsid w:val="001764BA"/>
    <w:rsid w:val="0017668F"/>
    <w:rsid w:val="001766C6"/>
    <w:rsid w:val="00176D05"/>
    <w:rsid w:val="001800B6"/>
    <w:rsid w:val="001818DD"/>
    <w:rsid w:val="00185BD9"/>
    <w:rsid w:val="0018702E"/>
    <w:rsid w:val="00191A4A"/>
    <w:rsid w:val="00193E90"/>
    <w:rsid w:val="0019447D"/>
    <w:rsid w:val="001955B6"/>
    <w:rsid w:val="0019686D"/>
    <w:rsid w:val="0019720E"/>
    <w:rsid w:val="00197271"/>
    <w:rsid w:val="00197757"/>
    <w:rsid w:val="00197B10"/>
    <w:rsid w:val="001A0810"/>
    <w:rsid w:val="001A1D0A"/>
    <w:rsid w:val="001A2456"/>
    <w:rsid w:val="001A35F9"/>
    <w:rsid w:val="001A62A7"/>
    <w:rsid w:val="001B1271"/>
    <w:rsid w:val="001B3AF4"/>
    <w:rsid w:val="001B40C7"/>
    <w:rsid w:val="001B4C09"/>
    <w:rsid w:val="001C07A9"/>
    <w:rsid w:val="001C2164"/>
    <w:rsid w:val="001C4F95"/>
    <w:rsid w:val="001C6EB2"/>
    <w:rsid w:val="001D0053"/>
    <w:rsid w:val="001D3430"/>
    <w:rsid w:val="001D36A4"/>
    <w:rsid w:val="001D64F7"/>
    <w:rsid w:val="001D6523"/>
    <w:rsid w:val="001D6A3B"/>
    <w:rsid w:val="001D7DFE"/>
    <w:rsid w:val="001E05A1"/>
    <w:rsid w:val="001E17F6"/>
    <w:rsid w:val="001E27B5"/>
    <w:rsid w:val="001E3A0E"/>
    <w:rsid w:val="001E63F2"/>
    <w:rsid w:val="001F072B"/>
    <w:rsid w:val="001F2947"/>
    <w:rsid w:val="001F420D"/>
    <w:rsid w:val="001F446D"/>
    <w:rsid w:val="001F5028"/>
    <w:rsid w:val="00200FED"/>
    <w:rsid w:val="002020D3"/>
    <w:rsid w:val="002027C8"/>
    <w:rsid w:val="00205C20"/>
    <w:rsid w:val="00205E76"/>
    <w:rsid w:val="00206486"/>
    <w:rsid w:val="00210B74"/>
    <w:rsid w:val="00212FE8"/>
    <w:rsid w:val="002156B1"/>
    <w:rsid w:val="0021585A"/>
    <w:rsid w:val="00215D5D"/>
    <w:rsid w:val="002172E8"/>
    <w:rsid w:val="0021762B"/>
    <w:rsid w:val="00217A99"/>
    <w:rsid w:val="00217E87"/>
    <w:rsid w:val="002222F4"/>
    <w:rsid w:val="00227253"/>
    <w:rsid w:val="0022753B"/>
    <w:rsid w:val="0023092F"/>
    <w:rsid w:val="002319D2"/>
    <w:rsid w:val="00231A63"/>
    <w:rsid w:val="002321BC"/>
    <w:rsid w:val="002325F5"/>
    <w:rsid w:val="00236446"/>
    <w:rsid w:val="00240210"/>
    <w:rsid w:val="0024126E"/>
    <w:rsid w:val="002415B5"/>
    <w:rsid w:val="00242CD2"/>
    <w:rsid w:val="00243460"/>
    <w:rsid w:val="00245955"/>
    <w:rsid w:val="00247999"/>
    <w:rsid w:val="002511A8"/>
    <w:rsid w:val="002520B9"/>
    <w:rsid w:val="0025620D"/>
    <w:rsid w:val="00257EC9"/>
    <w:rsid w:val="00261122"/>
    <w:rsid w:val="00261B29"/>
    <w:rsid w:val="00265791"/>
    <w:rsid w:val="002703BC"/>
    <w:rsid w:val="002722BE"/>
    <w:rsid w:val="00272722"/>
    <w:rsid w:val="00276990"/>
    <w:rsid w:val="00276C1C"/>
    <w:rsid w:val="0027796B"/>
    <w:rsid w:val="002814BB"/>
    <w:rsid w:val="00283421"/>
    <w:rsid w:val="0028359B"/>
    <w:rsid w:val="00283BC3"/>
    <w:rsid w:val="0028599E"/>
    <w:rsid w:val="00285FA7"/>
    <w:rsid w:val="00286F32"/>
    <w:rsid w:val="0029023F"/>
    <w:rsid w:val="002925E8"/>
    <w:rsid w:val="00293899"/>
    <w:rsid w:val="002939E4"/>
    <w:rsid w:val="00294656"/>
    <w:rsid w:val="00296E86"/>
    <w:rsid w:val="0029796F"/>
    <w:rsid w:val="002A03AC"/>
    <w:rsid w:val="002A132B"/>
    <w:rsid w:val="002A3102"/>
    <w:rsid w:val="002A377C"/>
    <w:rsid w:val="002A5F9C"/>
    <w:rsid w:val="002A634E"/>
    <w:rsid w:val="002A7DB6"/>
    <w:rsid w:val="002B1AA4"/>
    <w:rsid w:val="002B2FFB"/>
    <w:rsid w:val="002B4569"/>
    <w:rsid w:val="002B7F9A"/>
    <w:rsid w:val="002C03C8"/>
    <w:rsid w:val="002C059F"/>
    <w:rsid w:val="002C1207"/>
    <w:rsid w:val="002C16F3"/>
    <w:rsid w:val="002C21CC"/>
    <w:rsid w:val="002C38CB"/>
    <w:rsid w:val="002C5025"/>
    <w:rsid w:val="002C507A"/>
    <w:rsid w:val="002C557D"/>
    <w:rsid w:val="002C61A1"/>
    <w:rsid w:val="002C6BAE"/>
    <w:rsid w:val="002D083B"/>
    <w:rsid w:val="002D2706"/>
    <w:rsid w:val="002D2F59"/>
    <w:rsid w:val="002D2FB0"/>
    <w:rsid w:val="002D38EC"/>
    <w:rsid w:val="002D3CF0"/>
    <w:rsid w:val="002D60B9"/>
    <w:rsid w:val="002D73C5"/>
    <w:rsid w:val="002D76DE"/>
    <w:rsid w:val="002E0AA5"/>
    <w:rsid w:val="002E1C21"/>
    <w:rsid w:val="002E252E"/>
    <w:rsid w:val="002E673A"/>
    <w:rsid w:val="002E6F9E"/>
    <w:rsid w:val="002F18F5"/>
    <w:rsid w:val="002F2366"/>
    <w:rsid w:val="002F50CC"/>
    <w:rsid w:val="002F6037"/>
    <w:rsid w:val="0030004C"/>
    <w:rsid w:val="0030688A"/>
    <w:rsid w:val="0031045B"/>
    <w:rsid w:val="00314C84"/>
    <w:rsid w:val="00315124"/>
    <w:rsid w:val="00316A3C"/>
    <w:rsid w:val="0031780F"/>
    <w:rsid w:val="00320914"/>
    <w:rsid w:val="00322646"/>
    <w:rsid w:val="003226FE"/>
    <w:rsid w:val="003248FA"/>
    <w:rsid w:val="00330B0E"/>
    <w:rsid w:val="00334763"/>
    <w:rsid w:val="00334D2C"/>
    <w:rsid w:val="00337C85"/>
    <w:rsid w:val="00340E7A"/>
    <w:rsid w:val="003424CA"/>
    <w:rsid w:val="00344B7E"/>
    <w:rsid w:val="00344EAF"/>
    <w:rsid w:val="003453E3"/>
    <w:rsid w:val="003501A5"/>
    <w:rsid w:val="003506D8"/>
    <w:rsid w:val="003507F5"/>
    <w:rsid w:val="00352A93"/>
    <w:rsid w:val="00353FC5"/>
    <w:rsid w:val="00354467"/>
    <w:rsid w:val="00354BE3"/>
    <w:rsid w:val="00356922"/>
    <w:rsid w:val="003574BE"/>
    <w:rsid w:val="0036027A"/>
    <w:rsid w:val="00361DD5"/>
    <w:rsid w:val="0036274E"/>
    <w:rsid w:val="00363563"/>
    <w:rsid w:val="00363AED"/>
    <w:rsid w:val="00364A4A"/>
    <w:rsid w:val="003652BB"/>
    <w:rsid w:val="003667A2"/>
    <w:rsid w:val="00366AD3"/>
    <w:rsid w:val="00366BE4"/>
    <w:rsid w:val="00366E50"/>
    <w:rsid w:val="0036721B"/>
    <w:rsid w:val="003711D1"/>
    <w:rsid w:val="003729F7"/>
    <w:rsid w:val="00375DBA"/>
    <w:rsid w:val="0037775C"/>
    <w:rsid w:val="00380F78"/>
    <w:rsid w:val="00381784"/>
    <w:rsid w:val="00385CBE"/>
    <w:rsid w:val="0038717B"/>
    <w:rsid w:val="00387BF8"/>
    <w:rsid w:val="00391353"/>
    <w:rsid w:val="003933C1"/>
    <w:rsid w:val="003960D2"/>
    <w:rsid w:val="00396203"/>
    <w:rsid w:val="00397DE1"/>
    <w:rsid w:val="003A03CB"/>
    <w:rsid w:val="003A1FA1"/>
    <w:rsid w:val="003A3009"/>
    <w:rsid w:val="003A3749"/>
    <w:rsid w:val="003A3C3B"/>
    <w:rsid w:val="003A4995"/>
    <w:rsid w:val="003A5E67"/>
    <w:rsid w:val="003A634D"/>
    <w:rsid w:val="003A6B27"/>
    <w:rsid w:val="003A7D32"/>
    <w:rsid w:val="003B0A14"/>
    <w:rsid w:val="003B407B"/>
    <w:rsid w:val="003B4616"/>
    <w:rsid w:val="003B48E5"/>
    <w:rsid w:val="003B4A12"/>
    <w:rsid w:val="003B5A31"/>
    <w:rsid w:val="003B631D"/>
    <w:rsid w:val="003B7303"/>
    <w:rsid w:val="003B7D73"/>
    <w:rsid w:val="003B7E40"/>
    <w:rsid w:val="003C0181"/>
    <w:rsid w:val="003C1A73"/>
    <w:rsid w:val="003C2132"/>
    <w:rsid w:val="003C2961"/>
    <w:rsid w:val="003C5284"/>
    <w:rsid w:val="003C56FB"/>
    <w:rsid w:val="003C605E"/>
    <w:rsid w:val="003C7200"/>
    <w:rsid w:val="003C7A2B"/>
    <w:rsid w:val="003D07E5"/>
    <w:rsid w:val="003D2B02"/>
    <w:rsid w:val="003D5B17"/>
    <w:rsid w:val="003D6165"/>
    <w:rsid w:val="003D6425"/>
    <w:rsid w:val="003E1005"/>
    <w:rsid w:val="003E16FA"/>
    <w:rsid w:val="003E5B38"/>
    <w:rsid w:val="003E5BD8"/>
    <w:rsid w:val="003E745C"/>
    <w:rsid w:val="003E7F43"/>
    <w:rsid w:val="003F1442"/>
    <w:rsid w:val="003F2661"/>
    <w:rsid w:val="003F4B10"/>
    <w:rsid w:val="00404303"/>
    <w:rsid w:val="00405927"/>
    <w:rsid w:val="004073B3"/>
    <w:rsid w:val="00407A6E"/>
    <w:rsid w:val="00407B38"/>
    <w:rsid w:val="00410683"/>
    <w:rsid w:val="00411AF1"/>
    <w:rsid w:val="00411C23"/>
    <w:rsid w:val="00411CAC"/>
    <w:rsid w:val="00414F0F"/>
    <w:rsid w:val="00417C31"/>
    <w:rsid w:val="00417DCD"/>
    <w:rsid w:val="00417E5D"/>
    <w:rsid w:val="00421A62"/>
    <w:rsid w:val="004223CC"/>
    <w:rsid w:val="00423638"/>
    <w:rsid w:val="004237F2"/>
    <w:rsid w:val="00426DE8"/>
    <w:rsid w:val="004309E0"/>
    <w:rsid w:val="00431397"/>
    <w:rsid w:val="00431EF2"/>
    <w:rsid w:val="00432383"/>
    <w:rsid w:val="00432821"/>
    <w:rsid w:val="00432C6A"/>
    <w:rsid w:val="00444F6D"/>
    <w:rsid w:val="004452F6"/>
    <w:rsid w:val="004458C4"/>
    <w:rsid w:val="00446C3C"/>
    <w:rsid w:val="00451396"/>
    <w:rsid w:val="00451B87"/>
    <w:rsid w:val="00454FDF"/>
    <w:rsid w:val="00460070"/>
    <w:rsid w:val="00460733"/>
    <w:rsid w:val="00460D93"/>
    <w:rsid w:val="00460E3A"/>
    <w:rsid w:val="00461306"/>
    <w:rsid w:val="00461F0A"/>
    <w:rsid w:val="004627A9"/>
    <w:rsid w:val="00462934"/>
    <w:rsid w:val="0046483F"/>
    <w:rsid w:val="00464D9C"/>
    <w:rsid w:val="00465E04"/>
    <w:rsid w:val="00466662"/>
    <w:rsid w:val="00466988"/>
    <w:rsid w:val="0047138E"/>
    <w:rsid w:val="00471A0C"/>
    <w:rsid w:val="00472AB9"/>
    <w:rsid w:val="0047394D"/>
    <w:rsid w:val="00473DA8"/>
    <w:rsid w:val="0047570A"/>
    <w:rsid w:val="0047775E"/>
    <w:rsid w:val="00482528"/>
    <w:rsid w:val="00482B19"/>
    <w:rsid w:val="004833DA"/>
    <w:rsid w:val="00483DCE"/>
    <w:rsid w:val="00484795"/>
    <w:rsid w:val="00484B19"/>
    <w:rsid w:val="00486452"/>
    <w:rsid w:val="004868A9"/>
    <w:rsid w:val="00486E2A"/>
    <w:rsid w:val="00493AA1"/>
    <w:rsid w:val="00497551"/>
    <w:rsid w:val="00497598"/>
    <w:rsid w:val="004A087A"/>
    <w:rsid w:val="004A1A16"/>
    <w:rsid w:val="004A276F"/>
    <w:rsid w:val="004A31D5"/>
    <w:rsid w:val="004A39A8"/>
    <w:rsid w:val="004A3E5F"/>
    <w:rsid w:val="004A4107"/>
    <w:rsid w:val="004A4908"/>
    <w:rsid w:val="004A494F"/>
    <w:rsid w:val="004A7E0A"/>
    <w:rsid w:val="004B22D6"/>
    <w:rsid w:val="004B2DF6"/>
    <w:rsid w:val="004B3039"/>
    <w:rsid w:val="004B3193"/>
    <w:rsid w:val="004B5216"/>
    <w:rsid w:val="004B53F6"/>
    <w:rsid w:val="004C038A"/>
    <w:rsid w:val="004C2D2C"/>
    <w:rsid w:val="004C7038"/>
    <w:rsid w:val="004C74AF"/>
    <w:rsid w:val="004C7B1E"/>
    <w:rsid w:val="004D254B"/>
    <w:rsid w:val="004D2EBC"/>
    <w:rsid w:val="004D4A43"/>
    <w:rsid w:val="004D5055"/>
    <w:rsid w:val="004D62AA"/>
    <w:rsid w:val="004D6F50"/>
    <w:rsid w:val="004E032B"/>
    <w:rsid w:val="004E03D9"/>
    <w:rsid w:val="004E0A08"/>
    <w:rsid w:val="004E35D3"/>
    <w:rsid w:val="004E4C5D"/>
    <w:rsid w:val="004E67D0"/>
    <w:rsid w:val="004F28BA"/>
    <w:rsid w:val="004F2F56"/>
    <w:rsid w:val="004F3F60"/>
    <w:rsid w:val="004F440B"/>
    <w:rsid w:val="004F5A13"/>
    <w:rsid w:val="004F63CF"/>
    <w:rsid w:val="00502BE1"/>
    <w:rsid w:val="00505C66"/>
    <w:rsid w:val="00507094"/>
    <w:rsid w:val="00512FF9"/>
    <w:rsid w:val="0051423F"/>
    <w:rsid w:val="00517A05"/>
    <w:rsid w:val="005206BC"/>
    <w:rsid w:val="0052111C"/>
    <w:rsid w:val="005217C0"/>
    <w:rsid w:val="00523189"/>
    <w:rsid w:val="00524880"/>
    <w:rsid w:val="00526478"/>
    <w:rsid w:val="00527454"/>
    <w:rsid w:val="00527D2B"/>
    <w:rsid w:val="00530065"/>
    <w:rsid w:val="00530AC5"/>
    <w:rsid w:val="0053293C"/>
    <w:rsid w:val="00535006"/>
    <w:rsid w:val="005359D9"/>
    <w:rsid w:val="00535DD9"/>
    <w:rsid w:val="005360D8"/>
    <w:rsid w:val="00536214"/>
    <w:rsid w:val="005368B1"/>
    <w:rsid w:val="00536C07"/>
    <w:rsid w:val="005376BC"/>
    <w:rsid w:val="00540756"/>
    <w:rsid w:val="00542873"/>
    <w:rsid w:val="005446CC"/>
    <w:rsid w:val="00545300"/>
    <w:rsid w:val="00546BE3"/>
    <w:rsid w:val="0055097C"/>
    <w:rsid w:val="00553329"/>
    <w:rsid w:val="005538BC"/>
    <w:rsid w:val="00554036"/>
    <w:rsid w:val="005550FD"/>
    <w:rsid w:val="00555519"/>
    <w:rsid w:val="005570A4"/>
    <w:rsid w:val="0055724A"/>
    <w:rsid w:val="00557A83"/>
    <w:rsid w:val="005611BC"/>
    <w:rsid w:val="0056196E"/>
    <w:rsid w:val="00561B9C"/>
    <w:rsid w:val="00563775"/>
    <w:rsid w:val="00565BAF"/>
    <w:rsid w:val="00567E9D"/>
    <w:rsid w:val="0057087C"/>
    <w:rsid w:val="00570AEA"/>
    <w:rsid w:val="0057192B"/>
    <w:rsid w:val="00572909"/>
    <w:rsid w:val="00572B10"/>
    <w:rsid w:val="00573856"/>
    <w:rsid w:val="00580926"/>
    <w:rsid w:val="00581815"/>
    <w:rsid w:val="00581942"/>
    <w:rsid w:val="00581A68"/>
    <w:rsid w:val="005826A5"/>
    <w:rsid w:val="005832F1"/>
    <w:rsid w:val="005850D1"/>
    <w:rsid w:val="0058566E"/>
    <w:rsid w:val="00586A31"/>
    <w:rsid w:val="00586A7B"/>
    <w:rsid w:val="005874FD"/>
    <w:rsid w:val="005906C9"/>
    <w:rsid w:val="005908AD"/>
    <w:rsid w:val="00590B65"/>
    <w:rsid w:val="00591A3C"/>
    <w:rsid w:val="00592C02"/>
    <w:rsid w:val="00595F79"/>
    <w:rsid w:val="005A1AF8"/>
    <w:rsid w:val="005A26B2"/>
    <w:rsid w:val="005A5450"/>
    <w:rsid w:val="005A5781"/>
    <w:rsid w:val="005A57E9"/>
    <w:rsid w:val="005A7749"/>
    <w:rsid w:val="005B12A7"/>
    <w:rsid w:val="005B167B"/>
    <w:rsid w:val="005B32FB"/>
    <w:rsid w:val="005B4839"/>
    <w:rsid w:val="005B4DCA"/>
    <w:rsid w:val="005B5078"/>
    <w:rsid w:val="005B542B"/>
    <w:rsid w:val="005C2381"/>
    <w:rsid w:val="005C2765"/>
    <w:rsid w:val="005C314A"/>
    <w:rsid w:val="005C3AB5"/>
    <w:rsid w:val="005C4B4A"/>
    <w:rsid w:val="005C55AC"/>
    <w:rsid w:val="005C6897"/>
    <w:rsid w:val="005D1153"/>
    <w:rsid w:val="005D2FDB"/>
    <w:rsid w:val="005D78C7"/>
    <w:rsid w:val="005E4997"/>
    <w:rsid w:val="005E538A"/>
    <w:rsid w:val="005E7D6F"/>
    <w:rsid w:val="005F1CD0"/>
    <w:rsid w:val="005F411B"/>
    <w:rsid w:val="005F572F"/>
    <w:rsid w:val="0060077B"/>
    <w:rsid w:val="00601B98"/>
    <w:rsid w:val="00601FDF"/>
    <w:rsid w:val="006021D1"/>
    <w:rsid w:val="00603226"/>
    <w:rsid w:val="00603760"/>
    <w:rsid w:val="006074A5"/>
    <w:rsid w:val="006104F1"/>
    <w:rsid w:val="006107AF"/>
    <w:rsid w:val="00610C78"/>
    <w:rsid w:val="00610FF1"/>
    <w:rsid w:val="00611E50"/>
    <w:rsid w:val="00614B78"/>
    <w:rsid w:val="00617046"/>
    <w:rsid w:val="00617329"/>
    <w:rsid w:val="00621954"/>
    <w:rsid w:val="00622575"/>
    <w:rsid w:val="00622D58"/>
    <w:rsid w:val="006256D3"/>
    <w:rsid w:val="00631A76"/>
    <w:rsid w:val="006326DA"/>
    <w:rsid w:val="00633612"/>
    <w:rsid w:val="00633B05"/>
    <w:rsid w:val="006347C5"/>
    <w:rsid w:val="00634B44"/>
    <w:rsid w:val="00642A6D"/>
    <w:rsid w:val="00645565"/>
    <w:rsid w:val="006457C8"/>
    <w:rsid w:val="00646EC1"/>
    <w:rsid w:val="00651083"/>
    <w:rsid w:val="00653153"/>
    <w:rsid w:val="00655FE8"/>
    <w:rsid w:val="006613CA"/>
    <w:rsid w:val="00662036"/>
    <w:rsid w:val="0066351B"/>
    <w:rsid w:val="00664E07"/>
    <w:rsid w:val="00665237"/>
    <w:rsid w:val="00665BF6"/>
    <w:rsid w:val="006667D2"/>
    <w:rsid w:val="00667201"/>
    <w:rsid w:val="00670C06"/>
    <w:rsid w:val="00670D5F"/>
    <w:rsid w:val="00673CEA"/>
    <w:rsid w:val="00674689"/>
    <w:rsid w:val="006746C7"/>
    <w:rsid w:val="006769E9"/>
    <w:rsid w:val="00680282"/>
    <w:rsid w:val="0068031E"/>
    <w:rsid w:val="00681D60"/>
    <w:rsid w:val="00682814"/>
    <w:rsid w:val="006853A8"/>
    <w:rsid w:val="0068552B"/>
    <w:rsid w:val="00686FBD"/>
    <w:rsid w:val="00687258"/>
    <w:rsid w:val="0068754E"/>
    <w:rsid w:val="00687797"/>
    <w:rsid w:val="006900D5"/>
    <w:rsid w:val="00691436"/>
    <w:rsid w:val="00691850"/>
    <w:rsid w:val="0069284C"/>
    <w:rsid w:val="00695DF8"/>
    <w:rsid w:val="00696BA9"/>
    <w:rsid w:val="00697070"/>
    <w:rsid w:val="0069727E"/>
    <w:rsid w:val="006A31BB"/>
    <w:rsid w:val="006A368B"/>
    <w:rsid w:val="006A4B6F"/>
    <w:rsid w:val="006A621A"/>
    <w:rsid w:val="006B05B0"/>
    <w:rsid w:val="006B09F3"/>
    <w:rsid w:val="006B1B44"/>
    <w:rsid w:val="006B1BE3"/>
    <w:rsid w:val="006B5201"/>
    <w:rsid w:val="006C0797"/>
    <w:rsid w:val="006C1599"/>
    <w:rsid w:val="006C380F"/>
    <w:rsid w:val="006C4DCD"/>
    <w:rsid w:val="006C5766"/>
    <w:rsid w:val="006C7E30"/>
    <w:rsid w:val="006D0D8D"/>
    <w:rsid w:val="006D1D20"/>
    <w:rsid w:val="006D261B"/>
    <w:rsid w:val="006D26E2"/>
    <w:rsid w:val="006D2C3F"/>
    <w:rsid w:val="006D4989"/>
    <w:rsid w:val="006E12E7"/>
    <w:rsid w:val="006E384F"/>
    <w:rsid w:val="006F10C1"/>
    <w:rsid w:val="006F3266"/>
    <w:rsid w:val="006F3CD2"/>
    <w:rsid w:val="006F761F"/>
    <w:rsid w:val="006F7847"/>
    <w:rsid w:val="007001DA"/>
    <w:rsid w:val="00702D98"/>
    <w:rsid w:val="00703F04"/>
    <w:rsid w:val="007048F0"/>
    <w:rsid w:val="00706835"/>
    <w:rsid w:val="00707137"/>
    <w:rsid w:val="00711B6A"/>
    <w:rsid w:val="00712D21"/>
    <w:rsid w:val="00715C2E"/>
    <w:rsid w:val="00716036"/>
    <w:rsid w:val="00717623"/>
    <w:rsid w:val="007204C9"/>
    <w:rsid w:val="00721826"/>
    <w:rsid w:val="00721E00"/>
    <w:rsid w:val="00722373"/>
    <w:rsid w:val="00722697"/>
    <w:rsid w:val="00726C1B"/>
    <w:rsid w:val="00727E21"/>
    <w:rsid w:val="00727F4A"/>
    <w:rsid w:val="00734D7C"/>
    <w:rsid w:val="0073753A"/>
    <w:rsid w:val="007412E9"/>
    <w:rsid w:val="007431A9"/>
    <w:rsid w:val="007435BF"/>
    <w:rsid w:val="00744D28"/>
    <w:rsid w:val="007455C7"/>
    <w:rsid w:val="007532D2"/>
    <w:rsid w:val="0075353B"/>
    <w:rsid w:val="00753A01"/>
    <w:rsid w:val="00754543"/>
    <w:rsid w:val="00754700"/>
    <w:rsid w:val="0075513F"/>
    <w:rsid w:val="00755FA2"/>
    <w:rsid w:val="0075770F"/>
    <w:rsid w:val="007636C0"/>
    <w:rsid w:val="0076494F"/>
    <w:rsid w:val="0076557E"/>
    <w:rsid w:val="0076607D"/>
    <w:rsid w:val="00774A5E"/>
    <w:rsid w:val="00774B69"/>
    <w:rsid w:val="007754C0"/>
    <w:rsid w:val="00777DA1"/>
    <w:rsid w:val="00780648"/>
    <w:rsid w:val="00780E73"/>
    <w:rsid w:val="00781E83"/>
    <w:rsid w:val="0078231A"/>
    <w:rsid w:val="00783482"/>
    <w:rsid w:val="0078399D"/>
    <w:rsid w:val="00784491"/>
    <w:rsid w:val="00787E08"/>
    <w:rsid w:val="007901EB"/>
    <w:rsid w:val="00791656"/>
    <w:rsid w:val="00792BD4"/>
    <w:rsid w:val="0079366F"/>
    <w:rsid w:val="00793941"/>
    <w:rsid w:val="0079399F"/>
    <w:rsid w:val="00793F4A"/>
    <w:rsid w:val="007A0588"/>
    <w:rsid w:val="007A148D"/>
    <w:rsid w:val="007A21F2"/>
    <w:rsid w:val="007A3D3D"/>
    <w:rsid w:val="007A50BE"/>
    <w:rsid w:val="007A5887"/>
    <w:rsid w:val="007A5CB7"/>
    <w:rsid w:val="007A7287"/>
    <w:rsid w:val="007B21F1"/>
    <w:rsid w:val="007B29EB"/>
    <w:rsid w:val="007B3DB3"/>
    <w:rsid w:val="007B516B"/>
    <w:rsid w:val="007B5CE6"/>
    <w:rsid w:val="007B6200"/>
    <w:rsid w:val="007B7236"/>
    <w:rsid w:val="007C03D4"/>
    <w:rsid w:val="007C201F"/>
    <w:rsid w:val="007C4022"/>
    <w:rsid w:val="007C53AA"/>
    <w:rsid w:val="007C7EF4"/>
    <w:rsid w:val="007D04B3"/>
    <w:rsid w:val="007D0FBB"/>
    <w:rsid w:val="007D38F9"/>
    <w:rsid w:val="007D487C"/>
    <w:rsid w:val="007D4DFA"/>
    <w:rsid w:val="007D5CF6"/>
    <w:rsid w:val="007D65CB"/>
    <w:rsid w:val="007D6A0A"/>
    <w:rsid w:val="007E22BB"/>
    <w:rsid w:val="007E2599"/>
    <w:rsid w:val="007E3323"/>
    <w:rsid w:val="007E3703"/>
    <w:rsid w:val="007E4148"/>
    <w:rsid w:val="007E513D"/>
    <w:rsid w:val="007E5DD6"/>
    <w:rsid w:val="007E651A"/>
    <w:rsid w:val="007F0318"/>
    <w:rsid w:val="007F045D"/>
    <w:rsid w:val="007F1FD8"/>
    <w:rsid w:val="007F3307"/>
    <w:rsid w:val="007F5E85"/>
    <w:rsid w:val="007F63E3"/>
    <w:rsid w:val="007F7CAA"/>
    <w:rsid w:val="00801091"/>
    <w:rsid w:val="00803B0E"/>
    <w:rsid w:val="00803D1E"/>
    <w:rsid w:val="00806056"/>
    <w:rsid w:val="0080745F"/>
    <w:rsid w:val="0081083C"/>
    <w:rsid w:val="00810848"/>
    <w:rsid w:val="0081250A"/>
    <w:rsid w:val="00812B41"/>
    <w:rsid w:val="00817E22"/>
    <w:rsid w:val="008208CF"/>
    <w:rsid w:val="00820AED"/>
    <w:rsid w:val="008217ED"/>
    <w:rsid w:val="00822591"/>
    <w:rsid w:val="0082319F"/>
    <w:rsid w:val="0082789C"/>
    <w:rsid w:val="00827DE9"/>
    <w:rsid w:val="008332A4"/>
    <w:rsid w:val="008335AF"/>
    <w:rsid w:val="0083450B"/>
    <w:rsid w:val="00834FF3"/>
    <w:rsid w:val="00835678"/>
    <w:rsid w:val="00835B9F"/>
    <w:rsid w:val="0083732E"/>
    <w:rsid w:val="0084054A"/>
    <w:rsid w:val="00840AF5"/>
    <w:rsid w:val="008422D0"/>
    <w:rsid w:val="00843E66"/>
    <w:rsid w:val="00845CB2"/>
    <w:rsid w:val="008469CA"/>
    <w:rsid w:val="00847FF2"/>
    <w:rsid w:val="00850133"/>
    <w:rsid w:val="00850816"/>
    <w:rsid w:val="00854849"/>
    <w:rsid w:val="008574F8"/>
    <w:rsid w:val="008607AC"/>
    <w:rsid w:val="00861179"/>
    <w:rsid w:val="00861352"/>
    <w:rsid w:val="00861526"/>
    <w:rsid w:val="00861ED4"/>
    <w:rsid w:val="00862A5B"/>
    <w:rsid w:val="00862BDF"/>
    <w:rsid w:val="0086410A"/>
    <w:rsid w:val="00864282"/>
    <w:rsid w:val="008651BB"/>
    <w:rsid w:val="00865CC7"/>
    <w:rsid w:val="00872099"/>
    <w:rsid w:val="008734BB"/>
    <w:rsid w:val="00873C3B"/>
    <w:rsid w:val="00874582"/>
    <w:rsid w:val="00874C1D"/>
    <w:rsid w:val="00875177"/>
    <w:rsid w:val="00875474"/>
    <w:rsid w:val="0087612B"/>
    <w:rsid w:val="00880EFC"/>
    <w:rsid w:val="00881570"/>
    <w:rsid w:val="0088381F"/>
    <w:rsid w:val="00886ABD"/>
    <w:rsid w:val="00886D42"/>
    <w:rsid w:val="008922B4"/>
    <w:rsid w:val="00892F57"/>
    <w:rsid w:val="00894AD7"/>
    <w:rsid w:val="00896AD9"/>
    <w:rsid w:val="00896AF1"/>
    <w:rsid w:val="00896BF5"/>
    <w:rsid w:val="008979E9"/>
    <w:rsid w:val="008A0F9D"/>
    <w:rsid w:val="008A669E"/>
    <w:rsid w:val="008B27A9"/>
    <w:rsid w:val="008B30D0"/>
    <w:rsid w:val="008B32E0"/>
    <w:rsid w:val="008B444F"/>
    <w:rsid w:val="008C12C5"/>
    <w:rsid w:val="008C141B"/>
    <w:rsid w:val="008C4611"/>
    <w:rsid w:val="008C5B34"/>
    <w:rsid w:val="008C5B5D"/>
    <w:rsid w:val="008C6391"/>
    <w:rsid w:val="008C6683"/>
    <w:rsid w:val="008C6E8B"/>
    <w:rsid w:val="008D086B"/>
    <w:rsid w:val="008D17E6"/>
    <w:rsid w:val="008D2079"/>
    <w:rsid w:val="008D2B10"/>
    <w:rsid w:val="008D5703"/>
    <w:rsid w:val="008D6085"/>
    <w:rsid w:val="008E3337"/>
    <w:rsid w:val="008E6B23"/>
    <w:rsid w:val="008F06A4"/>
    <w:rsid w:val="008F0F98"/>
    <w:rsid w:val="008F26BF"/>
    <w:rsid w:val="008F29D2"/>
    <w:rsid w:val="008F2D7F"/>
    <w:rsid w:val="008F4EB8"/>
    <w:rsid w:val="008F5A2A"/>
    <w:rsid w:val="008F65B5"/>
    <w:rsid w:val="008F6887"/>
    <w:rsid w:val="008F7203"/>
    <w:rsid w:val="009019FD"/>
    <w:rsid w:val="00902F4C"/>
    <w:rsid w:val="00903BEF"/>
    <w:rsid w:val="00904DD6"/>
    <w:rsid w:val="00904EB4"/>
    <w:rsid w:val="009060E9"/>
    <w:rsid w:val="00907E34"/>
    <w:rsid w:val="00910DC3"/>
    <w:rsid w:val="009116B0"/>
    <w:rsid w:val="00913241"/>
    <w:rsid w:val="00914472"/>
    <w:rsid w:val="009175B1"/>
    <w:rsid w:val="00920294"/>
    <w:rsid w:val="00920CC9"/>
    <w:rsid w:val="009216E0"/>
    <w:rsid w:val="009224F5"/>
    <w:rsid w:val="009230A4"/>
    <w:rsid w:val="00923108"/>
    <w:rsid w:val="00925BB9"/>
    <w:rsid w:val="00925E0E"/>
    <w:rsid w:val="00927B3A"/>
    <w:rsid w:val="00932040"/>
    <w:rsid w:val="0093711C"/>
    <w:rsid w:val="0093750E"/>
    <w:rsid w:val="009378FE"/>
    <w:rsid w:val="009404FC"/>
    <w:rsid w:val="0094361B"/>
    <w:rsid w:val="0094438E"/>
    <w:rsid w:val="00944E51"/>
    <w:rsid w:val="00945618"/>
    <w:rsid w:val="009462C3"/>
    <w:rsid w:val="009502DF"/>
    <w:rsid w:val="0095032A"/>
    <w:rsid w:val="00950B33"/>
    <w:rsid w:val="009510F6"/>
    <w:rsid w:val="00951291"/>
    <w:rsid w:val="00951BE1"/>
    <w:rsid w:val="009539C8"/>
    <w:rsid w:val="0095763E"/>
    <w:rsid w:val="00963685"/>
    <w:rsid w:val="00966298"/>
    <w:rsid w:val="00966DE6"/>
    <w:rsid w:val="00967A71"/>
    <w:rsid w:val="009707C7"/>
    <w:rsid w:val="009710CE"/>
    <w:rsid w:val="009729F7"/>
    <w:rsid w:val="009739E6"/>
    <w:rsid w:val="009743D2"/>
    <w:rsid w:val="00974678"/>
    <w:rsid w:val="0097508F"/>
    <w:rsid w:val="00982677"/>
    <w:rsid w:val="009833E5"/>
    <w:rsid w:val="00985AA6"/>
    <w:rsid w:val="009871A3"/>
    <w:rsid w:val="00990032"/>
    <w:rsid w:val="00991113"/>
    <w:rsid w:val="0099611F"/>
    <w:rsid w:val="00996D31"/>
    <w:rsid w:val="009A01F4"/>
    <w:rsid w:val="009A068A"/>
    <w:rsid w:val="009A2022"/>
    <w:rsid w:val="009A2ECA"/>
    <w:rsid w:val="009A4FCA"/>
    <w:rsid w:val="009A5F4D"/>
    <w:rsid w:val="009A7C96"/>
    <w:rsid w:val="009A7FB2"/>
    <w:rsid w:val="009B1312"/>
    <w:rsid w:val="009B2512"/>
    <w:rsid w:val="009B3250"/>
    <w:rsid w:val="009B3894"/>
    <w:rsid w:val="009B437C"/>
    <w:rsid w:val="009B4B74"/>
    <w:rsid w:val="009B5455"/>
    <w:rsid w:val="009B7A68"/>
    <w:rsid w:val="009C5F37"/>
    <w:rsid w:val="009C5FF0"/>
    <w:rsid w:val="009C6D7F"/>
    <w:rsid w:val="009C6F8C"/>
    <w:rsid w:val="009C76EC"/>
    <w:rsid w:val="009D1F64"/>
    <w:rsid w:val="009D2957"/>
    <w:rsid w:val="009D3805"/>
    <w:rsid w:val="009D384C"/>
    <w:rsid w:val="009D43DB"/>
    <w:rsid w:val="009D53B4"/>
    <w:rsid w:val="009D651C"/>
    <w:rsid w:val="009D7161"/>
    <w:rsid w:val="009D7591"/>
    <w:rsid w:val="009D76BD"/>
    <w:rsid w:val="009E01D5"/>
    <w:rsid w:val="009E2236"/>
    <w:rsid w:val="009E2361"/>
    <w:rsid w:val="009E2DB2"/>
    <w:rsid w:val="009E339E"/>
    <w:rsid w:val="009E51F0"/>
    <w:rsid w:val="009E6DA0"/>
    <w:rsid w:val="009F0372"/>
    <w:rsid w:val="009F0437"/>
    <w:rsid w:val="009F17A7"/>
    <w:rsid w:val="009F214B"/>
    <w:rsid w:val="009F262D"/>
    <w:rsid w:val="009F342F"/>
    <w:rsid w:val="009F3C50"/>
    <w:rsid w:val="009F4242"/>
    <w:rsid w:val="009F4276"/>
    <w:rsid w:val="009F5F0C"/>
    <w:rsid w:val="009F6DDE"/>
    <w:rsid w:val="00A00210"/>
    <w:rsid w:val="00A02383"/>
    <w:rsid w:val="00A026AA"/>
    <w:rsid w:val="00A02D05"/>
    <w:rsid w:val="00A02DAC"/>
    <w:rsid w:val="00A04F77"/>
    <w:rsid w:val="00A05512"/>
    <w:rsid w:val="00A075D3"/>
    <w:rsid w:val="00A10F2F"/>
    <w:rsid w:val="00A12F07"/>
    <w:rsid w:val="00A130E0"/>
    <w:rsid w:val="00A134E6"/>
    <w:rsid w:val="00A161CF"/>
    <w:rsid w:val="00A20D5A"/>
    <w:rsid w:val="00A21209"/>
    <w:rsid w:val="00A2198E"/>
    <w:rsid w:val="00A227D9"/>
    <w:rsid w:val="00A25198"/>
    <w:rsid w:val="00A26131"/>
    <w:rsid w:val="00A26165"/>
    <w:rsid w:val="00A2674E"/>
    <w:rsid w:val="00A26BA7"/>
    <w:rsid w:val="00A271BD"/>
    <w:rsid w:val="00A322EB"/>
    <w:rsid w:val="00A345A9"/>
    <w:rsid w:val="00A35622"/>
    <w:rsid w:val="00A35EE7"/>
    <w:rsid w:val="00A36BA5"/>
    <w:rsid w:val="00A37127"/>
    <w:rsid w:val="00A37F87"/>
    <w:rsid w:val="00A407DA"/>
    <w:rsid w:val="00A40C70"/>
    <w:rsid w:val="00A422F4"/>
    <w:rsid w:val="00A428DD"/>
    <w:rsid w:val="00A43628"/>
    <w:rsid w:val="00A44341"/>
    <w:rsid w:val="00A4435B"/>
    <w:rsid w:val="00A4437E"/>
    <w:rsid w:val="00A44F43"/>
    <w:rsid w:val="00A466CF"/>
    <w:rsid w:val="00A51684"/>
    <w:rsid w:val="00A52BDA"/>
    <w:rsid w:val="00A54711"/>
    <w:rsid w:val="00A54D26"/>
    <w:rsid w:val="00A552AD"/>
    <w:rsid w:val="00A57BDB"/>
    <w:rsid w:val="00A6152F"/>
    <w:rsid w:val="00A62BAD"/>
    <w:rsid w:val="00A631D8"/>
    <w:rsid w:val="00A63545"/>
    <w:rsid w:val="00A64ABF"/>
    <w:rsid w:val="00A64D19"/>
    <w:rsid w:val="00A6745B"/>
    <w:rsid w:val="00A71242"/>
    <w:rsid w:val="00A7271C"/>
    <w:rsid w:val="00A73CAA"/>
    <w:rsid w:val="00A73FDC"/>
    <w:rsid w:val="00A74C0D"/>
    <w:rsid w:val="00A75010"/>
    <w:rsid w:val="00A76259"/>
    <w:rsid w:val="00A77079"/>
    <w:rsid w:val="00A80D80"/>
    <w:rsid w:val="00A81239"/>
    <w:rsid w:val="00A84E53"/>
    <w:rsid w:val="00A84E92"/>
    <w:rsid w:val="00A8552F"/>
    <w:rsid w:val="00A8596F"/>
    <w:rsid w:val="00A86178"/>
    <w:rsid w:val="00A864CD"/>
    <w:rsid w:val="00A870E7"/>
    <w:rsid w:val="00A90158"/>
    <w:rsid w:val="00A913B2"/>
    <w:rsid w:val="00A925CA"/>
    <w:rsid w:val="00A9273C"/>
    <w:rsid w:val="00A92EBC"/>
    <w:rsid w:val="00A944D9"/>
    <w:rsid w:val="00AA1330"/>
    <w:rsid w:val="00AA200F"/>
    <w:rsid w:val="00AA2FAF"/>
    <w:rsid w:val="00AA55FD"/>
    <w:rsid w:val="00AA5C5F"/>
    <w:rsid w:val="00AA7525"/>
    <w:rsid w:val="00AB0793"/>
    <w:rsid w:val="00AB1053"/>
    <w:rsid w:val="00AB1C2C"/>
    <w:rsid w:val="00AB2663"/>
    <w:rsid w:val="00AB4390"/>
    <w:rsid w:val="00AB4814"/>
    <w:rsid w:val="00AB6C1A"/>
    <w:rsid w:val="00AC05C3"/>
    <w:rsid w:val="00AC2A39"/>
    <w:rsid w:val="00AC3FA0"/>
    <w:rsid w:val="00AC4270"/>
    <w:rsid w:val="00AC5003"/>
    <w:rsid w:val="00AC6040"/>
    <w:rsid w:val="00AC60AE"/>
    <w:rsid w:val="00AD12D2"/>
    <w:rsid w:val="00AD2429"/>
    <w:rsid w:val="00AD41B0"/>
    <w:rsid w:val="00AD475C"/>
    <w:rsid w:val="00AD54A9"/>
    <w:rsid w:val="00AD7961"/>
    <w:rsid w:val="00AE0A5D"/>
    <w:rsid w:val="00AE1661"/>
    <w:rsid w:val="00AE42E4"/>
    <w:rsid w:val="00AF0616"/>
    <w:rsid w:val="00AF27F3"/>
    <w:rsid w:val="00AF2DFD"/>
    <w:rsid w:val="00AF65CE"/>
    <w:rsid w:val="00AF79DA"/>
    <w:rsid w:val="00B00756"/>
    <w:rsid w:val="00B022E6"/>
    <w:rsid w:val="00B06AAA"/>
    <w:rsid w:val="00B0771D"/>
    <w:rsid w:val="00B07E08"/>
    <w:rsid w:val="00B109A4"/>
    <w:rsid w:val="00B12874"/>
    <w:rsid w:val="00B13B0E"/>
    <w:rsid w:val="00B155EB"/>
    <w:rsid w:val="00B2058A"/>
    <w:rsid w:val="00B210B1"/>
    <w:rsid w:val="00B21CB2"/>
    <w:rsid w:val="00B225DE"/>
    <w:rsid w:val="00B226D0"/>
    <w:rsid w:val="00B22AD4"/>
    <w:rsid w:val="00B22F96"/>
    <w:rsid w:val="00B23426"/>
    <w:rsid w:val="00B23756"/>
    <w:rsid w:val="00B244BA"/>
    <w:rsid w:val="00B24AE2"/>
    <w:rsid w:val="00B30D0A"/>
    <w:rsid w:val="00B34E32"/>
    <w:rsid w:val="00B361E0"/>
    <w:rsid w:val="00B411D3"/>
    <w:rsid w:val="00B4253B"/>
    <w:rsid w:val="00B43A82"/>
    <w:rsid w:val="00B4464D"/>
    <w:rsid w:val="00B46404"/>
    <w:rsid w:val="00B50361"/>
    <w:rsid w:val="00B509DC"/>
    <w:rsid w:val="00B53372"/>
    <w:rsid w:val="00B539E6"/>
    <w:rsid w:val="00B53BF5"/>
    <w:rsid w:val="00B55152"/>
    <w:rsid w:val="00B552FA"/>
    <w:rsid w:val="00B579B2"/>
    <w:rsid w:val="00B602F0"/>
    <w:rsid w:val="00B615B4"/>
    <w:rsid w:val="00B63F66"/>
    <w:rsid w:val="00B64A67"/>
    <w:rsid w:val="00B72CC8"/>
    <w:rsid w:val="00B74DF0"/>
    <w:rsid w:val="00B7799E"/>
    <w:rsid w:val="00B77E4B"/>
    <w:rsid w:val="00B81771"/>
    <w:rsid w:val="00B82996"/>
    <w:rsid w:val="00B82E64"/>
    <w:rsid w:val="00B83815"/>
    <w:rsid w:val="00B83C22"/>
    <w:rsid w:val="00B850A4"/>
    <w:rsid w:val="00B86289"/>
    <w:rsid w:val="00B86296"/>
    <w:rsid w:val="00B87357"/>
    <w:rsid w:val="00B91050"/>
    <w:rsid w:val="00B9125E"/>
    <w:rsid w:val="00B9238C"/>
    <w:rsid w:val="00B9663B"/>
    <w:rsid w:val="00BA2C86"/>
    <w:rsid w:val="00BA32C7"/>
    <w:rsid w:val="00BA76BB"/>
    <w:rsid w:val="00BB2930"/>
    <w:rsid w:val="00BB3F37"/>
    <w:rsid w:val="00BB5C4E"/>
    <w:rsid w:val="00BC04AB"/>
    <w:rsid w:val="00BC075F"/>
    <w:rsid w:val="00BC1F9B"/>
    <w:rsid w:val="00BC3B63"/>
    <w:rsid w:val="00BD18AC"/>
    <w:rsid w:val="00BD21B4"/>
    <w:rsid w:val="00BD2882"/>
    <w:rsid w:val="00BD2A95"/>
    <w:rsid w:val="00BD4B5F"/>
    <w:rsid w:val="00BE02F8"/>
    <w:rsid w:val="00BE03A7"/>
    <w:rsid w:val="00BF1C03"/>
    <w:rsid w:val="00BF2847"/>
    <w:rsid w:val="00BF3123"/>
    <w:rsid w:val="00BF398A"/>
    <w:rsid w:val="00BF5BFF"/>
    <w:rsid w:val="00BF6768"/>
    <w:rsid w:val="00BF6776"/>
    <w:rsid w:val="00C00E6D"/>
    <w:rsid w:val="00C0103D"/>
    <w:rsid w:val="00C01191"/>
    <w:rsid w:val="00C01C47"/>
    <w:rsid w:val="00C02BAE"/>
    <w:rsid w:val="00C03602"/>
    <w:rsid w:val="00C05392"/>
    <w:rsid w:val="00C066E1"/>
    <w:rsid w:val="00C1117C"/>
    <w:rsid w:val="00C1286F"/>
    <w:rsid w:val="00C12F24"/>
    <w:rsid w:val="00C13337"/>
    <w:rsid w:val="00C13CFF"/>
    <w:rsid w:val="00C14C2F"/>
    <w:rsid w:val="00C200EE"/>
    <w:rsid w:val="00C20A22"/>
    <w:rsid w:val="00C20B79"/>
    <w:rsid w:val="00C211C2"/>
    <w:rsid w:val="00C21EB5"/>
    <w:rsid w:val="00C24D16"/>
    <w:rsid w:val="00C26BA8"/>
    <w:rsid w:val="00C26BBD"/>
    <w:rsid w:val="00C31126"/>
    <w:rsid w:val="00C31CFB"/>
    <w:rsid w:val="00C32691"/>
    <w:rsid w:val="00C32A16"/>
    <w:rsid w:val="00C32CD7"/>
    <w:rsid w:val="00C33BB8"/>
    <w:rsid w:val="00C34B87"/>
    <w:rsid w:val="00C35319"/>
    <w:rsid w:val="00C3632F"/>
    <w:rsid w:val="00C3648E"/>
    <w:rsid w:val="00C372DF"/>
    <w:rsid w:val="00C4054D"/>
    <w:rsid w:val="00C40EBB"/>
    <w:rsid w:val="00C42604"/>
    <w:rsid w:val="00C452EE"/>
    <w:rsid w:val="00C47268"/>
    <w:rsid w:val="00C5100F"/>
    <w:rsid w:val="00C53588"/>
    <w:rsid w:val="00C55C00"/>
    <w:rsid w:val="00C56C2D"/>
    <w:rsid w:val="00C62521"/>
    <w:rsid w:val="00C6265C"/>
    <w:rsid w:val="00C628AC"/>
    <w:rsid w:val="00C62B0A"/>
    <w:rsid w:val="00C64A13"/>
    <w:rsid w:val="00C72EE2"/>
    <w:rsid w:val="00C73773"/>
    <w:rsid w:val="00C74050"/>
    <w:rsid w:val="00C75930"/>
    <w:rsid w:val="00C769A6"/>
    <w:rsid w:val="00C80812"/>
    <w:rsid w:val="00C82223"/>
    <w:rsid w:val="00C833F4"/>
    <w:rsid w:val="00C83C47"/>
    <w:rsid w:val="00C83D90"/>
    <w:rsid w:val="00C84740"/>
    <w:rsid w:val="00C8610E"/>
    <w:rsid w:val="00C901AD"/>
    <w:rsid w:val="00C90C06"/>
    <w:rsid w:val="00C90CFB"/>
    <w:rsid w:val="00C95822"/>
    <w:rsid w:val="00C96C31"/>
    <w:rsid w:val="00C973E0"/>
    <w:rsid w:val="00CA01E7"/>
    <w:rsid w:val="00CA09CE"/>
    <w:rsid w:val="00CA0BC4"/>
    <w:rsid w:val="00CA0C45"/>
    <w:rsid w:val="00CA3B80"/>
    <w:rsid w:val="00CA4272"/>
    <w:rsid w:val="00CA4A34"/>
    <w:rsid w:val="00CA78A1"/>
    <w:rsid w:val="00CA7B4B"/>
    <w:rsid w:val="00CB38A6"/>
    <w:rsid w:val="00CB547D"/>
    <w:rsid w:val="00CB60BF"/>
    <w:rsid w:val="00CB61AF"/>
    <w:rsid w:val="00CB75A7"/>
    <w:rsid w:val="00CC37B8"/>
    <w:rsid w:val="00CC3F79"/>
    <w:rsid w:val="00CC4A57"/>
    <w:rsid w:val="00CC6112"/>
    <w:rsid w:val="00CD1CA4"/>
    <w:rsid w:val="00CD1D91"/>
    <w:rsid w:val="00CD23F5"/>
    <w:rsid w:val="00CD4DF2"/>
    <w:rsid w:val="00CD4F7B"/>
    <w:rsid w:val="00CD619B"/>
    <w:rsid w:val="00CD6C68"/>
    <w:rsid w:val="00CD700B"/>
    <w:rsid w:val="00CE03E2"/>
    <w:rsid w:val="00CE170D"/>
    <w:rsid w:val="00CE1ADF"/>
    <w:rsid w:val="00CE66D2"/>
    <w:rsid w:val="00CE7C59"/>
    <w:rsid w:val="00CE7E32"/>
    <w:rsid w:val="00CF0768"/>
    <w:rsid w:val="00CF1169"/>
    <w:rsid w:val="00CF3F3A"/>
    <w:rsid w:val="00CF44D5"/>
    <w:rsid w:val="00CF4988"/>
    <w:rsid w:val="00CF71F0"/>
    <w:rsid w:val="00D0090B"/>
    <w:rsid w:val="00D014B4"/>
    <w:rsid w:val="00D01908"/>
    <w:rsid w:val="00D02E24"/>
    <w:rsid w:val="00D02EB4"/>
    <w:rsid w:val="00D05808"/>
    <w:rsid w:val="00D05A26"/>
    <w:rsid w:val="00D1140F"/>
    <w:rsid w:val="00D15DFD"/>
    <w:rsid w:val="00D21A0E"/>
    <w:rsid w:val="00D227DA"/>
    <w:rsid w:val="00D23360"/>
    <w:rsid w:val="00D2393C"/>
    <w:rsid w:val="00D24F72"/>
    <w:rsid w:val="00D271D2"/>
    <w:rsid w:val="00D27269"/>
    <w:rsid w:val="00D27561"/>
    <w:rsid w:val="00D30C14"/>
    <w:rsid w:val="00D325FA"/>
    <w:rsid w:val="00D32F62"/>
    <w:rsid w:val="00D33B29"/>
    <w:rsid w:val="00D354C5"/>
    <w:rsid w:val="00D3681C"/>
    <w:rsid w:val="00D40209"/>
    <w:rsid w:val="00D4053C"/>
    <w:rsid w:val="00D4361B"/>
    <w:rsid w:val="00D46147"/>
    <w:rsid w:val="00D4625E"/>
    <w:rsid w:val="00D46E36"/>
    <w:rsid w:val="00D531E0"/>
    <w:rsid w:val="00D53B85"/>
    <w:rsid w:val="00D567D3"/>
    <w:rsid w:val="00D62925"/>
    <w:rsid w:val="00D63311"/>
    <w:rsid w:val="00D64482"/>
    <w:rsid w:val="00D649CF"/>
    <w:rsid w:val="00D65076"/>
    <w:rsid w:val="00D65BF1"/>
    <w:rsid w:val="00D664C9"/>
    <w:rsid w:val="00D66C79"/>
    <w:rsid w:val="00D67437"/>
    <w:rsid w:val="00D7025B"/>
    <w:rsid w:val="00D71A37"/>
    <w:rsid w:val="00D72D2A"/>
    <w:rsid w:val="00D73E8D"/>
    <w:rsid w:val="00D76B65"/>
    <w:rsid w:val="00D775D3"/>
    <w:rsid w:val="00D8061D"/>
    <w:rsid w:val="00D8097F"/>
    <w:rsid w:val="00D8158D"/>
    <w:rsid w:val="00D8202B"/>
    <w:rsid w:val="00D826F1"/>
    <w:rsid w:val="00D83F21"/>
    <w:rsid w:val="00D8429E"/>
    <w:rsid w:val="00D84566"/>
    <w:rsid w:val="00D85381"/>
    <w:rsid w:val="00D92161"/>
    <w:rsid w:val="00D93EA7"/>
    <w:rsid w:val="00D946C0"/>
    <w:rsid w:val="00D9485A"/>
    <w:rsid w:val="00D94C27"/>
    <w:rsid w:val="00D953F1"/>
    <w:rsid w:val="00D9571D"/>
    <w:rsid w:val="00D9637E"/>
    <w:rsid w:val="00D974CE"/>
    <w:rsid w:val="00DA19B9"/>
    <w:rsid w:val="00DA3111"/>
    <w:rsid w:val="00DA3554"/>
    <w:rsid w:val="00DA4112"/>
    <w:rsid w:val="00DA4D70"/>
    <w:rsid w:val="00DA6270"/>
    <w:rsid w:val="00DA6CF4"/>
    <w:rsid w:val="00DA7735"/>
    <w:rsid w:val="00DA7E05"/>
    <w:rsid w:val="00DB22BB"/>
    <w:rsid w:val="00DB25D0"/>
    <w:rsid w:val="00DB2812"/>
    <w:rsid w:val="00DB2F8F"/>
    <w:rsid w:val="00DB4480"/>
    <w:rsid w:val="00DB45F3"/>
    <w:rsid w:val="00DB6BC9"/>
    <w:rsid w:val="00DC3A3E"/>
    <w:rsid w:val="00DC3C9C"/>
    <w:rsid w:val="00DC6925"/>
    <w:rsid w:val="00DC6965"/>
    <w:rsid w:val="00DC76D6"/>
    <w:rsid w:val="00DD0B26"/>
    <w:rsid w:val="00DD137E"/>
    <w:rsid w:val="00DD3D6E"/>
    <w:rsid w:val="00DD5B72"/>
    <w:rsid w:val="00DD5FB0"/>
    <w:rsid w:val="00DD7D5D"/>
    <w:rsid w:val="00DE005B"/>
    <w:rsid w:val="00DE0FB1"/>
    <w:rsid w:val="00DE3B7E"/>
    <w:rsid w:val="00DE4E3F"/>
    <w:rsid w:val="00DE4E5D"/>
    <w:rsid w:val="00DE4FAB"/>
    <w:rsid w:val="00DE6596"/>
    <w:rsid w:val="00DF08C8"/>
    <w:rsid w:val="00DF3C94"/>
    <w:rsid w:val="00DF4AC4"/>
    <w:rsid w:val="00DF553E"/>
    <w:rsid w:val="00DF6724"/>
    <w:rsid w:val="00DF6762"/>
    <w:rsid w:val="00DF67FB"/>
    <w:rsid w:val="00E01546"/>
    <w:rsid w:val="00E02F9D"/>
    <w:rsid w:val="00E03953"/>
    <w:rsid w:val="00E055EB"/>
    <w:rsid w:val="00E05D91"/>
    <w:rsid w:val="00E07776"/>
    <w:rsid w:val="00E112A1"/>
    <w:rsid w:val="00E11A7B"/>
    <w:rsid w:val="00E13A36"/>
    <w:rsid w:val="00E13D21"/>
    <w:rsid w:val="00E14158"/>
    <w:rsid w:val="00E14FDA"/>
    <w:rsid w:val="00E1658D"/>
    <w:rsid w:val="00E165D4"/>
    <w:rsid w:val="00E16A64"/>
    <w:rsid w:val="00E208DF"/>
    <w:rsid w:val="00E2175E"/>
    <w:rsid w:val="00E226D2"/>
    <w:rsid w:val="00E23EE3"/>
    <w:rsid w:val="00E24A0C"/>
    <w:rsid w:val="00E25E15"/>
    <w:rsid w:val="00E269BD"/>
    <w:rsid w:val="00E3211A"/>
    <w:rsid w:val="00E32FC6"/>
    <w:rsid w:val="00E4060A"/>
    <w:rsid w:val="00E40B1D"/>
    <w:rsid w:val="00E41848"/>
    <w:rsid w:val="00E41BBA"/>
    <w:rsid w:val="00E439F6"/>
    <w:rsid w:val="00E46146"/>
    <w:rsid w:val="00E46A2B"/>
    <w:rsid w:val="00E47660"/>
    <w:rsid w:val="00E50655"/>
    <w:rsid w:val="00E548E7"/>
    <w:rsid w:val="00E55532"/>
    <w:rsid w:val="00E6773B"/>
    <w:rsid w:val="00E678D7"/>
    <w:rsid w:val="00E70B7E"/>
    <w:rsid w:val="00E71937"/>
    <w:rsid w:val="00E77C0F"/>
    <w:rsid w:val="00E804DD"/>
    <w:rsid w:val="00E81FE7"/>
    <w:rsid w:val="00E82BD6"/>
    <w:rsid w:val="00E830A1"/>
    <w:rsid w:val="00E83D0F"/>
    <w:rsid w:val="00E848EC"/>
    <w:rsid w:val="00E84C1F"/>
    <w:rsid w:val="00E852D5"/>
    <w:rsid w:val="00E8656A"/>
    <w:rsid w:val="00E9137E"/>
    <w:rsid w:val="00E92658"/>
    <w:rsid w:val="00E958B9"/>
    <w:rsid w:val="00E95BEA"/>
    <w:rsid w:val="00E96C46"/>
    <w:rsid w:val="00E97DCF"/>
    <w:rsid w:val="00EA1721"/>
    <w:rsid w:val="00EA177C"/>
    <w:rsid w:val="00EA1C6F"/>
    <w:rsid w:val="00EA3F32"/>
    <w:rsid w:val="00EA43BC"/>
    <w:rsid w:val="00EA55C6"/>
    <w:rsid w:val="00EA780A"/>
    <w:rsid w:val="00EA7FD0"/>
    <w:rsid w:val="00EB1452"/>
    <w:rsid w:val="00EB1A58"/>
    <w:rsid w:val="00EB2DE1"/>
    <w:rsid w:val="00EB3671"/>
    <w:rsid w:val="00EB4FE9"/>
    <w:rsid w:val="00EB51E4"/>
    <w:rsid w:val="00EB7618"/>
    <w:rsid w:val="00EC0675"/>
    <w:rsid w:val="00EC0F74"/>
    <w:rsid w:val="00EC4402"/>
    <w:rsid w:val="00EC45B9"/>
    <w:rsid w:val="00EC4BE8"/>
    <w:rsid w:val="00EC643E"/>
    <w:rsid w:val="00EC6D4A"/>
    <w:rsid w:val="00EC7425"/>
    <w:rsid w:val="00ED48D4"/>
    <w:rsid w:val="00ED5267"/>
    <w:rsid w:val="00ED7FD1"/>
    <w:rsid w:val="00EE00CA"/>
    <w:rsid w:val="00EE2113"/>
    <w:rsid w:val="00EE508D"/>
    <w:rsid w:val="00EE6C37"/>
    <w:rsid w:val="00EF1833"/>
    <w:rsid w:val="00EF39B3"/>
    <w:rsid w:val="00EF6333"/>
    <w:rsid w:val="00EF69E9"/>
    <w:rsid w:val="00EF6CAF"/>
    <w:rsid w:val="00EF6D9B"/>
    <w:rsid w:val="00EF6F5C"/>
    <w:rsid w:val="00EF74B1"/>
    <w:rsid w:val="00EF7818"/>
    <w:rsid w:val="00F00EF0"/>
    <w:rsid w:val="00F02B64"/>
    <w:rsid w:val="00F02CD8"/>
    <w:rsid w:val="00F04D23"/>
    <w:rsid w:val="00F11033"/>
    <w:rsid w:val="00F11D7C"/>
    <w:rsid w:val="00F122F0"/>
    <w:rsid w:val="00F13A53"/>
    <w:rsid w:val="00F1613F"/>
    <w:rsid w:val="00F16FD1"/>
    <w:rsid w:val="00F17C1F"/>
    <w:rsid w:val="00F20540"/>
    <w:rsid w:val="00F20AF2"/>
    <w:rsid w:val="00F21038"/>
    <w:rsid w:val="00F22BFF"/>
    <w:rsid w:val="00F24F6E"/>
    <w:rsid w:val="00F2541F"/>
    <w:rsid w:val="00F27980"/>
    <w:rsid w:val="00F3118C"/>
    <w:rsid w:val="00F312CF"/>
    <w:rsid w:val="00F3230D"/>
    <w:rsid w:val="00F32357"/>
    <w:rsid w:val="00F33330"/>
    <w:rsid w:val="00F34D21"/>
    <w:rsid w:val="00F40914"/>
    <w:rsid w:val="00F41AA2"/>
    <w:rsid w:val="00F42F8C"/>
    <w:rsid w:val="00F4364E"/>
    <w:rsid w:val="00F454A9"/>
    <w:rsid w:val="00F459E6"/>
    <w:rsid w:val="00F46BAA"/>
    <w:rsid w:val="00F52734"/>
    <w:rsid w:val="00F551CE"/>
    <w:rsid w:val="00F5626E"/>
    <w:rsid w:val="00F57BE0"/>
    <w:rsid w:val="00F60C1A"/>
    <w:rsid w:val="00F641FB"/>
    <w:rsid w:val="00F660DB"/>
    <w:rsid w:val="00F661DD"/>
    <w:rsid w:val="00F662B5"/>
    <w:rsid w:val="00F665A4"/>
    <w:rsid w:val="00F6694B"/>
    <w:rsid w:val="00F70146"/>
    <w:rsid w:val="00F708B9"/>
    <w:rsid w:val="00F70F99"/>
    <w:rsid w:val="00F719C9"/>
    <w:rsid w:val="00F72170"/>
    <w:rsid w:val="00F730AB"/>
    <w:rsid w:val="00F7315A"/>
    <w:rsid w:val="00F73812"/>
    <w:rsid w:val="00F746CE"/>
    <w:rsid w:val="00F76666"/>
    <w:rsid w:val="00F831DB"/>
    <w:rsid w:val="00F84B2C"/>
    <w:rsid w:val="00F84F17"/>
    <w:rsid w:val="00F8629D"/>
    <w:rsid w:val="00F86FEF"/>
    <w:rsid w:val="00F874D8"/>
    <w:rsid w:val="00F87654"/>
    <w:rsid w:val="00F917FA"/>
    <w:rsid w:val="00F928CD"/>
    <w:rsid w:val="00F966E5"/>
    <w:rsid w:val="00FA04C5"/>
    <w:rsid w:val="00FA1171"/>
    <w:rsid w:val="00FA1CA2"/>
    <w:rsid w:val="00FA467E"/>
    <w:rsid w:val="00FA5DF5"/>
    <w:rsid w:val="00FA6D15"/>
    <w:rsid w:val="00FA6DB0"/>
    <w:rsid w:val="00FA6E7C"/>
    <w:rsid w:val="00FA7B3B"/>
    <w:rsid w:val="00FB1BA0"/>
    <w:rsid w:val="00FB53A3"/>
    <w:rsid w:val="00FB5A76"/>
    <w:rsid w:val="00FB5C42"/>
    <w:rsid w:val="00FB724E"/>
    <w:rsid w:val="00FB7E26"/>
    <w:rsid w:val="00FC2481"/>
    <w:rsid w:val="00FC5CB7"/>
    <w:rsid w:val="00FD045B"/>
    <w:rsid w:val="00FD0BD2"/>
    <w:rsid w:val="00FD2789"/>
    <w:rsid w:val="00FD594A"/>
    <w:rsid w:val="00FE01E9"/>
    <w:rsid w:val="00FE121B"/>
    <w:rsid w:val="00FE14B3"/>
    <w:rsid w:val="00FE3BC4"/>
    <w:rsid w:val="00FE4DA3"/>
    <w:rsid w:val="00FE50BD"/>
    <w:rsid w:val="00FF0DB5"/>
    <w:rsid w:val="00FF319B"/>
    <w:rsid w:val="00FF39F8"/>
    <w:rsid w:val="00FF3E2B"/>
    <w:rsid w:val="00FF49C7"/>
    <w:rsid w:val="00FF670A"/>
    <w:rsid w:val="00FF70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A6B14"/>
  <w15:docId w15:val="{F562A7F7-9F60-4FA7-A6B5-01474277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148"/>
    <w:rPr>
      <w:sz w:val="24"/>
      <w:szCs w:val="24"/>
      <w:lang w:val="es-ES" w:eastAsia="es-ES"/>
    </w:rPr>
  </w:style>
  <w:style w:type="paragraph" w:styleId="Ttulo1">
    <w:name w:val="heading 1"/>
    <w:basedOn w:val="Normal"/>
    <w:next w:val="Normal"/>
    <w:link w:val="Ttulo1Car"/>
    <w:qFormat/>
    <w:rsid w:val="004A494F"/>
    <w:pPr>
      <w:keepNext/>
      <w:spacing w:before="360"/>
      <w:jc w:val="right"/>
      <w:outlineLvl w:val="0"/>
    </w:pPr>
    <w:rPr>
      <w:rFonts w:ascii="Arial" w:hAnsi="Arial" w:cs="Arial"/>
      <w:b/>
      <w:bCs/>
    </w:rPr>
  </w:style>
  <w:style w:type="paragraph" w:styleId="Ttulo2">
    <w:name w:val="heading 2"/>
    <w:basedOn w:val="Normal"/>
    <w:next w:val="Normal"/>
    <w:qFormat/>
    <w:rsid w:val="00B509DC"/>
    <w:pPr>
      <w:keepNext/>
      <w:spacing w:before="360"/>
      <w:jc w:val="both"/>
      <w:outlineLvl w:val="1"/>
    </w:pPr>
    <w:rPr>
      <w:rFonts w:ascii="Arial" w:hAnsi="Arial"/>
      <w:i/>
      <w:szCs w:val="20"/>
    </w:rPr>
  </w:style>
  <w:style w:type="paragraph" w:styleId="Ttulo3">
    <w:name w:val="heading 3"/>
    <w:basedOn w:val="Normal"/>
    <w:next w:val="Normal"/>
    <w:link w:val="Ttulo3Car"/>
    <w:qFormat/>
    <w:rsid w:val="00B509DC"/>
    <w:pPr>
      <w:keepNext/>
      <w:spacing w:before="240"/>
      <w:jc w:val="both"/>
      <w:outlineLvl w:val="2"/>
    </w:pPr>
    <w:rPr>
      <w:b/>
      <w:szCs w:val="20"/>
    </w:rPr>
  </w:style>
  <w:style w:type="paragraph" w:styleId="Ttulo4">
    <w:name w:val="heading 4"/>
    <w:basedOn w:val="Normal"/>
    <w:next w:val="Normal"/>
    <w:qFormat/>
    <w:rsid w:val="001D6523"/>
    <w:pPr>
      <w:keepNext/>
      <w:outlineLvl w:val="3"/>
    </w:pPr>
    <w:rPr>
      <w:rFonts w:ascii="Arial Narrow" w:hAnsi="Arial Narrow"/>
      <w:szCs w:val="20"/>
    </w:rPr>
  </w:style>
  <w:style w:type="paragraph" w:styleId="Ttulo5">
    <w:name w:val="heading 5"/>
    <w:basedOn w:val="Normal"/>
    <w:next w:val="Normal"/>
    <w:qFormat/>
    <w:rsid w:val="001D6523"/>
    <w:pPr>
      <w:keepNext/>
      <w:outlineLvl w:val="4"/>
    </w:pPr>
    <w:rPr>
      <w:rFonts w:ascii="Arial Narrow" w:hAnsi="Arial Narrow"/>
      <w:b/>
      <w:szCs w:val="20"/>
    </w:rPr>
  </w:style>
  <w:style w:type="paragraph" w:styleId="Ttulo6">
    <w:name w:val="heading 6"/>
    <w:basedOn w:val="Normal"/>
    <w:next w:val="Normal"/>
    <w:qFormat/>
    <w:rsid w:val="001D6523"/>
    <w:pPr>
      <w:keepNext/>
      <w:spacing w:line="360" w:lineRule="auto"/>
      <w:jc w:val="both"/>
      <w:outlineLvl w:val="5"/>
    </w:pPr>
    <w:rPr>
      <w:rFonts w:ascii="Arial" w:hAnsi="Arial" w:cs="Arial"/>
      <w:b/>
      <w:sz w:val="22"/>
    </w:rPr>
  </w:style>
  <w:style w:type="paragraph" w:styleId="Ttulo7">
    <w:name w:val="heading 7"/>
    <w:basedOn w:val="Normal"/>
    <w:next w:val="Normal"/>
    <w:qFormat/>
    <w:rsid w:val="001D6523"/>
    <w:pPr>
      <w:keepNext/>
      <w:jc w:val="center"/>
      <w:outlineLvl w:val="6"/>
    </w:pPr>
    <w:rPr>
      <w:rFonts w:ascii="Arial" w:hAnsi="Arial" w:cs="Arial"/>
      <w:b/>
      <w:bCs/>
      <w:snapToGrid w:val="0"/>
      <w:sz w:val="22"/>
    </w:rPr>
  </w:style>
  <w:style w:type="paragraph" w:styleId="Ttulo8">
    <w:name w:val="heading 8"/>
    <w:basedOn w:val="Normal"/>
    <w:next w:val="Normal"/>
    <w:qFormat/>
    <w:rsid w:val="001D6523"/>
    <w:pPr>
      <w:keepNext/>
      <w:spacing w:line="360" w:lineRule="auto"/>
      <w:ind w:firstLine="2268"/>
      <w:jc w:val="both"/>
      <w:outlineLvl w:val="7"/>
    </w:pPr>
    <w:rPr>
      <w:rFonts w:ascii="Arial" w:hAnsi="Arial" w:cs="Arial"/>
      <w:snapToGrid w:val="0"/>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D6523"/>
    <w:pPr>
      <w:spacing w:line="360" w:lineRule="auto"/>
      <w:jc w:val="both"/>
    </w:pPr>
    <w:rPr>
      <w:rFonts w:ascii="Arial" w:hAnsi="Arial" w:cs="Arial"/>
      <w:sz w:val="22"/>
    </w:rPr>
  </w:style>
  <w:style w:type="paragraph" w:styleId="Sangra2detindependiente">
    <w:name w:val="Body Text Indent 2"/>
    <w:basedOn w:val="Normal"/>
    <w:rsid w:val="001D6523"/>
    <w:pPr>
      <w:ind w:right="51" w:firstLine="1418"/>
      <w:jc w:val="both"/>
    </w:pPr>
    <w:rPr>
      <w:rFonts w:ascii="Arial" w:hAnsi="Arial" w:cs="Arial"/>
      <w:szCs w:val="20"/>
      <w:lang w:val="es-ES_tradnl"/>
    </w:rPr>
  </w:style>
  <w:style w:type="paragraph" w:styleId="Textoindependiente">
    <w:name w:val="Body Text"/>
    <w:basedOn w:val="Normal"/>
    <w:rsid w:val="001D6523"/>
    <w:pPr>
      <w:tabs>
        <w:tab w:val="left" w:pos="2340"/>
      </w:tabs>
    </w:pPr>
    <w:rPr>
      <w:rFonts w:ascii="Arial" w:hAnsi="Arial" w:cs="Arial"/>
      <w:sz w:val="22"/>
    </w:rPr>
  </w:style>
  <w:style w:type="paragraph" w:styleId="Textoindependiente3">
    <w:name w:val="Body Text 3"/>
    <w:basedOn w:val="Normal"/>
    <w:rsid w:val="001D6523"/>
    <w:pPr>
      <w:tabs>
        <w:tab w:val="left" w:pos="2340"/>
      </w:tabs>
      <w:jc w:val="both"/>
    </w:pPr>
    <w:rPr>
      <w:rFonts w:ascii="Arial" w:hAnsi="Arial" w:cs="Arial"/>
      <w:b/>
      <w:bCs/>
      <w:sz w:val="22"/>
    </w:rPr>
  </w:style>
  <w:style w:type="paragraph" w:styleId="Textonotapie">
    <w:name w:val="footnote text"/>
    <w:aliases w:val="Footnote Text Char Char Char Char,Footnote Text Char Char Char,Footnote Text.SES,Footnote Text Char Char Char Char Char,Footnote reference,FA Fu,Footnote Text Char,Footnote Text Char Char Char Char Char Char Char Char"/>
    <w:basedOn w:val="Normal"/>
    <w:link w:val="TextonotapieCar"/>
    <w:uiPriority w:val="99"/>
    <w:rsid w:val="001D6523"/>
    <w:rPr>
      <w:sz w:val="20"/>
      <w:szCs w:val="20"/>
    </w:rPr>
  </w:style>
  <w:style w:type="character" w:styleId="Refdenotaalpie">
    <w:name w:val="footnote reference"/>
    <w:uiPriority w:val="99"/>
    <w:rsid w:val="001D6523"/>
    <w:rPr>
      <w:vertAlign w:val="superscript"/>
    </w:rPr>
  </w:style>
  <w:style w:type="paragraph" w:styleId="Encabezado">
    <w:name w:val="header"/>
    <w:basedOn w:val="Normal"/>
    <w:link w:val="EncabezadoCar"/>
    <w:rsid w:val="001D6523"/>
    <w:pPr>
      <w:tabs>
        <w:tab w:val="center" w:pos="4419"/>
        <w:tab w:val="right" w:pos="8838"/>
      </w:tabs>
    </w:pPr>
  </w:style>
  <w:style w:type="paragraph" w:styleId="Piedepgina">
    <w:name w:val="footer"/>
    <w:basedOn w:val="Normal"/>
    <w:link w:val="PiedepginaCar"/>
    <w:uiPriority w:val="99"/>
    <w:rsid w:val="001D6523"/>
    <w:pPr>
      <w:tabs>
        <w:tab w:val="center" w:pos="4419"/>
        <w:tab w:val="right" w:pos="8838"/>
      </w:tabs>
    </w:pPr>
  </w:style>
  <w:style w:type="character" w:styleId="Nmerodepgina">
    <w:name w:val="page number"/>
    <w:basedOn w:val="Fuentedeprrafopredeter"/>
    <w:rsid w:val="001D6523"/>
  </w:style>
  <w:style w:type="paragraph" w:styleId="Sangradetextonormal">
    <w:name w:val="Body Text Indent"/>
    <w:basedOn w:val="Normal"/>
    <w:rsid w:val="001D6523"/>
    <w:pPr>
      <w:spacing w:before="120" w:after="120" w:line="360" w:lineRule="auto"/>
      <w:ind w:firstLine="709"/>
      <w:jc w:val="both"/>
    </w:pPr>
    <w:rPr>
      <w:rFonts w:ascii="Arial" w:hAnsi="Arial"/>
      <w:sz w:val="22"/>
    </w:rPr>
  </w:style>
  <w:style w:type="paragraph" w:styleId="Sangra3detindependiente">
    <w:name w:val="Body Text Indent 3"/>
    <w:basedOn w:val="Normal"/>
    <w:rsid w:val="001D6523"/>
    <w:pPr>
      <w:spacing w:line="360" w:lineRule="auto"/>
      <w:ind w:firstLine="2268"/>
      <w:jc w:val="both"/>
    </w:pPr>
    <w:rPr>
      <w:rFonts w:ascii="Arial" w:hAnsi="Arial" w:cs="Arial"/>
      <w:sz w:val="22"/>
    </w:rPr>
  </w:style>
  <w:style w:type="paragraph" w:styleId="Textodebloque">
    <w:name w:val="Block Text"/>
    <w:basedOn w:val="Normal"/>
    <w:rsid w:val="001D6523"/>
    <w:pPr>
      <w:spacing w:line="360" w:lineRule="auto"/>
      <w:ind w:left="1260" w:right="2000"/>
      <w:jc w:val="both"/>
    </w:pPr>
    <w:rPr>
      <w:rFonts w:ascii="Arial" w:hAnsi="Arial" w:cs="Arial"/>
      <w:snapToGrid w:val="0"/>
      <w:sz w:val="22"/>
    </w:rPr>
  </w:style>
  <w:style w:type="paragraph" w:styleId="Textocomentario">
    <w:name w:val="annotation text"/>
    <w:basedOn w:val="Normal"/>
    <w:semiHidden/>
    <w:rsid w:val="001D6523"/>
    <w:rPr>
      <w:sz w:val="20"/>
      <w:szCs w:val="20"/>
    </w:rPr>
  </w:style>
  <w:style w:type="character" w:styleId="Refdecomentario">
    <w:name w:val="annotation reference"/>
    <w:semiHidden/>
    <w:rsid w:val="001D6523"/>
    <w:rPr>
      <w:sz w:val="16"/>
    </w:rPr>
  </w:style>
  <w:style w:type="paragraph" w:customStyle="1" w:styleId="personal">
    <w:name w:val="personal"/>
    <w:basedOn w:val="Normal"/>
    <w:rsid w:val="001D6523"/>
    <w:pPr>
      <w:jc w:val="both"/>
    </w:pPr>
    <w:rPr>
      <w:rFonts w:ascii="Arial" w:hAnsi="Arial"/>
      <w:spacing w:val="6"/>
      <w:szCs w:val="20"/>
      <w:lang w:val="es-ES_tradnl"/>
    </w:rPr>
  </w:style>
  <w:style w:type="paragraph" w:styleId="Textodeglobo">
    <w:name w:val="Balloon Text"/>
    <w:basedOn w:val="Normal"/>
    <w:link w:val="TextodegloboCar"/>
    <w:rsid w:val="00366BE4"/>
    <w:rPr>
      <w:rFonts w:ascii="Tahoma" w:hAnsi="Tahoma" w:cs="Tahoma"/>
      <w:sz w:val="16"/>
      <w:szCs w:val="16"/>
    </w:rPr>
  </w:style>
  <w:style w:type="character" w:styleId="Hipervnculo">
    <w:name w:val="Hyperlink"/>
    <w:uiPriority w:val="99"/>
    <w:rsid w:val="00F02CD8"/>
    <w:rPr>
      <w:color w:val="0000FF"/>
      <w:u w:val="single"/>
    </w:rPr>
  </w:style>
  <w:style w:type="paragraph" w:styleId="TDC1">
    <w:name w:val="toc 1"/>
    <w:basedOn w:val="Normal"/>
    <w:next w:val="Normal"/>
    <w:autoRedefine/>
    <w:uiPriority w:val="39"/>
    <w:rsid w:val="00272722"/>
    <w:pPr>
      <w:spacing w:before="120" w:after="120"/>
    </w:pPr>
    <w:rPr>
      <w:rFonts w:ascii="Calibri" w:hAnsi="Calibri"/>
      <w:b/>
      <w:bCs/>
      <w:caps/>
      <w:sz w:val="20"/>
      <w:szCs w:val="20"/>
    </w:rPr>
  </w:style>
  <w:style w:type="paragraph" w:styleId="TDC2">
    <w:name w:val="toc 2"/>
    <w:basedOn w:val="Normal"/>
    <w:next w:val="Normal"/>
    <w:autoRedefine/>
    <w:uiPriority w:val="39"/>
    <w:rsid w:val="00272722"/>
    <w:pPr>
      <w:ind w:left="240"/>
    </w:pPr>
    <w:rPr>
      <w:rFonts w:ascii="Calibri" w:hAnsi="Calibri"/>
      <w:smallCaps/>
      <w:sz w:val="20"/>
      <w:szCs w:val="20"/>
    </w:rPr>
  </w:style>
  <w:style w:type="paragraph" w:styleId="TDC3">
    <w:name w:val="toc 3"/>
    <w:basedOn w:val="Normal"/>
    <w:next w:val="Normal"/>
    <w:autoRedefine/>
    <w:uiPriority w:val="39"/>
    <w:rsid w:val="00272722"/>
    <w:pPr>
      <w:ind w:left="480"/>
    </w:pPr>
    <w:rPr>
      <w:rFonts w:ascii="Calibri" w:hAnsi="Calibri"/>
      <w:i/>
      <w:iCs/>
      <w:sz w:val="20"/>
      <w:szCs w:val="20"/>
    </w:rPr>
  </w:style>
  <w:style w:type="paragraph" w:styleId="TDC4">
    <w:name w:val="toc 4"/>
    <w:basedOn w:val="Normal"/>
    <w:next w:val="Normal"/>
    <w:autoRedefine/>
    <w:semiHidden/>
    <w:rsid w:val="00272722"/>
    <w:pPr>
      <w:ind w:left="720"/>
    </w:pPr>
    <w:rPr>
      <w:rFonts w:ascii="Calibri" w:hAnsi="Calibri"/>
      <w:sz w:val="18"/>
      <w:szCs w:val="18"/>
    </w:rPr>
  </w:style>
  <w:style w:type="paragraph" w:styleId="TDC5">
    <w:name w:val="toc 5"/>
    <w:basedOn w:val="Normal"/>
    <w:next w:val="Normal"/>
    <w:autoRedefine/>
    <w:semiHidden/>
    <w:rsid w:val="00272722"/>
    <w:pPr>
      <w:ind w:left="960"/>
    </w:pPr>
    <w:rPr>
      <w:rFonts w:ascii="Calibri" w:hAnsi="Calibri"/>
      <w:sz w:val="18"/>
      <w:szCs w:val="18"/>
    </w:rPr>
  </w:style>
  <w:style w:type="paragraph" w:styleId="TDC6">
    <w:name w:val="toc 6"/>
    <w:basedOn w:val="Normal"/>
    <w:next w:val="Normal"/>
    <w:autoRedefine/>
    <w:semiHidden/>
    <w:rsid w:val="00272722"/>
    <w:pPr>
      <w:ind w:left="1200"/>
    </w:pPr>
    <w:rPr>
      <w:rFonts w:ascii="Calibri" w:hAnsi="Calibri"/>
      <w:sz w:val="18"/>
      <w:szCs w:val="18"/>
    </w:rPr>
  </w:style>
  <w:style w:type="paragraph" w:styleId="TDC7">
    <w:name w:val="toc 7"/>
    <w:basedOn w:val="Normal"/>
    <w:next w:val="Normal"/>
    <w:autoRedefine/>
    <w:semiHidden/>
    <w:rsid w:val="00272722"/>
    <w:pPr>
      <w:ind w:left="1440"/>
    </w:pPr>
    <w:rPr>
      <w:rFonts w:ascii="Calibri" w:hAnsi="Calibri"/>
      <w:sz w:val="18"/>
      <w:szCs w:val="18"/>
    </w:rPr>
  </w:style>
  <w:style w:type="paragraph" w:styleId="TDC8">
    <w:name w:val="toc 8"/>
    <w:basedOn w:val="Normal"/>
    <w:next w:val="Normal"/>
    <w:autoRedefine/>
    <w:semiHidden/>
    <w:rsid w:val="00272722"/>
    <w:pPr>
      <w:ind w:left="1680"/>
    </w:pPr>
    <w:rPr>
      <w:rFonts w:ascii="Calibri" w:hAnsi="Calibri"/>
      <w:sz w:val="18"/>
      <w:szCs w:val="18"/>
    </w:rPr>
  </w:style>
  <w:style w:type="paragraph" w:styleId="TDC9">
    <w:name w:val="toc 9"/>
    <w:basedOn w:val="Normal"/>
    <w:next w:val="Normal"/>
    <w:autoRedefine/>
    <w:semiHidden/>
    <w:rsid w:val="00272722"/>
    <w:pPr>
      <w:ind w:left="1920"/>
    </w:pPr>
    <w:rPr>
      <w:rFonts w:ascii="Calibri" w:hAnsi="Calibri"/>
      <w:sz w:val="18"/>
      <w:szCs w:val="18"/>
    </w:rPr>
  </w:style>
  <w:style w:type="paragraph" w:styleId="TtuloTDC">
    <w:name w:val="TOC Heading"/>
    <w:basedOn w:val="Ttulo1"/>
    <w:next w:val="Normal"/>
    <w:uiPriority w:val="39"/>
    <w:unhideWhenUsed/>
    <w:qFormat/>
    <w:rsid w:val="00D826F1"/>
    <w:pPr>
      <w:keepLines/>
      <w:spacing w:before="240" w:line="259" w:lineRule="auto"/>
      <w:jc w:val="left"/>
      <w:outlineLvl w:val="9"/>
    </w:pPr>
    <w:rPr>
      <w:rFonts w:ascii="Calibri Light" w:hAnsi="Calibri Light" w:cs="Times New Roman"/>
      <w:b w:val="0"/>
      <w:bCs w:val="0"/>
      <w:color w:val="2E74B5"/>
      <w:sz w:val="32"/>
      <w:szCs w:val="32"/>
      <w:lang w:val="es-CL" w:eastAsia="es-CL"/>
    </w:rPr>
  </w:style>
  <w:style w:type="character" w:styleId="Hipervnculovisitado">
    <w:name w:val="FollowedHyperlink"/>
    <w:rsid w:val="00AA5C5F"/>
    <w:rPr>
      <w:color w:val="954F72"/>
      <w:u w:val="single"/>
    </w:rPr>
  </w:style>
  <w:style w:type="table" w:customStyle="1" w:styleId="Tabladelista1clara-nfasis31">
    <w:name w:val="Tabla de lista 1 clara - Énfasis 31"/>
    <w:basedOn w:val="Tablanormal"/>
    <w:uiPriority w:val="46"/>
    <w:rsid w:val="00FB5A7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harChar">
    <w:name w:val="Char Char"/>
    <w:basedOn w:val="Normal"/>
    <w:rsid w:val="00F708B9"/>
    <w:pPr>
      <w:spacing w:after="160" w:line="240" w:lineRule="exact"/>
      <w:ind w:left="500"/>
      <w:jc w:val="center"/>
    </w:pPr>
    <w:rPr>
      <w:rFonts w:ascii="Verdana" w:hAnsi="Verdana" w:cs="Arial"/>
      <w:b/>
      <w:sz w:val="20"/>
      <w:szCs w:val="20"/>
      <w:lang w:val="es-VE" w:eastAsia="en-US"/>
    </w:rPr>
  </w:style>
  <w:style w:type="character" w:customStyle="1" w:styleId="Ttulo3Car">
    <w:name w:val="Título 3 Car"/>
    <w:link w:val="Ttulo3"/>
    <w:rsid w:val="00056AFD"/>
    <w:rPr>
      <w:b/>
      <w:sz w:val="24"/>
      <w:lang w:val="es-ES" w:eastAsia="es-ES"/>
    </w:rPr>
  </w:style>
  <w:style w:type="character" w:customStyle="1" w:styleId="EncabezadoCar">
    <w:name w:val="Encabezado Car"/>
    <w:link w:val="Encabezado"/>
    <w:uiPriority w:val="99"/>
    <w:rsid w:val="007E4148"/>
    <w:rPr>
      <w:sz w:val="24"/>
      <w:szCs w:val="24"/>
      <w:lang w:val="es-ES" w:eastAsia="es-ES"/>
    </w:rPr>
  </w:style>
  <w:style w:type="character" w:customStyle="1" w:styleId="Textoindependiente2Car">
    <w:name w:val="Texto independiente 2 Car"/>
    <w:link w:val="Textoindependiente2"/>
    <w:rsid w:val="00E32FC6"/>
    <w:rPr>
      <w:rFonts w:ascii="Arial" w:hAnsi="Arial" w:cs="Arial"/>
      <w:sz w:val="22"/>
      <w:szCs w:val="24"/>
      <w:lang w:val="es-ES" w:eastAsia="es-ES"/>
    </w:rPr>
  </w:style>
  <w:style w:type="paragraph" w:styleId="Sinespaciado">
    <w:name w:val="No Spacing"/>
    <w:uiPriority w:val="1"/>
    <w:qFormat/>
    <w:rsid w:val="00974678"/>
    <w:rPr>
      <w:rFonts w:ascii="Calibri" w:eastAsia="Calibri" w:hAnsi="Calibri"/>
      <w:sz w:val="22"/>
      <w:szCs w:val="22"/>
      <w:lang w:eastAsia="en-US"/>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Bullet list,List Paragraph11,Listenabsatz1"/>
    <w:basedOn w:val="Normal"/>
    <w:link w:val="PrrafodelistaCar"/>
    <w:uiPriority w:val="34"/>
    <w:qFormat/>
    <w:rsid w:val="0056196E"/>
    <w:pPr>
      <w:spacing w:after="160" w:line="259" w:lineRule="auto"/>
      <w:ind w:left="720"/>
      <w:contextualSpacing/>
    </w:pPr>
    <w:rPr>
      <w:rFonts w:ascii="Calibri" w:eastAsia="Calibri" w:hAnsi="Calibri"/>
      <w:sz w:val="22"/>
      <w:szCs w:val="22"/>
      <w:lang w:val="es-CL" w:eastAsia="en-US"/>
    </w:rPr>
  </w:style>
  <w:style w:type="paragraph" w:customStyle="1" w:styleId="Estilo3">
    <w:name w:val="Estilo3"/>
    <w:basedOn w:val="Normal"/>
    <w:link w:val="Estilo3Car"/>
    <w:qFormat/>
    <w:rsid w:val="00344B7E"/>
    <w:pPr>
      <w:widowControl w:val="0"/>
      <w:autoSpaceDE w:val="0"/>
      <w:autoSpaceDN w:val="0"/>
      <w:adjustRightInd w:val="0"/>
      <w:jc w:val="both"/>
    </w:pPr>
    <w:rPr>
      <w:rFonts w:ascii="Verdana" w:hAnsi="Verdana"/>
      <w:sz w:val="22"/>
      <w:szCs w:val="22"/>
      <w:lang w:val="es-ES_tradnl"/>
    </w:rPr>
  </w:style>
  <w:style w:type="character" w:customStyle="1" w:styleId="Estilo3Car">
    <w:name w:val="Estilo3 Car"/>
    <w:link w:val="Estilo3"/>
    <w:rsid w:val="00344B7E"/>
    <w:rPr>
      <w:rFonts w:ascii="Verdana" w:hAnsi="Verdana"/>
      <w:sz w:val="22"/>
      <w:szCs w:val="22"/>
      <w:lang w:val="es-ES_tradnl" w:eastAsia="es-ES"/>
    </w:rPr>
  </w:style>
  <w:style w:type="character" w:customStyle="1" w:styleId="TextonotapieCar">
    <w:name w:val="Texto nota pie Car"/>
    <w:aliases w:val="Footnote Text Char Char Char Char Car,Footnote Text Char Char Char Car,Footnote Text.SES Car,Footnote Text Char Char Char Char Char Car,Footnote reference Car,FA Fu Car,Footnote Text Char Car"/>
    <w:basedOn w:val="Fuentedeprrafopredeter"/>
    <w:link w:val="Textonotapie"/>
    <w:uiPriority w:val="99"/>
    <w:rsid w:val="00344B7E"/>
    <w:rPr>
      <w:lang w:val="es-ES" w:eastAsia="es-ES"/>
    </w:rPr>
  </w:style>
  <w:style w:type="character" w:customStyle="1" w:styleId="PiedepginaCar">
    <w:name w:val="Pie de página Car"/>
    <w:basedOn w:val="Fuentedeprrafopredeter"/>
    <w:link w:val="Piedepgina"/>
    <w:uiPriority w:val="99"/>
    <w:rsid w:val="006746C7"/>
    <w:rPr>
      <w:sz w:val="24"/>
      <w:szCs w:val="24"/>
      <w:lang w:val="es-ES" w:eastAsia="es-ES"/>
    </w:rPr>
  </w:style>
  <w:style w:type="character" w:customStyle="1" w:styleId="TextodegloboCar">
    <w:name w:val="Texto de globo Car"/>
    <w:basedOn w:val="Fuentedeprrafopredeter"/>
    <w:link w:val="Textodeglobo"/>
    <w:uiPriority w:val="99"/>
    <w:semiHidden/>
    <w:rsid w:val="006746C7"/>
    <w:rPr>
      <w:rFonts w:ascii="Tahoma" w:hAnsi="Tahoma" w:cs="Tahoma"/>
      <w:sz w:val="16"/>
      <w:szCs w:val="16"/>
      <w:lang w:val="es-ES" w:eastAsia="es-ES"/>
    </w:rPr>
  </w:style>
  <w:style w:type="table" w:styleId="Tablaconcuadrcula">
    <w:name w:val="Table Grid"/>
    <w:basedOn w:val="Tablanormal"/>
    <w:rsid w:val="006746C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361E0"/>
  </w:style>
  <w:style w:type="table" w:customStyle="1" w:styleId="Tablaconcuadrcula1">
    <w:name w:val="Tabla con cuadrícula1"/>
    <w:basedOn w:val="Tablanormal"/>
    <w:uiPriority w:val="39"/>
    <w:rsid w:val="00B361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globo1">
    <w:name w:val="Texto de globo1"/>
    <w:basedOn w:val="Normal"/>
    <w:next w:val="Textodeglobo"/>
    <w:uiPriority w:val="99"/>
    <w:semiHidden/>
    <w:unhideWhenUsed/>
    <w:rsid w:val="00B361E0"/>
    <w:rPr>
      <w:rFonts w:ascii="Segoe UI" w:hAnsi="Segoe UI" w:cs="Segoe UI"/>
      <w:sz w:val="18"/>
      <w:szCs w:val="18"/>
    </w:rPr>
  </w:style>
  <w:style w:type="paragraph" w:customStyle="1" w:styleId="Encabezado1">
    <w:name w:val="Encabezado1"/>
    <w:basedOn w:val="Normal"/>
    <w:next w:val="Encabezado"/>
    <w:uiPriority w:val="99"/>
    <w:unhideWhenUsed/>
    <w:rsid w:val="00B361E0"/>
    <w:pPr>
      <w:tabs>
        <w:tab w:val="center" w:pos="4419"/>
        <w:tab w:val="right" w:pos="8838"/>
      </w:tabs>
    </w:pPr>
    <w:rPr>
      <w:rFonts w:ascii="Calibri" w:eastAsia="Calibri" w:hAnsi="Calibri"/>
      <w:sz w:val="22"/>
      <w:szCs w:val="22"/>
      <w:lang w:val="es-CL" w:eastAsia="en-US"/>
    </w:rPr>
  </w:style>
  <w:style w:type="paragraph" w:customStyle="1" w:styleId="Piedepgina1">
    <w:name w:val="Pie de página1"/>
    <w:basedOn w:val="Normal"/>
    <w:next w:val="Piedepgina"/>
    <w:uiPriority w:val="99"/>
    <w:unhideWhenUsed/>
    <w:rsid w:val="00B361E0"/>
    <w:pPr>
      <w:tabs>
        <w:tab w:val="center" w:pos="4419"/>
        <w:tab w:val="right" w:pos="8838"/>
      </w:tabs>
    </w:pPr>
    <w:rPr>
      <w:rFonts w:ascii="Calibri" w:eastAsia="Calibri" w:hAnsi="Calibri"/>
      <w:sz w:val="22"/>
      <w:szCs w:val="22"/>
      <w:lang w:val="es-CL" w:eastAsia="en-US"/>
    </w:rPr>
  </w:style>
  <w:style w:type="paragraph" w:customStyle="1" w:styleId="Prrafodelista1">
    <w:name w:val="Párrafo de lista1"/>
    <w:basedOn w:val="Normal"/>
    <w:next w:val="Prrafodelista"/>
    <w:uiPriority w:val="34"/>
    <w:qFormat/>
    <w:rsid w:val="00B361E0"/>
    <w:pPr>
      <w:spacing w:after="160" w:line="259" w:lineRule="auto"/>
      <w:ind w:left="720"/>
      <w:contextualSpacing/>
    </w:pPr>
    <w:rPr>
      <w:rFonts w:ascii="Calibri" w:eastAsia="Calibri" w:hAnsi="Calibri"/>
      <w:sz w:val="22"/>
      <w:szCs w:val="22"/>
      <w:lang w:val="es-CL" w:eastAsia="en-US"/>
    </w:rPr>
  </w:style>
  <w:style w:type="paragraph" w:customStyle="1" w:styleId="Textonotapie1">
    <w:name w:val="Texto nota pie1"/>
    <w:basedOn w:val="Normal"/>
    <w:next w:val="Textonotapie"/>
    <w:uiPriority w:val="99"/>
    <w:semiHidden/>
    <w:unhideWhenUsed/>
    <w:rsid w:val="00B361E0"/>
    <w:rPr>
      <w:sz w:val="20"/>
      <w:szCs w:val="20"/>
    </w:rPr>
  </w:style>
  <w:style w:type="character" w:customStyle="1" w:styleId="TextodegloboCar1">
    <w:name w:val="Texto de globo Car1"/>
    <w:basedOn w:val="Fuentedeprrafopredeter"/>
    <w:rsid w:val="00B361E0"/>
    <w:rPr>
      <w:rFonts w:ascii="Tahoma" w:hAnsi="Tahoma" w:cs="Tahoma"/>
      <w:sz w:val="16"/>
      <w:szCs w:val="16"/>
    </w:rPr>
  </w:style>
  <w:style w:type="character" w:customStyle="1" w:styleId="EncabezadoCar1">
    <w:name w:val="Encabezado Car1"/>
    <w:basedOn w:val="Fuentedeprrafopredeter"/>
    <w:rsid w:val="00B361E0"/>
    <w:rPr>
      <w:sz w:val="24"/>
      <w:szCs w:val="24"/>
    </w:rPr>
  </w:style>
  <w:style w:type="character" w:customStyle="1" w:styleId="PiedepginaCar1">
    <w:name w:val="Pie de página Car1"/>
    <w:basedOn w:val="Fuentedeprrafopredeter"/>
    <w:rsid w:val="00B361E0"/>
    <w:rPr>
      <w:sz w:val="24"/>
      <w:szCs w:val="24"/>
    </w:rPr>
  </w:style>
  <w:style w:type="character" w:customStyle="1" w:styleId="TextonotapieCar1">
    <w:name w:val="Texto nota pie Car1"/>
    <w:basedOn w:val="Fuentedeprrafopredeter"/>
    <w:rsid w:val="00B361E0"/>
  </w:style>
  <w:style w:type="character" w:customStyle="1" w:styleId="Ttulo1Car">
    <w:name w:val="Título 1 Car"/>
    <w:basedOn w:val="Fuentedeprrafopredeter"/>
    <w:link w:val="Ttulo1"/>
    <w:rsid w:val="00840AF5"/>
    <w:rPr>
      <w:rFonts w:ascii="Arial" w:hAnsi="Arial" w:cs="Arial"/>
      <w:b/>
      <w:bCs/>
      <w:sz w:val="24"/>
      <w:szCs w:val="24"/>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link w:val="Prrafodelista"/>
    <w:uiPriority w:val="34"/>
    <w:qFormat/>
    <w:locked/>
    <w:rsid w:val="00215D5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29622">
      <w:bodyDiv w:val="1"/>
      <w:marLeft w:val="0"/>
      <w:marRight w:val="0"/>
      <w:marTop w:val="0"/>
      <w:marBottom w:val="0"/>
      <w:divBdr>
        <w:top w:val="none" w:sz="0" w:space="0" w:color="auto"/>
        <w:left w:val="none" w:sz="0" w:space="0" w:color="auto"/>
        <w:bottom w:val="none" w:sz="0" w:space="0" w:color="auto"/>
        <w:right w:val="none" w:sz="0" w:space="0" w:color="auto"/>
      </w:divBdr>
    </w:div>
    <w:div w:id="750664770">
      <w:bodyDiv w:val="1"/>
      <w:marLeft w:val="0"/>
      <w:marRight w:val="0"/>
      <w:marTop w:val="0"/>
      <w:marBottom w:val="0"/>
      <w:divBdr>
        <w:top w:val="none" w:sz="0" w:space="0" w:color="auto"/>
        <w:left w:val="none" w:sz="0" w:space="0" w:color="auto"/>
        <w:bottom w:val="none" w:sz="0" w:space="0" w:color="auto"/>
        <w:right w:val="none" w:sz="0" w:space="0" w:color="auto"/>
      </w:divBdr>
    </w:div>
    <w:div w:id="1050616222">
      <w:bodyDiv w:val="1"/>
      <w:marLeft w:val="0"/>
      <w:marRight w:val="0"/>
      <w:marTop w:val="0"/>
      <w:marBottom w:val="0"/>
      <w:divBdr>
        <w:top w:val="none" w:sz="0" w:space="0" w:color="auto"/>
        <w:left w:val="none" w:sz="0" w:space="0" w:color="auto"/>
        <w:bottom w:val="none" w:sz="0" w:space="0" w:color="auto"/>
        <w:right w:val="none" w:sz="0" w:space="0" w:color="auto"/>
      </w:divBdr>
    </w:div>
    <w:div w:id="1226405936">
      <w:bodyDiv w:val="1"/>
      <w:marLeft w:val="0"/>
      <w:marRight w:val="0"/>
      <w:marTop w:val="0"/>
      <w:marBottom w:val="0"/>
      <w:divBdr>
        <w:top w:val="none" w:sz="0" w:space="0" w:color="auto"/>
        <w:left w:val="none" w:sz="0" w:space="0" w:color="auto"/>
        <w:bottom w:val="none" w:sz="0" w:space="0" w:color="auto"/>
        <w:right w:val="none" w:sz="0" w:space="0" w:color="auto"/>
      </w:divBdr>
    </w:div>
    <w:div w:id="1237595150">
      <w:bodyDiv w:val="1"/>
      <w:marLeft w:val="0"/>
      <w:marRight w:val="0"/>
      <w:marTop w:val="0"/>
      <w:marBottom w:val="0"/>
      <w:divBdr>
        <w:top w:val="none" w:sz="0" w:space="0" w:color="auto"/>
        <w:left w:val="none" w:sz="0" w:space="0" w:color="auto"/>
        <w:bottom w:val="none" w:sz="0" w:space="0" w:color="auto"/>
        <w:right w:val="none" w:sz="0" w:space="0" w:color="auto"/>
      </w:divBdr>
    </w:div>
    <w:div w:id="1263761268">
      <w:bodyDiv w:val="1"/>
      <w:marLeft w:val="0"/>
      <w:marRight w:val="0"/>
      <w:marTop w:val="0"/>
      <w:marBottom w:val="0"/>
      <w:divBdr>
        <w:top w:val="none" w:sz="0" w:space="0" w:color="auto"/>
        <w:left w:val="none" w:sz="0" w:space="0" w:color="auto"/>
        <w:bottom w:val="none" w:sz="0" w:space="0" w:color="auto"/>
        <w:right w:val="none" w:sz="0" w:space="0" w:color="auto"/>
      </w:divBdr>
    </w:div>
    <w:div w:id="1278413608">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64872808">
      <w:bodyDiv w:val="1"/>
      <w:marLeft w:val="0"/>
      <w:marRight w:val="0"/>
      <w:marTop w:val="0"/>
      <w:marBottom w:val="0"/>
      <w:divBdr>
        <w:top w:val="none" w:sz="0" w:space="0" w:color="auto"/>
        <w:left w:val="none" w:sz="0" w:space="0" w:color="auto"/>
        <w:bottom w:val="none" w:sz="0" w:space="0" w:color="auto"/>
        <w:right w:val="none" w:sz="0" w:space="0" w:color="auto"/>
      </w:divBdr>
    </w:div>
    <w:div w:id="1589776831">
      <w:bodyDiv w:val="1"/>
      <w:marLeft w:val="0"/>
      <w:marRight w:val="0"/>
      <w:marTop w:val="0"/>
      <w:marBottom w:val="0"/>
      <w:divBdr>
        <w:top w:val="none" w:sz="0" w:space="0" w:color="auto"/>
        <w:left w:val="none" w:sz="0" w:space="0" w:color="auto"/>
        <w:bottom w:val="none" w:sz="0" w:space="0" w:color="auto"/>
        <w:right w:val="none" w:sz="0" w:space="0" w:color="auto"/>
      </w:divBdr>
    </w:div>
    <w:div w:id="1873296920">
      <w:bodyDiv w:val="1"/>
      <w:marLeft w:val="0"/>
      <w:marRight w:val="0"/>
      <w:marTop w:val="0"/>
      <w:marBottom w:val="0"/>
      <w:divBdr>
        <w:top w:val="none" w:sz="0" w:space="0" w:color="auto"/>
        <w:left w:val="none" w:sz="0" w:space="0" w:color="auto"/>
        <w:bottom w:val="none" w:sz="0" w:space="0" w:color="auto"/>
        <w:right w:val="none" w:sz="0" w:space="0" w:color="auto"/>
      </w:divBdr>
    </w:div>
    <w:div w:id="2079593401">
      <w:bodyDiv w:val="1"/>
      <w:marLeft w:val="0"/>
      <w:marRight w:val="0"/>
      <w:marTop w:val="0"/>
      <w:marBottom w:val="0"/>
      <w:divBdr>
        <w:top w:val="none" w:sz="0" w:space="0" w:color="auto"/>
        <w:left w:val="none" w:sz="0" w:space="0" w:color="auto"/>
        <w:bottom w:val="none" w:sz="0" w:space="0" w:color="auto"/>
        <w:right w:val="none" w:sz="0" w:space="0" w:color="auto"/>
      </w:divBdr>
    </w:div>
    <w:div w:id="210233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mara.cl/legislacion/ProyectosDeLey/tramitacion.aspx?prmID=8280&amp;prmBOLETIN=7886-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B228BF15899C04DBB6F82AD2A4322D6" ma:contentTypeVersion="0" ma:contentTypeDescription="Crear nuevo documento." ma:contentTypeScope="" ma:versionID="b40f906ecb620c0814171c51d93db819">
  <xsd:schema xmlns:xsd="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E525EC5-E5CE-4C1C-A5AE-66EA82DB6AB2}">
  <ds:schemaRefs>
    <ds:schemaRef ds:uri="http://schemas.openxmlformats.org/officeDocument/2006/bibliography"/>
  </ds:schemaRefs>
</ds:datastoreItem>
</file>

<file path=customXml/itemProps2.xml><?xml version="1.0" encoding="utf-8"?>
<ds:datastoreItem xmlns:ds="http://schemas.openxmlformats.org/officeDocument/2006/customXml" ds:itemID="{395E6F31-7788-4AAC-AFEC-8A1FE480A71B}">
  <ds:schemaRefs>
    <ds:schemaRef ds:uri="http://schemas.microsoft.com/sharepoint/v3/contenttype/forms"/>
  </ds:schemaRefs>
</ds:datastoreItem>
</file>

<file path=customXml/itemProps3.xml><?xml version="1.0" encoding="utf-8"?>
<ds:datastoreItem xmlns:ds="http://schemas.openxmlformats.org/officeDocument/2006/customXml" ds:itemID="{059078A7-A16F-4E0A-878E-BE49CDE36444}">
  <ds:schemaRefs>
    <ds:schemaRef ds:uri="http://schemas.microsoft.com/office/2006/metadata/properties"/>
  </ds:schemaRefs>
</ds:datastoreItem>
</file>

<file path=customXml/itemProps4.xml><?xml version="1.0" encoding="utf-8"?>
<ds:datastoreItem xmlns:ds="http://schemas.openxmlformats.org/officeDocument/2006/customXml" ds:itemID="{09EE9523-126D-40F0-AB13-A8AD7ADA8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4409</Words>
  <Characters>24069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INFORME DE LA COMISIÓN DE CONSTITUCIÓN, LEGISLACIÓN Y JUSTICIA RECAIDO EN EL PROYECTO DE LEY QUE ESTABLECE UN SISTEMA DE REGUL</vt:lpstr>
    </vt:vector>
  </TitlesOfParts>
  <Company>Camara de Diputados</Company>
  <LinksUpToDate>false</LinksUpToDate>
  <CharactersWithSpaces>28422</CharactersWithSpaces>
  <SharedDoc>false</SharedDoc>
  <HLinks>
    <vt:vector size="126" baseType="variant">
      <vt:variant>
        <vt:i4>1376312</vt:i4>
      </vt:variant>
      <vt:variant>
        <vt:i4>122</vt:i4>
      </vt:variant>
      <vt:variant>
        <vt:i4>0</vt:i4>
      </vt:variant>
      <vt:variant>
        <vt:i4>5</vt:i4>
      </vt:variant>
      <vt:variant>
        <vt:lpwstr/>
      </vt:variant>
      <vt:variant>
        <vt:lpwstr>_Toc499549174</vt:lpwstr>
      </vt:variant>
      <vt:variant>
        <vt:i4>1376312</vt:i4>
      </vt:variant>
      <vt:variant>
        <vt:i4>116</vt:i4>
      </vt:variant>
      <vt:variant>
        <vt:i4>0</vt:i4>
      </vt:variant>
      <vt:variant>
        <vt:i4>5</vt:i4>
      </vt:variant>
      <vt:variant>
        <vt:lpwstr/>
      </vt:variant>
      <vt:variant>
        <vt:lpwstr>_Toc499549173</vt:lpwstr>
      </vt:variant>
      <vt:variant>
        <vt:i4>1376312</vt:i4>
      </vt:variant>
      <vt:variant>
        <vt:i4>110</vt:i4>
      </vt:variant>
      <vt:variant>
        <vt:i4>0</vt:i4>
      </vt:variant>
      <vt:variant>
        <vt:i4>5</vt:i4>
      </vt:variant>
      <vt:variant>
        <vt:lpwstr/>
      </vt:variant>
      <vt:variant>
        <vt:lpwstr>_Toc499549172</vt:lpwstr>
      </vt:variant>
      <vt:variant>
        <vt:i4>1376312</vt:i4>
      </vt:variant>
      <vt:variant>
        <vt:i4>104</vt:i4>
      </vt:variant>
      <vt:variant>
        <vt:i4>0</vt:i4>
      </vt:variant>
      <vt:variant>
        <vt:i4>5</vt:i4>
      </vt:variant>
      <vt:variant>
        <vt:lpwstr/>
      </vt:variant>
      <vt:variant>
        <vt:lpwstr>_Toc499549171</vt:lpwstr>
      </vt:variant>
      <vt:variant>
        <vt:i4>1376312</vt:i4>
      </vt:variant>
      <vt:variant>
        <vt:i4>98</vt:i4>
      </vt:variant>
      <vt:variant>
        <vt:i4>0</vt:i4>
      </vt:variant>
      <vt:variant>
        <vt:i4>5</vt:i4>
      </vt:variant>
      <vt:variant>
        <vt:lpwstr/>
      </vt:variant>
      <vt:variant>
        <vt:lpwstr>_Toc499549170</vt:lpwstr>
      </vt:variant>
      <vt:variant>
        <vt:i4>1310776</vt:i4>
      </vt:variant>
      <vt:variant>
        <vt:i4>92</vt:i4>
      </vt:variant>
      <vt:variant>
        <vt:i4>0</vt:i4>
      </vt:variant>
      <vt:variant>
        <vt:i4>5</vt:i4>
      </vt:variant>
      <vt:variant>
        <vt:lpwstr/>
      </vt:variant>
      <vt:variant>
        <vt:lpwstr>_Toc499549169</vt:lpwstr>
      </vt:variant>
      <vt:variant>
        <vt:i4>1310776</vt:i4>
      </vt:variant>
      <vt:variant>
        <vt:i4>86</vt:i4>
      </vt:variant>
      <vt:variant>
        <vt:i4>0</vt:i4>
      </vt:variant>
      <vt:variant>
        <vt:i4>5</vt:i4>
      </vt:variant>
      <vt:variant>
        <vt:lpwstr/>
      </vt:variant>
      <vt:variant>
        <vt:lpwstr>_Toc499549168</vt:lpwstr>
      </vt:variant>
      <vt:variant>
        <vt:i4>1310776</vt:i4>
      </vt:variant>
      <vt:variant>
        <vt:i4>80</vt:i4>
      </vt:variant>
      <vt:variant>
        <vt:i4>0</vt:i4>
      </vt:variant>
      <vt:variant>
        <vt:i4>5</vt:i4>
      </vt:variant>
      <vt:variant>
        <vt:lpwstr/>
      </vt:variant>
      <vt:variant>
        <vt:lpwstr>_Toc499549167</vt:lpwstr>
      </vt:variant>
      <vt:variant>
        <vt:i4>1310776</vt:i4>
      </vt:variant>
      <vt:variant>
        <vt:i4>74</vt:i4>
      </vt:variant>
      <vt:variant>
        <vt:i4>0</vt:i4>
      </vt:variant>
      <vt:variant>
        <vt:i4>5</vt:i4>
      </vt:variant>
      <vt:variant>
        <vt:lpwstr/>
      </vt:variant>
      <vt:variant>
        <vt:lpwstr>_Toc499549166</vt:lpwstr>
      </vt:variant>
      <vt:variant>
        <vt:i4>1310776</vt:i4>
      </vt:variant>
      <vt:variant>
        <vt:i4>68</vt:i4>
      </vt:variant>
      <vt:variant>
        <vt:i4>0</vt:i4>
      </vt:variant>
      <vt:variant>
        <vt:i4>5</vt:i4>
      </vt:variant>
      <vt:variant>
        <vt:lpwstr/>
      </vt:variant>
      <vt:variant>
        <vt:lpwstr>_Toc499549165</vt:lpwstr>
      </vt:variant>
      <vt:variant>
        <vt:i4>1310776</vt:i4>
      </vt:variant>
      <vt:variant>
        <vt:i4>62</vt:i4>
      </vt:variant>
      <vt:variant>
        <vt:i4>0</vt:i4>
      </vt:variant>
      <vt:variant>
        <vt:i4>5</vt:i4>
      </vt:variant>
      <vt:variant>
        <vt:lpwstr/>
      </vt:variant>
      <vt:variant>
        <vt:lpwstr>_Toc499549164</vt:lpwstr>
      </vt:variant>
      <vt:variant>
        <vt:i4>1310776</vt:i4>
      </vt:variant>
      <vt:variant>
        <vt:i4>56</vt:i4>
      </vt:variant>
      <vt:variant>
        <vt:i4>0</vt:i4>
      </vt:variant>
      <vt:variant>
        <vt:i4>5</vt:i4>
      </vt:variant>
      <vt:variant>
        <vt:lpwstr/>
      </vt:variant>
      <vt:variant>
        <vt:lpwstr>_Toc499549163</vt:lpwstr>
      </vt:variant>
      <vt:variant>
        <vt:i4>1310776</vt:i4>
      </vt:variant>
      <vt:variant>
        <vt:i4>50</vt:i4>
      </vt:variant>
      <vt:variant>
        <vt:i4>0</vt:i4>
      </vt:variant>
      <vt:variant>
        <vt:i4>5</vt:i4>
      </vt:variant>
      <vt:variant>
        <vt:lpwstr/>
      </vt:variant>
      <vt:variant>
        <vt:lpwstr>_Toc499549162</vt:lpwstr>
      </vt:variant>
      <vt:variant>
        <vt:i4>1310776</vt:i4>
      </vt:variant>
      <vt:variant>
        <vt:i4>44</vt:i4>
      </vt:variant>
      <vt:variant>
        <vt:i4>0</vt:i4>
      </vt:variant>
      <vt:variant>
        <vt:i4>5</vt:i4>
      </vt:variant>
      <vt:variant>
        <vt:lpwstr/>
      </vt:variant>
      <vt:variant>
        <vt:lpwstr>_Toc499549161</vt:lpwstr>
      </vt:variant>
      <vt:variant>
        <vt:i4>1310776</vt:i4>
      </vt:variant>
      <vt:variant>
        <vt:i4>38</vt:i4>
      </vt:variant>
      <vt:variant>
        <vt:i4>0</vt:i4>
      </vt:variant>
      <vt:variant>
        <vt:i4>5</vt:i4>
      </vt:variant>
      <vt:variant>
        <vt:lpwstr/>
      </vt:variant>
      <vt:variant>
        <vt:lpwstr>_Toc499549160</vt:lpwstr>
      </vt:variant>
      <vt:variant>
        <vt:i4>1507384</vt:i4>
      </vt:variant>
      <vt:variant>
        <vt:i4>32</vt:i4>
      </vt:variant>
      <vt:variant>
        <vt:i4>0</vt:i4>
      </vt:variant>
      <vt:variant>
        <vt:i4>5</vt:i4>
      </vt:variant>
      <vt:variant>
        <vt:lpwstr/>
      </vt:variant>
      <vt:variant>
        <vt:lpwstr>_Toc499549159</vt:lpwstr>
      </vt:variant>
      <vt:variant>
        <vt:i4>1507384</vt:i4>
      </vt:variant>
      <vt:variant>
        <vt:i4>26</vt:i4>
      </vt:variant>
      <vt:variant>
        <vt:i4>0</vt:i4>
      </vt:variant>
      <vt:variant>
        <vt:i4>5</vt:i4>
      </vt:variant>
      <vt:variant>
        <vt:lpwstr/>
      </vt:variant>
      <vt:variant>
        <vt:lpwstr>_Toc499549158</vt:lpwstr>
      </vt:variant>
      <vt:variant>
        <vt:i4>1507384</vt:i4>
      </vt:variant>
      <vt:variant>
        <vt:i4>20</vt:i4>
      </vt:variant>
      <vt:variant>
        <vt:i4>0</vt:i4>
      </vt:variant>
      <vt:variant>
        <vt:i4>5</vt:i4>
      </vt:variant>
      <vt:variant>
        <vt:lpwstr/>
      </vt:variant>
      <vt:variant>
        <vt:lpwstr>_Toc499549157</vt:lpwstr>
      </vt:variant>
      <vt:variant>
        <vt:i4>1507384</vt:i4>
      </vt:variant>
      <vt:variant>
        <vt:i4>14</vt:i4>
      </vt:variant>
      <vt:variant>
        <vt:i4>0</vt:i4>
      </vt:variant>
      <vt:variant>
        <vt:i4>5</vt:i4>
      </vt:variant>
      <vt:variant>
        <vt:lpwstr/>
      </vt:variant>
      <vt:variant>
        <vt:lpwstr>_Toc499549156</vt:lpwstr>
      </vt:variant>
      <vt:variant>
        <vt:i4>1507384</vt:i4>
      </vt:variant>
      <vt:variant>
        <vt:i4>8</vt:i4>
      </vt:variant>
      <vt:variant>
        <vt:i4>0</vt:i4>
      </vt:variant>
      <vt:variant>
        <vt:i4>5</vt:i4>
      </vt:variant>
      <vt:variant>
        <vt:lpwstr/>
      </vt:variant>
      <vt:variant>
        <vt:lpwstr>_Toc499549155</vt:lpwstr>
      </vt:variant>
      <vt:variant>
        <vt:i4>1507384</vt:i4>
      </vt:variant>
      <vt:variant>
        <vt:i4>2</vt:i4>
      </vt:variant>
      <vt:variant>
        <vt:i4>0</vt:i4>
      </vt:variant>
      <vt:variant>
        <vt:i4>5</vt:i4>
      </vt:variant>
      <vt:variant>
        <vt:lpwstr/>
      </vt:variant>
      <vt:variant>
        <vt:lpwstr>_Toc499549154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COMISIÓN DE CONSTITUCIÓN, LEGISLACIÓN Y JUSTICIA RECAIDO EN EL PROYECTO DE LEY QUE ESTABLECE UN SISTEMA DE REGUL</dc:title>
  <dc:creator>ASkoknic</dc:creator>
  <cp:lastModifiedBy>Valentina Villar</cp:lastModifiedBy>
  <cp:revision>2</cp:revision>
  <cp:lastPrinted>2016-06-23T14:44:00Z</cp:lastPrinted>
  <dcterms:created xsi:type="dcterms:W3CDTF">2023-05-23T13:59:00Z</dcterms:created>
  <dcterms:modified xsi:type="dcterms:W3CDTF">2023-05-23T13:59:00Z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0x010100FB228BF15899C04DBB6F82AD2A4322D6</vt:lpwstr>
  </property>
</Properties>
</file>