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0CA7" w14:textId="69E0D1F0" w:rsidR="00A040AC" w:rsidRDefault="00A040AC" w:rsidP="00246E53">
      <w:pPr>
        <w:spacing w:line="240" w:lineRule="auto"/>
        <w:rPr>
          <w:rFonts w:ascii="Arial" w:hAnsi="Arial" w:cs="Arial"/>
          <w:b/>
          <w:spacing w:val="12"/>
          <w:sz w:val="22"/>
          <w:szCs w:val="22"/>
        </w:rPr>
      </w:pPr>
    </w:p>
    <w:p w14:paraId="601C4BB5" w14:textId="77777777" w:rsidR="00A040AC" w:rsidRDefault="00A040AC" w:rsidP="00F172D6">
      <w:pPr>
        <w:spacing w:line="240" w:lineRule="auto"/>
        <w:jc w:val="center"/>
        <w:rPr>
          <w:rFonts w:ascii="Arial" w:hAnsi="Arial" w:cs="Arial"/>
          <w:b/>
          <w:spacing w:val="12"/>
          <w:sz w:val="22"/>
          <w:szCs w:val="22"/>
        </w:rPr>
      </w:pPr>
    </w:p>
    <w:p w14:paraId="38C5F906" w14:textId="799BB779" w:rsidR="00246E53" w:rsidRDefault="00B270EE" w:rsidP="00F172D6">
      <w:pPr>
        <w:spacing w:line="240" w:lineRule="auto"/>
        <w:jc w:val="center"/>
        <w:rPr>
          <w:rFonts w:ascii="Arial" w:hAnsi="Arial" w:cs="Arial"/>
          <w:b/>
          <w:spacing w:val="32"/>
          <w:position w:val="6"/>
          <w:sz w:val="22"/>
          <w:szCs w:val="22"/>
        </w:rPr>
      </w:pPr>
      <w:r w:rsidRPr="00270F86">
        <w:rPr>
          <w:rFonts w:ascii="Arial" w:hAnsi="Arial" w:cs="Arial"/>
          <w:b/>
          <w:spacing w:val="32"/>
          <w:position w:val="6"/>
          <w:sz w:val="22"/>
          <w:szCs w:val="22"/>
        </w:rPr>
        <w:t>RESOLUCIÓN</w:t>
      </w:r>
    </w:p>
    <w:p w14:paraId="18ED5B26" w14:textId="3D014B37" w:rsidR="00E14DCD" w:rsidRPr="008A2403" w:rsidRDefault="00B7495A" w:rsidP="00246E53">
      <w:pPr>
        <w:spacing w:line="240" w:lineRule="auto"/>
        <w:jc w:val="center"/>
        <w:rPr>
          <w:rFonts w:ascii="Arial" w:hAnsi="Arial" w:cs="Arial"/>
          <w:b/>
          <w:spacing w:val="32"/>
          <w:position w:val="6"/>
          <w:sz w:val="22"/>
          <w:szCs w:val="22"/>
          <w:lang w:val="en-US"/>
        </w:rPr>
      </w:pPr>
      <w:r w:rsidRPr="008A2403">
        <w:rPr>
          <w:rFonts w:ascii="Arial" w:hAnsi="Arial" w:cs="Arial"/>
          <w:b/>
          <w:spacing w:val="32"/>
          <w:position w:val="6"/>
          <w:sz w:val="22"/>
          <w:szCs w:val="22"/>
          <w:lang w:val="en-US"/>
        </w:rPr>
        <w:t>RA_NOTI_S</w:t>
      </w:r>
      <w:r w:rsidR="008A2403">
        <w:rPr>
          <w:rFonts w:ascii="Arial" w:hAnsi="Arial" w:cs="Arial"/>
          <w:b/>
          <w:spacing w:val="32"/>
          <w:position w:val="6"/>
          <w:sz w:val="22"/>
          <w:szCs w:val="22"/>
          <w:lang w:val="en-US"/>
        </w:rPr>
        <w:t xml:space="preserve"> DE </w:t>
      </w:r>
      <w:r w:rsidR="008A2403" w:rsidRPr="008A2403">
        <w:rPr>
          <w:rFonts w:ascii="Arial" w:hAnsi="Arial" w:cs="Arial"/>
          <w:b/>
          <w:spacing w:val="32"/>
          <w:position w:val="6"/>
          <w:sz w:val="22"/>
          <w:szCs w:val="22"/>
          <w:lang w:val="en-US"/>
        </w:rPr>
        <w:t xml:space="preserve">DIA_S </w:t>
      </w:r>
      <w:r w:rsidR="00246E53" w:rsidRPr="008A2403">
        <w:rPr>
          <w:rFonts w:ascii="Arial" w:hAnsi="Arial" w:cs="Arial"/>
          <w:b/>
          <w:spacing w:val="32"/>
          <w:position w:val="6"/>
          <w:sz w:val="22"/>
          <w:szCs w:val="22"/>
          <w:lang w:val="en-US"/>
        </w:rPr>
        <w:t xml:space="preserve">– MES_S - </w:t>
      </w:r>
      <w:r w:rsidR="00505899" w:rsidRPr="008A2403">
        <w:rPr>
          <w:rFonts w:ascii="Arial" w:hAnsi="Arial" w:cs="Arial"/>
          <w:b/>
          <w:spacing w:val="32"/>
          <w:position w:val="6"/>
          <w:sz w:val="22"/>
          <w:szCs w:val="22"/>
          <w:lang w:val="en-US"/>
        </w:rPr>
        <w:t>ANHO_S</w:t>
      </w:r>
    </w:p>
    <w:p w14:paraId="32AE4A7A" w14:textId="17433D34" w:rsidR="00964541" w:rsidRDefault="00964541" w:rsidP="00E14DCD">
      <w:pPr>
        <w:spacing w:line="240" w:lineRule="auto"/>
        <w:rPr>
          <w:rFonts w:ascii="Arial" w:hAnsi="Arial" w:cs="Arial"/>
          <w:b/>
          <w:spacing w:val="32"/>
          <w:position w:val="6"/>
          <w:sz w:val="22"/>
          <w:szCs w:val="22"/>
          <w:lang w:val="en-US"/>
        </w:rPr>
      </w:pPr>
    </w:p>
    <w:p w14:paraId="098FACEA" w14:textId="77777777" w:rsidR="004E62C2" w:rsidRPr="008A2403" w:rsidRDefault="004E62C2" w:rsidP="00E14DCD">
      <w:pPr>
        <w:spacing w:line="240" w:lineRule="auto"/>
        <w:rPr>
          <w:rFonts w:ascii="Arial" w:hAnsi="Arial" w:cs="Arial"/>
          <w:b/>
          <w:spacing w:val="32"/>
          <w:position w:val="6"/>
          <w:sz w:val="22"/>
          <w:szCs w:val="22"/>
          <w:lang w:val="en-US"/>
        </w:rPr>
      </w:pPr>
    </w:p>
    <w:p w14:paraId="7815F961" w14:textId="77777777" w:rsidR="00536280" w:rsidRPr="008A2403" w:rsidRDefault="00536280" w:rsidP="00F172D6">
      <w:pPr>
        <w:spacing w:line="240" w:lineRule="auto"/>
        <w:ind w:right="45"/>
        <w:jc w:val="center"/>
        <w:rPr>
          <w:rFonts w:ascii="Arial" w:hAnsi="Arial" w:cs="Arial"/>
          <w:b/>
          <w:spacing w:val="32"/>
          <w:position w:val="6"/>
          <w:sz w:val="22"/>
          <w:szCs w:val="22"/>
          <w:lang w:val="en-US"/>
        </w:rPr>
      </w:pPr>
    </w:p>
    <w:p w14:paraId="6B4FC080" w14:textId="57778054" w:rsidR="00B270EE" w:rsidRPr="00270F86" w:rsidRDefault="00505899" w:rsidP="002A15A8">
      <w:pPr>
        <w:pStyle w:val="Ttulo5"/>
        <w:spacing w:before="0" w:after="0" w:line="240" w:lineRule="auto"/>
        <w:jc w:val="center"/>
        <w:rPr>
          <w:rFonts w:ascii="Arial" w:hAnsi="Arial" w:cs="Arial"/>
          <w:b w:val="0"/>
          <w:sz w:val="22"/>
          <w:szCs w:val="22"/>
        </w:rPr>
      </w:pPr>
      <w:r w:rsidRPr="00270F86">
        <w:rPr>
          <w:rFonts w:ascii="Arial" w:hAnsi="Arial" w:cs="Arial"/>
          <w:b w:val="0"/>
          <w:sz w:val="22"/>
          <w:szCs w:val="22"/>
        </w:rPr>
        <w:t>RA_ASUN</w:t>
      </w:r>
    </w:p>
    <w:p w14:paraId="72880974" w14:textId="77777777" w:rsidR="00E14DCD" w:rsidRPr="00270F86" w:rsidRDefault="00E14DCD" w:rsidP="00E14DCD">
      <w:pPr>
        <w:rPr>
          <w:rFonts w:ascii="Arial" w:hAnsi="Arial" w:cs="Arial"/>
          <w:sz w:val="22"/>
          <w:szCs w:val="22"/>
        </w:rPr>
      </w:pPr>
    </w:p>
    <w:p w14:paraId="67DF8E78" w14:textId="77777777" w:rsidR="00E14DCD" w:rsidRPr="00270F86" w:rsidRDefault="00E14DCD" w:rsidP="00E14DCD">
      <w:pPr>
        <w:rPr>
          <w:rFonts w:ascii="Arial" w:hAnsi="Arial" w:cs="Arial"/>
          <w:sz w:val="22"/>
          <w:szCs w:val="22"/>
        </w:rPr>
      </w:pPr>
    </w:p>
    <w:p w14:paraId="6D98DE11" w14:textId="77777777" w:rsidR="00B270EE" w:rsidRPr="00270F86" w:rsidRDefault="00B270EE" w:rsidP="00B270EE">
      <w:pPr>
        <w:spacing w:line="240" w:lineRule="auto"/>
        <w:jc w:val="center"/>
        <w:rPr>
          <w:rFonts w:ascii="Arial" w:hAnsi="Arial" w:cs="Arial"/>
          <w:sz w:val="22"/>
          <w:szCs w:val="22"/>
        </w:rPr>
      </w:pPr>
    </w:p>
    <w:p w14:paraId="15AB9AB1" w14:textId="440CDB25" w:rsidR="00E14DCD" w:rsidRPr="00270F86" w:rsidRDefault="00EF0E3B" w:rsidP="00E14DCD">
      <w:pPr>
        <w:spacing w:line="240" w:lineRule="auto"/>
        <w:jc w:val="center"/>
        <w:rPr>
          <w:rFonts w:ascii="Arial" w:hAnsi="Arial" w:cs="Arial"/>
          <w:b/>
          <w:bCs/>
          <w:sz w:val="22"/>
          <w:szCs w:val="22"/>
        </w:rPr>
      </w:pPr>
      <w:r w:rsidRPr="00EF0E3B">
        <w:rPr>
          <w:rFonts w:ascii="Arial" w:hAnsi="Arial" w:cs="Arial"/>
          <w:b/>
          <w:bCs/>
          <w:sz w:val="22"/>
          <w:szCs w:val="22"/>
        </w:rPr>
        <w:t>LA DIRECTORA FINANCIERA</w:t>
      </w:r>
    </w:p>
    <w:p w14:paraId="1D64A4E0" w14:textId="77777777" w:rsidR="00E14DCD" w:rsidRPr="00270F86" w:rsidRDefault="00E14DCD" w:rsidP="00EF0E3B">
      <w:pPr>
        <w:spacing w:line="240" w:lineRule="auto"/>
        <w:rPr>
          <w:rFonts w:ascii="Arial" w:hAnsi="Arial" w:cs="Arial"/>
          <w:b/>
          <w:bCs/>
          <w:sz w:val="22"/>
          <w:szCs w:val="22"/>
        </w:rPr>
      </w:pPr>
    </w:p>
    <w:p w14:paraId="3915D57B" w14:textId="77777777" w:rsidR="00E14DCD" w:rsidRPr="00270F86" w:rsidRDefault="00E14DCD" w:rsidP="00E14DCD">
      <w:pPr>
        <w:spacing w:line="240" w:lineRule="auto"/>
        <w:jc w:val="center"/>
        <w:rPr>
          <w:rFonts w:ascii="Arial" w:hAnsi="Arial" w:cs="Arial"/>
          <w:i/>
          <w:sz w:val="22"/>
          <w:szCs w:val="22"/>
        </w:rPr>
      </w:pPr>
    </w:p>
    <w:p w14:paraId="6706A9C1" w14:textId="01223DBE" w:rsidR="007F6B94" w:rsidRDefault="00EF0E3B" w:rsidP="004E62C2">
      <w:pPr>
        <w:pStyle w:val="Ttulo3"/>
        <w:spacing w:before="0" w:after="0" w:line="276" w:lineRule="auto"/>
        <w:jc w:val="center"/>
        <w:rPr>
          <w:b w:val="0"/>
          <w:bCs w:val="0"/>
          <w:sz w:val="22"/>
          <w:szCs w:val="22"/>
          <w:lang w:val="es-MX"/>
        </w:rPr>
      </w:pPr>
      <w:r w:rsidRPr="00EF0E3B">
        <w:rPr>
          <w:b w:val="0"/>
          <w:bCs w:val="0"/>
          <w:sz w:val="22"/>
          <w:szCs w:val="22"/>
          <w:lang w:val="es-MX"/>
        </w:rPr>
        <w:t>En uso de sus facultades legales y reglamentarias, en especial las contenidas en la Ley 1955 de 2019 en su artículo 76, el numeral 18 del artículo 39 del Decreto 1080 del 10 septiembre de 2021, la Resolución 20218000013221</w:t>
      </w:r>
      <w:r w:rsidR="00B67CF5">
        <w:rPr>
          <w:b w:val="0"/>
          <w:bCs w:val="0"/>
          <w:sz w:val="22"/>
          <w:szCs w:val="22"/>
          <w:lang w:val="es-MX"/>
        </w:rPr>
        <w:t>-</w:t>
      </w:r>
      <w:r w:rsidRPr="00EF0E3B">
        <w:rPr>
          <w:b w:val="0"/>
          <w:bCs w:val="0"/>
          <w:sz w:val="22"/>
          <w:szCs w:val="22"/>
          <w:lang w:val="es-MX"/>
        </w:rPr>
        <w:t>6</w:t>
      </w:r>
      <w:r>
        <w:rPr>
          <w:b w:val="0"/>
          <w:bCs w:val="0"/>
          <w:sz w:val="22"/>
          <w:szCs w:val="22"/>
          <w:lang w:val="es-MX"/>
        </w:rPr>
        <w:t xml:space="preserve"> </w:t>
      </w:r>
      <w:r w:rsidRPr="00EF0E3B">
        <w:rPr>
          <w:b w:val="0"/>
          <w:bCs w:val="0"/>
          <w:sz w:val="22"/>
          <w:szCs w:val="22"/>
          <w:lang w:val="es-MX"/>
        </w:rPr>
        <w:t>del 24 de septiembre de 2021 y la Resolución 2023910000002486-6 del 19 de abril de 2023</w:t>
      </w:r>
    </w:p>
    <w:p w14:paraId="19A7464B" w14:textId="77777777" w:rsidR="004E62C2" w:rsidRPr="004E62C2" w:rsidRDefault="004E62C2" w:rsidP="004E62C2">
      <w:pPr>
        <w:rPr>
          <w:lang w:val="es-MX"/>
        </w:rPr>
      </w:pPr>
    </w:p>
    <w:p w14:paraId="271303C0" w14:textId="77777777" w:rsidR="00964541" w:rsidRPr="00270F86" w:rsidRDefault="00964541" w:rsidP="00EF0E3B">
      <w:pPr>
        <w:spacing w:line="276" w:lineRule="auto"/>
        <w:rPr>
          <w:rFonts w:ascii="Arial" w:hAnsi="Arial" w:cs="Arial"/>
          <w:sz w:val="22"/>
          <w:szCs w:val="22"/>
          <w:lang w:val="es-MX"/>
        </w:rPr>
      </w:pPr>
    </w:p>
    <w:p w14:paraId="1F839194" w14:textId="77777777" w:rsidR="00B270EE" w:rsidRPr="00270F86" w:rsidRDefault="00B270EE" w:rsidP="00EF0E3B">
      <w:pPr>
        <w:pStyle w:val="Ttulo3"/>
        <w:spacing w:before="0" w:after="0" w:line="276" w:lineRule="auto"/>
        <w:jc w:val="center"/>
        <w:rPr>
          <w:sz w:val="22"/>
          <w:szCs w:val="22"/>
        </w:rPr>
      </w:pPr>
      <w:r w:rsidRPr="00270F86">
        <w:rPr>
          <w:sz w:val="22"/>
          <w:szCs w:val="22"/>
        </w:rPr>
        <w:t>CONSIDERANDO</w:t>
      </w:r>
    </w:p>
    <w:p w14:paraId="33D50E72" w14:textId="77777777" w:rsidR="008F13CF" w:rsidRPr="00270F86" w:rsidRDefault="008F13CF" w:rsidP="00EF0E3B">
      <w:pPr>
        <w:spacing w:line="276" w:lineRule="auto"/>
        <w:rPr>
          <w:rFonts w:ascii="Arial" w:hAnsi="Arial" w:cs="Arial"/>
          <w:sz w:val="22"/>
          <w:szCs w:val="22"/>
        </w:rPr>
      </w:pPr>
    </w:p>
    <w:p w14:paraId="1BD472A2" w14:textId="77777777" w:rsidR="00EC281F" w:rsidRPr="00270F86" w:rsidRDefault="00EC281F" w:rsidP="00EF0E3B">
      <w:pPr>
        <w:autoSpaceDE w:val="0"/>
        <w:autoSpaceDN w:val="0"/>
        <w:spacing w:line="276" w:lineRule="auto"/>
        <w:rPr>
          <w:rFonts w:ascii="Arial" w:hAnsi="Arial" w:cs="Arial"/>
          <w:sz w:val="22"/>
          <w:szCs w:val="22"/>
          <w:lang w:val="es-MX"/>
        </w:rPr>
      </w:pPr>
    </w:p>
    <w:p w14:paraId="12E4822B" w14:textId="77777777" w:rsidR="00EF0E3B" w:rsidRPr="00EF0E3B"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Que el numeral 9º del artículo 95 de la Constitución Política, establece que es deber de las personas y de los ciudadanos contribuir con el financiamiento de los gastos e inversiones del Estado dentro de los conceptos de justicia y equidad.</w:t>
      </w:r>
    </w:p>
    <w:p w14:paraId="6362597A" w14:textId="77777777" w:rsidR="00EF0E3B" w:rsidRPr="00EF0E3B" w:rsidRDefault="00EF0E3B" w:rsidP="00EF0E3B">
      <w:pPr>
        <w:autoSpaceDE w:val="0"/>
        <w:autoSpaceDN w:val="0"/>
        <w:spacing w:line="276" w:lineRule="auto"/>
        <w:rPr>
          <w:rFonts w:ascii="Arial" w:hAnsi="Arial" w:cs="Arial"/>
          <w:sz w:val="22"/>
          <w:szCs w:val="22"/>
          <w:lang w:val="es-MX"/>
        </w:rPr>
      </w:pPr>
    </w:p>
    <w:p w14:paraId="4F0F7D74" w14:textId="680BC6E8" w:rsidR="00EF0E3B" w:rsidRPr="00EF0E3B"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 xml:space="preserve">Que de acuerdo con el artículo 3° del Decreto 1080 de 2021 tiene a su cargo el Sistema Integrado de Inspección, Vigilancia y Control del Sistema </w:t>
      </w:r>
      <w:r w:rsidR="00F011B4" w:rsidRPr="00EF0E3B">
        <w:rPr>
          <w:rFonts w:ascii="Arial" w:hAnsi="Arial" w:cs="Arial"/>
          <w:sz w:val="22"/>
          <w:szCs w:val="22"/>
          <w:lang w:val="es-MX"/>
        </w:rPr>
        <w:t>General de</w:t>
      </w:r>
      <w:r w:rsidRPr="00EF0E3B">
        <w:rPr>
          <w:rFonts w:ascii="Arial" w:hAnsi="Arial" w:cs="Arial"/>
          <w:sz w:val="22"/>
          <w:szCs w:val="22"/>
          <w:lang w:val="es-MX"/>
        </w:rPr>
        <w:t xml:space="preserve"> Seguridad </w:t>
      </w:r>
      <w:r w:rsidR="00B67CF5" w:rsidRPr="00EF0E3B">
        <w:rPr>
          <w:rFonts w:ascii="Arial" w:hAnsi="Arial" w:cs="Arial"/>
          <w:sz w:val="22"/>
          <w:szCs w:val="22"/>
          <w:lang w:val="es-MX"/>
        </w:rPr>
        <w:t>Social y</w:t>
      </w:r>
      <w:r w:rsidRPr="00EF0E3B">
        <w:rPr>
          <w:rFonts w:ascii="Arial" w:hAnsi="Arial" w:cs="Arial"/>
          <w:sz w:val="22"/>
          <w:szCs w:val="22"/>
          <w:lang w:val="es-MX"/>
        </w:rPr>
        <w:t xml:space="preserve"> le corresponde ejercer inspección, vigilancia y control respecto de los actores del Sistema General de Seguridad Social en Salud enunciados, entre otros, en los artículos 155 de la Ley 100 de 1993, 121 y 130 de la Ley 1438 de 2011, 2 de la Ley </w:t>
      </w:r>
      <w:r w:rsidR="007F6B94" w:rsidRPr="00EF0E3B">
        <w:rPr>
          <w:rFonts w:ascii="Arial" w:hAnsi="Arial" w:cs="Arial"/>
          <w:sz w:val="22"/>
          <w:szCs w:val="22"/>
          <w:lang w:val="es-MX"/>
        </w:rPr>
        <w:t>1966 o</w:t>
      </w:r>
      <w:r w:rsidRPr="00EF0E3B">
        <w:rPr>
          <w:rFonts w:ascii="Arial" w:hAnsi="Arial" w:cs="Arial"/>
          <w:sz w:val="22"/>
          <w:szCs w:val="22"/>
          <w:lang w:val="es-MX"/>
        </w:rPr>
        <w:t xml:space="preserve"> las demás normas que la adicionen, modifiquen o sustituyan.</w:t>
      </w:r>
    </w:p>
    <w:p w14:paraId="204CA6B5" w14:textId="77777777" w:rsidR="00EF0E3B" w:rsidRPr="00EF0E3B" w:rsidRDefault="00EF0E3B" w:rsidP="00EF0E3B">
      <w:pPr>
        <w:autoSpaceDE w:val="0"/>
        <w:autoSpaceDN w:val="0"/>
        <w:spacing w:line="276" w:lineRule="auto"/>
        <w:rPr>
          <w:rFonts w:ascii="Arial" w:hAnsi="Arial" w:cs="Arial"/>
          <w:sz w:val="22"/>
          <w:szCs w:val="22"/>
          <w:lang w:val="es-MX"/>
        </w:rPr>
      </w:pPr>
    </w:p>
    <w:p w14:paraId="37A41FE2" w14:textId="77777777" w:rsidR="00EF0E3B" w:rsidRPr="00EF0E3B"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Que el numeral 56 del artículo 4 del Decreto 1080 de 2021, consagra dentro de las funciones de la Superintendencia: “Calcular, liquidar, recaudar y administrar los tributos a favor de la Superintendencia Nacional de Salud, que corresponda sufragar a las entidades sometidas a su inspección, vigilancia y control, de acuerdo con la normativa vigente”.</w:t>
      </w:r>
    </w:p>
    <w:p w14:paraId="2E67E86F" w14:textId="77777777" w:rsidR="00EF0E3B" w:rsidRPr="00EF0E3B" w:rsidRDefault="00EF0E3B" w:rsidP="00EF0E3B">
      <w:pPr>
        <w:autoSpaceDE w:val="0"/>
        <w:autoSpaceDN w:val="0"/>
        <w:spacing w:line="276" w:lineRule="auto"/>
        <w:rPr>
          <w:rFonts w:ascii="Arial" w:hAnsi="Arial" w:cs="Arial"/>
          <w:sz w:val="22"/>
          <w:szCs w:val="22"/>
          <w:lang w:val="es-MX"/>
        </w:rPr>
      </w:pPr>
    </w:p>
    <w:p w14:paraId="634CC12A" w14:textId="77777777" w:rsidR="00EF0E3B" w:rsidRPr="00EF0E3B"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Que el numeral 18 del artículo 39 ibidem, dispone que una función de la Dirección Financiera es: “Expedir el acto administrativo que anualmente establezca la tarifa de la contribución por vigilancia a favor de la Superintendencia Nacional de Salud, y la definición de los lugares y plazos para el recaudo oportuno del tributo”.</w:t>
      </w:r>
    </w:p>
    <w:p w14:paraId="129B561B" w14:textId="77777777" w:rsidR="00EF0E3B" w:rsidRPr="00EF0E3B" w:rsidRDefault="00EF0E3B" w:rsidP="00EF0E3B">
      <w:pPr>
        <w:autoSpaceDE w:val="0"/>
        <w:autoSpaceDN w:val="0"/>
        <w:spacing w:line="276" w:lineRule="auto"/>
        <w:rPr>
          <w:rFonts w:ascii="Arial" w:hAnsi="Arial" w:cs="Arial"/>
          <w:sz w:val="22"/>
          <w:szCs w:val="22"/>
          <w:lang w:val="es-MX"/>
        </w:rPr>
      </w:pPr>
    </w:p>
    <w:p w14:paraId="6C430839" w14:textId="77777777" w:rsidR="00EF0E3B" w:rsidRPr="00EF0E3B"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 xml:space="preserve">Que el artículo 76 de la Ley 1955 de 2019, consagró una Contribución de vigilancia a favor de la Superintendencia Nacional de Salud que tiene como fin apoyar el cubrimiento de los costos y gastos que ocasione el funcionamiento e inversión de la Entidad. </w:t>
      </w:r>
    </w:p>
    <w:p w14:paraId="629F584F" w14:textId="77777777" w:rsidR="00EF0E3B" w:rsidRPr="00EF0E3B" w:rsidRDefault="00EF0E3B" w:rsidP="00EF0E3B">
      <w:pPr>
        <w:autoSpaceDE w:val="0"/>
        <w:autoSpaceDN w:val="0"/>
        <w:spacing w:line="276" w:lineRule="auto"/>
        <w:rPr>
          <w:rFonts w:ascii="Arial" w:hAnsi="Arial" w:cs="Arial"/>
          <w:sz w:val="22"/>
          <w:szCs w:val="22"/>
          <w:lang w:val="es-MX"/>
        </w:rPr>
      </w:pPr>
    </w:p>
    <w:p w14:paraId="160BB43B" w14:textId="77777777" w:rsidR="00EF0E3B" w:rsidRPr="00EF0E3B"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 xml:space="preserve">Que el artículo 76 ibidem dispone que la Contribución deberá ser cancelada por las personas </w:t>
      </w:r>
      <w:r w:rsidRPr="00EF0E3B">
        <w:rPr>
          <w:rFonts w:ascii="Arial" w:hAnsi="Arial" w:cs="Arial"/>
          <w:sz w:val="22"/>
          <w:szCs w:val="22"/>
          <w:lang w:val="es-MX"/>
        </w:rPr>
        <w:lastRenderedPageBreak/>
        <w:t>jurídicas de derecho privado y derecho público sometidos a inspección, vigilancia y control de acuerdo con lo establecido con el artículo 121 de la Ley 1438 de 2011.</w:t>
      </w:r>
    </w:p>
    <w:p w14:paraId="5A0DF3A1" w14:textId="77777777" w:rsidR="00EF0E3B" w:rsidRPr="00EF0E3B" w:rsidRDefault="00EF0E3B" w:rsidP="00EF0E3B">
      <w:pPr>
        <w:autoSpaceDE w:val="0"/>
        <w:autoSpaceDN w:val="0"/>
        <w:spacing w:line="276" w:lineRule="auto"/>
        <w:rPr>
          <w:rFonts w:ascii="Arial" w:hAnsi="Arial" w:cs="Arial"/>
          <w:sz w:val="22"/>
          <w:szCs w:val="22"/>
          <w:lang w:val="es-MX"/>
        </w:rPr>
      </w:pPr>
    </w:p>
    <w:p w14:paraId="0CC1235F" w14:textId="64484A2B" w:rsidR="00E14DCD" w:rsidRPr="00270F86"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Que el parágrafo primero del artículo 76 de la Ley 1955 de 2019, estipula que los recursos de la ADRES e INDUMIL, los prestadores de servicios de salud con objeto social diferente, los profesionales independientes, las EPS e IPS Indígenas, las Empresas Sociales del Estado acreditadas, así como las Instituciones Prestadoras de Servicios de Salud y los Hospitales Universitarios debidamente acreditados están exonerados del pago de contribución de vigilancia a favor de la Superintendencia Nacional de Salud.</w:t>
      </w:r>
    </w:p>
    <w:p w14:paraId="6876B66C" w14:textId="77777777" w:rsidR="00E14DCD" w:rsidRPr="00270F86" w:rsidRDefault="00E14DCD" w:rsidP="00EF0E3B">
      <w:pPr>
        <w:autoSpaceDE w:val="0"/>
        <w:autoSpaceDN w:val="0"/>
        <w:spacing w:line="276" w:lineRule="auto"/>
        <w:rPr>
          <w:rFonts w:ascii="Arial" w:hAnsi="Arial" w:cs="Arial"/>
          <w:sz w:val="22"/>
          <w:szCs w:val="22"/>
          <w:lang w:val="es-MX"/>
        </w:rPr>
      </w:pPr>
    </w:p>
    <w:p w14:paraId="172B7E1C" w14:textId="77777777" w:rsidR="00EF0E3B" w:rsidRPr="00EF0E3B"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 xml:space="preserve">Que el numeral 2 del citado artículo, consagra que: “2. Con base en los ingresos operacionales del sector causados a 31 de diciembre del año inmediatamente anterior, la Superintendencia Nacional de Salud, mediante resolución, establecerá anualmente la tarifa de la contribución a cobrar que no podrá ser superior al cero coma dos por ciento (0,2%) de dichos ingresos”. </w:t>
      </w:r>
    </w:p>
    <w:p w14:paraId="7A91AD4B" w14:textId="77777777" w:rsidR="00EF0E3B" w:rsidRPr="00EF0E3B" w:rsidRDefault="00EF0E3B" w:rsidP="00EF0E3B">
      <w:pPr>
        <w:autoSpaceDE w:val="0"/>
        <w:autoSpaceDN w:val="0"/>
        <w:spacing w:line="276" w:lineRule="auto"/>
        <w:rPr>
          <w:rFonts w:ascii="Arial" w:hAnsi="Arial" w:cs="Arial"/>
          <w:sz w:val="22"/>
          <w:szCs w:val="22"/>
          <w:lang w:val="es-MX"/>
        </w:rPr>
      </w:pPr>
    </w:p>
    <w:p w14:paraId="41B20E22" w14:textId="77777777" w:rsidR="00EF0E3B" w:rsidRPr="00EF0E3B"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 xml:space="preserve">Que el numeral 3 del artículo 76 de la Ley 1955 de 2019, dispone que los responsables de la Contribución que no cancelen dentro de los plazos que determine la Superintendencia Nacional de Salud, deberán liquidar y pagar intereses moratorios a la tasa prevista en el Estatuto Tributario. </w:t>
      </w:r>
    </w:p>
    <w:p w14:paraId="66D4F9CD" w14:textId="77777777" w:rsidR="00EF0E3B" w:rsidRPr="00EF0E3B" w:rsidRDefault="00EF0E3B" w:rsidP="00EF0E3B">
      <w:pPr>
        <w:autoSpaceDE w:val="0"/>
        <w:autoSpaceDN w:val="0"/>
        <w:spacing w:line="276" w:lineRule="auto"/>
        <w:rPr>
          <w:rFonts w:ascii="Arial" w:hAnsi="Arial" w:cs="Arial"/>
          <w:sz w:val="22"/>
          <w:szCs w:val="22"/>
          <w:lang w:val="es-MX"/>
        </w:rPr>
      </w:pPr>
    </w:p>
    <w:p w14:paraId="13802A4E" w14:textId="77777777" w:rsidR="00EF0E3B" w:rsidRPr="00EF0E3B"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Que la Superintendencia Nacional de Salud cuenta con el estudio económico de las proyecciones y la propuesta del esquema tarifario a aplicar a los sujetos pasivos del mencionado tributo.</w:t>
      </w:r>
    </w:p>
    <w:p w14:paraId="36E3BD57" w14:textId="77777777" w:rsidR="00EF0E3B" w:rsidRPr="00EF0E3B" w:rsidRDefault="00EF0E3B" w:rsidP="00EF0E3B">
      <w:pPr>
        <w:autoSpaceDE w:val="0"/>
        <w:autoSpaceDN w:val="0"/>
        <w:spacing w:line="276" w:lineRule="auto"/>
        <w:rPr>
          <w:rFonts w:ascii="Arial" w:hAnsi="Arial" w:cs="Arial"/>
          <w:sz w:val="22"/>
          <w:szCs w:val="22"/>
          <w:lang w:val="es-MX"/>
        </w:rPr>
      </w:pPr>
    </w:p>
    <w:p w14:paraId="59E385A0" w14:textId="77777777" w:rsidR="00EF0E3B" w:rsidRPr="00EF0E3B"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 xml:space="preserve">Que el estudio determinó las tarifas a partir de grupos de vigilados creados con base en la distribución estadística de los Ingresos Operacionales del Sector Causados -IOSC-, sin tener en cuenta el tipo de vigilado. </w:t>
      </w:r>
    </w:p>
    <w:p w14:paraId="088A2EDC" w14:textId="77777777" w:rsidR="00EF0E3B" w:rsidRPr="00EF0E3B" w:rsidRDefault="00EF0E3B" w:rsidP="00EF0E3B">
      <w:pPr>
        <w:autoSpaceDE w:val="0"/>
        <w:autoSpaceDN w:val="0"/>
        <w:spacing w:line="276" w:lineRule="auto"/>
        <w:rPr>
          <w:rFonts w:ascii="Arial" w:hAnsi="Arial" w:cs="Arial"/>
          <w:sz w:val="22"/>
          <w:szCs w:val="22"/>
          <w:lang w:val="es-MX"/>
        </w:rPr>
      </w:pPr>
    </w:p>
    <w:p w14:paraId="2D412EF1" w14:textId="1F3EDA69" w:rsidR="00E14DCD" w:rsidRDefault="00EF0E3B" w:rsidP="00EF0E3B">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Para la contribución de la vigencia 2023, los grupos de vigilados se definen por rangos de IOSC de la siguiente forma:</w:t>
      </w:r>
    </w:p>
    <w:p w14:paraId="494DAF42" w14:textId="44494AE5" w:rsidR="00EF0E3B" w:rsidRDefault="00EF0E3B" w:rsidP="00EF0E3B">
      <w:pPr>
        <w:autoSpaceDE w:val="0"/>
        <w:autoSpaceDN w:val="0"/>
        <w:spacing w:line="276" w:lineRule="auto"/>
        <w:rPr>
          <w:rFonts w:ascii="Arial" w:hAnsi="Arial" w:cs="Arial"/>
          <w:sz w:val="22"/>
          <w:szCs w:val="22"/>
          <w:lang w:val="es-MX"/>
        </w:rPr>
      </w:pPr>
    </w:p>
    <w:p w14:paraId="1D06EE8A" w14:textId="77777777" w:rsidR="00EF0E3B" w:rsidRPr="00EF0E3B" w:rsidRDefault="00EF0E3B" w:rsidP="00EF0E3B">
      <w:pPr>
        <w:autoSpaceDE w:val="0"/>
        <w:autoSpaceDN w:val="0"/>
        <w:spacing w:line="276" w:lineRule="auto"/>
        <w:ind w:left="708"/>
        <w:rPr>
          <w:rFonts w:ascii="Arial" w:hAnsi="Arial" w:cs="Arial"/>
          <w:sz w:val="22"/>
          <w:szCs w:val="22"/>
          <w:lang w:val="es-CO"/>
        </w:rPr>
      </w:pPr>
      <w:bookmarkStart w:id="0" w:name="_Hlk134089891"/>
      <w:r w:rsidRPr="00EF0E3B">
        <w:rPr>
          <w:rFonts w:ascii="Arial" w:hAnsi="Arial" w:cs="Arial"/>
          <w:sz w:val="22"/>
          <w:szCs w:val="22"/>
          <w:lang w:val="es-CO"/>
        </w:rPr>
        <w:t>Rango 1:</w:t>
      </w:r>
      <w:r w:rsidRPr="00EF0E3B">
        <w:rPr>
          <w:rFonts w:ascii="Arial" w:hAnsi="Arial" w:cs="Arial"/>
          <w:sz w:val="22"/>
          <w:szCs w:val="22"/>
          <w:lang w:val="es-CO"/>
        </w:rPr>
        <w:tab/>
        <w:t>Vigilados con ingresos operacionales entre $1 y $15.451.156.418;</w:t>
      </w:r>
    </w:p>
    <w:p w14:paraId="2DF9DD14" w14:textId="77777777" w:rsidR="00EF0E3B" w:rsidRPr="00EF0E3B" w:rsidRDefault="00EF0E3B" w:rsidP="00EF0E3B">
      <w:pPr>
        <w:autoSpaceDE w:val="0"/>
        <w:autoSpaceDN w:val="0"/>
        <w:spacing w:line="276" w:lineRule="auto"/>
        <w:ind w:left="708"/>
        <w:rPr>
          <w:rFonts w:ascii="Arial" w:hAnsi="Arial" w:cs="Arial"/>
          <w:sz w:val="22"/>
          <w:szCs w:val="22"/>
          <w:lang w:val="es-CO"/>
        </w:rPr>
      </w:pPr>
      <w:r w:rsidRPr="00EF0E3B">
        <w:rPr>
          <w:rFonts w:ascii="Arial" w:hAnsi="Arial" w:cs="Arial"/>
          <w:sz w:val="22"/>
          <w:szCs w:val="22"/>
          <w:lang w:val="es-CO"/>
        </w:rPr>
        <w:t>Rango 2:</w:t>
      </w:r>
      <w:r w:rsidRPr="00EF0E3B">
        <w:rPr>
          <w:rFonts w:ascii="Arial" w:hAnsi="Arial" w:cs="Arial"/>
          <w:sz w:val="22"/>
          <w:szCs w:val="22"/>
          <w:lang w:val="es-CO"/>
        </w:rPr>
        <w:tab/>
        <w:t>Vigilados con ingresos operacionales entre $15.451.156.419 y $2.108.057.916.667;</w:t>
      </w:r>
    </w:p>
    <w:p w14:paraId="65A323E7" w14:textId="77777777" w:rsidR="00EF0E3B" w:rsidRPr="00EF0E3B" w:rsidRDefault="00EF0E3B" w:rsidP="00EF0E3B">
      <w:pPr>
        <w:autoSpaceDE w:val="0"/>
        <w:autoSpaceDN w:val="0"/>
        <w:spacing w:line="276" w:lineRule="auto"/>
        <w:ind w:left="708"/>
        <w:rPr>
          <w:rFonts w:ascii="Arial" w:hAnsi="Arial" w:cs="Arial"/>
          <w:sz w:val="22"/>
          <w:szCs w:val="22"/>
          <w:lang w:val="es-CO"/>
        </w:rPr>
      </w:pPr>
      <w:r w:rsidRPr="00EF0E3B">
        <w:rPr>
          <w:rFonts w:ascii="Arial" w:hAnsi="Arial" w:cs="Arial"/>
          <w:sz w:val="22"/>
          <w:szCs w:val="22"/>
          <w:lang w:val="es-CO"/>
        </w:rPr>
        <w:t>Rango 3:</w:t>
      </w:r>
      <w:r w:rsidRPr="00EF0E3B">
        <w:rPr>
          <w:rFonts w:ascii="Arial" w:hAnsi="Arial" w:cs="Arial"/>
          <w:sz w:val="22"/>
          <w:szCs w:val="22"/>
          <w:lang w:val="es-CO"/>
        </w:rPr>
        <w:tab/>
      </w:r>
      <w:bookmarkStart w:id="1" w:name="_Hlk133398313"/>
      <w:r w:rsidRPr="00EF0E3B">
        <w:rPr>
          <w:rFonts w:ascii="Arial" w:hAnsi="Arial" w:cs="Arial"/>
          <w:sz w:val="22"/>
          <w:szCs w:val="22"/>
          <w:lang w:val="es-CO"/>
        </w:rPr>
        <w:t>Vigilados con ingresos operacionales iguales o superiores $2.108.057.916.668</w:t>
      </w:r>
      <w:bookmarkEnd w:id="1"/>
      <w:r w:rsidRPr="00EF0E3B">
        <w:rPr>
          <w:rFonts w:ascii="Arial" w:hAnsi="Arial" w:cs="Arial"/>
          <w:sz w:val="22"/>
          <w:szCs w:val="22"/>
          <w:lang w:val="es-CO"/>
        </w:rPr>
        <w:tab/>
      </w:r>
    </w:p>
    <w:p w14:paraId="3EA53461" w14:textId="77777777" w:rsidR="00EF0E3B" w:rsidRPr="00EF0E3B" w:rsidRDefault="00EF0E3B" w:rsidP="00EF0E3B">
      <w:pPr>
        <w:autoSpaceDE w:val="0"/>
        <w:autoSpaceDN w:val="0"/>
        <w:spacing w:line="276" w:lineRule="auto"/>
        <w:rPr>
          <w:rFonts w:ascii="Arial" w:hAnsi="Arial" w:cs="Arial"/>
          <w:sz w:val="22"/>
          <w:szCs w:val="22"/>
          <w:lang w:val="es-CO"/>
        </w:rPr>
      </w:pPr>
    </w:p>
    <w:p w14:paraId="62D73072" w14:textId="77777777" w:rsidR="00EF0E3B" w:rsidRPr="00EF0E3B" w:rsidRDefault="00EF0E3B" w:rsidP="00EF0E3B">
      <w:pPr>
        <w:autoSpaceDE w:val="0"/>
        <w:autoSpaceDN w:val="0"/>
        <w:spacing w:line="276" w:lineRule="auto"/>
        <w:rPr>
          <w:rFonts w:ascii="Arial" w:hAnsi="Arial" w:cs="Arial"/>
          <w:sz w:val="22"/>
          <w:szCs w:val="22"/>
          <w:lang w:val="es-CO"/>
        </w:rPr>
      </w:pPr>
      <w:r w:rsidRPr="00EF0E3B">
        <w:rPr>
          <w:rFonts w:ascii="Arial" w:hAnsi="Arial" w:cs="Arial"/>
          <w:sz w:val="22"/>
          <w:szCs w:val="22"/>
          <w:lang w:val="es-CO"/>
        </w:rPr>
        <w:t>Con base en la anterior distribución se indica la tarifa por rango de IOSC:</w:t>
      </w:r>
    </w:p>
    <w:p w14:paraId="746A82FE" w14:textId="77777777" w:rsidR="00EF0E3B" w:rsidRPr="00EF0E3B" w:rsidRDefault="00EF0E3B" w:rsidP="00EF0E3B">
      <w:pPr>
        <w:autoSpaceDE w:val="0"/>
        <w:autoSpaceDN w:val="0"/>
        <w:spacing w:line="276" w:lineRule="auto"/>
        <w:rPr>
          <w:rFonts w:ascii="Arial" w:hAnsi="Arial" w:cs="Arial"/>
          <w:sz w:val="22"/>
          <w:szCs w:val="22"/>
          <w:lang w:val="es-CO"/>
        </w:rPr>
      </w:pPr>
    </w:p>
    <w:p w14:paraId="35303499" w14:textId="68CAEB73" w:rsidR="00EF0E3B" w:rsidRPr="00EF0E3B" w:rsidRDefault="00EF0E3B" w:rsidP="00EF0E3B">
      <w:pPr>
        <w:numPr>
          <w:ilvl w:val="0"/>
          <w:numId w:val="5"/>
        </w:numPr>
        <w:autoSpaceDE w:val="0"/>
        <w:autoSpaceDN w:val="0"/>
        <w:spacing w:line="276" w:lineRule="auto"/>
        <w:rPr>
          <w:rFonts w:ascii="Arial" w:hAnsi="Arial" w:cs="Arial"/>
          <w:sz w:val="22"/>
          <w:szCs w:val="22"/>
          <w:lang w:val="es-CO"/>
        </w:rPr>
      </w:pPr>
      <w:r w:rsidRPr="00EF0E3B">
        <w:rPr>
          <w:rFonts w:ascii="Arial" w:hAnsi="Arial" w:cs="Arial"/>
          <w:sz w:val="22"/>
          <w:szCs w:val="22"/>
          <w:lang w:val="es-CO"/>
        </w:rPr>
        <w:t>Para cada rango de IOSC (</w:t>
      </w:r>
      <w:r w:rsidRPr="00EF0E3B">
        <w:rPr>
          <w:rFonts w:ascii="Arial" w:hAnsi="Arial" w:cs="Arial"/>
          <w:i/>
          <w:iCs/>
          <w:sz w:val="22"/>
          <w:szCs w:val="22"/>
          <w:lang w:val="es-CO"/>
        </w:rPr>
        <w:t>j)</w:t>
      </w:r>
      <w:r w:rsidRPr="00EF0E3B">
        <w:rPr>
          <w:rFonts w:ascii="Arial" w:hAnsi="Arial" w:cs="Arial"/>
          <w:sz w:val="22"/>
          <w:szCs w:val="22"/>
          <w:lang w:val="es-CO"/>
        </w:rPr>
        <w:t xml:space="preserve">, se calcula la tarifa de referencia ( </w:t>
      </w:r>
      <m:oMath>
        <m:sSub>
          <m:sSubPr>
            <m:ctrlPr>
              <w:rPr>
                <w:rFonts w:ascii="Cambria Math" w:hAnsi="Cambria Math" w:cs="Arial"/>
                <w:i/>
                <w:sz w:val="22"/>
                <w:szCs w:val="22"/>
                <w:lang w:val="es-CO"/>
              </w:rPr>
            </m:ctrlPr>
          </m:sSubPr>
          <m:e>
            <m:r>
              <w:rPr>
                <w:rFonts w:ascii="Cambria Math" w:hAnsi="Cambria Math" w:cs="Arial"/>
                <w:sz w:val="22"/>
                <w:szCs w:val="22"/>
                <w:lang w:val="es-CO"/>
              </w:rPr>
              <m:t>t</m:t>
            </m:r>
          </m:e>
          <m:sub>
            <m:r>
              <w:rPr>
                <w:rFonts w:ascii="Cambria Math" w:hAnsi="Cambria Math" w:cs="Arial"/>
                <w:sz w:val="22"/>
                <w:szCs w:val="22"/>
                <w:lang w:val="es-CO"/>
              </w:rPr>
              <m:t>ref</m:t>
            </m:r>
          </m:sub>
        </m:sSub>
      </m:oMath>
      <w:r w:rsidRPr="00EF0E3B">
        <w:rPr>
          <w:rFonts w:ascii="Arial" w:hAnsi="Arial" w:cs="Arial"/>
          <w:sz w:val="22"/>
          <w:szCs w:val="22"/>
          <w:lang w:val="es-CO"/>
        </w:rPr>
        <w:t xml:space="preserve"> ),  equivalente a la mediana de los valores promedio de las tarifas efectivas ( </w:t>
      </w:r>
      <m:oMath>
        <m:sSub>
          <m:sSubPr>
            <m:ctrlPr>
              <w:rPr>
                <w:rFonts w:ascii="Cambria Math" w:hAnsi="Cambria Math" w:cs="Arial"/>
                <w:i/>
                <w:sz w:val="22"/>
                <w:szCs w:val="22"/>
                <w:lang w:val="es-CO"/>
              </w:rPr>
            </m:ctrlPr>
          </m:sSubPr>
          <m:e>
            <m:r>
              <w:rPr>
                <w:rFonts w:ascii="Cambria Math" w:hAnsi="Cambria Math" w:cs="Arial"/>
                <w:sz w:val="22"/>
                <w:szCs w:val="22"/>
                <w:lang w:val="es-CO"/>
              </w:rPr>
              <m:t>t</m:t>
            </m:r>
          </m:e>
          <m:sub>
            <m:sSub>
              <m:sSubPr>
                <m:ctrlPr>
                  <w:rPr>
                    <w:rFonts w:ascii="Cambria Math" w:hAnsi="Cambria Math" w:cs="Arial"/>
                    <w:i/>
                    <w:sz w:val="22"/>
                    <w:szCs w:val="22"/>
                    <w:lang w:val="es-CO"/>
                  </w:rPr>
                </m:ctrlPr>
              </m:sSubPr>
              <m:e>
                <m:r>
                  <w:rPr>
                    <w:rFonts w:ascii="Cambria Math" w:hAnsi="Cambria Math" w:cs="Arial"/>
                    <w:sz w:val="22"/>
                    <w:szCs w:val="22"/>
                    <w:lang w:val="es-CO"/>
                  </w:rPr>
                  <m:t>ef</m:t>
                </m:r>
              </m:e>
              <m:sub>
                <m:r>
                  <w:rPr>
                    <w:rFonts w:ascii="Cambria Math" w:hAnsi="Cambria Math" w:cs="Arial"/>
                    <w:sz w:val="22"/>
                    <w:szCs w:val="22"/>
                    <w:lang w:val="es-CO"/>
                  </w:rPr>
                  <m:t>i,j</m:t>
                </m:r>
              </m:sub>
            </m:sSub>
          </m:sub>
        </m:sSub>
      </m:oMath>
      <w:r w:rsidRPr="00EF0E3B">
        <w:rPr>
          <w:rFonts w:ascii="Arial" w:hAnsi="Arial" w:cs="Arial"/>
          <w:sz w:val="22"/>
          <w:szCs w:val="22"/>
          <w:lang w:val="es-CO"/>
        </w:rPr>
        <w:t xml:space="preserve"> ) de cada vigilado (</w:t>
      </w:r>
      <w:r w:rsidRPr="00EF0E3B">
        <w:rPr>
          <w:rFonts w:ascii="Arial" w:hAnsi="Arial" w:cs="Arial"/>
          <w:i/>
          <w:iCs/>
          <w:sz w:val="22"/>
          <w:szCs w:val="22"/>
          <w:lang w:val="es-CO"/>
        </w:rPr>
        <w:t>i)</w:t>
      </w:r>
      <w:r w:rsidRPr="00EF0E3B">
        <w:rPr>
          <w:rFonts w:ascii="Arial" w:hAnsi="Arial" w:cs="Arial"/>
          <w:sz w:val="22"/>
          <w:szCs w:val="22"/>
          <w:lang w:val="es-CO"/>
        </w:rPr>
        <w:t xml:space="preserve"> para las últimas 3 vigencias:</w:t>
      </w:r>
    </w:p>
    <w:p w14:paraId="155EA1D5" w14:textId="1DC143CF" w:rsidR="00EF0E3B" w:rsidRPr="004E62C2" w:rsidRDefault="00000000" w:rsidP="00EF0E3B">
      <w:pPr>
        <w:autoSpaceDE w:val="0"/>
        <w:autoSpaceDN w:val="0"/>
        <w:spacing w:line="276" w:lineRule="auto"/>
        <w:rPr>
          <w:rFonts w:ascii="Arial" w:hAnsi="Arial" w:cs="Arial"/>
          <w:sz w:val="22"/>
          <w:szCs w:val="22"/>
          <w:lang w:val="es-CO"/>
        </w:rPr>
      </w:pPr>
      <m:oMathPara>
        <m:oMath>
          <m:sSubSup>
            <m:sSubSupPr>
              <m:ctrlPr>
                <w:rPr>
                  <w:rFonts w:ascii="Cambria Math" w:hAnsi="Cambria Math" w:cs="Arial"/>
                  <w:i/>
                  <w:sz w:val="22"/>
                  <w:szCs w:val="22"/>
                  <w:lang w:val="es-CO"/>
                </w:rPr>
              </m:ctrlPr>
            </m:sSubSupPr>
            <m:e>
              <m:r>
                <w:rPr>
                  <w:rFonts w:ascii="Cambria Math" w:hAnsi="Cambria Math" w:cs="Arial"/>
                  <w:sz w:val="22"/>
                  <w:szCs w:val="22"/>
                  <w:lang w:val="es-CO"/>
                </w:rPr>
                <m:t>t</m:t>
              </m:r>
            </m:e>
            <m:sub>
              <m:r>
                <w:rPr>
                  <w:rFonts w:ascii="Cambria Math" w:hAnsi="Cambria Math" w:cs="Arial"/>
                  <w:sz w:val="22"/>
                  <w:szCs w:val="22"/>
                  <w:lang w:val="es-CO"/>
                </w:rPr>
                <m:t>ref</m:t>
              </m:r>
            </m:sub>
            <m:sup>
              <m:d>
                <m:dPr>
                  <m:ctrlPr>
                    <w:rPr>
                      <w:rFonts w:ascii="Cambria Math" w:hAnsi="Cambria Math" w:cs="Arial"/>
                      <w:i/>
                      <w:sz w:val="22"/>
                      <w:szCs w:val="22"/>
                      <w:lang w:val="es-CO"/>
                    </w:rPr>
                  </m:ctrlPr>
                </m:dPr>
                <m:e>
                  <m:r>
                    <w:rPr>
                      <w:rFonts w:ascii="Cambria Math" w:hAnsi="Cambria Math" w:cs="Arial"/>
                      <w:sz w:val="22"/>
                      <w:szCs w:val="22"/>
                      <w:lang w:val="es-CO"/>
                    </w:rPr>
                    <m:t>j</m:t>
                  </m:r>
                </m:e>
              </m:d>
            </m:sup>
          </m:sSubSup>
          <m:r>
            <w:rPr>
              <w:rFonts w:ascii="Cambria Math" w:hAnsi="Cambria Math" w:cs="Arial"/>
              <w:sz w:val="22"/>
              <w:szCs w:val="22"/>
              <w:lang w:val="es-CO"/>
            </w:rPr>
            <m:t>= Mediana</m:t>
          </m:r>
          <m:d>
            <m:dPr>
              <m:ctrlPr>
                <w:rPr>
                  <w:rFonts w:ascii="Cambria Math" w:hAnsi="Cambria Math" w:cs="Arial"/>
                  <w:i/>
                  <w:sz w:val="22"/>
                  <w:szCs w:val="22"/>
                  <w:lang w:val="es-CO"/>
                </w:rPr>
              </m:ctrlPr>
            </m:dPr>
            <m:e>
              <m:f>
                <m:fPr>
                  <m:ctrlPr>
                    <w:rPr>
                      <w:rFonts w:ascii="Cambria Math" w:hAnsi="Cambria Math" w:cs="Arial"/>
                      <w:i/>
                      <w:sz w:val="22"/>
                      <w:szCs w:val="22"/>
                      <w:lang w:val="es-CO"/>
                    </w:rPr>
                  </m:ctrlPr>
                </m:fPr>
                <m:num>
                  <m:sSubSup>
                    <m:sSubSupPr>
                      <m:ctrlPr>
                        <w:rPr>
                          <w:rFonts w:ascii="Cambria Math" w:hAnsi="Cambria Math" w:cs="Arial"/>
                          <w:i/>
                          <w:sz w:val="22"/>
                          <w:szCs w:val="22"/>
                          <w:lang w:val="es-CO"/>
                        </w:rPr>
                      </m:ctrlPr>
                    </m:sSubSupPr>
                    <m:e>
                      <m:r>
                        <w:rPr>
                          <w:rFonts w:ascii="Cambria Math" w:hAnsi="Cambria Math" w:cs="Arial"/>
                          <w:sz w:val="22"/>
                          <w:szCs w:val="22"/>
                          <w:lang w:val="es-CO"/>
                        </w:rPr>
                        <m:t>t</m:t>
                      </m:r>
                    </m:e>
                    <m:sub>
                      <m:sSub>
                        <m:sSubPr>
                          <m:ctrlPr>
                            <w:rPr>
                              <w:rFonts w:ascii="Cambria Math" w:hAnsi="Cambria Math" w:cs="Arial"/>
                              <w:i/>
                              <w:sz w:val="22"/>
                              <w:szCs w:val="22"/>
                              <w:lang w:val="es-CO"/>
                            </w:rPr>
                          </m:ctrlPr>
                        </m:sSubPr>
                        <m:e>
                          <m:r>
                            <w:rPr>
                              <w:rFonts w:ascii="Cambria Math" w:hAnsi="Cambria Math" w:cs="Arial"/>
                              <w:sz w:val="22"/>
                              <w:szCs w:val="22"/>
                              <w:lang w:val="es-CO"/>
                            </w:rPr>
                            <m:t>ef</m:t>
                          </m:r>
                        </m:e>
                        <m:sub>
                          <m:r>
                            <w:rPr>
                              <w:rFonts w:ascii="Cambria Math" w:hAnsi="Cambria Math" w:cs="Arial"/>
                              <w:sz w:val="22"/>
                              <w:szCs w:val="22"/>
                              <w:lang w:val="es-CO"/>
                            </w:rPr>
                            <m:t>i,t-1</m:t>
                          </m:r>
                        </m:sub>
                      </m:sSub>
                    </m:sub>
                    <m:sup>
                      <m:d>
                        <m:dPr>
                          <m:ctrlPr>
                            <w:rPr>
                              <w:rFonts w:ascii="Cambria Math" w:hAnsi="Cambria Math" w:cs="Arial"/>
                              <w:i/>
                              <w:sz w:val="22"/>
                              <w:szCs w:val="22"/>
                              <w:lang w:val="es-CO"/>
                            </w:rPr>
                          </m:ctrlPr>
                        </m:dPr>
                        <m:e>
                          <m:r>
                            <w:rPr>
                              <w:rFonts w:ascii="Cambria Math" w:hAnsi="Cambria Math" w:cs="Arial"/>
                              <w:sz w:val="22"/>
                              <w:szCs w:val="22"/>
                              <w:lang w:val="es-CO"/>
                            </w:rPr>
                            <m:t>j</m:t>
                          </m:r>
                        </m:e>
                      </m:d>
                    </m:sup>
                  </m:sSubSup>
                  <m:r>
                    <w:rPr>
                      <w:rFonts w:ascii="Cambria Math" w:hAnsi="Cambria Math" w:cs="Arial"/>
                      <w:sz w:val="22"/>
                      <w:szCs w:val="22"/>
                      <w:lang w:val="es-CO"/>
                    </w:rPr>
                    <m:t xml:space="preserve">+ </m:t>
                  </m:r>
                  <m:sSubSup>
                    <m:sSubSupPr>
                      <m:ctrlPr>
                        <w:rPr>
                          <w:rFonts w:ascii="Cambria Math" w:hAnsi="Cambria Math" w:cs="Arial"/>
                          <w:i/>
                          <w:sz w:val="22"/>
                          <w:szCs w:val="22"/>
                          <w:lang w:val="es-CO"/>
                        </w:rPr>
                      </m:ctrlPr>
                    </m:sSubSupPr>
                    <m:e>
                      <m:r>
                        <w:rPr>
                          <w:rFonts w:ascii="Cambria Math" w:hAnsi="Cambria Math" w:cs="Arial"/>
                          <w:sz w:val="22"/>
                          <w:szCs w:val="22"/>
                          <w:lang w:val="es-CO"/>
                        </w:rPr>
                        <m:t>t</m:t>
                      </m:r>
                    </m:e>
                    <m:sub>
                      <m:sSub>
                        <m:sSubPr>
                          <m:ctrlPr>
                            <w:rPr>
                              <w:rFonts w:ascii="Cambria Math" w:hAnsi="Cambria Math" w:cs="Arial"/>
                              <w:i/>
                              <w:sz w:val="22"/>
                              <w:szCs w:val="22"/>
                              <w:lang w:val="es-CO"/>
                            </w:rPr>
                          </m:ctrlPr>
                        </m:sSubPr>
                        <m:e>
                          <m:r>
                            <w:rPr>
                              <w:rFonts w:ascii="Cambria Math" w:hAnsi="Cambria Math" w:cs="Arial"/>
                              <w:sz w:val="22"/>
                              <w:szCs w:val="22"/>
                              <w:lang w:val="es-CO"/>
                            </w:rPr>
                            <m:t>ef</m:t>
                          </m:r>
                        </m:e>
                        <m:sub>
                          <m:r>
                            <w:rPr>
                              <w:rFonts w:ascii="Cambria Math" w:hAnsi="Cambria Math" w:cs="Arial"/>
                              <w:sz w:val="22"/>
                              <w:szCs w:val="22"/>
                              <w:lang w:val="es-CO"/>
                            </w:rPr>
                            <m:t>i,t-2</m:t>
                          </m:r>
                        </m:sub>
                      </m:sSub>
                    </m:sub>
                    <m:sup>
                      <m:d>
                        <m:dPr>
                          <m:ctrlPr>
                            <w:rPr>
                              <w:rFonts w:ascii="Cambria Math" w:hAnsi="Cambria Math" w:cs="Arial"/>
                              <w:i/>
                              <w:sz w:val="22"/>
                              <w:szCs w:val="22"/>
                              <w:lang w:val="es-CO"/>
                            </w:rPr>
                          </m:ctrlPr>
                        </m:dPr>
                        <m:e>
                          <m:r>
                            <w:rPr>
                              <w:rFonts w:ascii="Cambria Math" w:hAnsi="Cambria Math" w:cs="Arial"/>
                              <w:sz w:val="22"/>
                              <w:szCs w:val="22"/>
                              <w:lang w:val="es-CO"/>
                            </w:rPr>
                            <m:t>j</m:t>
                          </m:r>
                        </m:e>
                      </m:d>
                    </m:sup>
                  </m:sSubSup>
                  <m:r>
                    <w:rPr>
                      <w:rFonts w:ascii="Cambria Math" w:hAnsi="Cambria Math" w:cs="Arial"/>
                      <w:sz w:val="22"/>
                      <w:szCs w:val="22"/>
                      <w:lang w:val="es-CO"/>
                    </w:rPr>
                    <m:t>+</m:t>
                  </m:r>
                  <m:sSubSup>
                    <m:sSubSupPr>
                      <m:ctrlPr>
                        <w:rPr>
                          <w:rFonts w:ascii="Cambria Math" w:hAnsi="Cambria Math" w:cs="Arial"/>
                          <w:i/>
                          <w:sz w:val="22"/>
                          <w:szCs w:val="22"/>
                          <w:lang w:val="es-CO"/>
                        </w:rPr>
                      </m:ctrlPr>
                    </m:sSubSupPr>
                    <m:e>
                      <m:r>
                        <w:rPr>
                          <w:rFonts w:ascii="Cambria Math" w:hAnsi="Cambria Math" w:cs="Arial"/>
                          <w:sz w:val="22"/>
                          <w:szCs w:val="22"/>
                          <w:lang w:val="es-CO"/>
                        </w:rPr>
                        <m:t>t</m:t>
                      </m:r>
                    </m:e>
                    <m:sub>
                      <m:sSub>
                        <m:sSubPr>
                          <m:ctrlPr>
                            <w:rPr>
                              <w:rFonts w:ascii="Cambria Math" w:hAnsi="Cambria Math" w:cs="Arial"/>
                              <w:i/>
                              <w:sz w:val="22"/>
                              <w:szCs w:val="22"/>
                              <w:lang w:val="es-CO"/>
                            </w:rPr>
                          </m:ctrlPr>
                        </m:sSubPr>
                        <m:e>
                          <m:r>
                            <w:rPr>
                              <w:rFonts w:ascii="Cambria Math" w:hAnsi="Cambria Math" w:cs="Arial"/>
                              <w:sz w:val="22"/>
                              <w:szCs w:val="22"/>
                              <w:lang w:val="es-CO"/>
                            </w:rPr>
                            <m:t>ef</m:t>
                          </m:r>
                        </m:e>
                        <m:sub>
                          <m:r>
                            <w:rPr>
                              <w:rFonts w:ascii="Cambria Math" w:hAnsi="Cambria Math" w:cs="Arial"/>
                              <w:sz w:val="22"/>
                              <w:szCs w:val="22"/>
                              <w:lang w:val="es-CO"/>
                            </w:rPr>
                            <m:t>i,t-3</m:t>
                          </m:r>
                        </m:sub>
                      </m:sSub>
                    </m:sub>
                    <m:sup>
                      <m:d>
                        <m:dPr>
                          <m:ctrlPr>
                            <w:rPr>
                              <w:rFonts w:ascii="Cambria Math" w:hAnsi="Cambria Math" w:cs="Arial"/>
                              <w:i/>
                              <w:sz w:val="22"/>
                              <w:szCs w:val="22"/>
                              <w:lang w:val="es-CO"/>
                            </w:rPr>
                          </m:ctrlPr>
                        </m:dPr>
                        <m:e>
                          <m:r>
                            <w:rPr>
                              <w:rFonts w:ascii="Cambria Math" w:hAnsi="Cambria Math" w:cs="Arial"/>
                              <w:sz w:val="22"/>
                              <w:szCs w:val="22"/>
                              <w:lang w:val="es-CO"/>
                            </w:rPr>
                            <m:t>j</m:t>
                          </m:r>
                        </m:e>
                      </m:d>
                    </m:sup>
                  </m:sSubSup>
                </m:num>
                <m:den>
                  <m:r>
                    <w:rPr>
                      <w:rFonts w:ascii="Cambria Math" w:hAnsi="Cambria Math" w:cs="Arial"/>
                      <w:sz w:val="22"/>
                      <w:szCs w:val="22"/>
                      <w:lang w:val="es-CO"/>
                    </w:rPr>
                    <m:t>3</m:t>
                  </m:r>
                </m:den>
              </m:f>
              <m:ctrlPr>
                <w:rPr>
                  <w:rFonts w:ascii="Cambria Math" w:hAnsi="Cambria Math" w:cs="Arial"/>
                  <w:sz w:val="22"/>
                  <w:szCs w:val="22"/>
                  <w:lang w:val="es-CO"/>
                </w:rPr>
              </m:ctrlPr>
            </m:e>
          </m:d>
        </m:oMath>
      </m:oMathPara>
    </w:p>
    <w:p w14:paraId="1A532350" w14:textId="77777777" w:rsidR="004E62C2" w:rsidRPr="00EF0E3B" w:rsidRDefault="004E62C2" w:rsidP="00EF0E3B">
      <w:pPr>
        <w:autoSpaceDE w:val="0"/>
        <w:autoSpaceDN w:val="0"/>
        <w:spacing w:line="276" w:lineRule="auto"/>
        <w:rPr>
          <w:rFonts w:ascii="Arial" w:hAnsi="Arial" w:cs="Arial"/>
          <w:sz w:val="22"/>
          <w:szCs w:val="22"/>
          <w:lang w:val="es-CO"/>
        </w:rPr>
      </w:pPr>
    </w:p>
    <w:p w14:paraId="6A733075" w14:textId="77B6DB02" w:rsidR="00EF0E3B" w:rsidRPr="00EF0E3B" w:rsidRDefault="00EF0E3B" w:rsidP="00EF0E3B">
      <w:pPr>
        <w:numPr>
          <w:ilvl w:val="0"/>
          <w:numId w:val="5"/>
        </w:numPr>
        <w:autoSpaceDE w:val="0"/>
        <w:autoSpaceDN w:val="0"/>
        <w:spacing w:line="276" w:lineRule="auto"/>
        <w:rPr>
          <w:rFonts w:ascii="Arial" w:hAnsi="Arial" w:cs="Arial"/>
          <w:sz w:val="22"/>
          <w:szCs w:val="22"/>
          <w:lang w:val="es-CO"/>
        </w:rPr>
      </w:pPr>
      <w:r w:rsidRPr="00EF0E3B">
        <w:rPr>
          <w:rFonts w:ascii="Arial" w:hAnsi="Arial" w:cs="Arial"/>
          <w:sz w:val="22"/>
          <w:szCs w:val="22"/>
          <w:lang w:val="es-CO"/>
        </w:rPr>
        <w:t>De las tarifas de referencia (</w:t>
      </w:r>
      <m:oMath>
        <m:sSubSup>
          <m:sSubSupPr>
            <m:ctrlPr>
              <w:rPr>
                <w:rFonts w:ascii="Cambria Math" w:hAnsi="Cambria Math" w:cs="Arial"/>
                <w:i/>
                <w:sz w:val="22"/>
                <w:szCs w:val="22"/>
                <w:lang w:val="es-CO"/>
              </w:rPr>
            </m:ctrlPr>
          </m:sSubSupPr>
          <m:e>
            <m:r>
              <w:rPr>
                <w:rFonts w:ascii="Cambria Math" w:hAnsi="Cambria Math" w:cs="Arial"/>
                <w:sz w:val="22"/>
                <w:szCs w:val="22"/>
                <w:lang w:val="es-CO"/>
              </w:rPr>
              <m:t>t</m:t>
            </m:r>
          </m:e>
          <m:sub>
            <m:r>
              <w:rPr>
                <w:rFonts w:ascii="Cambria Math" w:hAnsi="Cambria Math" w:cs="Arial"/>
                <w:sz w:val="22"/>
                <w:szCs w:val="22"/>
                <w:lang w:val="es-CO"/>
              </w:rPr>
              <m:t>ref</m:t>
            </m:r>
          </m:sub>
          <m:sup>
            <m:d>
              <m:dPr>
                <m:ctrlPr>
                  <w:rPr>
                    <w:rFonts w:ascii="Cambria Math" w:hAnsi="Cambria Math" w:cs="Arial"/>
                    <w:i/>
                    <w:sz w:val="22"/>
                    <w:szCs w:val="22"/>
                    <w:lang w:val="es-CO"/>
                  </w:rPr>
                </m:ctrlPr>
              </m:dPr>
              <m:e>
                <m:r>
                  <w:rPr>
                    <w:rFonts w:ascii="Cambria Math" w:hAnsi="Cambria Math" w:cs="Arial"/>
                    <w:sz w:val="22"/>
                    <w:szCs w:val="22"/>
                    <w:lang w:val="es-CO"/>
                  </w:rPr>
                  <m:t>j</m:t>
                </m:r>
              </m:e>
            </m:d>
          </m:sup>
        </m:sSubSup>
      </m:oMath>
      <w:r w:rsidRPr="00EF0E3B">
        <w:rPr>
          <w:rFonts w:ascii="Arial" w:hAnsi="Arial" w:cs="Arial"/>
          <w:sz w:val="22"/>
          <w:szCs w:val="22"/>
          <w:lang w:val="es-CO"/>
        </w:rPr>
        <w:t xml:space="preserve">) calculadas, se utilizan la máxima </w:t>
      </w:r>
      <m:oMath>
        <m:sSubSup>
          <m:sSubSupPr>
            <m:ctrlPr>
              <w:rPr>
                <w:rFonts w:ascii="Cambria Math" w:hAnsi="Cambria Math" w:cs="Arial"/>
                <w:i/>
                <w:iCs/>
                <w:sz w:val="22"/>
                <w:szCs w:val="22"/>
              </w:rPr>
            </m:ctrlPr>
          </m:sSubSupPr>
          <m:e>
            <m:r>
              <w:rPr>
                <w:rFonts w:ascii="Cambria Math" w:hAnsi="Cambria Math" w:cs="Arial"/>
                <w:sz w:val="22"/>
                <w:szCs w:val="22"/>
              </w:rPr>
              <m:t>max:t_ref</m:t>
            </m:r>
          </m:e>
          <m:sub>
            <m:r>
              <w:rPr>
                <w:rFonts w:ascii="Cambria Math" w:hAnsi="Cambria Math" w:cs="Arial"/>
                <w:sz w:val="22"/>
                <w:szCs w:val="22"/>
              </w:rPr>
              <m:t>t</m:t>
            </m:r>
          </m:sub>
          <m:sup>
            <m:r>
              <w:rPr>
                <w:rFonts w:ascii="Cambria Math" w:hAnsi="Cambria Math" w:cs="Arial"/>
                <w:sz w:val="22"/>
                <w:szCs w:val="22"/>
              </w:rPr>
              <m:t>(j)</m:t>
            </m:r>
          </m:sup>
        </m:sSubSup>
        <m:r>
          <w:rPr>
            <w:rFonts w:ascii="Cambria Math" w:hAnsi="Cambria Math" w:cs="Arial"/>
            <w:sz w:val="22"/>
            <w:szCs w:val="22"/>
          </w:rPr>
          <m:t> </m:t>
        </m:r>
      </m:oMath>
      <w:r w:rsidRPr="00EF0E3B">
        <w:rPr>
          <w:rFonts w:ascii="Arial" w:hAnsi="Arial" w:cs="Arial"/>
          <w:sz w:val="22"/>
          <w:szCs w:val="22"/>
        </w:rPr>
        <w:t xml:space="preserve">y la </w:t>
      </w:r>
      <m:oMath>
        <m:sSubSup>
          <m:sSubSupPr>
            <m:ctrlPr>
              <w:rPr>
                <w:rFonts w:ascii="Cambria Math" w:hAnsi="Cambria Math" w:cs="Arial"/>
                <w:i/>
                <w:iCs/>
                <w:sz w:val="22"/>
                <w:szCs w:val="22"/>
              </w:rPr>
            </m:ctrlPr>
          </m:sSubSupPr>
          <m:e>
            <m:r>
              <w:rPr>
                <w:rFonts w:ascii="Cambria Math" w:hAnsi="Cambria Math" w:cs="Arial"/>
                <w:sz w:val="22"/>
                <w:szCs w:val="22"/>
              </w:rPr>
              <m:t>min:t_ref</m:t>
            </m:r>
          </m:e>
          <m:sub>
            <m:r>
              <w:rPr>
                <w:rFonts w:ascii="Cambria Math" w:hAnsi="Cambria Math" w:cs="Arial"/>
                <w:sz w:val="22"/>
                <w:szCs w:val="22"/>
              </w:rPr>
              <m:t>t</m:t>
            </m:r>
          </m:sub>
          <m:sup>
            <m:r>
              <w:rPr>
                <w:rFonts w:ascii="Cambria Math" w:hAnsi="Cambria Math" w:cs="Arial"/>
                <w:sz w:val="22"/>
                <w:szCs w:val="22"/>
              </w:rPr>
              <m:t>(j)</m:t>
            </m:r>
          </m:sup>
        </m:sSubSup>
      </m:oMath>
      <w:r w:rsidRPr="00EF0E3B">
        <w:rPr>
          <w:rFonts w:ascii="Arial" w:hAnsi="Arial" w:cs="Arial"/>
          <w:iCs/>
          <w:sz w:val="22"/>
          <w:szCs w:val="22"/>
        </w:rPr>
        <w:t xml:space="preserve"> para calcular el factor de ajuste (</w:t>
      </w:r>
      <m:oMath>
        <m:r>
          <w:rPr>
            <w:rFonts w:ascii="Cambria Math" w:hAnsi="Cambria Math" w:cs="Arial"/>
            <w:sz w:val="22"/>
            <w:szCs w:val="22"/>
          </w:rPr>
          <m:t>E</m:t>
        </m:r>
      </m:oMath>
      <w:r w:rsidRPr="00EF0E3B">
        <w:rPr>
          <w:rFonts w:ascii="Arial" w:hAnsi="Arial" w:cs="Arial"/>
          <w:sz w:val="22"/>
          <w:szCs w:val="22"/>
        </w:rPr>
        <w:t>), bajo la siguiente expresión:</w:t>
      </w:r>
    </w:p>
    <w:p w14:paraId="6016EEAA" w14:textId="77777777" w:rsidR="00EF0E3B" w:rsidRPr="00EF0E3B" w:rsidRDefault="00EF0E3B" w:rsidP="00EF0E3B">
      <w:pPr>
        <w:autoSpaceDE w:val="0"/>
        <w:autoSpaceDN w:val="0"/>
        <w:spacing w:line="276" w:lineRule="auto"/>
        <w:rPr>
          <w:rFonts w:ascii="Arial" w:hAnsi="Arial" w:cs="Arial"/>
          <w:sz w:val="22"/>
          <w:szCs w:val="22"/>
          <w:lang w:val="es-CO"/>
        </w:rPr>
      </w:pPr>
    </w:p>
    <w:p w14:paraId="6ACEDAC1" w14:textId="29076BF6" w:rsidR="00EF0E3B" w:rsidRPr="00EF0E3B" w:rsidRDefault="00EF0E3B" w:rsidP="00EF0E3B">
      <w:pPr>
        <w:autoSpaceDE w:val="0"/>
        <w:autoSpaceDN w:val="0"/>
        <w:spacing w:line="276" w:lineRule="auto"/>
        <w:rPr>
          <w:rFonts w:ascii="Arial" w:hAnsi="Arial" w:cs="Arial"/>
          <w:sz w:val="22"/>
          <w:szCs w:val="22"/>
          <w:lang w:val="es-CO"/>
        </w:rPr>
      </w:pPr>
      <m:oMathPara>
        <m:oMath>
          <m:r>
            <w:rPr>
              <w:rFonts w:ascii="Cambria Math" w:hAnsi="Cambria Math" w:cs="Arial"/>
              <w:sz w:val="22"/>
              <w:szCs w:val="22"/>
            </w:rPr>
            <w:lastRenderedPageBreak/>
            <m:t>E=</m:t>
          </m:r>
          <m:f>
            <m:fPr>
              <m:ctrlPr>
                <w:rPr>
                  <w:rFonts w:ascii="Cambria Math" w:hAnsi="Cambria Math" w:cs="Arial"/>
                  <w:i/>
                  <w:iCs/>
                  <w:sz w:val="22"/>
                  <w:szCs w:val="22"/>
                </w:rPr>
              </m:ctrlPr>
            </m:fPr>
            <m:num>
              <m:sSubSup>
                <m:sSubSupPr>
                  <m:ctrlPr>
                    <w:rPr>
                      <w:rFonts w:ascii="Cambria Math" w:hAnsi="Cambria Math" w:cs="Arial"/>
                      <w:i/>
                      <w:iCs/>
                      <w:sz w:val="22"/>
                      <w:szCs w:val="22"/>
                    </w:rPr>
                  </m:ctrlPr>
                </m:sSubSupPr>
                <m:e>
                  <m:r>
                    <w:rPr>
                      <w:rFonts w:ascii="Cambria Math" w:hAnsi="Cambria Math" w:cs="Arial"/>
                      <w:sz w:val="22"/>
                      <w:szCs w:val="22"/>
                    </w:rPr>
                    <m:t>max:t_ref</m:t>
                  </m:r>
                </m:e>
                <m:sub>
                  <m:r>
                    <w:rPr>
                      <w:rFonts w:ascii="Cambria Math" w:hAnsi="Cambria Math" w:cs="Arial"/>
                      <w:sz w:val="22"/>
                      <w:szCs w:val="22"/>
                    </w:rPr>
                    <m:t>t</m:t>
                  </m:r>
                </m:sub>
                <m:sup>
                  <m:r>
                    <w:rPr>
                      <w:rFonts w:ascii="Cambria Math" w:hAnsi="Cambria Math" w:cs="Arial"/>
                      <w:sz w:val="22"/>
                      <w:szCs w:val="22"/>
                    </w:rPr>
                    <m:t>(j)</m:t>
                  </m:r>
                </m:sup>
              </m:sSubSup>
              <m:r>
                <w:rPr>
                  <w:rFonts w:ascii="Cambria Math" w:hAnsi="Cambria Math" w:cs="Arial"/>
                  <w:sz w:val="22"/>
                  <w:szCs w:val="22"/>
                </w:rPr>
                <m:t> -</m:t>
              </m:r>
              <m:sSubSup>
                <m:sSubSupPr>
                  <m:ctrlPr>
                    <w:rPr>
                      <w:rFonts w:ascii="Cambria Math" w:hAnsi="Cambria Math" w:cs="Arial"/>
                      <w:i/>
                      <w:iCs/>
                      <w:sz w:val="22"/>
                      <w:szCs w:val="22"/>
                    </w:rPr>
                  </m:ctrlPr>
                </m:sSubSupPr>
                <m:e>
                  <m:r>
                    <w:rPr>
                      <w:rFonts w:ascii="Cambria Math" w:hAnsi="Cambria Math" w:cs="Arial"/>
                      <w:sz w:val="22"/>
                      <w:szCs w:val="22"/>
                    </w:rPr>
                    <m:t>min:t_ref</m:t>
                  </m:r>
                </m:e>
                <m:sub>
                  <m:r>
                    <w:rPr>
                      <w:rFonts w:ascii="Cambria Math" w:hAnsi="Cambria Math" w:cs="Arial"/>
                      <w:sz w:val="22"/>
                      <w:szCs w:val="22"/>
                    </w:rPr>
                    <m:t>t</m:t>
                  </m:r>
                </m:sub>
                <m:sup>
                  <m:r>
                    <w:rPr>
                      <w:rFonts w:ascii="Cambria Math" w:hAnsi="Cambria Math" w:cs="Arial"/>
                      <w:sz w:val="22"/>
                      <w:szCs w:val="22"/>
                    </w:rPr>
                    <m:t>(j)</m:t>
                  </m:r>
                </m:sup>
              </m:sSubSup>
            </m:num>
            <m:den>
              <m:r>
                <w:rPr>
                  <w:rFonts w:ascii="Cambria Math" w:hAnsi="Cambria Math" w:cs="Arial"/>
                  <w:sz w:val="22"/>
                  <w:szCs w:val="22"/>
                </w:rPr>
                <m:t>3</m:t>
              </m:r>
            </m:den>
          </m:f>
        </m:oMath>
      </m:oMathPara>
    </w:p>
    <w:p w14:paraId="1CAB06A4" w14:textId="77777777" w:rsidR="00EF0E3B" w:rsidRPr="00EF0E3B" w:rsidRDefault="00EF0E3B" w:rsidP="00EF0E3B">
      <w:pPr>
        <w:autoSpaceDE w:val="0"/>
        <w:autoSpaceDN w:val="0"/>
        <w:spacing w:line="276" w:lineRule="auto"/>
        <w:rPr>
          <w:rFonts w:ascii="Arial" w:hAnsi="Arial" w:cs="Arial"/>
          <w:sz w:val="22"/>
          <w:szCs w:val="22"/>
          <w:lang w:val="es-ES_tradnl"/>
        </w:rPr>
      </w:pPr>
    </w:p>
    <w:p w14:paraId="682A840A" w14:textId="77777777" w:rsidR="00EF0E3B" w:rsidRPr="00EF0E3B" w:rsidRDefault="00EF0E3B" w:rsidP="00EF0E3B">
      <w:pPr>
        <w:numPr>
          <w:ilvl w:val="0"/>
          <w:numId w:val="5"/>
        </w:numPr>
        <w:autoSpaceDE w:val="0"/>
        <w:autoSpaceDN w:val="0"/>
        <w:spacing w:line="276" w:lineRule="auto"/>
        <w:rPr>
          <w:rFonts w:ascii="Arial" w:hAnsi="Arial" w:cs="Arial"/>
          <w:sz w:val="22"/>
          <w:szCs w:val="22"/>
          <w:lang w:val="es-CO"/>
        </w:rPr>
      </w:pPr>
      <w:r w:rsidRPr="00EF0E3B">
        <w:rPr>
          <w:rFonts w:ascii="Arial" w:hAnsi="Arial" w:cs="Arial"/>
          <w:sz w:val="22"/>
          <w:szCs w:val="22"/>
          <w:lang w:val="es-CO"/>
        </w:rPr>
        <w:t>Para determinar la tarifa de referencia, se aplica para cada rango de ingresos operacionales causados del sector, el factor de ajuste así:</w:t>
      </w:r>
    </w:p>
    <w:p w14:paraId="421851E5" w14:textId="77777777" w:rsidR="00EF0E3B" w:rsidRPr="00EF0E3B" w:rsidRDefault="00EF0E3B" w:rsidP="00EF0E3B">
      <w:pPr>
        <w:autoSpaceDE w:val="0"/>
        <w:autoSpaceDN w:val="0"/>
        <w:spacing w:line="276" w:lineRule="auto"/>
        <w:rPr>
          <w:rFonts w:ascii="Arial" w:hAnsi="Arial" w:cs="Arial"/>
          <w:sz w:val="22"/>
          <w:szCs w:val="22"/>
          <w:lang w:val="es-CO"/>
        </w:rPr>
      </w:pPr>
    </w:p>
    <w:p w14:paraId="3A0A8500" w14:textId="2D09DE8B" w:rsidR="00EF0E3B" w:rsidRDefault="00EF0E3B" w:rsidP="00EF0E3B">
      <w:pPr>
        <w:numPr>
          <w:ilvl w:val="1"/>
          <w:numId w:val="5"/>
        </w:numPr>
        <w:autoSpaceDE w:val="0"/>
        <w:autoSpaceDN w:val="0"/>
        <w:spacing w:line="276" w:lineRule="auto"/>
        <w:rPr>
          <w:rFonts w:ascii="Arial" w:hAnsi="Arial" w:cs="Arial"/>
          <w:sz w:val="22"/>
          <w:szCs w:val="22"/>
          <w:lang w:val="es-CO"/>
        </w:rPr>
      </w:pPr>
      <w:r w:rsidRPr="00EF0E3B">
        <w:rPr>
          <w:rFonts w:ascii="Arial" w:hAnsi="Arial" w:cs="Arial"/>
          <w:sz w:val="22"/>
          <w:szCs w:val="22"/>
          <w:lang w:val="es-CO"/>
        </w:rPr>
        <w:t>Para rango (</w:t>
      </w:r>
      <w:r w:rsidRPr="00EF0E3B">
        <w:rPr>
          <w:rFonts w:ascii="Arial" w:hAnsi="Arial" w:cs="Arial"/>
          <w:i/>
          <w:iCs/>
          <w:sz w:val="22"/>
          <w:szCs w:val="22"/>
          <w:lang w:val="es-CO"/>
        </w:rPr>
        <w:t>j</w:t>
      </w:r>
      <w:r w:rsidRPr="00EF0E3B">
        <w:rPr>
          <w:rFonts w:ascii="Arial" w:hAnsi="Arial" w:cs="Arial"/>
          <w:sz w:val="22"/>
          <w:szCs w:val="22"/>
          <w:lang w:val="es-CO"/>
        </w:rPr>
        <w:t xml:space="preserve">) = 1 y 3: </w:t>
      </w:r>
      <m:oMath>
        <m:sSup>
          <m:sSupPr>
            <m:ctrlPr>
              <w:rPr>
                <w:rFonts w:ascii="Cambria Math" w:hAnsi="Cambria Math" w:cs="Arial"/>
                <w:i/>
                <w:sz w:val="22"/>
                <w:szCs w:val="22"/>
                <w:lang w:val="es-CO"/>
              </w:rPr>
            </m:ctrlPr>
          </m:sSupPr>
          <m:e>
            <m:r>
              <w:rPr>
                <w:rFonts w:ascii="Cambria Math" w:hAnsi="Cambria Math" w:cs="Arial"/>
                <w:sz w:val="22"/>
                <w:szCs w:val="22"/>
                <w:lang w:val="es-CO"/>
              </w:rPr>
              <m:t>t</m:t>
            </m:r>
          </m:e>
          <m:sup>
            <m:d>
              <m:dPr>
                <m:ctrlPr>
                  <w:rPr>
                    <w:rFonts w:ascii="Cambria Math" w:hAnsi="Cambria Math" w:cs="Arial"/>
                    <w:i/>
                    <w:sz w:val="22"/>
                    <w:szCs w:val="22"/>
                    <w:lang w:val="es-CO"/>
                  </w:rPr>
                </m:ctrlPr>
              </m:dPr>
              <m:e>
                <m:r>
                  <w:rPr>
                    <w:rFonts w:ascii="Cambria Math" w:hAnsi="Cambria Math" w:cs="Arial"/>
                    <w:sz w:val="22"/>
                    <w:szCs w:val="22"/>
                    <w:lang w:val="es-CO"/>
                  </w:rPr>
                  <m:t>j</m:t>
                </m:r>
              </m:e>
            </m:d>
          </m:sup>
        </m:sSup>
        <m:r>
          <w:rPr>
            <w:rFonts w:ascii="Cambria Math" w:hAnsi="Cambria Math" w:cs="Arial"/>
            <w:sz w:val="22"/>
            <w:szCs w:val="22"/>
            <w:lang w:val="es-CO"/>
          </w:rPr>
          <m:t>=</m:t>
        </m:r>
        <m:sSubSup>
          <m:sSubSupPr>
            <m:ctrlPr>
              <w:rPr>
                <w:rFonts w:ascii="Cambria Math" w:hAnsi="Cambria Math" w:cs="Arial"/>
                <w:i/>
                <w:sz w:val="22"/>
                <w:szCs w:val="22"/>
                <w:lang w:val="es-CO"/>
              </w:rPr>
            </m:ctrlPr>
          </m:sSubSupPr>
          <m:e>
            <m:r>
              <w:rPr>
                <w:rFonts w:ascii="Cambria Math" w:hAnsi="Cambria Math" w:cs="Arial"/>
                <w:sz w:val="22"/>
                <w:szCs w:val="22"/>
                <w:lang w:val="es-CO"/>
              </w:rPr>
              <m:t>t</m:t>
            </m:r>
          </m:e>
          <m:sub>
            <m:r>
              <w:rPr>
                <w:rFonts w:ascii="Cambria Math" w:hAnsi="Cambria Math" w:cs="Arial"/>
                <w:sz w:val="22"/>
                <w:szCs w:val="22"/>
                <w:lang w:val="es-CO"/>
              </w:rPr>
              <m:t>ref</m:t>
            </m:r>
          </m:sub>
          <m:sup>
            <m:d>
              <m:dPr>
                <m:ctrlPr>
                  <w:rPr>
                    <w:rFonts w:ascii="Cambria Math" w:hAnsi="Cambria Math" w:cs="Arial"/>
                    <w:i/>
                    <w:sz w:val="22"/>
                    <w:szCs w:val="22"/>
                    <w:lang w:val="es-CO"/>
                  </w:rPr>
                </m:ctrlPr>
              </m:dPr>
              <m:e>
                <m:r>
                  <w:rPr>
                    <w:rFonts w:ascii="Cambria Math" w:hAnsi="Cambria Math" w:cs="Arial"/>
                    <w:sz w:val="22"/>
                    <w:szCs w:val="22"/>
                    <w:lang w:val="es-CO"/>
                  </w:rPr>
                  <m:t>j</m:t>
                </m:r>
              </m:e>
            </m:d>
          </m:sup>
        </m:sSubSup>
      </m:oMath>
    </w:p>
    <w:p w14:paraId="6EAB3B4E" w14:textId="77777777" w:rsidR="00EF0E3B" w:rsidRPr="00EF0E3B" w:rsidRDefault="00EF0E3B" w:rsidP="00EF0E3B">
      <w:pPr>
        <w:autoSpaceDE w:val="0"/>
        <w:autoSpaceDN w:val="0"/>
        <w:spacing w:line="276" w:lineRule="auto"/>
        <w:ind w:left="1440"/>
        <w:rPr>
          <w:rFonts w:ascii="Arial" w:hAnsi="Arial" w:cs="Arial"/>
          <w:sz w:val="22"/>
          <w:szCs w:val="22"/>
          <w:lang w:val="es-CO"/>
        </w:rPr>
      </w:pPr>
    </w:p>
    <w:p w14:paraId="409D1D6D" w14:textId="7E31B3C4" w:rsidR="00EF0E3B" w:rsidRPr="00EF0E3B" w:rsidRDefault="00EF0E3B" w:rsidP="00EF0E3B">
      <w:pPr>
        <w:autoSpaceDE w:val="0"/>
        <w:autoSpaceDN w:val="0"/>
        <w:spacing w:line="276" w:lineRule="auto"/>
        <w:rPr>
          <w:rFonts w:ascii="Arial" w:hAnsi="Arial" w:cs="Arial"/>
          <w:sz w:val="22"/>
          <w:szCs w:val="22"/>
          <w:lang w:val="es-ES_tradnl"/>
        </w:rPr>
      </w:pPr>
      <w:r w:rsidRPr="00EF0E3B">
        <w:rPr>
          <w:rFonts w:ascii="Arial" w:hAnsi="Arial" w:cs="Arial"/>
          <w:sz w:val="22"/>
          <w:szCs w:val="22"/>
          <w:lang w:val="es-CO"/>
        </w:rPr>
        <w:t>Para rango (</w:t>
      </w:r>
      <w:r w:rsidRPr="00EF0E3B">
        <w:rPr>
          <w:rFonts w:ascii="Arial" w:hAnsi="Arial" w:cs="Arial"/>
          <w:i/>
          <w:iCs/>
          <w:sz w:val="22"/>
          <w:szCs w:val="22"/>
          <w:lang w:val="es-CO"/>
        </w:rPr>
        <w:t>j</w:t>
      </w:r>
      <w:r w:rsidRPr="00EF0E3B">
        <w:rPr>
          <w:rFonts w:ascii="Arial" w:hAnsi="Arial" w:cs="Arial"/>
          <w:sz w:val="22"/>
          <w:szCs w:val="22"/>
          <w:lang w:val="es-CO"/>
        </w:rPr>
        <w:t xml:space="preserve">) = 2: </w:t>
      </w:r>
      <m:oMath>
        <m:sSup>
          <m:sSupPr>
            <m:ctrlPr>
              <w:rPr>
                <w:rFonts w:ascii="Cambria Math" w:hAnsi="Cambria Math" w:cs="Arial"/>
                <w:i/>
                <w:sz w:val="22"/>
                <w:szCs w:val="22"/>
                <w:lang w:val="es-CO"/>
              </w:rPr>
            </m:ctrlPr>
          </m:sSupPr>
          <m:e>
            <m:r>
              <w:rPr>
                <w:rFonts w:ascii="Cambria Math" w:hAnsi="Cambria Math" w:cs="Arial"/>
                <w:sz w:val="22"/>
                <w:szCs w:val="22"/>
                <w:lang w:val="es-CO"/>
              </w:rPr>
              <m:t>t</m:t>
            </m:r>
          </m:e>
          <m:sup>
            <m:d>
              <m:dPr>
                <m:ctrlPr>
                  <w:rPr>
                    <w:rFonts w:ascii="Cambria Math" w:hAnsi="Cambria Math" w:cs="Arial"/>
                    <w:i/>
                    <w:sz w:val="22"/>
                    <w:szCs w:val="22"/>
                    <w:lang w:val="es-CO"/>
                  </w:rPr>
                </m:ctrlPr>
              </m:dPr>
              <m:e>
                <m:r>
                  <w:rPr>
                    <w:rFonts w:ascii="Cambria Math" w:hAnsi="Cambria Math" w:cs="Arial"/>
                    <w:sz w:val="22"/>
                    <w:szCs w:val="22"/>
                    <w:lang w:val="es-CO"/>
                  </w:rPr>
                  <m:t>j</m:t>
                </m:r>
              </m:e>
            </m:d>
          </m:sup>
        </m:sSup>
        <m:r>
          <w:rPr>
            <w:rFonts w:ascii="Cambria Math" w:hAnsi="Cambria Math" w:cs="Arial"/>
            <w:sz w:val="22"/>
            <w:szCs w:val="22"/>
            <w:lang w:val="es-CO"/>
          </w:rPr>
          <m:t>=</m:t>
        </m:r>
        <m:sSubSup>
          <m:sSubSupPr>
            <m:ctrlPr>
              <w:rPr>
                <w:rFonts w:ascii="Cambria Math" w:hAnsi="Cambria Math" w:cs="Arial"/>
                <w:i/>
                <w:sz w:val="22"/>
                <w:szCs w:val="22"/>
                <w:lang w:val="es-CO"/>
              </w:rPr>
            </m:ctrlPr>
          </m:sSubSupPr>
          <m:e>
            <m:r>
              <w:rPr>
                <w:rFonts w:ascii="Cambria Math" w:hAnsi="Cambria Math" w:cs="Arial"/>
                <w:sz w:val="22"/>
                <w:szCs w:val="22"/>
                <w:lang w:val="es-CO"/>
              </w:rPr>
              <m:t>t</m:t>
            </m:r>
          </m:e>
          <m:sub>
            <m:r>
              <w:rPr>
                <w:rFonts w:ascii="Cambria Math" w:hAnsi="Cambria Math" w:cs="Arial"/>
                <w:sz w:val="22"/>
                <w:szCs w:val="22"/>
                <w:lang w:val="es-CO"/>
              </w:rPr>
              <m:t>ref</m:t>
            </m:r>
          </m:sub>
          <m:sup>
            <m:d>
              <m:dPr>
                <m:ctrlPr>
                  <w:rPr>
                    <w:rFonts w:ascii="Cambria Math" w:hAnsi="Cambria Math" w:cs="Arial"/>
                    <w:i/>
                    <w:sz w:val="22"/>
                    <w:szCs w:val="22"/>
                    <w:lang w:val="es-CO"/>
                  </w:rPr>
                </m:ctrlPr>
              </m:dPr>
              <m:e>
                <m:r>
                  <w:rPr>
                    <w:rFonts w:ascii="Cambria Math" w:hAnsi="Cambria Math" w:cs="Arial"/>
                    <w:sz w:val="22"/>
                    <w:szCs w:val="22"/>
                    <w:lang w:val="es-CO"/>
                  </w:rPr>
                  <m:t>j</m:t>
                </m:r>
              </m:e>
            </m:d>
          </m:sup>
        </m:sSubSup>
        <m:r>
          <w:rPr>
            <w:rFonts w:ascii="Cambria Math" w:hAnsi="Cambria Math" w:cs="Arial"/>
            <w:sz w:val="22"/>
            <w:szCs w:val="22"/>
            <w:lang w:val="es-CO"/>
          </w:rPr>
          <m:t>+E</m:t>
        </m:r>
      </m:oMath>
      <w:r w:rsidRPr="00EF0E3B">
        <w:rPr>
          <w:rFonts w:ascii="Arial" w:hAnsi="Arial" w:cs="Arial"/>
          <w:sz w:val="22"/>
          <w:szCs w:val="22"/>
          <w:lang w:val="es-ES_tradnl"/>
        </w:rPr>
        <w:t>Se entiende por tarifa efectiva el cociente entre la contribución (</w:t>
      </w:r>
      <w:r w:rsidRPr="00EF0E3B">
        <w:rPr>
          <w:rFonts w:ascii="Arial" w:hAnsi="Arial" w:cs="Arial"/>
          <w:i/>
          <w:iCs/>
          <w:sz w:val="22"/>
          <w:szCs w:val="22"/>
          <w:lang w:val="es-ES_tradnl"/>
        </w:rPr>
        <w:t>TC</w:t>
      </w:r>
      <w:r w:rsidRPr="00EF0E3B">
        <w:rPr>
          <w:rFonts w:ascii="Arial" w:hAnsi="Arial" w:cs="Arial"/>
          <w:sz w:val="22"/>
          <w:szCs w:val="22"/>
          <w:lang w:val="es-ES_tradnl"/>
        </w:rPr>
        <w:t>) liquidada para un vigilado (</w:t>
      </w:r>
      <w:r w:rsidRPr="00EF0E3B">
        <w:rPr>
          <w:rFonts w:ascii="Arial" w:hAnsi="Arial" w:cs="Arial"/>
          <w:i/>
          <w:iCs/>
          <w:sz w:val="22"/>
          <w:szCs w:val="22"/>
          <w:lang w:val="es-ES_tradnl"/>
        </w:rPr>
        <w:t>i</w:t>
      </w:r>
      <w:r w:rsidRPr="00EF0E3B">
        <w:rPr>
          <w:rFonts w:ascii="Arial" w:hAnsi="Arial" w:cs="Arial"/>
          <w:sz w:val="22"/>
          <w:szCs w:val="22"/>
          <w:lang w:val="es-ES_tradnl"/>
        </w:rPr>
        <w:t>) en el periodo (</w:t>
      </w:r>
      <w:r w:rsidRPr="00EF0E3B">
        <w:rPr>
          <w:rFonts w:ascii="Arial" w:hAnsi="Arial" w:cs="Arial"/>
          <w:i/>
          <w:iCs/>
          <w:sz w:val="22"/>
          <w:szCs w:val="22"/>
          <w:lang w:val="es-ES_tradnl"/>
        </w:rPr>
        <w:t>t</w:t>
      </w:r>
      <w:r w:rsidRPr="00EF0E3B">
        <w:rPr>
          <w:rFonts w:ascii="Arial" w:hAnsi="Arial" w:cs="Arial"/>
          <w:sz w:val="22"/>
          <w:szCs w:val="22"/>
          <w:lang w:val="es-ES_tradnl"/>
        </w:rPr>
        <w:t>) y sus ingresos operacionales aplicables al sector (</w:t>
      </w:r>
      <w:r w:rsidRPr="00EF0E3B">
        <w:rPr>
          <w:rFonts w:ascii="Arial" w:hAnsi="Arial" w:cs="Arial"/>
          <w:i/>
          <w:iCs/>
          <w:sz w:val="22"/>
          <w:szCs w:val="22"/>
          <w:lang w:val="es-ES_tradnl"/>
        </w:rPr>
        <w:t>IOSC</w:t>
      </w:r>
      <w:r w:rsidRPr="00EF0E3B">
        <w:rPr>
          <w:rFonts w:ascii="Arial" w:hAnsi="Arial" w:cs="Arial"/>
          <w:sz w:val="22"/>
          <w:szCs w:val="22"/>
          <w:lang w:val="es-ES_tradnl"/>
        </w:rPr>
        <w:t>) en el periodo (</w:t>
      </w:r>
      <w:r w:rsidRPr="00EF0E3B">
        <w:rPr>
          <w:rFonts w:ascii="Arial" w:hAnsi="Arial" w:cs="Arial"/>
          <w:i/>
          <w:iCs/>
          <w:sz w:val="22"/>
          <w:szCs w:val="22"/>
          <w:lang w:val="es-ES_tradnl"/>
        </w:rPr>
        <w:t>t</w:t>
      </w:r>
      <w:r w:rsidRPr="00EF0E3B">
        <w:rPr>
          <w:rFonts w:ascii="Arial" w:hAnsi="Arial" w:cs="Arial"/>
          <w:sz w:val="22"/>
          <w:szCs w:val="22"/>
          <w:lang w:val="es-ES_tradnl"/>
        </w:rPr>
        <w:t xml:space="preserve"> -1), expresado en porcentaje. Representa lo que el vigilado efectivamente pagaría como fracción de sus ingresos operacionales.</w:t>
      </w:r>
    </w:p>
    <w:p w14:paraId="667EC2ED" w14:textId="77777777" w:rsidR="00EF0E3B" w:rsidRPr="00EF0E3B" w:rsidRDefault="00EF0E3B" w:rsidP="00EF0E3B">
      <w:pPr>
        <w:autoSpaceDE w:val="0"/>
        <w:autoSpaceDN w:val="0"/>
        <w:spacing w:line="276" w:lineRule="auto"/>
        <w:rPr>
          <w:rFonts w:ascii="Arial" w:hAnsi="Arial" w:cs="Arial"/>
          <w:sz w:val="22"/>
          <w:szCs w:val="22"/>
          <w:lang w:val="es-ES_tradnl"/>
        </w:rPr>
      </w:pPr>
    </w:p>
    <w:p w14:paraId="2808E041" w14:textId="22381239" w:rsidR="00EF0E3B" w:rsidRPr="00EF0E3B" w:rsidRDefault="00000000" w:rsidP="00EF0E3B">
      <w:pPr>
        <w:autoSpaceDE w:val="0"/>
        <w:autoSpaceDN w:val="0"/>
        <w:spacing w:line="276" w:lineRule="auto"/>
        <w:jc w:val="center"/>
        <w:rPr>
          <w:rFonts w:ascii="Arial" w:hAnsi="Arial" w:cs="Arial"/>
          <w:sz w:val="22"/>
          <w:szCs w:val="22"/>
          <w:lang w:val="es-CO"/>
        </w:rPr>
      </w:pPr>
      <m:oMath>
        <m:sSubSup>
          <m:sSubSupPr>
            <m:ctrlPr>
              <w:rPr>
                <w:rFonts w:ascii="Cambria Math" w:hAnsi="Cambria Math" w:cs="Arial"/>
                <w:i/>
                <w:sz w:val="22"/>
                <w:szCs w:val="22"/>
                <w:lang w:val="es-CO"/>
              </w:rPr>
            </m:ctrlPr>
          </m:sSubSupPr>
          <m:e>
            <m:r>
              <w:rPr>
                <w:rFonts w:ascii="Cambria Math" w:hAnsi="Cambria Math" w:cs="Arial"/>
                <w:sz w:val="22"/>
                <w:szCs w:val="22"/>
                <w:lang w:val="es-CO"/>
              </w:rPr>
              <m:t>t</m:t>
            </m:r>
          </m:e>
          <m:sub>
            <m:sSub>
              <m:sSubPr>
                <m:ctrlPr>
                  <w:rPr>
                    <w:rFonts w:ascii="Cambria Math" w:hAnsi="Cambria Math" w:cs="Arial"/>
                    <w:i/>
                    <w:sz w:val="22"/>
                    <w:szCs w:val="22"/>
                    <w:lang w:val="es-CO"/>
                  </w:rPr>
                </m:ctrlPr>
              </m:sSubPr>
              <m:e>
                <m:r>
                  <w:rPr>
                    <w:rFonts w:ascii="Cambria Math" w:hAnsi="Cambria Math" w:cs="Arial"/>
                    <w:sz w:val="22"/>
                    <w:szCs w:val="22"/>
                    <w:lang w:val="es-CO"/>
                  </w:rPr>
                  <m:t>ef</m:t>
                </m:r>
              </m:e>
              <m:sub>
                <m:r>
                  <w:rPr>
                    <w:rFonts w:ascii="Cambria Math" w:hAnsi="Cambria Math" w:cs="Arial"/>
                    <w:sz w:val="22"/>
                    <w:szCs w:val="22"/>
                    <w:lang w:val="es-CO"/>
                  </w:rPr>
                  <m:t>i,t</m:t>
                </m:r>
              </m:sub>
            </m:sSub>
          </m:sub>
          <m:sup>
            <m:d>
              <m:dPr>
                <m:ctrlPr>
                  <w:rPr>
                    <w:rFonts w:ascii="Cambria Math" w:hAnsi="Cambria Math" w:cs="Arial"/>
                    <w:i/>
                    <w:sz w:val="22"/>
                    <w:szCs w:val="22"/>
                    <w:lang w:val="es-CO"/>
                  </w:rPr>
                </m:ctrlPr>
              </m:dPr>
              <m:e>
                <m:r>
                  <w:rPr>
                    <w:rFonts w:ascii="Cambria Math" w:hAnsi="Cambria Math" w:cs="Arial"/>
                    <w:sz w:val="22"/>
                    <w:szCs w:val="22"/>
                    <w:lang w:val="es-CO"/>
                  </w:rPr>
                  <m:t>j</m:t>
                </m:r>
              </m:e>
            </m:d>
          </m:sup>
        </m:sSubSup>
        <m:r>
          <w:rPr>
            <w:rFonts w:ascii="Cambria Math" w:hAnsi="Cambria Math" w:cs="Arial"/>
            <w:sz w:val="22"/>
            <w:szCs w:val="22"/>
            <w:lang w:val="es-CO"/>
          </w:rPr>
          <m:t xml:space="preserve">= </m:t>
        </m:r>
        <m:f>
          <m:fPr>
            <m:ctrlPr>
              <w:rPr>
                <w:rFonts w:ascii="Cambria Math" w:hAnsi="Cambria Math" w:cs="Arial"/>
                <w:i/>
                <w:sz w:val="22"/>
                <w:szCs w:val="22"/>
                <w:lang w:val="es-CO"/>
              </w:rPr>
            </m:ctrlPr>
          </m:fPr>
          <m:num>
            <m:sSub>
              <m:sSubPr>
                <m:ctrlPr>
                  <w:rPr>
                    <w:rFonts w:ascii="Cambria Math" w:hAnsi="Cambria Math" w:cs="Arial"/>
                    <w:i/>
                    <w:sz w:val="22"/>
                    <w:szCs w:val="22"/>
                    <w:lang w:val="es-CO"/>
                  </w:rPr>
                </m:ctrlPr>
              </m:sSubPr>
              <m:e>
                <m:r>
                  <w:rPr>
                    <w:rFonts w:ascii="Cambria Math" w:hAnsi="Cambria Math" w:cs="Arial"/>
                    <w:sz w:val="22"/>
                    <w:szCs w:val="22"/>
                    <w:lang w:val="es-CO"/>
                  </w:rPr>
                  <m:t>TC</m:t>
                </m:r>
              </m:e>
              <m:sub>
                <m:r>
                  <w:rPr>
                    <w:rFonts w:ascii="Cambria Math" w:hAnsi="Cambria Math" w:cs="Arial"/>
                    <w:sz w:val="22"/>
                    <w:szCs w:val="22"/>
                    <w:lang w:val="es-CO"/>
                  </w:rPr>
                  <m:t>i,t</m:t>
                </m:r>
              </m:sub>
            </m:sSub>
          </m:num>
          <m:den>
            <m:sSub>
              <m:sSubPr>
                <m:ctrlPr>
                  <w:rPr>
                    <w:rFonts w:ascii="Cambria Math" w:hAnsi="Cambria Math" w:cs="Arial"/>
                    <w:i/>
                    <w:sz w:val="22"/>
                    <w:szCs w:val="22"/>
                    <w:lang w:val="es-CO"/>
                  </w:rPr>
                </m:ctrlPr>
              </m:sSubPr>
              <m:e>
                <m:r>
                  <w:rPr>
                    <w:rFonts w:ascii="Cambria Math" w:hAnsi="Cambria Math" w:cs="Arial"/>
                    <w:sz w:val="22"/>
                    <w:szCs w:val="22"/>
                    <w:lang w:val="es-CO"/>
                  </w:rPr>
                  <m:t>IOSC</m:t>
                </m:r>
              </m:e>
              <m:sub>
                <m:r>
                  <w:rPr>
                    <w:rFonts w:ascii="Cambria Math" w:hAnsi="Cambria Math" w:cs="Arial"/>
                    <w:sz w:val="22"/>
                    <w:szCs w:val="22"/>
                    <w:lang w:val="es-CO"/>
                  </w:rPr>
                  <m:t>i,t-1</m:t>
                </m:r>
              </m:sub>
            </m:sSub>
          </m:den>
        </m:f>
        <m:r>
          <w:rPr>
            <w:rFonts w:ascii="Cambria Math" w:hAnsi="Cambria Math" w:cs="Arial"/>
            <w:sz w:val="22"/>
            <w:szCs w:val="22"/>
            <w:lang w:val="es-CO"/>
          </w:rPr>
          <m:t>×100%</m:t>
        </m:r>
      </m:oMath>
      <w:r w:rsidR="00EF0E3B" w:rsidRPr="00EF0E3B">
        <w:rPr>
          <w:rFonts w:ascii="Arial" w:hAnsi="Arial" w:cs="Arial"/>
          <w:sz w:val="22"/>
          <w:szCs w:val="22"/>
          <w:lang w:val="es-CO"/>
        </w:rPr>
        <w:t xml:space="preserve"> ,</w:t>
      </w:r>
    </w:p>
    <w:bookmarkEnd w:id="0"/>
    <w:p w14:paraId="4ACB1DD0" w14:textId="77777777" w:rsidR="00EF0E3B" w:rsidRDefault="00EF0E3B" w:rsidP="00EF0E3B">
      <w:pPr>
        <w:autoSpaceDE w:val="0"/>
        <w:autoSpaceDN w:val="0"/>
        <w:spacing w:line="276" w:lineRule="auto"/>
        <w:rPr>
          <w:rFonts w:ascii="Arial" w:hAnsi="Arial" w:cs="Arial"/>
          <w:sz w:val="22"/>
          <w:szCs w:val="22"/>
          <w:lang w:val="es-MX"/>
        </w:rPr>
      </w:pPr>
    </w:p>
    <w:p w14:paraId="4DFF2DFD" w14:textId="77777777" w:rsidR="00EF0E3B" w:rsidRPr="00EF0E3B" w:rsidRDefault="00EF0E3B" w:rsidP="00EF0E3B">
      <w:pPr>
        <w:autoSpaceDE w:val="0"/>
        <w:autoSpaceDN w:val="0"/>
        <w:spacing w:line="276" w:lineRule="auto"/>
        <w:rPr>
          <w:rFonts w:ascii="Arial" w:hAnsi="Arial" w:cs="Arial"/>
          <w:sz w:val="22"/>
          <w:szCs w:val="22"/>
        </w:rPr>
      </w:pPr>
      <w:r w:rsidRPr="00EF0E3B">
        <w:rPr>
          <w:rFonts w:ascii="Arial" w:hAnsi="Arial" w:cs="Arial"/>
          <w:sz w:val="22"/>
          <w:szCs w:val="22"/>
        </w:rPr>
        <w:t xml:space="preserve">Que es necesario disponer las tarifas y plazos para el pago de la contribución referenciada con el objetivo de cumplir con la meta presupuestal de ingreso establecida en la ley, lograr la financiación de los gastos de funcionamiento e inversión, así como recaudar los costos que implica desarrollar a actividad de inspección, vigilancia y control por parte de la Superintendencia Nacional de Salud. </w:t>
      </w:r>
    </w:p>
    <w:p w14:paraId="51940EF6" w14:textId="77777777" w:rsidR="00EF0E3B" w:rsidRPr="00EF0E3B" w:rsidRDefault="00EF0E3B" w:rsidP="00EF0E3B">
      <w:pPr>
        <w:autoSpaceDE w:val="0"/>
        <w:autoSpaceDN w:val="0"/>
        <w:spacing w:line="276" w:lineRule="auto"/>
        <w:rPr>
          <w:rFonts w:ascii="Arial" w:hAnsi="Arial" w:cs="Arial"/>
          <w:sz w:val="22"/>
          <w:szCs w:val="22"/>
        </w:rPr>
      </w:pPr>
    </w:p>
    <w:p w14:paraId="380EDB38" w14:textId="77777777" w:rsidR="00EF0E3B" w:rsidRPr="00EF0E3B" w:rsidRDefault="00EF0E3B" w:rsidP="004E62C2">
      <w:pPr>
        <w:autoSpaceDE w:val="0"/>
        <w:autoSpaceDN w:val="0"/>
        <w:spacing w:line="276" w:lineRule="auto"/>
        <w:rPr>
          <w:rFonts w:ascii="Arial" w:hAnsi="Arial" w:cs="Arial"/>
          <w:sz w:val="22"/>
          <w:szCs w:val="22"/>
        </w:rPr>
      </w:pPr>
      <w:r w:rsidRPr="00EF0E3B">
        <w:rPr>
          <w:rFonts w:ascii="Arial" w:hAnsi="Arial" w:cs="Arial"/>
          <w:sz w:val="22"/>
          <w:szCs w:val="22"/>
        </w:rPr>
        <w:t xml:space="preserve">Que de acuerdo con la Resolución </w:t>
      </w:r>
      <w:r w:rsidRPr="00EF0E3B">
        <w:rPr>
          <w:rFonts w:ascii="Arial" w:hAnsi="Arial" w:cs="Arial"/>
          <w:sz w:val="22"/>
          <w:szCs w:val="22"/>
          <w:lang w:val="es-CO"/>
        </w:rPr>
        <w:t>009058 del 11 octubre de 2019, que</w:t>
      </w:r>
      <w:r w:rsidRPr="00EF0E3B">
        <w:rPr>
          <w:rFonts w:ascii="Arial" w:hAnsi="Arial" w:cs="Arial"/>
          <w:i/>
          <w:iCs/>
          <w:sz w:val="22"/>
          <w:szCs w:val="22"/>
          <w:lang w:val="es-CO"/>
        </w:rPr>
        <w:t xml:space="preserve"> </w:t>
      </w:r>
      <w:r w:rsidRPr="00EF0E3B">
        <w:rPr>
          <w:rFonts w:ascii="Arial" w:hAnsi="Arial" w:cs="Arial"/>
          <w:sz w:val="22"/>
          <w:szCs w:val="22"/>
          <w:lang w:val="es-CO"/>
        </w:rPr>
        <w:t xml:space="preserve">reglamenta los plazos para la publicación de proyectos específicos de regulación que expida la Superintendencia Nacional de Salud  y </w:t>
      </w:r>
      <w:r w:rsidRPr="00EF0E3B">
        <w:rPr>
          <w:rFonts w:ascii="Arial" w:hAnsi="Arial" w:cs="Arial"/>
          <w:sz w:val="22"/>
          <w:szCs w:val="22"/>
        </w:rPr>
        <w:t>lo dispuesto en el numeral 8 del artículo 8 del Código de Procedimiento Administrativo y de lo Contencioso Administrativo, el proyecto de Resolución “</w:t>
      </w:r>
      <w:r w:rsidRPr="00EF0E3B">
        <w:rPr>
          <w:rFonts w:ascii="Arial" w:hAnsi="Arial" w:cs="Arial"/>
          <w:i/>
          <w:iCs/>
          <w:sz w:val="22"/>
          <w:szCs w:val="22"/>
        </w:rPr>
        <w:t>Por la cual se establecen las tarifas, los lugares y plazos para cumplir con el pago de la Contribución consagrada en el artículo 76 de la Ley 1955 de 2019 para la vigencia 2023</w:t>
      </w:r>
      <w:r w:rsidRPr="00EF0E3B">
        <w:rPr>
          <w:rFonts w:ascii="Arial" w:hAnsi="Arial" w:cs="Arial"/>
          <w:sz w:val="22"/>
          <w:szCs w:val="22"/>
        </w:rPr>
        <w:t xml:space="preserve">”, se dispuso en la página web  de la Entidad desde el día 08 hasta el día 12 del mes de mayo de 2023, para recibir opiniones, sugerencias o propuestas alternativas, las cuales fueron analizadas y valoradas frente a su pertinencia o no. </w:t>
      </w:r>
    </w:p>
    <w:p w14:paraId="665A5965" w14:textId="3132D3D6" w:rsidR="00EF0E3B" w:rsidRDefault="00EF0E3B" w:rsidP="004E62C2">
      <w:pPr>
        <w:autoSpaceDE w:val="0"/>
        <w:autoSpaceDN w:val="0"/>
        <w:spacing w:line="276" w:lineRule="auto"/>
        <w:rPr>
          <w:rFonts w:ascii="Arial" w:hAnsi="Arial" w:cs="Arial"/>
          <w:sz w:val="22"/>
          <w:szCs w:val="22"/>
          <w:lang w:val="es-MX"/>
        </w:rPr>
      </w:pPr>
    </w:p>
    <w:p w14:paraId="3EE70571" w14:textId="77777777" w:rsidR="00EF0E3B" w:rsidRPr="00EF0E3B" w:rsidRDefault="00EF0E3B" w:rsidP="004E62C2">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 xml:space="preserve">Se enviaron </w:t>
      </w:r>
      <w:r w:rsidRPr="009347E6">
        <w:rPr>
          <w:rFonts w:ascii="Arial" w:hAnsi="Arial" w:cs="Arial"/>
          <w:sz w:val="22"/>
          <w:szCs w:val="22"/>
          <w:lang w:val="es-MX"/>
        </w:rPr>
        <w:t>(xxx)</w:t>
      </w:r>
      <w:r w:rsidRPr="00EF0E3B">
        <w:rPr>
          <w:rFonts w:ascii="Arial" w:hAnsi="Arial" w:cs="Arial"/>
          <w:sz w:val="22"/>
          <w:szCs w:val="22"/>
          <w:lang w:val="es-MX"/>
        </w:rPr>
        <w:t xml:space="preserve"> invitaciones, vía correo electrónico a los vigilados para su conocimiento y respectiva retroalimentación; de dicho envío se constató que (xxx) fueron conocidas por los vigilados, de los cuales se recibieron veintisiete (xx) observaciones.</w:t>
      </w:r>
    </w:p>
    <w:p w14:paraId="3FC894F2" w14:textId="77777777" w:rsidR="00EF0E3B" w:rsidRPr="00EF0E3B" w:rsidRDefault="00EF0E3B" w:rsidP="004E62C2">
      <w:pPr>
        <w:autoSpaceDE w:val="0"/>
        <w:autoSpaceDN w:val="0"/>
        <w:spacing w:line="276" w:lineRule="auto"/>
        <w:rPr>
          <w:rFonts w:ascii="Arial" w:hAnsi="Arial" w:cs="Arial"/>
          <w:sz w:val="22"/>
          <w:szCs w:val="22"/>
          <w:lang w:val="es-MX"/>
        </w:rPr>
      </w:pPr>
    </w:p>
    <w:p w14:paraId="0D06DA0A" w14:textId="3CA79688" w:rsidR="00EF0E3B" w:rsidRPr="00EF0E3B" w:rsidRDefault="00EF0E3B" w:rsidP="004E62C2">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 xml:space="preserve">A las observaciones presentadas se le dio contestación mediante los siguientes comunicados: </w:t>
      </w:r>
      <w:proofErr w:type="spellStart"/>
      <w:r w:rsidR="004E62C2" w:rsidRPr="009347E6">
        <w:rPr>
          <w:rFonts w:ascii="Arial" w:hAnsi="Arial" w:cs="Arial"/>
          <w:sz w:val="22"/>
          <w:szCs w:val="22"/>
          <w:lang w:val="es-MX"/>
        </w:rPr>
        <w:t>xxxxxx</w:t>
      </w:r>
      <w:proofErr w:type="spellEnd"/>
    </w:p>
    <w:p w14:paraId="5AE7681B" w14:textId="77777777" w:rsidR="00EF0E3B" w:rsidRPr="00EF0E3B" w:rsidRDefault="00EF0E3B" w:rsidP="004E62C2">
      <w:pPr>
        <w:autoSpaceDE w:val="0"/>
        <w:autoSpaceDN w:val="0"/>
        <w:spacing w:line="276" w:lineRule="auto"/>
        <w:rPr>
          <w:rFonts w:ascii="Arial" w:hAnsi="Arial" w:cs="Arial"/>
          <w:sz w:val="22"/>
          <w:szCs w:val="22"/>
          <w:lang w:val="es-MX"/>
        </w:rPr>
      </w:pPr>
    </w:p>
    <w:p w14:paraId="7A91AFAB" w14:textId="175A17BE" w:rsidR="00EF0E3B" w:rsidRPr="00EF0E3B" w:rsidRDefault="00EF0E3B" w:rsidP="004E62C2">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 xml:space="preserve">Así mismo, el </w:t>
      </w:r>
      <w:r w:rsidRPr="009347E6">
        <w:rPr>
          <w:rFonts w:ascii="Arial" w:hAnsi="Arial" w:cs="Arial"/>
          <w:sz w:val="22"/>
          <w:szCs w:val="22"/>
          <w:lang w:val="es-MX"/>
        </w:rPr>
        <w:t xml:space="preserve">día </w:t>
      </w:r>
      <w:proofErr w:type="spellStart"/>
      <w:r w:rsidR="007F6B94" w:rsidRPr="009347E6">
        <w:rPr>
          <w:rFonts w:ascii="Arial" w:hAnsi="Arial" w:cs="Arial"/>
          <w:sz w:val="22"/>
          <w:szCs w:val="22"/>
          <w:lang w:val="es-MX"/>
        </w:rPr>
        <w:t>xx</w:t>
      </w:r>
      <w:proofErr w:type="spellEnd"/>
      <w:r w:rsidR="007F6B94" w:rsidRPr="00EF0E3B">
        <w:rPr>
          <w:rFonts w:ascii="Arial" w:hAnsi="Arial" w:cs="Arial"/>
          <w:sz w:val="22"/>
          <w:szCs w:val="22"/>
          <w:lang w:val="es-MX"/>
        </w:rPr>
        <w:t xml:space="preserve"> junio</w:t>
      </w:r>
      <w:r w:rsidRPr="00EF0E3B">
        <w:rPr>
          <w:rFonts w:ascii="Arial" w:hAnsi="Arial" w:cs="Arial"/>
          <w:sz w:val="22"/>
          <w:szCs w:val="22"/>
          <w:lang w:val="es-MX"/>
        </w:rPr>
        <w:t xml:space="preserve"> de 202</w:t>
      </w:r>
      <w:r w:rsidR="00A319F6">
        <w:rPr>
          <w:rFonts w:ascii="Arial" w:hAnsi="Arial" w:cs="Arial"/>
          <w:sz w:val="22"/>
          <w:szCs w:val="22"/>
          <w:lang w:val="es-MX"/>
        </w:rPr>
        <w:t>3</w:t>
      </w:r>
      <w:r w:rsidRPr="00EF0E3B">
        <w:rPr>
          <w:rFonts w:ascii="Arial" w:hAnsi="Arial" w:cs="Arial"/>
          <w:sz w:val="22"/>
          <w:szCs w:val="22"/>
          <w:lang w:val="es-MX"/>
        </w:rPr>
        <w:t xml:space="preserve"> se realizó publicación en la página web de la Entidad mediante el siguiente enlace </w:t>
      </w:r>
      <w:r w:rsidRPr="009347E6">
        <w:rPr>
          <w:rFonts w:ascii="Arial" w:hAnsi="Arial" w:cs="Arial"/>
          <w:sz w:val="22"/>
          <w:szCs w:val="22"/>
          <w:lang w:val="es-MX"/>
        </w:rPr>
        <w:t>xxxxx</w:t>
      </w:r>
    </w:p>
    <w:p w14:paraId="420D277C" w14:textId="77777777" w:rsidR="00EF0E3B" w:rsidRPr="00EF0E3B" w:rsidRDefault="00EF0E3B" w:rsidP="004E62C2">
      <w:pPr>
        <w:autoSpaceDE w:val="0"/>
        <w:autoSpaceDN w:val="0"/>
        <w:spacing w:line="276" w:lineRule="auto"/>
        <w:rPr>
          <w:rFonts w:ascii="Arial" w:hAnsi="Arial" w:cs="Arial"/>
          <w:sz w:val="22"/>
          <w:szCs w:val="22"/>
          <w:lang w:val="es-MX"/>
        </w:rPr>
      </w:pPr>
    </w:p>
    <w:p w14:paraId="0DB09D56" w14:textId="77777777" w:rsidR="00EF0E3B" w:rsidRPr="00EF0E3B" w:rsidRDefault="00EF0E3B" w:rsidP="004E62C2">
      <w:pPr>
        <w:autoSpaceDE w:val="0"/>
        <w:autoSpaceDN w:val="0"/>
        <w:spacing w:line="276" w:lineRule="auto"/>
        <w:rPr>
          <w:rFonts w:ascii="Arial" w:hAnsi="Arial" w:cs="Arial"/>
          <w:sz w:val="22"/>
          <w:szCs w:val="22"/>
          <w:lang w:val="es-MX"/>
        </w:rPr>
      </w:pPr>
      <w:proofErr w:type="gramStart"/>
      <w:r w:rsidRPr="00EF0E3B">
        <w:rPr>
          <w:rFonts w:ascii="Arial" w:hAnsi="Arial" w:cs="Arial"/>
          <w:sz w:val="22"/>
          <w:szCs w:val="22"/>
          <w:lang w:val="es-MX"/>
        </w:rPr>
        <w:t>Que</w:t>
      </w:r>
      <w:proofErr w:type="gramEnd"/>
      <w:r w:rsidRPr="00EF0E3B">
        <w:rPr>
          <w:rFonts w:ascii="Arial" w:hAnsi="Arial" w:cs="Arial"/>
          <w:sz w:val="22"/>
          <w:szCs w:val="22"/>
          <w:lang w:val="es-MX"/>
        </w:rPr>
        <w:t xml:space="preserve"> de acuerdo a las facultades anteriormente descritas, la Dirección Financiera es la competente para fijar los plazos, lugares y tarifas de la contribución vigencia 2023.</w:t>
      </w:r>
    </w:p>
    <w:p w14:paraId="4B90A530" w14:textId="77777777" w:rsidR="00EF0E3B" w:rsidRPr="00EF0E3B" w:rsidRDefault="00EF0E3B" w:rsidP="004E62C2">
      <w:pPr>
        <w:autoSpaceDE w:val="0"/>
        <w:autoSpaceDN w:val="0"/>
        <w:spacing w:line="276" w:lineRule="auto"/>
        <w:rPr>
          <w:rFonts w:ascii="Arial" w:hAnsi="Arial" w:cs="Arial"/>
          <w:sz w:val="22"/>
          <w:szCs w:val="22"/>
          <w:lang w:val="es-MX"/>
        </w:rPr>
      </w:pPr>
    </w:p>
    <w:p w14:paraId="05F58519" w14:textId="7ACBE799" w:rsidR="00EF0E3B" w:rsidRDefault="00EF0E3B" w:rsidP="004E62C2">
      <w:pPr>
        <w:autoSpaceDE w:val="0"/>
        <w:autoSpaceDN w:val="0"/>
        <w:spacing w:line="276" w:lineRule="auto"/>
        <w:rPr>
          <w:rFonts w:ascii="Arial" w:hAnsi="Arial" w:cs="Arial"/>
          <w:sz w:val="22"/>
          <w:szCs w:val="22"/>
          <w:lang w:val="es-MX"/>
        </w:rPr>
      </w:pPr>
      <w:r w:rsidRPr="00EF0E3B">
        <w:rPr>
          <w:rFonts w:ascii="Arial" w:hAnsi="Arial" w:cs="Arial"/>
          <w:sz w:val="22"/>
          <w:szCs w:val="22"/>
          <w:lang w:val="es-MX"/>
        </w:rPr>
        <w:t>En virtud de lo anteriormente expuesto, este despacho:</w:t>
      </w:r>
    </w:p>
    <w:p w14:paraId="7B80CCF1" w14:textId="77777777" w:rsidR="004E62C2" w:rsidRDefault="004E62C2" w:rsidP="004E62C2">
      <w:pPr>
        <w:autoSpaceDE w:val="0"/>
        <w:autoSpaceDN w:val="0"/>
        <w:spacing w:line="276" w:lineRule="auto"/>
        <w:rPr>
          <w:rFonts w:ascii="Arial" w:hAnsi="Arial" w:cs="Arial"/>
          <w:sz w:val="22"/>
          <w:szCs w:val="22"/>
          <w:lang w:val="es-MX"/>
        </w:rPr>
      </w:pPr>
    </w:p>
    <w:p w14:paraId="67141E52" w14:textId="77777777" w:rsidR="00EF0E3B" w:rsidRDefault="00EF0E3B" w:rsidP="004E62C2">
      <w:pPr>
        <w:autoSpaceDE w:val="0"/>
        <w:autoSpaceDN w:val="0"/>
        <w:spacing w:line="276" w:lineRule="auto"/>
        <w:rPr>
          <w:rFonts w:ascii="Arial" w:hAnsi="Arial" w:cs="Arial"/>
          <w:sz w:val="22"/>
          <w:szCs w:val="22"/>
          <w:lang w:val="es-MX"/>
        </w:rPr>
      </w:pPr>
    </w:p>
    <w:p w14:paraId="4FA5749F" w14:textId="1977DA72" w:rsidR="00EF0E3B" w:rsidRDefault="00EF0E3B" w:rsidP="00EF0E3B">
      <w:pPr>
        <w:autoSpaceDE w:val="0"/>
        <w:autoSpaceDN w:val="0"/>
        <w:spacing w:line="276" w:lineRule="auto"/>
        <w:rPr>
          <w:rFonts w:ascii="Arial" w:hAnsi="Arial" w:cs="Arial"/>
          <w:sz w:val="22"/>
          <w:szCs w:val="22"/>
          <w:lang w:val="es-MX"/>
        </w:rPr>
      </w:pPr>
    </w:p>
    <w:p w14:paraId="247D08D5" w14:textId="0446B188" w:rsidR="00EF0E3B" w:rsidRDefault="00EF0E3B" w:rsidP="00EF0E3B">
      <w:pPr>
        <w:keepNext/>
        <w:spacing w:line="240" w:lineRule="auto"/>
        <w:jc w:val="center"/>
        <w:outlineLvl w:val="2"/>
        <w:rPr>
          <w:rFonts w:ascii="Arial" w:hAnsi="Arial" w:cs="Arial"/>
          <w:b/>
          <w:bCs/>
          <w:sz w:val="22"/>
          <w:szCs w:val="22"/>
        </w:rPr>
      </w:pPr>
      <w:r w:rsidRPr="00EF0E3B">
        <w:rPr>
          <w:rFonts w:ascii="Arial" w:hAnsi="Arial" w:cs="Arial"/>
          <w:b/>
          <w:bCs/>
          <w:sz w:val="22"/>
          <w:szCs w:val="22"/>
        </w:rPr>
        <w:lastRenderedPageBreak/>
        <w:t>RESUELVE</w:t>
      </w:r>
    </w:p>
    <w:p w14:paraId="271564E2" w14:textId="77777777" w:rsidR="004E62C2" w:rsidRPr="00EF0E3B" w:rsidRDefault="004E62C2" w:rsidP="004E62C2">
      <w:pPr>
        <w:keepNext/>
        <w:spacing w:line="276" w:lineRule="auto"/>
        <w:jc w:val="center"/>
        <w:outlineLvl w:val="2"/>
        <w:rPr>
          <w:rFonts w:ascii="Arial" w:hAnsi="Arial" w:cs="Arial"/>
          <w:b/>
          <w:bCs/>
          <w:sz w:val="22"/>
          <w:szCs w:val="22"/>
        </w:rPr>
      </w:pPr>
    </w:p>
    <w:p w14:paraId="6BC89D7B" w14:textId="77777777" w:rsidR="00EF0E3B" w:rsidRPr="00EF0E3B" w:rsidRDefault="00EF0E3B" w:rsidP="004E62C2">
      <w:pPr>
        <w:spacing w:line="276" w:lineRule="auto"/>
        <w:rPr>
          <w:rFonts w:ascii="Arial" w:hAnsi="Arial" w:cs="Arial"/>
          <w:sz w:val="22"/>
          <w:szCs w:val="22"/>
        </w:rPr>
      </w:pPr>
    </w:p>
    <w:p w14:paraId="0A4E6A2D" w14:textId="77777777" w:rsidR="00EF0E3B" w:rsidRPr="00EF0E3B" w:rsidRDefault="00EF0E3B" w:rsidP="004E62C2">
      <w:pPr>
        <w:spacing w:line="276" w:lineRule="auto"/>
        <w:rPr>
          <w:rFonts w:ascii="Arial" w:hAnsi="Arial" w:cs="Arial"/>
          <w:sz w:val="22"/>
          <w:szCs w:val="22"/>
        </w:rPr>
      </w:pPr>
      <w:r w:rsidRPr="00EF0E3B">
        <w:rPr>
          <w:rFonts w:ascii="Arial" w:hAnsi="Arial" w:cs="Arial"/>
          <w:b/>
          <w:bCs/>
          <w:sz w:val="22"/>
          <w:szCs w:val="22"/>
        </w:rPr>
        <w:t xml:space="preserve">ARTÍCULO 1. Obligación del pago de la contribución de vigilancia. </w:t>
      </w:r>
      <w:r w:rsidRPr="00EF0E3B">
        <w:rPr>
          <w:rFonts w:ascii="Arial" w:hAnsi="Arial" w:cs="Arial"/>
          <w:sz w:val="22"/>
          <w:szCs w:val="22"/>
        </w:rPr>
        <w:t>Todas las personas jurídicas a los que el marco normativo determina como sujetos vigilados por la Superintendencia Nacional de Salud, salvo las excepciones dispuestas por la ley, deberán cumplir con el pago de la contribución de vigilancia correspondiente a la vigencia 2023, atendiendo los términos de los artículos siguientes.</w:t>
      </w:r>
    </w:p>
    <w:p w14:paraId="68FA931C" w14:textId="77777777" w:rsidR="00EF0E3B" w:rsidRPr="00EF0E3B" w:rsidRDefault="00EF0E3B" w:rsidP="004E62C2">
      <w:pPr>
        <w:keepNext/>
        <w:tabs>
          <w:tab w:val="left" w:pos="2694"/>
        </w:tabs>
        <w:spacing w:line="276" w:lineRule="auto"/>
        <w:outlineLvl w:val="0"/>
        <w:rPr>
          <w:rFonts w:ascii="Arial" w:hAnsi="Arial" w:cs="Arial"/>
          <w:b/>
          <w:snapToGrid w:val="0"/>
          <w:sz w:val="22"/>
          <w:szCs w:val="22"/>
          <w:lang w:val="es-MX"/>
        </w:rPr>
      </w:pPr>
    </w:p>
    <w:p w14:paraId="6FEA9613" w14:textId="39FC0B2E" w:rsidR="00EF0E3B" w:rsidRPr="004E62C2" w:rsidRDefault="00EF0E3B" w:rsidP="004E62C2">
      <w:pPr>
        <w:spacing w:line="276" w:lineRule="auto"/>
        <w:rPr>
          <w:rFonts w:ascii="Arial" w:hAnsi="Arial" w:cs="Arial"/>
          <w:sz w:val="22"/>
          <w:szCs w:val="22"/>
          <w:lang w:val="es-ES_tradnl"/>
        </w:rPr>
      </w:pPr>
      <w:r w:rsidRPr="00EF0E3B">
        <w:rPr>
          <w:rFonts w:ascii="Arial" w:hAnsi="Arial" w:cs="Arial"/>
          <w:b/>
          <w:bCs/>
          <w:snapToGrid w:val="0"/>
          <w:sz w:val="22"/>
          <w:szCs w:val="22"/>
          <w:lang w:val="es-MX"/>
        </w:rPr>
        <w:t xml:space="preserve">ARTÍCULO 2. </w:t>
      </w:r>
      <w:r w:rsidRPr="00EF0E3B">
        <w:rPr>
          <w:rFonts w:ascii="Arial" w:hAnsi="Arial" w:cs="Arial"/>
          <w:b/>
          <w:sz w:val="22"/>
          <w:szCs w:val="22"/>
        </w:rPr>
        <w:t xml:space="preserve">Tarifas. </w:t>
      </w:r>
      <w:r w:rsidRPr="00EF0E3B">
        <w:rPr>
          <w:rFonts w:ascii="Arial" w:hAnsi="Arial" w:cs="Arial"/>
          <w:sz w:val="22"/>
          <w:szCs w:val="22"/>
          <w:lang w:val="es-ES_tradnl"/>
        </w:rPr>
        <w:t>Para la vigencia 2023, se aplicará una tarifa diferencial según las siguientes categorías de Ingresos Operacionales del Sector Causados (IOSC):</w:t>
      </w:r>
    </w:p>
    <w:p w14:paraId="1545C5B8" w14:textId="77777777" w:rsidR="003101FF" w:rsidRPr="00EF0E3B" w:rsidRDefault="003101FF" w:rsidP="00EF0E3B">
      <w:pPr>
        <w:spacing w:line="240" w:lineRule="auto"/>
        <w:rPr>
          <w:rFonts w:ascii="Arial" w:hAnsi="Arial" w:cs="Arial"/>
          <w:sz w:val="22"/>
          <w:szCs w:val="22"/>
          <w:lang w:val="es-ES_tradnl"/>
        </w:rPr>
      </w:pPr>
    </w:p>
    <w:p w14:paraId="2604035C" w14:textId="0D37C571" w:rsidR="00EF0E3B" w:rsidRDefault="00EF0E3B" w:rsidP="00EF0E3B">
      <w:pPr>
        <w:autoSpaceDE w:val="0"/>
        <w:autoSpaceDN w:val="0"/>
        <w:spacing w:line="276" w:lineRule="auto"/>
        <w:rPr>
          <w:rFonts w:ascii="Arial" w:hAnsi="Arial" w:cs="Arial"/>
          <w:sz w:val="22"/>
          <w:szCs w:val="22"/>
          <w:lang w:val="es-MX"/>
        </w:rPr>
      </w:pPr>
    </w:p>
    <w:tbl>
      <w:tblPr>
        <w:tblW w:w="9160" w:type="dxa"/>
        <w:tblInd w:w="234" w:type="dxa"/>
        <w:tblCellMar>
          <w:left w:w="70" w:type="dxa"/>
          <w:right w:w="70" w:type="dxa"/>
        </w:tblCellMar>
        <w:tblLook w:val="04A0" w:firstRow="1" w:lastRow="0" w:firstColumn="1" w:lastColumn="0" w:noHBand="0" w:noVBand="1"/>
      </w:tblPr>
      <w:tblGrid>
        <w:gridCol w:w="1163"/>
        <w:gridCol w:w="7010"/>
        <w:gridCol w:w="987"/>
      </w:tblGrid>
      <w:tr w:rsidR="00EF0E3B" w:rsidRPr="00710425" w14:paraId="78D6D190" w14:textId="77777777" w:rsidTr="00AD5AA5">
        <w:trPr>
          <w:trHeight w:val="300"/>
        </w:trPr>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5EEEE" w14:textId="77777777" w:rsidR="00EF0E3B" w:rsidRPr="00BE2391" w:rsidRDefault="00EF0E3B" w:rsidP="00AD5AA5">
            <w:pPr>
              <w:widowControl/>
              <w:adjustRightInd/>
              <w:spacing w:line="240" w:lineRule="auto"/>
              <w:jc w:val="center"/>
              <w:textAlignment w:val="auto"/>
              <w:rPr>
                <w:rFonts w:ascii="Arial" w:hAnsi="Arial" w:cs="Arial"/>
                <w:b/>
                <w:bCs/>
                <w:color w:val="000000"/>
                <w:sz w:val="22"/>
                <w:szCs w:val="22"/>
                <w:lang w:val="es-CO" w:eastAsia="es-CO"/>
              </w:rPr>
            </w:pPr>
            <w:r w:rsidRPr="00BE2391">
              <w:rPr>
                <w:rFonts w:ascii="Arial" w:hAnsi="Arial" w:cs="Arial"/>
                <w:b/>
                <w:bCs/>
                <w:color w:val="000000"/>
                <w:sz w:val="22"/>
                <w:szCs w:val="22"/>
                <w:lang w:val="es-CO" w:eastAsia="es-CO"/>
              </w:rPr>
              <w:t>Rango</w:t>
            </w:r>
          </w:p>
        </w:tc>
        <w:tc>
          <w:tcPr>
            <w:tcW w:w="7010" w:type="dxa"/>
            <w:tcBorders>
              <w:top w:val="single" w:sz="4" w:space="0" w:color="auto"/>
              <w:left w:val="nil"/>
              <w:bottom w:val="single" w:sz="4" w:space="0" w:color="auto"/>
              <w:right w:val="single" w:sz="4" w:space="0" w:color="auto"/>
            </w:tcBorders>
            <w:shd w:val="clear" w:color="auto" w:fill="auto"/>
            <w:noWrap/>
            <w:vAlign w:val="center"/>
            <w:hideMark/>
          </w:tcPr>
          <w:p w14:paraId="09FBFAD4" w14:textId="77777777" w:rsidR="00EF0E3B" w:rsidRPr="00BE2391" w:rsidRDefault="00EF0E3B" w:rsidP="00AD5AA5">
            <w:pPr>
              <w:widowControl/>
              <w:adjustRightInd/>
              <w:spacing w:line="240" w:lineRule="auto"/>
              <w:jc w:val="center"/>
              <w:textAlignment w:val="auto"/>
              <w:rPr>
                <w:rFonts w:ascii="Arial" w:hAnsi="Arial" w:cs="Arial"/>
                <w:b/>
                <w:bCs/>
                <w:color w:val="000000"/>
                <w:sz w:val="22"/>
                <w:szCs w:val="22"/>
                <w:lang w:val="es-CO" w:eastAsia="es-CO"/>
              </w:rPr>
            </w:pPr>
            <w:r w:rsidRPr="00BE2391">
              <w:rPr>
                <w:rFonts w:ascii="Arial" w:hAnsi="Arial" w:cs="Arial"/>
                <w:b/>
                <w:bCs/>
                <w:color w:val="000000"/>
                <w:sz w:val="22"/>
                <w:szCs w:val="22"/>
                <w:lang w:val="es-CO" w:eastAsia="es-CO"/>
              </w:rPr>
              <w:t>Ingresos</w:t>
            </w:r>
            <w:r w:rsidRPr="00BE2391">
              <w:rPr>
                <w:color w:val="000000"/>
                <w:sz w:val="22"/>
                <w:szCs w:val="22"/>
                <w:lang w:val="es-CO" w:eastAsia="es-CO"/>
              </w:rPr>
              <w:t> </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22D24CBE" w14:textId="77777777" w:rsidR="00EF0E3B" w:rsidRPr="00BE2391" w:rsidRDefault="00EF0E3B" w:rsidP="00AD5AA5">
            <w:pPr>
              <w:widowControl/>
              <w:adjustRightInd/>
              <w:spacing w:line="240" w:lineRule="auto"/>
              <w:jc w:val="center"/>
              <w:textAlignment w:val="auto"/>
              <w:rPr>
                <w:rFonts w:ascii="Arial" w:hAnsi="Arial" w:cs="Arial"/>
                <w:b/>
                <w:bCs/>
                <w:color w:val="000000"/>
                <w:sz w:val="22"/>
                <w:szCs w:val="22"/>
                <w:lang w:val="es-CO" w:eastAsia="es-CO"/>
              </w:rPr>
            </w:pPr>
            <w:r w:rsidRPr="00BE2391">
              <w:rPr>
                <w:rFonts w:ascii="Arial" w:hAnsi="Arial" w:cs="Arial"/>
                <w:b/>
                <w:bCs/>
                <w:color w:val="000000"/>
                <w:sz w:val="22"/>
                <w:szCs w:val="22"/>
                <w:lang w:val="es-CO" w:eastAsia="es-CO"/>
              </w:rPr>
              <w:t>Tarifas</w:t>
            </w:r>
          </w:p>
        </w:tc>
      </w:tr>
      <w:tr w:rsidR="00EF0E3B" w:rsidRPr="00710425" w14:paraId="12A5B4E4" w14:textId="77777777" w:rsidTr="00AD5AA5">
        <w:trPr>
          <w:trHeight w:val="480"/>
        </w:trPr>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64327886" w14:textId="77777777" w:rsidR="00EF0E3B" w:rsidRPr="00BE2391" w:rsidRDefault="00EF0E3B" w:rsidP="00AD5AA5">
            <w:pPr>
              <w:widowControl/>
              <w:adjustRightInd/>
              <w:spacing w:line="240" w:lineRule="auto"/>
              <w:jc w:val="center"/>
              <w:textAlignment w:val="auto"/>
              <w:rPr>
                <w:rFonts w:ascii="Arial" w:hAnsi="Arial" w:cs="Arial"/>
                <w:color w:val="000000"/>
                <w:sz w:val="22"/>
                <w:szCs w:val="22"/>
                <w:lang w:val="es-CO" w:eastAsia="es-CO"/>
              </w:rPr>
            </w:pPr>
            <w:r w:rsidRPr="00BE2391">
              <w:rPr>
                <w:rFonts w:ascii="Arial" w:hAnsi="Arial" w:cs="Arial"/>
                <w:color w:val="000000"/>
                <w:sz w:val="22"/>
                <w:szCs w:val="22"/>
                <w:lang w:val="es-CO" w:eastAsia="es-CO"/>
              </w:rPr>
              <w:t>1</w:t>
            </w:r>
          </w:p>
        </w:tc>
        <w:tc>
          <w:tcPr>
            <w:tcW w:w="7010" w:type="dxa"/>
            <w:tcBorders>
              <w:top w:val="nil"/>
              <w:left w:val="nil"/>
              <w:bottom w:val="single" w:sz="4" w:space="0" w:color="auto"/>
              <w:right w:val="single" w:sz="4" w:space="0" w:color="auto"/>
            </w:tcBorders>
            <w:shd w:val="clear" w:color="auto" w:fill="auto"/>
            <w:vAlign w:val="center"/>
            <w:hideMark/>
          </w:tcPr>
          <w:p w14:paraId="7F468637" w14:textId="77777777" w:rsidR="00EF0E3B" w:rsidRPr="00BE2391" w:rsidRDefault="00EF0E3B" w:rsidP="00AD5AA5">
            <w:pPr>
              <w:widowControl/>
              <w:adjustRightInd/>
              <w:spacing w:line="240" w:lineRule="auto"/>
              <w:jc w:val="left"/>
              <w:textAlignment w:val="auto"/>
              <w:rPr>
                <w:rFonts w:ascii="Arial" w:hAnsi="Arial" w:cs="Arial"/>
                <w:color w:val="000000"/>
                <w:sz w:val="22"/>
                <w:szCs w:val="22"/>
                <w:lang w:val="es-CO" w:eastAsia="es-CO"/>
              </w:rPr>
            </w:pPr>
            <w:r w:rsidRPr="00BE2391">
              <w:rPr>
                <w:rFonts w:ascii="Arial" w:hAnsi="Arial" w:cs="Arial"/>
                <w:color w:val="000000"/>
                <w:sz w:val="22"/>
                <w:szCs w:val="22"/>
                <w:lang w:val="es-CO" w:eastAsia="es-CO"/>
              </w:rPr>
              <w:t>Entidades con Ingresos Operacionales del Sector Causado entre $1 y $</w:t>
            </w:r>
            <w:r w:rsidRPr="003A6DEE">
              <w:rPr>
                <w:rFonts w:ascii="Arial" w:hAnsi="Arial" w:cs="Arial"/>
                <w:color w:val="000000"/>
                <w:sz w:val="22"/>
                <w:szCs w:val="22"/>
                <w:lang w:val="es-CO" w:eastAsia="es-CO"/>
              </w:rPr>
              <w:t>15.451.156.418</w:t>
            </w:r>
          </w:p>
        </w:tc>
        <w:tc>
          <w:tcPr>
            <w:tcW w:w="987" w:type="dxa"/>
            <w:tcBorders>
              <w:top w:val="nil"/>
              <w:left w:val="nil"/>
              <w:bottom w:val="single" w:sz="4" w:space="0" w:color="auto"/>
              <w:right w:val="single" w:sz="4" w:space="0" w:color="auto"/>
            </w:tcBorders>
            <w:shd w:val="clear" w:color="auto" w:fill="auto"/>
            <w:noWrap/>
            <w:vAlign w:val="center"/>
            <w:hideMark/>
          </w:tcPr>
          <w:p w14:paraId="4F97EE81" w14:textId="137B1A9E" w:rsidR="00EF0E3B" w:rsidRPr="00BE2391" w:rsidRDefault="00EF0E3B" w:rsidP="00AD5AA5">
            <w:pPr>
              <w:widowControl/>
              <w:adjustRightInd/>
              <w:spacing w:line="240" w:lineRule="auto"/>
              <w:jc w:val="center"/>
              <w:textAlignment w:val="auto"/>
              <w:rPr>
                <w:rFonts w:ascii="Arial" w:hAnsi="Arial" w:cs="Arial"/>
                <w:color w:val="000000"/>
                <w:sz w:val="22"/>
                <w:szCs w:val="22"/>
                <w:lang w:val="es-CO" w:eastAsia="es-CO"/>
              </w:rPr>
            </w:pPr>
            <w:r w:rsidRPr="00BE2391">
              <w:rPr>
                <w:rFonts w:ascii="Arial" w:hAnsi="Arial" w:cs="Arial"/>
                <w:color w:val="000000"/>
                <w:sz w:val="22"/>
                <w:szCs w:val="22"/>
                <w:lang w:val="es-CO" w:eastAsia="es-CO"/>
              </w:rPr>
              <w:t>0,0</w:t>
            </w:r>
            <w:r>
              <w:rPr>
                <w:rFonts w:ascii="Arial" w:hAnsi="Arial" w:cs="Arial"/>
                <w:color w:val="000000"/>
                <w:sz w:val="22"/>
                <w:szCs w:val="22"/>
                <w:lang w:val="es-CO" w:eastAsia="es-CO"/>
              </w:rPr>
              <w:t>84</w:t>
            </w:r>
            <w:r w:rsidRPr="00BE2391">
              <w:rPr>
                <w:rFonts w:ascii="Arial" w:hAnsi="Arial" w:cs="Arial"/>
                <w:color w:val="000000"/>
                <w:sz w:val="22"/>
                <w:szCs w:val="22"/>
                <w:lang w:val="es-CO" w:eastAsia="es-CO"/>
              </w:rPr>
              <w:t>%</w:t>
            </w:r>
          </w:p>
        </w:tc>
      </w:tr>
      <w:tr w:rsidR="00EF0E3B" w:rsidRPr="00710425" w14:paraId="670CC939" w14:textId="77777777" w:rsidTr="00AD5AA5">
        <w:trPr>
          <w:trHeight w:val="480"/>
        </w:trPr>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7A194320" w14:textId="77777777" w:rsidR="00EF0E3B" w:rsidRPr="00BE2391" w:rsidRDefault="00EF0E3B" w:rsidP="00AD5AA5">
            <w:pPr>
              <w:widowControl/>
              <w:adjustRightInd/>
              <w:spacing w:line="240" w:lineRule="auto"/>
              <w:jc w:val="center"/>
              <w:textAlignment w:val="auto"/>
              <w:rPr>
                <w:rFonts w:ascii="Arial" w:hAnsi="Arial" w:cs="Arial"/>
                <w:color w:val="000000"/>
                <w:sz w:val="22"/>
                <w:szCs w:val="22"/>
                <w:lang w:val="es-CO" w:eastAsia="es-CO"/>
              </w:rPr>
            </w:pPr>
            <w:r w:rsidRPr="00BE2391">
              <w:rPr>
                <w:rFonts w:ascii="Arial" w:hAnsi="Arial" w:cs="Arial"/>
                <w:color w:val="000000"/>
                <w:sz w:val="22"/>
                <w:szCs w:val="22"/>
                <w:lang w:val="es-CO" w:eastAsia="es-CO"/>
              </w:rPr>
              <w:t>2</w:t>
            </w:r>
          </w:p>
        </w:tc>
        <w:tc>
          <w:tcPr>
            <w:tcW w:w="7010" w:type="dxa"/>
            <w:tcBorders>
              <w:top w:val="nil"/>
              <w:left w:val="nil"/>
              <w:bottom w:val="single" w:sz="4" w:space="0" w:color="auto"/>
              <w:right w:val="single" w:sz="4" w:space="0" w:color="auto"/>
            </w:tcBorders>
            <w:shd w:val="clear" w:color="auto" w:fill="auto"/>
            <w:vAlign w:val="center"/>
            <w:hideMark/>
          </w:tcPr>
          <w:p w14:paraId="36311A96" w14:textId="77777777" w:rsidR="00EF0E3B" w:rsidRPr="00BE2391" w:rsidRDefault="00EF0E3B" w:rsidP="00AD5AA5">
            <w:pPr>
              <w:widowControl/>
              <w:adjustRightInd/>
              <w:spacing w:line="240" w:lineRule="auto"/>
              <w:jc w:val="left"/>
              <w:textAlignment w:val="auto"/>
              <w:rPr>
                <w:rFonts w:ascii="Arial" w:hAnsi="Arial" w:cs="Arial"/>
                <w:color w:val="000000"/>
                <w:sz w:val="22"/>
                <w:szCs w:val="22"/>
                <w:lang w:val="es-CO" w:eastAsia="es-CO"/>
              </w:rPr>
            </w:pPr>
            <w:r w:rsidRPr="00BE2391">
              <w:rPr>
                <w:rFonts w:ascii="Arial" w:hAnsi="Arial" w:cs="Arial"/>
                <w:color w:val="000000"/>
                <w:sz w:val="22"/>
                <w:szCs w:val="22"/>
                <w:lang w:val="es-CO" w:eastAsia="es-CO"/>
              </w:rPr>
              <w:t>Entidades con Ingresos Operacionales del Sector Causado entre $</w:t>
            </w:r>
            <w:r w:rsidRPr="003A6DEE">
              <w:rPr>
                <w:rFonts w:ascii="Arial" w:hAnsi="Arial" w:cs="Arial"/>
                <w:color w:val="000000"/>
                <w:sz w:val="22"/>
                <w:szCs w:val="22"/>
                <w:lang w:val="es-CO" w:eastAsia="es-CO"/>
              </w:rPr>
              <w:t>15.451.156.419</w:t>
            </w:r>
            <w:r>
              <w:rPr>
                <w:rFonts w:ascii="Arial" w:hAnsi="Arial" w:cs="Arial"/>
                <w:color w:val="000000"/>
                <w:sz w:val="22"/>
                <w:szCs w:val="22"/>
                <w:lang w:val="es-CO" w:eastAsia="es-CO"/>
              </w:rPr>
              <w:t xml:space="preserve"> </w:t>
            </w:r>
            <w:r w:rsidRPr="00BE2391">
              <w:rPr>
                <w:rFonts w:ascii="Arial" w:hAnsi="Arial" w:cs="Arial"/>
                <w:color w:val="000000"/>
                <w:sz w:val="22"/>
                <w:szCs w:val="22"/>
                <w:lang w:val="es-CO" w:eastAsia="es-CO"/>
              </w:rPr>
              <w:t>y $</w:t>
            </w:r>
            <w:r w:rsidRPr="003A6DEE">
              <w:rPr>
                <w:rFonts w:ascii="Arial" w:hAnsi="Arial" w:cs="Arial"/>
                <w:color w:val="000000"/>
                <w:sz w:val="22"/>
                <w:szCs w:val="22"/>
                <w:lang w:val="es-CO" w:eastAsia="es-CO"/>
              </w:rPr>
              <w:t>2.108.057.916.667</w:t>
            </w:r>
          </w:p>
        </w:tc>
        <w:tc>
          <w:tcPr>
            <w:tcW w:w="987" w:type="dxa"/>
            <w:tcBorders>
              <w:top w:val="nil"/>
              <w:left w:val="nil"/>
              <w:bottom w:val="single" w:sz="4" w:space="0" w:color="auto"/>
              <w:right w:val="single" w:sz="4" w:space="0" w:color="auto"/>
            </w:tcBorders>
            <w:shd w:val="clear" w:color="auto" w:fill="auto"/>
            <w:noWrap/>
            <w:vAlign w:val="center"/>
            <w:hideMark/>
          </w:tcPr>
          <w:p w14:paraId="14D5BEFE" w14:textId="30648E36" w:rsidR="00EF0E3B" w:rsidRPr="00BE2391" w:rsidRDefault="00EF0E3B" w:rsidP="00AD5AA5">
            <w:pPr>
              <w:widowControl/>
              <w:adjustRightInd/>
              <w:spacing w:line="240" w:lineRule="auto"/>
              <w:jc w:val="center"/>
              <w:textAlignment w:val="auto"/>
              <w:rPr>
                <w:rFonts w:ascii="Arial" w:hAnsi="Arial" w:cs="Arial"/>
                <w:color w:val="000000"/>
                <w:sz w:val="22"/>
                <w:szCs w:val="22"/>
                <w:lang w:val="es-CO" w:eastAsia="es-CO"/>
              </w:rPr>
            </w:pPr>
            <w:r w:rsidRPr="00BE2391">
              <w:rPr>
                <w:rFonts w:ascii="Arial" w:hAnsi="Arial" w:cs="Arial"/>
                <w:color w:val="000000"/>
                <w:sz w:val="22"/>
                <w:szCs w:val="22"/>
                <w:lang w:val="es-CO" w:eastAsia="es-CO"/>
              </w:rPr>
              <w:t>0,10</w:t>
            </w:r>
            <w:r w:rsidR="003101FF">
              <w:rPr>
                <w:rFonts w:ascii="Arial" w:hAnsi="Arial" w:cs="Arial"/>
                <w:color w:val="000000"/>
                <w:sz w:val="22"/>
                <w:szCs w:val="22"/>
                <w:lang w:val="es-CO" w:eastAsia="es-CO"/>
              </w:rPr>
              <w:t>8</w:t>
            </w:r>
            <w:r w:rsidRPr="00BE2391">
              <w:rPr>
                <w:rFonts w:ascii="Arial" w:hAnsi="Arial" w:cs="Arial"/>
                <w:color w:val="000000"/>
                <w:sz w:val="22"/>
                <w:szCs w:val="22"/>
                <w:lang w:val="es-CO" w:eastAsia="es-CO"/>
              </w:rPr>
              <w:t>%</w:t>
            </w:r>
          </w:p>
        </w:tc>
      </w:tr>
      <w:tr w:rsidR="00EF0E3B" w:rsidRPr="00710425" w14:paraId="509120AE" w14:textId="77777777" w:rsidTr="00AD5AA5">
        <w:trPr>
          <w:trHeight w:val="480"/>
        </w:trPr>
        <w:tc>
          <w:tcPr>
            <w:tcW w:w="1163" w:type="dxa"/>
            <w:tcBorders>
              <w:top w:val="nil"/>
              <w:left w:val="single" w:sz="4" w:space="0" w:color="auto"/>
              <w:bottom w:val="single" w:sz="4" w:space="0" w:color="auto"/>
              <w:right w:val="single" w:sz="4" w:space="0" w:color="auto"/>
            </w:tcBorders>
            <w:shd w:val="clear" w:color="auto" w:fill="auto"/>
            <w:noWrap/>
            <w:vAlign w:val="center"/>
            <w:hideMark/>
          </w:tcPr>
          <w:p w14:paraId="70907D53" w14:textId="77777777" w:rsidR="00EF0E3B" w:rsidRPr="00BE2391" w:rsidRDefault="00EF0E3B" w:rsidP="00AD5AA5">
            <w:pPr>
              <w:widowControl/>
              <w:adjustRightInd/>
              <w:spacing w:line="240" w:lineRule="auto"/>
              <w:jc w:val="center"/>
              <w:textAlignment w:val="auto"/>
              <w:rPr>
                <w:rFonts w:ascii="Arial" w:hAnsi="Arial" w:cs="Arial"/>
                <w:color w:val="000000"/>
                <w:sz w:val="22"/>
                <w:szCs w:val="22"/>
                <w:lang w:val="es-CO" w:eastAsia="es-CO"/>
              </w:rPr>
            </w:pPr>
            <w:r>
              <w:rPr>
                <w:rFonts w:ascii="Arial" w:hAnsi="Arial" w:cs="Arial"/>
                <w:color w:val="000000"/>
                <w:sz w:val="22"/>
                <w:szCs w:val="22"/>
                <w:lang w:val="es-CO" w:eastAsia="es-CO"/>
              </w:rPr>
              <w:t>3</w:t>
            </w:r>
          </w:p>
        </w:tc>
        <w:tc>
          <w:tcPr>
            <w:tcW w:w="7010" w:type="dxa"/>
            <w:tcBorders>
              <w:top w:val="nil"/>
              <w:left w:val="nil"/>
              <w:bottom w:val="single" w:sz="4" w:space="0" w:color="auto"/>
              <w:right w:val="single" w:sz="4" w:space="0" w:color="auto"/>
            </w:tcBorders>
            <w:shd w:val="clear" w:color="auto" w:fill="auto"/>
            <w:vAlign w:val="center"/>
            <w:hideMark/>
          </w:tcPr>
          <w:p w14:paraId="7224CF63" w14:textId="77777777" w:rsidR="00EF0E3B" w:rsidRPr="00BE2391" w:rsidRDefault="00EF0E3B" w:rsidP="00AD5AA5">
            <w:pPr>
              <w:widowControl/>
              <w:adjustRightInd/>
              <w:spacing w:line="240" w:lineRule="auto"/>
              <w:jc w:val="left"/>
              <w:textAlignment w:val="auto"/>
              <w:rPr>
                <w:rFonts w:ascii="Arial" w:hAnsi="Arial" w:cs="Arial"/>
                <w:color w:val="000000"/>
                <w:sz w:val="22"/>
                <w:szCs w:val="22"/>
                <w:lang w:val="es-CO" w:eastAsia="es-CO"/>
              </w:rPr>
            </w:pPr>
            <w:r w:rsidRPr="00BE2391">
              <w:rPr>
                <w:rFonts w:ascii="Arial" w:hAnsi="Arial" w:cs="Arial"/>
                <w:color w:val="000000"/>
                <w:sz w:val="22"/>
                <w:szCs w:val="22"/>
                <w:lang w:val="es-CO" w:eastAsia="es-CO"/>
              </w:rPr>
              <w:t>Entidades con Ingresos Operacionales del Sector Causado iguales o superiores $</w:t>
            </w:r>
            <w:r w:rsidRPr="006D344C">
              <w:rPr>
                <w:rFonts w:ascii="Arial" w:hAnsi="Arial" w:cs="Arial"/>
                <w:color w:val="000000"/>
                <w:sz w:val="22"/>
                <w:szCs w:val="22"/>
                <w:lang w:val="es-CO" w:eastAsia="es-CO"/>
              </w:rPr>
              <w:t>2.108.057.916.668</w:t>
            </w:r>
          </w:p>
        </w:tc>
        <w:tc>
          <w:tcPr>
            <w:tcW w:w="987" w:type="dxa"/>
            <w:tcBorders>
              <w:top w:val="nil"/>
              <w:left w:val="nil"/>
              <w:bottom w:val="single" w:sz="4" w:space="0" w:color="auto"/>
              <w:right w:val="single" w:sz="4" w:space="0" w:color="auto"/>
            </w:tcBorders>
            <w:shd w:val="clear" w:color="auto" w:fill="auto"/>
            <w:noWrap/>
            <w:vAlign w:val="center"/>
            <w:hideMark/>
          </w:tcPr>
          <w:p w14:paraId="0934FB16" w14:textId="1CB07EC5" w:rsidR="00EF0E3B" w:rsidRPr="00BE2391" w:rsidRDefault="00EF0E3B" w:rsidP="00AD5AA5">
            <w:pPr>
              <w:widowControl/>
              <w:adjustRightInd/>
              <w:spacing w:line="240" w:lineRule="auto"/>
              <w:jc w:val="center"/>
              <w:textAlignment w:val="auto"/>
              <w:rPr>
                <w:rFonts w:ascii="Arial" w:hAnsi="Arial" w:cs="Arial"/>
                <w:color w:val="000000"/>
                <w:sz w:val="22"/>
                <w:szCs w:val="22"/>
                <w:lang w:val="es-CO" w:eastAsia="es-CO"/>
              </w:rPr>
            </w:pPr>
            <w:r w:rsidRPr="00BE2391">
              <w:rPr>
                <w:rFonts w:ascii="Arial" w:hAnsi="Arial" w:cs="Arial"/>
                <w:color w:val="000000"/>
                <w:sz w:val="22"/>
                <w:szCs w:val="22"/>
                <w:lang w:val="es-CO" w:eastAsia="es-CO"/>
              </w:rPr>
              <w:t>0,0</w:t>
            </w:r>
            <w:r>
              <w:rPr>
                <w:rFonts w:ascii="Arial" w:hAnsi="Arial" w:cs="Arial"/>
                <w:color w:val="000000"/>
                <w:sz w:val="22"/>
                <w:szCs w:val="22"/>
                <w:lang w:val="es-CO" w:eastAsia="es-CO"/>
              </w:rPr>
              <w:t>4</w:t>
            </w:r>
            <w:r w:rsidR="003101FF">
              <w:rPr>
                <w:rFonts w:ascii="Arial" w:hAnsi="Arial" w:cs="Arial"/>
                <w:color w:val="000000"/>
                <w:sz w:val="22"/>
                <w:szCs w:val="22"/>
                <w:lang w:val="es-CO" w:eastAsia="es-CO"/>
              </w:rPr>
              <w:t>9</w:t>
            </w:r>
            <w:r w:rsidRPr="00BE2391">
              <w:rPr>
                <w:rFonts w:ascii="Arial" w:hAnsi="Arial" w:cs="Arial"/>
                <w:color w:val="000000"/>
                <w:sz w:val="22"/>
                <w:szCs w:val="22"/>
                <w:lang w:val="es-CO" w:eastAsia="es-CO"/>
              </w:rPr>
              <w:t>%</w:t>
            </w:r>
          </w:p>
        </w:tc>
      </w:tr>
    </w:tbl>
    <w:p w14:paraId="2F9E364D" w14:textId="77777777" w:rsidR="00EF0E3B" w:rsidRDefault="00EF0E3B" w:rsidP="00EF0E3B">
      <w:pPr>
        <w:autoSpaceDE w:val="0"/>
        <w:autoSpaceDN w:val="0"/>
        <w:spacing w:line="276" w:lineRule="auto"/>
        <w:rPr>
          <w:rFonts w:ascii="Arial" w:hAnsi="Arial" w:cs="Arial"/>
          <w:sz w:val="22"/>
          <w:szCs w:val="22"/>
          <w:lang w:val="es-MX"/>
        </w:rPr>
      </w:pPr>
    </w:p>
    <w:p w14:paraId="13C2FB4C" w14:textId="30BEEDCD" w:rsidR="00EF0E3B" w:rsidRDefault="00EF0E3B" w:rsidP="004E62C2">
      <w:pPr>
        <w:autoSpaceDE w:val="0"/>
        <w:autoSpaceDN w:val="0"/>
        <w:spacing w:line="276" w:lineRule="auto"/>
        <w:rPr>
          <w:rFonts w:ascii="Arial" w:hAnsi="Arial" w:cs="Arial"/>
          <w:sz w:val="22"/>
          <w:szCs w:val="22"/>
          <w:lang w:val="es-MX"/>
        </w:rPr>
      </w:pPr>
    </w:p>
    <w:p w14:paraId="7E7E3525" w14:textId="14D32EEA" w:rsidR="003101FF" w:rsidRPr="001D0BAC" w:rsidRDefault="003101FF" w:rsidP="004E62C2">
      <w:pPr>
        <w:spacing w:line="276" w:lineRule="auto"/>
        <w:rPr>
          <w:rFonts w:ascii="Arial" w:hAnsi="Arial" w:cs="Arial"/>
          <w:sz w:val="22"/>
          <w:szCs w:val="22"/>
          <w:lang w:val="es-ES_tradnl"/>
        </w:rPr>
      </w:pPr>
      <w:r w:rsidRPr="001D0BAC">
        <w:rPr>
          <w:rFonts w:ascii="Arial" w:hAnsi="Arial" w:cs="Arial"/>
          <w:b/>
          <w:sz w:val="22"/>
          <w:szCs w:val="22"/>
        </w:rPr>
        <w:t xml:space="preserve">PARÁGRAFO 1. </w:t>
      </w:r>
      <w:r w:rsidRPr="001D0BAC">
        <w:rPr>
          <w:rFonts w:ascii="Arial" w:hAnsi="Arial" w:cs="Arial"/>
          <w:sz w:val="22"/>
          <w:szCs w:val="22"/>
          <w:lang w:val="es-ES_tradnl"/>
        </w:rPr>
        <w:t>Si luego de aplicar a los Ingresos Operacionales del Sector Causados a 31 de diciembre de la vigencia anterior, la tarifa correspondiente, se obtiene un valor a pagar por concepto de Contribución superior al doble del valor total del capital cancelado dentro del 06</w:t>
      </w:r>
      <w:r w:rsidR="00F27C14" w:rsidRPr="001D0BAC">
        <w:rPr>
          <w:rFonts w:ascii="Arial" w:hAnsi="Arial" w:cs="Arial"/>
          <w:sz w:val="22"/>
          <w:szCs w:val="22"/>
          <w:lang w:val="es-ES_tradnl"/>
        </w:rPr>
        <w:t xml:space="preserve"> al 21 </w:t>
      </w:r>
      <w:r w:rsidRPr="001D0BAC">
        <w:rPr>
          <w:rFonts w:ascii="Arial" w:hAnsi="Arial" w:cs="Arial"/>
          <w:sz w:val="22"/>
          <w:szCs w:val="22"/>
          <w:lang w:val="es-ES_tradnl"/>
        </w:rPr>
        <w:t>de julio de 2022, el sujeto pasivo solo está obligado a remunerar hasta el doble del valor cancelado en el año inmediatamente anterior.</w:t>
      </w:r>
    </w:p>
    <w:p w14:paraId="4AC9C18E" w14:textId="77777777" w:rsidR="003101FF" w:rsidRPr="001D0BAC" w:rsidRDefault="003101FF" w:rsidP="004E62C2">
      <w:pPr>
        <w:spacing w:line="276" w:lineRule="auto"/>
        <w:rPr>
          <w:rFonts w:ascii="Arial" w:hAnsi="Arial" w:cs="Arial"/>
          <w:sz w:val="22"/>
          <w:szCs w:val="22"/>
          <w:lang w:val="es-ES_tradnl"/>
        </w:rPr>
      </w:pPr>
    </w:p>
    <w:p w14:paraId="39133AD4" w14:textId="04BB83EE" w:rsidR="003101FF" w:rsidRPr="004E62C2" w:rsidRDefault="003101FF" w:rsidP="004E62C2">
      <w:pPr>
        <w:spacing w:line="276" w:lineRule="auto"/>
        <w:rPr>
          <w:rFonts w:ascii="Arial" w:hAnsi="Arial" w:cs="Arial"/>
          <w:sz w:val="22"/>
          <w:szCs w:val="22"/>
          <w:lang w:val="es-ES_tradnl"/>
        </w:rPr>
      </w:pPr>
      <w:r w:rsidRPr="001D0BAC">
        <w:rPr>
          <w:rFonts w:ascii="Arial" w:hAnsi="Arial" w:cs="Arial"/>
          <w:b/>
          <w:bCs/>
          <w:sz w:val="22"/>
          <w:szCs w:val="22"/>
          <w:lang w:val="es-ES_tradnl"/>
        </w:rPr>
        <w:t>PARÁGRAFO 2.</w:t>
      </w:r>
      <w:r w:rsidRPr="001D0BAC">
        <w:rPr>
          <w:rFonts w:ascii="Arial" w:hAnsi="Arial" w:cs="Arial"/>
          <w:sz w:val="22"/>
          <w:szCs w:val="22"/>
          <w:lang w:val="es-ES_tradnl"/>
        </w:rPr>
        <w:t xml:space="preserve"> Si dentro del 06 </w:t>
      </w:r>
      <w:r w:rsidR="00824BC6" w:rsidRPr="001D0BAC">
        <w:rPr>
          <w:rFonts w:ascii="Arial" w:hAnsi="Arial" w:cs="Arial"/>
          <w:sz w:val="22"/>
          <w:szCs w:val="22"/>
          <w:lang w:val="es-ES_tradnl"/>
        </w:rPr>
        <w:t>al 2</w:t>
      </w:r>
      <w:r w:rsidR="00F27C14" w:rsidRPr="001D0BAC">
        <w:rPr>
          <w:rFonts w:ascii="Arial" w:hAnsi="Arial" w:cs="Arial"/>
          <w:sz w:val="22"/>
          <w:szCs w:val="22"/>
          <w:lang w:val="es-ES_tradnl"/>
        </w:rPr>
        <w:t>1</w:t>
      </w:r>
      <w:r w:rsidR="00824BC6" w:rsidRPr="001D0BAC">
        <w:rPr>
          <w:rFonts w:ascii="Arial" w:hAnsi="Arial" w:cs="Arial"/>
          <w:sz w:val="22"/>
          <w:szCs w:val="22"/>
          <w:lang w:val="es-ES_tradnl"/>
        </w:rPr>
        <w:t xml:space="preserve"> </w:t>
      </w:r>
      <w:r w:rsidRPr="001D0BAC">
        <w:rPr>
          <w:rFonts w:ascii="Arial" w:hAnsi="Arial" w:cs="Arial"/>
          <w:sz w:val="22"/>
          <w:szCs w:val="22"/>
          <w:lang w:val="es-ES_tradnl"/>
        </w:rPr>
        <w:t>de julio del año 2022 no se canceló la Contribución de la vigencia 2022 el tratamiento previsto en el Parágrafo 1 del presente artículo, no se aplicará y, en consecuencia, el sujeto pasivo cancelará en el 2023 el valor total que arroje la aplicación de la tarifa correspondiente</w:t>
      </w:r>
      <w:r w:rsidR="00F27C14" w:rsidRPr="001D0BAC">
        <w:rPr>
          <w:rFonts w:ascii="Arial" w:hAnsi="Arial" w:cs="Arial"/>
          <w:sz w:val="22"/>
          <w:szCs w:val="22"/>
          <w:lang w:val="es-ES_tradnl"/>
        </w:rPr>
        <w:t>.</w:t>
      </w:r>
    </w:p>
    <w:p w14:paraId="31C4B37A" w14:textId="77777777" w:rsidR="003101FF" w:rsidRPr="004E62C2" w:rsidRDefault="003101FF" w:rsidP="004E62C2">
      <w:pPr>
        <w:spacing w:line="276" w:lineRule="auto"/>
        <w:rPr>
          <w:rFonts w:ascii="Arial" w:hAnsi="Arial" w:cs="Arial"/>
          <w:sz w:val="22"/>
          <w:szCs w:val="22"/>
          <w:lang w:val="es-ES_tradnl"/>
        </w:rPr>
      </w:pPr>
    </w:p>
    <w:p w14:paraId="62262EB4" w14:textId="77777777" w:rsidR="003101FF" w:rsidRPr="004E62C2" w:rsidRDefault="003101FF" w:rsidP="004E62C2">
      <w:pPr>
        <w:widowControl/>
        <w:autoSpaceDE w:val="0"/>
        <w:autoSpaceDN w:val="0"/>
        <w:spacing w:line="276" w:lineRule="auto"/>
        <w:textAlignment w:val="auto"/>
        <w:rPr>
          <w:rFonts w:ascii="Arial" w:eastAsia="Calibri" w:hAnsi="Arial" w:cs="Arial"/>
          <w:sz w:val="22"/>
          <w:szCs w:val="22"/>
          <w:lang w:val="es-CO" w:eastAsia="es-CO"/>
        </w:rPr>
      </w:pPr>
      <w:r w:rsidRPr="004E62C2">
        <w:rPr>
          <w:rFonts w:ascii="Arial" w:hAnsi="Arial" w:cs="Arial"/>
          <w:b/>
          <w:bCs/>
          <w:sz w:val="22"/>
          <w:szCs w:val="22"/>
          <w:lang w:val="es-ES_tradnl"/>
        </w:rPr>
        <w:t>PARÁGRAFO 3.</w:t>
      </w:r>
      <w:r w:rsidRPr="004E62C2">
        <w:rPr>
          <w:rFonts w:ascii="Arial" w:hAnsi="Arial" w:cs="Arial"/>
          <w:b/>
          <w:color w:val="FF0000"/>
          <w:sz w:val="22"/>
          <w:szCs w:val="22"/>
        </w:rPr>
        <w:t xml:space="preserve"> </w:t>
      </w:r>
      <w:bookmarkStart w:id="2" w:name="_Hlk133398437"/>
      <w:r w:rsidRPr="004E62C2">
        <w:rPr>
          <w:rFonts w:ascii="Arial" w:eastAsia="Calibri" w:hAnsi="Arial" w:cs="Arial"/>
          <w:sz w:val="22"/>
          <w:szCs w:val="22"/>
          <w:lang w:val="es-CO" w:eastAsia="es-CO"/>
        </w:rPr>
        <w:t>Si un vigilado no realiza el pago de la Contribución 2023 dentro de la oportunidad pertinente, deberá pagar intereses a la tasa del artículo 365 del Estatuto Tributario, desde el día posterior a su fecha de exigibilidad.</w:t>
      </w:r>
    </w:p>
    <w:bookmarkEnd w:id="2"/>
    <w:p w14:paraId="27B58FAA" w14:textId="77777777" w:rsidR="003101FF" w:rsidRPr="004E62C2" w:rsidRDefault="003101FF" w:rsidP="004E62C2">
      <w:pPr>
        <w:autoSpaceDE w:val="0"/>
        <w:autoSpaceDN w:val="0"/>
        <w:spacing w:line="276" w:lineRule="auto"/>
        <w:rPr>
          <w:rFonts w:ascii="Arial" w:hAnsi="Arial" w:cs="Arial"/>
          <w:sz w:val="22"/>
          <w:szCs w:val="22"/>
          <w:lang w:val="es-MX"/>
        </w:rPr>
      </w:pPr>
    </w:p>
    <w:p w14:paraId="01E89524" w14:textId="5D78C2BF" w:rsidR="00725257" w:rsidRPr="004E62C2" w:rsidRDefault="00725257" w:rsidP="004E62C2">
      <w:pPr>
        <w:autoSpaceDE w:val="0"/>
        <w:autoSpaceDN w:val="0"/>
        <w:spacing w:line="276" w:lineRule="auto"/>
        <w:rPr>
          <w:rFonts w:ascii="Arial" w:hAnsi="Arial" w:cs="Arial"/>
          <w:sz w:val="22"/>
          <w:szCs w:val="22"/>
          <w:lang w:val="es-MX"/>
        </w:rPr>
      </w:pPr>
      <w:r w:rsidRPr="004E62C2">
        <w:rPr>
          <w:rFonts w:ascii="Arial" w:hAnsi="Arial" w:cs="Arial"/>
          <w:b/>
          <w:bCs/>
          <w:sz w:val="22"/>
          <w:szCs w:val="22"/>
          <w:lang w:val="es-MX"/>
        </w:rPr>
        <w:t>ARTÍCULO 3.</w:t>
      </w:r>
      <w:r w:rsidRPr="004E62C2">
        <w:rPr>
          <w:rFonts w:ascii="Arial" w:hAnsi="Arial" w:cs="Arial"/>
          <w:sz w:val="22"/>
          <w:szCs w:val="22"/>
          <w:lang w:val="es-MX"/>
        </w:rPr>
        <w:t xml:space="preserve"> Plazos para pagar, vigencia 2023. Todos los obligados a cancelar la Contribución de vigilancia a favor de la Superintendencia Nacional de Salud pagarán dicho tributo por cada tipo de vigilado entre el 13 de junio al 08 de julio de 2023.</w:t>
      </w:r>
    </w:p>
    <w:p w14:paraId="7CD3F864" w14:textId="6AED20D1" w:rsidR="00725257" w:rsidRPr="004E62C2" w:rsidRDefault="00725257" w:rsidP="004E62C2">
      <w:pPr>
        <w:autoSpaceDE w:val="0"/>
        <w:autoSpaceDN w:val="0"/>
        <w:spacing w:line="276" w:lineRule="auto"/>
        <w:rPr>
          <w:rFonts w:ascii="Arial" w:hAnsi="Arial" w:cs="Arial"/>
          <w:sz w:val="22"/>
          <w:szCs w:val="22"/>
          <w:lang w:val="es-MX"/>
        </w:rPr>
      </w:pPr>
    </w:p>
    <w:p w14:paraId="1FB3C6A9" w14:textId="77777777" w:rsidR="00725257" w:rsidRPr="004E62C2" w:rsidRDefault="00725257" w:rsidP="004E62C2">
      <w:pPr>
        <w:autoSpaceDE w:val="0"/>
        <w:autoSpaceDN w:val="0"/>
        <w:spacing w:line="276" w:lineRule="auto"/>
        <w:rPr>
          <w:rFonts w:ascii="Arial" w:hAnsi="Arial" w:cs="Arial"/>
          <w:sz w:val="22"/>
          <w:szCs w:val="22"/>
          <w:lang w:val="es-MX"/>
        </w:rPr>
      </w:pPr>
      <w:r w:rsidRPr="004E62C2">
        <w:rPr>
          <w:rFonts w:ascii="Arial" w:hAnsi="Arial" w:cs="Arial"/>
          <w:b/>
          <w:bCs/>
          <w:sz w:val="22"/>
          <w:szCs w:val="22"/>
          <w:lang w:val="es-MX"/>
        </w:rPr>
        <w:t xml:space="preserve">ARTICULO 4. </w:t>
      </w:r>
      <w:r w:rsidRPr="004E62C2">
        <w:rPr>
          <w:rFonts w:ascii="Arial" w:hAnsi="Arial" w:cs="Arial"/>
          <w:sz w:val="22"/>
          <w:szCs w:val="22"/>
          <w:lang w:val="es-MX"/>
        </w:rPr>
        <w:t xml:space="preserve">Lugar de pago y recibo. La Superintendencia dispondrá a través de la página web: www.supersalud.gov.co, en el “Portal de vigilados – pago de obligaciones”, los recibos de pago. </w:t>
      </w:r>
    </w:p>
    <w:p w14:paraId="4ED8F911" w14:textId="77777777" w:rsidR="00725257" w:rsidRPr="004E62C2" w:rsidRDefault="00725257" w:rsidP="00725257">
      <w:pPr>
        <w:autoSpaceDE w:val="0"/>
        <w:autoSpaceDN w:val="0"/>
        <w:spacing w:line="276" w:lineRule="auto"/>
        <w:rPr>
          <w:rFonts w:ascii="Arial" w:hAnsi="Arial" w:cs="Arial"/>
          <w:sz w:val="22"/>
          <w:szCs w:val="22"/>
          <w:lang w:val="es-MX"/>
        </w:rPr>
      </w:pPr>
    </w:p>
    <w:p w14:paraId="2610E1F2" w14:textId="5FBD4116" w:rsidR="00725257" w:rsidRPr="004E62C2" w:rsidRDefault="00725257" w:rsidP="004E62C2">
      <w:pPr>
        <w:autoSpaceDE w:val="0"/>
        <w:autoSpaceDN w:val="0"/>
        <w:spacing w:line="276" w:lineRule="auto"/>
        <w:rPr>
          <w:rFonts w:ascii="Arial" w:hAnsi="Arial" w:cs="Arial"/>
          <w:sz w:val="22"/>
          <w:szCs w:val="22"/>
          <w:lang w:val="es-MX"/>
        </w:rPr>
      </w:pPr>
      <w:r w:rsidRPr="004E62C2">
        <w:rPr>
          <w:rFonts w:ascii="Arial" w:hAnsi="Arial" w:cs="Arial"/>
          <w:sz w:val="22"/>
          <w:szCs w:val="22"/>
          <w:lang w:val="es-MX"/>
        </w:rPr>
        <w:t>Para cancelar la respectiva o respectivas obligaciones, la Superintendencia dispuso de un botón PSE el cual redireccionará al sujeto pasivo de la obligación a su entidad bancaria para efectuar el pago en línea. De igual forma, podrá imprimir el recibo con código de barras y efectuar la cancelación de la obligación en las sucursales físicas de Bancolombia.</w:t>
      </w:r>
    </w:p>
    <w:p w14:paraId="4B12FB73" w14:textId="3245443E" w:rsidR="00EF0E3B" w:rsidRPr="00BE6ED4" w:rsidRDefault="00EF0E3B" w:rsidP="004E62C2">
      <w:pPr>
        <w:autoSpaceDE w:val="0"/>
        <w:autoSpaceDN w:val="0"/>
        <w:spacing w:line="276" w:lineRule="auto"/>
        <w:rPr>
          <w:rFonts w:ascii="Arial" w:hAnsi="Arial" w:cs="Arial"/>
          <w:sz w:val="24"/>
          <w:szCs w:val="24"/>
          <w:lang w:val="es-MX"/>
        </w:rPr>
      </w:pPr>
    </w:p>
    <w:p w14:paraId="0237C6B9" w14:textId="14F84378" w:rsidR="00725257" w:rsidRPr="00725257" w:rsidRDefault="00725257" w:rsidP="004E62C2">
      <w:pPr>
        <w:autoSpaceDE w:val="0"/>
        <w:autoSpaceDN w:val="0"/>
        <w:spacing w:line="276" w:lineRule="auto"/>
        <w:rPr>
          <w:rFonts w:ascii="Arial" w:hAnsi="Arial" w:cs="Arial"/>
          <w:sz w:val="22"/>
          <w:szCs w:val="22"/>
          <w:lang w:val="es-CO"/>
        </w:rPr>
      </w:pPr>
      <w:r w:rsidRPr="004E62C2">
        <w:rPr>
          <w:rFonts w:ascii="Arial" w:hAnsi="Arial" w:cs="Arial"/>
          <w:b/>
          <w:bCs/>
          <w:sz w:val="22"/>
          <w:szCs w:val="22"/>
          <w:lang w:val="es-CO"/>
        </w:rPr>
        <w:t xml:space="preserve">ARTÍCULO 5. </w:t>
      </w:r>
      <w:r w:rsidRPr="00725257">
        <w:rPr>
          <w:rFonts w:ascii="Arial" w:hAnsi="Arial" w:cs="Arial"/>
          <w:b/>
          <w:bCs/>
          <w:sz w:val="22"/>
          <w:szCs w:val="22"/>
          <w:lang w:val="es-CO"/>
        </w:rPr>
        <w:t>Requisitos para el pago de la Contribución.</w:t>
      </w:r>
      <w:r w:rsidRPr="00725257">
        <w:rPr>
          <w:rFonts w:ascii="Arial" w:hAnsi="Arial" w:cs="Arial"/>
          <w:sz w:val="22"/>
          <w:szCs w:val="22"/>
          <w:lang w:val="es-CO"/>
        </w:rPr>
        <w:t xml:space="preserve"> Todos los vigilados obligados al </w:t>
      </w:r>
      <w:r w:rsidRPr="00725257">
        <w:rPr>
          <w:rFonts w:ascii="Arial" w:hAnsi="Arial" w:cs="Arial"/>
          <w:sz w:val="22"/>
          <w:szCs w:val="22"/>
          <w:lang w:val="es-CO"/>
        </w:rPr>
        <w:lastRenderedPageBreak/>
        <w:t>pago de la Contribución de vigilancia deben registrarse en el Sistema de Información habilitado por la Entidad para el registro de datos generales que maneja la Supersalud.</w:t>
      </w:r>
    </w:p>
    <w:p w14:paraId="30CF6B2B" w14:textId="77777777" w:rsidR="00725257" w:rsidRPr="00725257" w:rsidRDefault="00725257" w:rsidP="004E62C2">
      <w:pPr>
        <w:autoSpaceDE w:val="0"/>
        <w:autoSpaceDN w:val="0"/>
        <w:spacing w:line="276" w:lineRule="auto"/>
        <w:rPr>
          <w:rFonts w:ascii="Arial" w:hAnsi="Arial" w:cs="Arial"/>
          <w:sz w:val="22"/>
          <w:szCs w:val="22"/>
          <w:lang w:val="es-CO"/>
        </w:rPr>
      </w:pPr>
    </w:p>
    <w:p w14:paraId="204F20CD" w14:textId="77777777" w:rsidR="00725257" w:rsidRPr="00725257" w:rsidRDefault="00725257" w:rsidP="004E62C2">
      <w:pPr>
        <w:autoSpaceDE w:val="0"/>
        <w:autoSpaceDN w:val="0"/>
        <w:spacing w:line="276" w:lineRule="auto"/>
        <w:rPr>
          <w:rFonts w:ascii="Arial" w:hAnsi="Arial" w:cs="Arial"/>
          <w:sz w:val="22"/>
          <w:szCs w:val="22"/>
          <w:lang w:val="es-CO"/>
        </w:rPr>
      </w:pPr>
      <w:r w:rsidRPr="00725257">
        <w:rPr>
          <w:rFonts w:ascii="Arial" w:hAnsi="Arial" w:cs="Arial"/>
          <w:sz w:val="22"/>
          <w:szCs w:val="22"/>
          <w:lang w:val="es-CO"/>
        </w:rPr>
        <w:t>Si ya se encuentran registrados, sólo deberán acceder al módulo Contribución y allí encontrarán todo lo relacionado al pago.</w:t>
      </w:r>
    </w:p>
    <w:p w14:paraId="16AA0A3A" w14:textId="77777777" w:rsidR="00725257" w:rsidRPr="00725257" w:rsidRDefault="00725257" w:rsidP="004E62C2">
      <w:pPr>
        <w:autoSpaceDE w:val="0"/>
        <w:autoSpaceDN w:val="0"/>
        <w:spacing w:line="276" w:lineRule="auto"/>
        <w:rPr>
          <w:rFonts w:ascii="Arial" w:hAnsi="Arial" w:cs="Arial"/>
          <w:sz w:val="22"/>
          <w:szCs w:val="22"/>
          <w:lang w:val="es-CO"/>
        </w:rPr>
      </w:pPr>
    </w:p>
    <w:p w14:paraId="14571DED" w14:textId="77777777" w:rsidR="00725257" w:rsidRPr="00725257" w:rsidRDefault="00725257" w:rsidP="004E62C2">
      <w:pPr>
        <w:autoSpaceDE w:val="0"/>
        <w:autoSpaceDN w:val="0"/>
        <w:spacing w:line="276" w:lineRule="auto"/>
        <w:rPr>
          <w:rFonts w:ascii="Arial" w:hAnsi="Arial" w:cs="Arial"/>
          <w:sz w:val="22"/>
          <w:szCs w:val="22"/>
          <w:lang w:val="es-CO"/>
        </w:rPr>
      </w:pPr>
      <w:r w:rsidRPr="00725257">
        <w:rPr>
          <w:rFonts w:ascii="Arial" w:hAnsi="Arial" w:cs="Arial"/>
          <w:sz w:val="22"/>
          <w:szCs w:val="22"/>
          <w:lang w:val="es-CO"/>
        </w:rPr>
        <w:t>Para acceder al recibo de pago de la presente vigencia, el obligado debe haber cumplido con los reportes de información financiera exigidos con corte al 31 de diciembre del año inmediatamente anterior, información que debe entregarse en los tiempos y bajo las condiciones establecidas en las Circulares Externas que para el efecto ha emitido la Superintendencia.</w:t>
      </w:r>
    </w:p>
    <w:p w14:paraId="2657D3B8" w14:textId="1FB99679" w:rsidR="00EF0E3B" w:rsidRPr="004E62C2" w:rsidRDefault="00EF0E3B" w:rsidP="004E62C2">
      <w:pPr>
        <w:autoSpaceDE w:val="0"/>
        <w:autoSpaceDN w:val="0"/>
        <w:spacing w:line="276" w:lineRule="auto"/>
        <w:rPr>
          <w:rFonts w:ascii="Arial" w:hAnsi="Arial" w:cs="Arial"/>
          <w:sz w:val="22"/>
          <w:szCs w:val="22"/>
          <w:lang w:val="es-MX"/>
        </w:rPr>
      </w:pPr>
    </w:p>
    <w:p w14:paraId="56C8AF12" w14:textId="77777777" w:rsidR="00BE6ED4" w:rsidRPr="004E62C2" w:rsidRDefault="00BE6ED4" w:rsidP="004E62C2">
      <w:pPr>
        <w:autoSpaceDE w:val="0"/>
        <w:autoSpaceDN w:val="0"/>
        <w:spacing w:line="276" w:lineRule="auto"/>
        <w:rPr>
          <w:rFonts w:ascii="Arial" w:hAnsi="Arial" w:cs="Arial"/>
          <w:sz w:val="22"/>
          <w:szCs w:val="22"/>
          <w:lang w:val="es-ES_tradnl"/>
        </w:rPr>
      </w:pPr>
      <w:r w:rsidRPr="00BE6ED4">
        <w:rPr>
          <w:rFonts w:ascii="Arial" w:hAnsi="Arial" w:cs="Arial"/>
          <w:b/>
          <w:bCs/>
          <w:sz w:val="22"/>
          <w:szCs w:val="22"/>
          <w:lang w:val="es-ES_tradnl"/>
        </w:rPr>
        <w:t xml:space="preserve">ARTÍCULO </w:t>
      </w:r>
      <w:r w:rsidRPr="004E62C2">
        <w:rPr>
          <w:rFonts w:ascii="Arial" w:hAnsi="Arial" w:cs="Arial"/>
          <w:b/>
          <w:bCs/>
          <w:sz w:val="22"/>
          <w:szCs w:val="22"/>
          <w:lang w:val="es-ES_tradnl"/>
        </w:rPr>
        <w:t>6</w:t>
      </w:r>
      <w:r w:rsidRPr="00BE6ED4">
        <w:rPr>
          <w:rFonts w:ascii="Arial" w:hAnsi="Arial" w:cs="Arial"/>
          <w:b/>
          <w:bCs/>
          <w:sz w:val="22"/>
          <w:szCs w:val="22"/>
          <w:lang w:val="es-ES_tradnl"/>
        </w:rPr>
        <w:t>. Cobro coactivo.</w:t>
      </w:r>
      <w:r w:rsidRPr="00BE6ED4">
        <w:rPr>
          <w:rFonts w:ascii="Arial" w:hAnsi="Arial" w:cs="Arial"/>
          <w:sz w:val="22"/>
          <w:szCs w:val="22"/>
          <w:lang w:val="es-ES_tradnl"/>
        </w:rPr>
        <w:t xml:space="preserve"> Concluido el término previsto para el pago oportuno de la Contribución de que trata el artículo primero de la presente resolución, sin que este haya sido efectuado por parte del vigilado, la Superintendencia Nacional de Salud ejercerá la facultad de cobro de dichas acreencias a favor de la Entidad, de conformidad con lo establecido la Ley 1066 de 2006 y demás normas que le modifiquen o sustituyan</w:t>
      </w:r>
      <w:r w:rsidRPr="004E62C2">
        <w:rPr>
          <w:rFonts w:ascii="Arial" w:hAnsi="Arial" w:cs="Arial"/>
          <w:sz w:val="22"/>
          <w:szCs w:val="22"/>
          <w:lang w:val="es-ES_tradnl"/>
        </w:rPr>
        <w:t>.</w:t>
      </w:r>
    </w:p>
    <w:p w14:paraId="204A1000" w14:textId="77777777" w:rsidR="00BE6ED4" w:rsidRPr="004E62C2" w:rsidRDefault="00BE6ED4" w:rsidP="004E62C2">
      <w:pPr>
        <w:autoSpaceDE w:val="0"/>
        <w:autoSpaceDN w:val="0"/>
        <w:spacing w:line="276" w:lineRule="auto"/>
        <w:rPr>
          <w:rFonts w:ascii="Arial" w:hAnsi="Arial" w:cs="Arial"/>
          <w:sz w:val="22"/>
          <w:szCs w:val="22"/>
          <w:lang w:val="es-ES_tradnl"/>
        </w:rPr>
      </w:pPr>
    </w:p>
    <w:p w14:paraId="39FB9BA8" w14:textId="77777777" w:rsidR="00BE6ED4" w:rsidRPr="004E62C2" w:rsidRDefault="00BE6ED4" w:rsidP="004E62C2">
      <w:pPr>
        <w:autoSpaceDE w:val="0"/>
        <w:autoSpaceDN w:val="0"/>
        <w:spacing w:line="276" w:lineRule="auto"/>
        <w:rPr>
          <w:rFonts w:ascii="Arial" w:hAnsi="Arial" w:cs="Arial"/>
          <w:sz w:val="22"/>
          <w:szCs w:val="22"/>
          <w:lang w:val="es-ES_tradnl"/>
        </w:rPr>
      </w:pPr>
      <w:r w:rsidRPr="00BE6ED4">
        <w:rPr>
          <w:rFonts w:ascii="Arial" w:hAnsi="Arial" w:cs="Arial"/>
          <w:sz w:val="22"/>
          <w:szCs w:val="22"/>
          <w:lang w:val="es-ES_tradnl"/>
        </w:rPr>
        <w:t xml:space="preserve"> </w:t>
      </w:r>
      <w:r w:rsidRPr="004E62C2">
        <w:rPr>
          <w:rFonts w:ascii="Arial" w:hAnsi="Arial" w:cs="Arial"/>
          <w:b/>
          <w:bCs/>
          <w:sz w:val="22"/>
          <w:szCs w:val="22"/>
          <w:lang w:val="es-ES_tradnl"/>
        </w:rPr>
        <w:t>PARÁGRAFO:</w:t>
      </w:r>
      <w:r w:rsidRPr="004E62C2">
        <w:rPr>
          <w:rFonts w:ascii="Arial" w:hAnsi="Arial" w:cs="Arial"/>
          <w:sz w:val="22"/>
          <w:szCs w:val="22"/>
          <w:lang w:val="es-ES_tradnl"/>
        </w:rPr>
        <w:t xml:space="preserve"> El recibo de pago enunciado en el artículo 3 de la presente resolución, prestara mérito ejecutivo.</w:t>
      </w:r>
    </w:p>
    <w:p w14:paraId="048F5F8A" w14:textId="77777777" w:rsidR="00BE6ED4" w:rsidRPr="00BE6ED4" w:rsidRDefault="00BE6ED4" w:rsidP="004E62C2">
      <w:pPr>
        <w:autoSpaceDE w:val="0"/>
        <w:autoSpaceDN w:val="0"/>
        <w:spacing w:line="276" w:lineRule="auto"/>
        <w:rPr>
          <w:rFonts w:ascii="Arial" w:hAnsi="Arial" w:cs="Arial"/>
          <w:sz w:val="22"/>
          <w:szCs w:val="22"/>
          <w:lang w:val="es-ES_tradnl"/>
        </w:rPr>
      </w:pPr>
    </w:p>
    <w:p w14:paraId="0B50ED01" w14:textId="44E35EC7" w:rsidR="00BE6ED4" w:rsidRPr="004E62C2" w:rsidRDefault="00BE6ED4" w:rsidP="004E62C2">
      <w:pPr>
        <w:autoSpaceDE w:val="0"/>
        <w:autoSpaceDN w:val="0"/>
        <w:spacing w:line="276" w:lineRule="auto"/>
        <w:rPr>
          <w:rFonts w:ascii="Arial" w:hAnsi="Arial" w:cs="Arial"/>
          <w:sz w:val="22"/>
          <w:szCs w:val="22"/>
        </w:rPr>
      </w:pPr>
      <w:r w:rsidRPr="00BE6ED4">
        <w:rPr>
          <w:rFonts w:ascii="Arial" w:hAnsi="Arial" w:cs="Arial"/>
          <w:b/>
          <w:bCs/>
          <w:sz w:val="22"/>
          <w:szCs w:val="22"/>
          <w:lang w:val="es-ES_tradnl"/>
        </w:rPr>
        <w:t xml:space="preserve">ARTÍCULO </w:t>
      </w:r>
      <w:r w:rsidRPr="004E62C2">
        <w:rPr>
          <w:rFonts w:ascii="Arial" w:hAnsi="Arial" w:cs="Arial"/>
          <w:b/>
          <w:bCs/>
          <w:sz w:val="22"/>
          <w:szCs w:val="22"/>
          <w:lang w:val="es-ES_tradnl"/>
        </w:rPr>
        <w:t>7</w:t>
      </w:r>
      <w:r w:rsidRPr="00BE6ED4">
        <w:rPr>
          <w:rFonts w:ascii="Arial" w:hAnsi="Arial" w:cs="Arial"/>
          <w:b/>
          <w:bCs/>
          <w:sz w:val="22"/>
          <w:szCs w:val="22"/>
          <w:lang w:val="es-ES_tradnl"/>
        </w:rPr>
        <w:t xml:space="preserve">. Vigencia y Derogatoria: </w:t>
      </w:r>
      <w:r w:rsidRPr="00BE6ED4">
        <w:rPr>
          <w:rFonts w:ascii="Arial" w:hAnsi="Arial" w:cs="Arial"/>
          <w:sz w:val="22"/>
          <w:szCs w:val="22"/>
          <w:lang w:val="es-ES_tradnl"/>
        </w:rPr>
        <w:t>La</w:t>
      </w:r>
      <w:r w:rsidRPr="00BE6ED4">
        <w:rPr>
          <w:rFonts w:ascii="Arial" w:hAnsi="Arial" w:cs="Arial"/>
          <w:sz w:val="22"/>
          <w:szCs w:val="22"/>
        </w:rPr>
        <w:t xml:space="preserve"> presente resolución rige a partir de su publicación en el Diario Oficial y en la página web </w:t>
      </w:r>
      <w:hyperlink r:id="rId13" w:history="1">
        <w:r w:rsidRPr="00BE6ED4">
          <w:rPr>
            <w:rStyle w:val="Hipervnculo"/>
            <w:rFonts w:ascii="Arial" w:hAnsi="Arial" w:cs="Arial"/>
            <w:sz w:val="22"/>
            <w:szCs w:val="22"/>
          </w:rPr>
          <w:t>www.supersalud.gov.co</w:t>
        </w:r>
      </w:hyperlink>
      <w:r w:rsidRPr="00BE6ED4">
        <w:rPr>
          <w:rFonts w:ascii="Arial" w:hAnsi="Arial" w:cs="Arial"/>
          <w:sz w:val="22"/>
          <w:szCs w:val="22"/>
        </w:rPr>
        <w:t xml:space="preserve"> y deroga todas aquellas que le sean contrarias.</w:t>
      </w:r>
    </w:p>
    <w:p w14:paraId="6AB99093" w14:textId="6BEC56C7" w:rsidR="00BE6ED4" w:rsidRPr="004E62C2" w:rsidRDefault="00BE6ED4" w:rsidP="004E62C2">
      <w:pPr>
        <w:autoSpaceDE w:val="0"/>
        <w:autoSpaceDN w:val="0"/>
        <w:spacing w:line="276" w:lineRule="auto"/>
        <w:rPr>
          <w:rFonts w:ascii="Arial" w:hAnsi="Arial" w:cs="Arial"/>
          <w:sz w:val="22"/>
          <w:szCs w:val="22"/>
        </w:rPr>
      </w:pPr>
    </w:p>
    <w:p w14:paraId="64CA0867" w14:textId="1092EAEB" w:rsidR="00BE6ED4" w:rsidRPr="004E62C2" w:rsidRDefault="00BE6ED4" w:rsidP="004E62C2">
      <w:pPr>
        <w:autoSpaceDE w:val="0"/>
        <w:autoSpaceDN w:val="0"/>
        <w:spacing w:line="276" w:lineRule="auto"/>
        <w:rPr>
          <w:rFonts w:ascii="Arial" w:hAnsi="Arial" w:cs="Arial"/>
          <w:sz w:val="22"/>
          <w:szCs w:val="22"/>
        </w:rPr>
      </w:pPr>
      <w:r w:rsidRPr="004E62C2">
        <w:rPr>
          <w:rFonts w:ascii="Arial" w:hAnsi="Arial" w:cs="Arial"/>
          <w:b/>
          <w:bCs/>
          <w:sz w:val="22"/>
          <w:szCs w:val="22"/>
        </w:rPr>
        <w:t xml:space="preserve">ARTICULO </w:t>
      </w:r>
      <w:r w:rsidR="00FD01F9" w:rsidRPr="004E62C2">
        <w:rPr>
          <w:rFonts w:ascii="Arial" w:hAnsi="Arial" w:cs="Arial"/>
          <w:b/>
          <w:bCs/>
          <w:sz w:val="22"/>
          <w:szCs w:val="22"/>
        </w:rPr>
        <w:t>8</w:t>
      </w:r>
      <w:r w:rsidRPr="004E62C2">
        <w:rPr>
          <w:rFonts w:ascii="Arial" w:hAnsi="Arial" w:cs="Arial"/>
          <w:b/>
          <w:bCs/>
          <w:sz w:val="22"/>
          <w:szCs w:val="22"/>
        </w:rPr>
        <w:t>.</w:t>
      </w:r>
      <w:r w:rsidRPr="004E62C2">
        <w:rPr>
          <w:rFonts w:ascii="Arial" w:hAnsi="Arial" w:cs="Arial"/>
          <w:sz w:val="22"/>
          <w:szCs w:val="22"/>
        </w:rPr>
        <w:t xml:space="preserve"> Contra la presente resolución no procede recurso alguno por tratarse de un acto administrativo de carácter general de conformidad con lo previsto en el artículo 65 de la Ley 1437 de 2011.</w:t>
      </w:r>
    </w:p>
    <w:p w14:paraId="5CFB0505" w14:textId="41405B6D" w:rsidR="00E14DCD" w:rsidRDefault="00E14DCD" w:rsidP="00393CDB">
      <w:pPr>
        <w:spacing w:line="240" w:lineRule="auto"/>
        <w:rPr>
          <w:rFonts w:ascii="Arial" w:hAnsi="Arial" w:cs="Arial"/>
          <w:sz w:val="22"/>
          <w:szCs w:val="22"/>
        </w:rPr>
      </w:pPr>
    </w:p>
    <w:p w14:paraId="5D004212" w14:textId="77777777" w:rsidR="004E62C2" w:rsidRPr="004E62C2" w:rsidRDefault="004E62C2" w:rsidP="00393CDB">
      <w:pPr>
        <w:spacing w:line="240" w:lineRule="auto"/>
        <w:rPr>
          <w:rFonts w:ascii="Arial" w:hAnsi="Arial" w:cs="Arial"/>
          <w:sz w:val="22"/>
          <w:szCs w:val="22"/>
        </w:rPr>
      </w:pPr>
    </w:p>
    <w:p w14:paraId="7D88A30C" w14:textId="522FCCAC" w:rsidR="00E14DCD" w:rsidRPr="004E62C2" w:rsidRDefault="00505899" w:rsidP="00393CDB">
      <w:pPr>
        <w:spacing w:line="240" w:lineRule="auto"/>
        <w:rPr>
          <w:rFonts w:ascii="Arial" w:hAnsi="Arial" w:cs="Arial"/>
          <w:sz w:val="22"/>
          <w:szCs w:val="22"/>
        </w:rPr>
      </w:pPr>
      <w:r w:rsidRPr="004E62C2">
        <w:rPr>
          <w:rFonts w:ascii="Arial" w:hAnsi="Arial" w:cs="Arial"/>
          <w:sz w:val="22"/>
          <w:szCs w:val="22"/>
        </w:rPr>
        <w:t>Dada en Bogotá D.C., a los DIA_S días del mes MES_S de ANHO_S.</w:t>
      </w:r>
    </w:p>
    <w:p w14:paraId="7DE3F0E7" w14:textId="77777777" w:rsidR="00E14DCD" w:rsidRPr="004E62C2" w:rsidRDefault="00E14DCD" w:rsidP="00393CDB">
      <w:pPr>
        <w:spacing w:line="240" w:lineRule="auto"/>
        <w:rPr>
          <w:rFonts w:ascii="Arial" w:hAnsi="Arial" w:cs="Arial"/>
          <w:sz w:val="22"/>
          <w:szCs w:val="22"/>
        </w:rPr>
      </w:pPr>
    </w:p>
    <w:p w14:paraId="2188E9F6" w14:textId="77777777" w:rsidR="00B270EE" w:rsidRPr="004E62C2" w:rsidRDefault="00B270EE" w:rsidP="00B270EE">
      <w:pPr>
        <w:rPr>
          <w:rFonts w:ascii="Arial" w:hAnsi="Arial" w:cs="Arial"/>
          <w:sz w:val="22"/>
          <w:szCs w:val="22"/>
        </w:rPr>
      </w:pPr>
    </w:p>
    <w:p w14:paraId="1C8439BE" w14:textId="77777777" w:rsidR="00B270EE" w:rsidRPr="004E62C2" w:rsidRDefault="00B270EE" w:rsidP="00B270EE">
      <w:pPr>
        <w:rPr>
          <w:rFonts w:ascii="Arial" w:hAnsi="Arial" w:cs="Arial"/>
          <w:sz w:val="22"/>
          <w:szCs w:val="22"/>
        </w:rPr>
      </w:pPr>
    </w:p>
    <w:p w14:paraId="17A7EA6B" w14:textId="5B950952" w:rsidR="00B270EE" w:rsidRPr="004E62C2" w:rsidRDefault="00960CFD" w:rsidP="00B270EE">
      <w:pPr>
        <w:pStyle w:val="Ttulo3"/>
        <w:spacing w:before="0" w:after="0" w:line="240" w:lineRule="auto"/>
        <w:jc w:val="center"/>
        <w:rPr>
          <w:sz w:val="22"/>
          <w:szCs w:val="22"/>
        </w:rPr>
      </w:pPr>
      <w:r w:rsidRPr="004E62C2">
        <w:rPr>
          <w:sz w:val="22"/>
          <w:szCs w:val="22"/>
        </w:rPr>
        <w:t xml:space="preserve"> </w:t>
      </w:r>
      <w:r w:rsidR="00FD01F9" w:rsidRPr="004E62C2">
        <w:rPr>
          <w:sz w:val="22"/>
          <w:szCs w:val="22"/>
        </w:rPr>
        <w:t xml:space="preserve">PUBLIQUESE, </w:t>
      </w:r>
      <w:r w:rsidRPr="004E62C2">
        <w:rPr>
          <w:sz w:val="22"/>
          <w:szCs w:val="22"/>
        </w:rPr>
        <w:t>COMUNIQUESE</w:t>
      </w:r>
      <w:r w:rsidR="00E14DCD" w:rsidRPr="004E62C2">
        <w:rPr>
          <w:sz w:val="22"/>
          <w:szCs w:val="22"/>
        </w:rPr>
        <w:t xml:space="preserve"> Y</w:t>
      </w:r>
      <w:r w:rsidR="00B270EE" w:rsidRPr="004E62C2">
        <w:rPr>
          <w:sz w:val="22"/>
          <w:szCs w:val="22"/>
        </w:rPr>
        <w:t xml:space="preserve"> CÚMPLASE</w:t>
      </w:r>
    </w:p>
    <w:p w14:paraId="3B826CB5" w14:textId="5A06CDDF" w:rsidR="008A4EAA" w:rsidRPr="004E62C2" w:rsidRDefault="008A4EAA" w:rsidP="002B384A">
      <w:pPr>
        <w:jc w:val="center"/>
        <w:rPr>
          <w:rFonts w:ascii="Arial" w:hAnsi="Arial" w:cs="Arial"/>
          <w:sz w:val="22"/>
          <w:szCs w:val="22"/>
        </w:rPr>
      </w:pPr>
    </w:p>
    <w:p w14:paraId="12D15C1D" w14:textId="77777777" w:rsidR="00076043" w:rsidRPr="004E62C2" w:rsidRDefault="00076043" w:rsidP="00076043">
      <w:pPr>
        <w:spacing w:line="240" w:lineRule="auto"/>
        <w:jc w:val="center"/>
        <w:rPr>
          <w:rFonts w:ascii="Georgia" w:hAnsi="Georgia" w:cstheme="minorHAnsi"/>
          <w:i/>
          <w:iCs/>
          <w:color w:val="4A442A" w:themeColor="background2" w:themeShade="40"/>
          <w:sz w:val="22"/>
          <w:szCs w:val="22"/>
        </w:rPr>
      </w:pPr>
      <w:r w:rsidRPr="004E62C2">
        <w:rPr>
          <w:rFonts w:ascii="Georgia" w:hAnsi="Georgia" w:cstheme="minorHAnsi"/>
          <w:i/>
          <w:iCs/>
          <w:color w:val="4A442A" w:themeColor="background2" w:themeShade="40"/>
          <w:sz w:val="22"/>
          <w:szCs w:val="22"/>
          <w:highlight w:val="lightGray"/>
        </w:rPr>
        <w:t>${FIRMA}</w:t>
      </w:r>
    </w:p>
    <w:p w14:paraId="1FF28A0A" w14:textId="36A665AB" w:rsidR="002B384A" w:rsidRPr="004E62C2" w:rsidRDefault="002B384A" w:rsidP="00B270EE">
      <w:pPr>
        <w:spacing w:line="240" w:lineRule="auto"/>
        <w:rPr>
          <w:rFonts w:ascii="Arial" w:hAnsi="Arial" w:cs="Arial"/>
          <w:b/>
          <w:sz w:val="22"/>
          <w:szCs w:val="22"/>
          <w:u w:val="single"/>
        </w:rPr>
      </w:pPr>
    </w:p>
    <w:p w14:paraId="28972844" w14:textId="77777777" w:rsidR="002B384A" w:rsidRPr="004E62C2" w:rsidRDefault="002B384A" w:rsidP="00B270EE">
      <w:pPr>
        <w:spacing w:line="240" w:lineRule="auto"/>
        <w:rPr>
          <w:rFonts w:ascii="Arial" w:hAnsi="Arial" w:cs="Arial"/>
          <w:sz w:val="22"/>
          <w:szCs w:val="22"/>
        </w:rPr>
      </w:pPr>
    </w:p>
    <w:p w14:paraId="47174FA4" w14:textId="645720A4" w:rsidR="00073EDF" w:rsidRPr="004E62C2" w:rsidRDefault="00073EDF" w:rsidP="00073EDF">
      <w:pPr>
        <w:spacing w:line="240" w:lineRule="auto"/>
        <w:jc w:val="center"/>
        <w:rPr>
          <w:rFonts w:ascii="Arial" w:hAnsi="Arial" w:cs="Arial"/>
          <w:sz w:val="22"/>
          <w:szCs w:val="22"/>
        </w:rPr>
      </w:pPr>
      <w:r w:rsidRPr="004E62C2">
        <w:rPr>
          <w:rFonts w:ascii="Arial" w:hAnsi="Arial" w:cs="Arial"/>
          <w:sz w:val="22"/>
          <w:szCs w:val="22"/>
        </w:rPr>
        <w:t>Martha Lucia Rico Santos</w:t>
      </w:r>
    </w:p>
    <w:p w14:paraId="6380A794" w14:textId="15372201" w:rsidR="00C44C60" w:rsidRPr="004E62C2" w:rsidRDefault="00073EDF" w:rsidP="00B270EE">
      <w:pPr>
        <w:spacing w:line="240" w:lineRule="auto"/>
        <w:jc w:val="center"/>
        <w:rPr>
          <w:rFonts w:ascii="Arial" w:hAnsi="Arial" w:cs="Arial"/>
          <w:b/>
          <w:bCs/>
          <w:sz w:val="22"/>
          <w:szCs w:val="22"/>
        </w:rPr>
      </w:pPr>
      <w:r w:rsidRPr="004E62C2">
        <w:rPr>
          <w:rFonts w:ascii="Arial" w:hAnsi="Arial" w:cs="Arial"/>
          <w:b/>
          <w:bCs/>
          <w:sz w:val="22"/>
          <w:szCs w:val="22"/>
        </w:rPr>
        <w:t>DIRECTORA FINANCIERA SUPERITENDENCIA NACIONAL DE SALUD</w:t>
      </w:r>
    </w:p>
    <w:p w14:paraId="690CFC14" w14:textId="322F7ECE" w:rsidR="00073EDF" w:rsidRDefault="00073EDF" w:rsidP="00B270EE">
      <w:pPr>
        <w:spacing w:line="240" w:lineRule="auto"/>
        <w:jc w:val="center"/>
        <w:rPr>
          <w:rFonts w:ascii="Arial" w:hAnsi="Arial" w:cs="Arial"/>
          <w:sz w:val="22"/>
          <w:szCs w:val="22"/>
        </w:rPr>
      </w:pPr>
    </w:p>
    <w:p w14:paraId="6320821F" w14:textId="77777777" w:rsidR="00073EDF" w:rsidRPr="00270F86" w:rsidRDefault="00073EDF" w:rsidP="00B270EE">
      <w:pPr>
        <w:spacing w:line="240" w:lineRule="auto"/>
        <w:jc w:val="center"/>
        <w:rPr>
          <w:rFonts w:ascii="Arial" w:hAnsi="Arial" w:cs="Arial"/>
          <w:sz w:val="22"/>
          <w:szCs w:val="22"/>
        </w:rPr>
      </w:pPr>
    </w:p>
    <w:p w14:paraId="34E562C3" w14:textId="77777777" w:rsidR="00505899" w:rsidRPr="00270F86" w:rsidRDefault="00505899" w:rsidP="00505899">
      <w:pPr>
        <w:spacing w:line="240" w:lineRule="auto"/>
        <w:rPr>
          <w:rFonts w:ascii="Arial" w:hAnsi="Arial" w:cs="Arial"/>
          <w:sz w:val="12"/>
          <w:szCs w:val="12"/>
        </w:rPr>
      </w:pPr>
      <w:r w:rsidRPr="00270F86">
        <w:rPr>
          <w:rFonts w:ascii="Arial" w:hAnsi="Arial" w:cs="Arial"/>
          <w:sz w:val="12"/>
          <w:szCs w:val="12"/>
        </w:rPr>
        <w:t>Proyectó: USUA_PROYECTO</w:t>
      </w:r>
    </w:p>
    <w:p w14:paraId="5F0AA496" w14:textId="77777777" w:rsidR="00505899" w:rsidRPr="00270F86" w:rsidRDefault="00505899" w:rsidP="00505899">
      <w:pPr>
        <w:spacing w:line="240" w:lineRule="auto"/>
        <w:rPr>
          <w:rFonts w:ascii="Arial" w:hAnsi="Arial" w:cs="Arial"/>
          <w:sz w:val="12"/>
          <w:szCs w:val="12"/>
        </w:rPr>
      </w:pPr>
      <w:r w:rsidRPr="00270F86">
        <w:rPr>
          <w:rFonts w:ascii="Arial" w:hAnsi="Arial" w:cs="Arial"/>
          <w:sz w:val="12"/>
          <w:szCs w:val="12"/>
        </w:rPr>
        <w:t>Revisó: USUA_REVISO</w:t>
      </w:r>
    </w:p>
    <w:p w14:paraId="5DD42417" w14:textId="3EAEC4E9" w:rsidR="00490FE5" w:rsidRDefault="00505899" w:rsidP="00490FE5">
      <w:pPr>
        <w:spacing w:line="240" w:lineRule="auto"/>
        <w:rPr>
          <w:rFonts w:ascii="Arial" w:hAnsi="Arial" w:cs="Arial"/>
          <w:sz w:val="12"/>
          <w:szCs w:val="12"/>
        </w:rPr>
      </w:pPr>
      <w:r w:rsidRPr="00270F86">
        <w:rPr>
          <w:rFonts w:ascii="Arial" w:hAnsi="Arial" w:cs="Arial"/>
          <w:sz w:val="12"/>
          <w:szCs w:val="12"/>
        </w:rPr>
        <w:t>Aprobó: USUA_APROBO</w:t>
      </w:r>
    </w:p>
    <w:p w14:paraId="3F565B1D" w14:textId="469393BF" w:rsidR="00F50C29" w:rsidRDefault="00F50C29" w:rsidP="00490FE5">
      <w:pPr>
        <w:spacing w:line="240" w:lineRule="auto"/>
        <w:rPr>
          <w:rFonts w:ascii="Arial" w:hAnsi="Arial" w:cs="Arial"/>
          <w:sz w:val="12"/>
          <w:szCs w:val="12"/>
        </w:rPr>
      </w:pPr>
    </w:p>
    <w:p w14:paraId="2697E7DF" w14:textId="2CA7158D" w:rsidR="00BF5738" w:rsidRDefault="00BF5738" w:rsidP="00D92CC3">
      <w:pPr>
        <w:spacing w:line="240" w:lineRule="auto"/>
        <w:jc w:val="center"/>
        <w:rPr>
          <w:rFonts w:ascii="Arial" w:hAnsi="Arial" w:cs="Arial"/>
          <w:sz w:val="12"/>
          <w:szCs w:val="12"/>
        </w:rPr>
      </w:pPr>
    </w:p>
    <w:p w14:paraId="52EB65FD" w14:textId="77777777" w:rsidR="00B16758" w:rsidRPr="00490FE5" w:rsidRDefault="00B16758" w:rsidP="00490FE5">
      <w:pPr>
        <w:spacing w:line="240" w:lineRule="auto"/>
        <w:rPr>
          <w:rFonts w:ascii="Arial" w:hAnsi="Arial" w:cs="Arial"/>
          <w:sz w:val="12"/>
          <w:szCs w:val="12"/>
        </w:rPr>
      </w:pPr>
    </w:p>
    <w:sectPr w:rsidR="00B16758" w:rsidRPr="00490FE5" w:rsidSect="00F172D6">
      <w:headerReference w:type="even" r:id="rId14"/>
      <w:headerReference w:type="default" r:id="rId15"/>
      <w:footerReference w:type="even" r:id="rId16"/>
      <w:footerReference w:type="default" r:id="rId17"/>
      <w:headerReference w:type="first" r:id="rId18"/>
      <w:footerReference w:type="first" r:id="rId19"/>
      <w:pgSz w:w="12240" w:h="18720" w:code="14"/>
      <w:pgMar w:top="1985" w:right="1418" w:bottom="1985" w:left="1418"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7C9B" w14:textId="77777777" w:rsidR="00332255" w:rsidRDefault="00332255" w:rsidP="00B270EE">
      <w:pPr>
        <w:spacing w:line="240" w:lineRule="auto"/>
      </w:pPr>
      <w:r>
        <w:separator/>
      </w:r>
    </w:p>
  </w:endnote>
  <w:endnote w:type="continuationSeparator" w:id="0">
    <w:p w14:paraId="7291787B" w14:textId="77777777" w:rsidR="00332255" w:rsidRDefault="00332255" w:rsidP="00B27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0549" w14:textId="77777777" w:rsidR="00472CD5" w:rsidRDefault="00472C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E569" w14:textId="1529AEB4" w:rsidR="00E940DF" w:rsidRPr="00E940DF" w:rsidRDefault="00E940DF">
    <w:pPr>
      <w:tabs>
        <w:tab w:val="center" w:pos="4550"/>
        <w:tab w:val="left" w:pos="5818"/>
      </w:tabs>
      <w:ind w:right="260"/>
      <w:jc w:val="right"/>
      <w:rPr>
        <w:rFonts w:ascii="Arial" w:hAnsi="Arial" w:cs="Arial"/>
        <w:sz w:val="16"/>
        <w:szCs w:val="16"/>
      </w:rPr>
    </w:pPr>
    <w:r>
      <w:rPr>
        <w:rFonts w:ascii="Arial" w:hAnsi="Arial" w:cs="Arial"/>
        <w:spacing w:val="60"/>
        <w:sz w:val="16"/>
        <w:szCs w:val="16"/>
      </w:rPr>
      <w:t>GDFLO1</w:t>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sidRPr="00E940DF">
      <w:rPr>
        <w:rFonts w:ascii="Arial" w:hAnsi="Arial" w:cs="Arial"/>
        <w:spacing w:val="60"/>
        <w:sz w:val="16"/>
        <w:szCs w:val="16"/>
      </w:rPr>
      <w:t>Página</w:t>
    </w:r>
    <w:r w:rsidRPr="00E940DF">
      <w:rPr>
        <w:rFonts w:ascii="Arial" w:hAnsi="Arial" w:cs="Arial"/>
        <w:sz w:val="16"/>
        <w:szCs w:val="16"/>
      </w:rPr>
      <w:t xml:space="preserve"> </w:t>
    </w:r>
    <w:r w:rsidRPr="00E940DF">
      <w:rPr>
        <w:rFonts w:ascii="Arial" w:hAnsi="Arial" w:cs="Arial"/>
        <w:sz w:val="16"/>
        <w:szCs w:val="16"/>
      </w:rPr>
      <w:fldChar w:fldCharType="begin"/>
    </w:r>
    <w:r w:rsidRPr="00E940DF">
      <w:rPr>
        <w:rFonts w:ascii="Arial" w:hAnsi="Arial" w:cs="Arial"/>
        <w:sz w:val="16"/>
        <w:szCs w:val="16"/>
      </w:rPr>
      <w:instrText>PAGE   \* MERGEFORMAT</w:instrText>
    </w:r>
    <w:r w:rsidRPr="00E940DF">
      <w:rPr>
        <w:rFonts w:ascii="Arial" w:hAnsi="Arial" w:cs="Arial"/>
        <w:sz w:val="16"/>
        <w:szCs w:val="16"/>
      </w:rPr>
      <w:fldChar w:fldCharType="separate"/>
    </w:r>
    <w:r w:rsidRPr="00E940DF">
      <w:rPr>
        <w:rFonts w:ascii="Arial" w:hAnsi="Arial" w:cs="Arial"/>
        <w:sz w:val="16"/>
        <w:szCs w:val="16"/>
      </w:rPr>
      <w:t>1</w:t>
    </w:r>
    <w:r w:rsidRPr="00E940DF">
      <w:rPr>
        <w:rFonts w:ascii="Arial" w:hAnsi="Arial" w:cs="Arial"/>
        <w:sz w:val="16"/>
        <w:szCs w:val="16"/>
      </w:rPr>
      <w:fldChar w:fldCharType="end"/>
    </w:r>
    <w:r w:rsidRPr="00E940DF">
      <w:rPr>
        <w:rFonts w:ascii="Arial" w:hAnsi="Arial" w:cs="Arial"/>
        <w:sz w:val="16"/>
        <w:szCs w:val="16"/>
      </w:rPr>
      <w:t xml:space="preserve"> | </w:t>
    </w:r>
    <w:r w:rsidRPr="00E940DF">
      <w:rPr>
        <w:rFonts w:ascii="Arial" w:hAnsi="Arial" w:cs="Arial"/>
        <w:sz w:val="16"/>
        <w:szCs w:val="16"/>
      </w:rPr>
      <w:fldChar w:fldCharType="begin"/>
    </w:r>
    <w:r w:rsidRPr="00E940DF">
      <w:rPr>
        <w:rFonts w:ascii="Arial" w:hAnsi="Arial" w:cs="Arial"/>
        <w:sz w:val="16"/>
        <w:szCs w:val="16"/>
      </w:rPr>
      <w:instrText>NUMPAGES  \* Arabic  \* MERGEFORMAT</w:instrText>
    </w:r>
    <w:r w:rsidRPr="00E940DF">
      <w:rPr>
        <w:rFonts w:ascii="Arial" w:hAnsi="Arial" w:cs="Arial"/>
        <w:sz w:val="16"/>
        <w:szCs w:val="16"/>
      </w:rPr>
      <w:fldChar w:fldCharType="separate"/>
    </w:r>
    <w:r w:rsidRPr="00E940DF">
      <w:rPr>
        <w:rFonts w:ascii="Arial" w:hAnsi="Arial" w:cs="Arial"/>
        <w:sz w:val="16"/>
        <w:szCs w:val="16"/>
      </w:rPr>
      <w:t>1</w:t>
    </w:r>
    <w:r w:rsidRPr="00E940DF">
      <w:rPr>
        <w:rFonts w:ascii="Arial" w:hAnsi="Arial" w:cs="Arial"/>
        <w:sz w:val="16"/>
        <w:szCs w:val="16"/>
      </w:rPr>
      <w:fldChar w:fldCharType="end"/>
    </w:r>
  </w:p>
  <w:p w14:paraId="19EF215B" w14:textId="77777777" w:rsidR="00E940DF" w:rsidRPr="00E940DF" w:rsidRDefault="00E940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F4CE" w14:textId="2B466E26" w:rsidR="00E940DF" w:rsidRPr="00E940DF" w:rsidRDefault="00E940DF" w:rsidP="00E940DF">
    <w:pPr>
      <w:tabs>
        <w:tab w:val="center" w:pos="4550"/>
        <w:tab w:val="left" w:pos="5818"/>
      </w:tabs>
      <w:ind w:right="260"/>
      <w:jc w:val="left"/>
      <w:rPr>
        <w:rFonts w:ascii="Arial" w:hAnsi="Arial" w:cs="Arial"/>
        <w:sz w:val="16"/>
        <w:szCs w:val="16"/>
      </w:rPr>
    </w:pPr>
    <w:r>
      <w:rPr>
        <w:rFonts w:ascii="Arial" w:hAnsi="Arial" w:cs="Arial"/>
        <w:spacing w:val="60"/>
        <w:sz w:val="16"/>
        <w:szCs w:val="16"/>
      </w:rPr>
      <w:t>GDFLO1</w:t>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Pr>
        <w:rFonts w:ascii="Arial" w:hAnsi="Arial" w:cs="Arial"/>
        <w:spacing w:val="60"/>
        <w:sz w:val="16"/>
        <w:szCs w:val="16"/>
      </w:rPr>
      <w:tab/>
    </w:r>
    <w:r w:rsidRPr="00E940DF">
      <w:rPr>
        <w:rFonts w:ascii="Arial" w:hAnsi="Arial" w:cs="Arial"/>
        <w:spacing w:val="60"/>
        <w:sz w:val="16"/>
        <w:szCs w:val="16"/>
      </w:rPr>
      <w:t>Página</w:t>
    </w:r>
    <w:r w:rsidRPr="00E940DF">
      <w:rPr>
        <w:rFonts w:ascii="Arial" w:hAnsi="Arial" w:cs="Arial"/>
        <w:sz w:val="16"/>
        <w:szCs w:val="16"/>
      </w:rPr>
      <w:t xml:space="preserve"> </w:t>
    </w:r>
    <w:r w:rsidRPr="00E940DF">
      <w:rPr>
        <w:rFonts w:ascii="Arial" w:hAnsi="Arial" w:cs="Arial"/>
        <w:sz w:val="16"/>
        <w:szCs w:val="16"/>
      </w:rPr>
      <w:fldChar w:fldCharType="begin"/>
    </w:r>
    <w:r w:rsidRPr="00E940DF">
      <w:rPr>
        <w:rFonts w:ascii="Arial" w:hAnsi="Arial" w:cs="Arial"/>
        <w:sz w:val="16"/>
        <w:szCs w:val="16"/>
      </w:rPr>
      <w:instrText>PAGE   \* MERGEFORMAT</w:instrText>
    </w:r>
    <w:r w:rsidRPr="00E940DF">
      <w:rPr>
        <w:rFonts w:ascii="Arial" w:hAnsi="Arial" w:cs="Arial"/>
        <w:sz w:val="16"/>
        <w:szCs w:val="16"/>
      </w:rPr>
      <w:fldChar w:fldCharType="separate"/>
    </w:r>
    <w:r w:rsidRPr="00E940DF">
      <w:rPr>
        <w:rFonts w:ascii="Arial" w:hAnsi="Arial" w:cs="Arial"/>
        <w:sz w:val="16"/>
        <w:szCs w:val="16"/>
      </w:rPr>
      <w:t>1</w:t>
    </w:r>
    <w:r w:rsidRPr="00E940DF">
      <w:rPr>
        <w:rFonts w:ascii="Arial" w:hAnsi="Arial" w:cs="Arial"/>
        <w:sz w:val="16"/>
        <w:szCs w:val="16"/>
      </w:rPr>
      <w:fldChar w:fldCharType="end"/>
    </w:r>
    <w:r w:rsidRPr="00E940DF">
      <w:rPr>
        <w:rFonts w:ascii="Arial" w:hAnsi="Arial" w:cs="Arial"/>
        <w:sz w:val="16"/>
        <w:szCs w:val="16"/>
      </w:rPr>
      <w:t xml:space="preserve"> / </w:t>
    </w:r>
    <w:r w:rsidRPr="00E940DF">
      <w:rPr>
        <w:rFonts w:ascii="Arial" w:hAnsi="Arial" w:cs="Arial"/>
        <w:sz w:val="16"/>
        <w:szCs w:val="16"/>
      </w:rPr>
      <w:fldChar w:fldCharType="begin"/>
    </w:r>
    <w:r w:rsidRPr="00E940DF">
      <w:rPr>
        <w:rFonts w:ascii="Arial" w:hAnsi="Arial" w:cs="Arial"/>
        <w:sz w:val="16"/>
        <w:szCs w:val="16"/>
      </w:rPr>
      <w:instrText>NUMPAGES  \* Arabic  \* MERGEFORMAT</w:instrText>
    </w:r>
    <w:r w:rsidRPr="00E940DF">
      <w:rPr>
        <w:rFonts w:ascii="Arial" w:hAnsi="Arial" w:cs="Arial"/>
        <w:sz w:val="16"/>
        <w:szCs w:val="16"/>
      </w:rPr>
      <w:fldChar w:fldCharType="separate"/>
    </w:r>
    <w:r w:rsidRPr="00E940DF">
      <w:rPr>
        <w:rFonts w:ascii="Arial" w:hAnsi="Arial" w:cs="Arial"/>
        <w:sz w:val="16"/>
        <w:szCs w:val="16"/>
      </w:rPr>
      <w:t>1</w:t>
    </w:r>
    <w:r w:rsidRPr="00E940DF">
      <w:rPr>
        <w:rFonts w:ascii="Arial" w:hAnsi="Arial" w:cs="Arial"/>
        <w:sz w:val="16"/>
        <w:szCs w:val="16"/>
      </w:rPr>
      <w:fldChar w:fldCharType="end"/>
    </w:r>
  </w:p>
  <w:p w14:paraId="7EA5DD9E" w14:textId="77777777" w:rsidR="00E940DF" w:rsidRDefault="00E940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F138" w14:textId="77777777" w:rsidR="00332255" w:rsidRDefault="00332255" w:rsidP="00B270EE">
      <w:pPr>
        <w:spacing w:line="240" w:lineRule="auto"/>
      </w:pPr>
      <w:r>
        <w:separator/>
      </w:r>
    </w:p>
  </w:footnote>
  <w:footnote w:type="continuationSeparator" w:id="0">
    <w:p w14:paraId="5681523B" w14:textId="77777777" w:rsidR="00332255" w:rsidRDefault="00332255" w:rsidP="00B27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264B" w14:textId="77777777" w:rsidR="00472CD5" w:rsidRDefault="00472C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DBD5" w14:textId="745C138F" w:rsidR="0002775F" w:rsidRPr="00997236" w:rsidRDefault="0002775F">
    <w:pPr>
      <w:pStyle w:val="Encabezado"/>
      <w:jc w:val="center"/>
      <w:rPr>
        <w:u w:val="single"/>
      </w:rPr>
    </w:pPr>
    <w:r>
      <w:rPr>
        <w:sz w:val="22"/>
      </w:rPr>
      <w:t>RESOLUCIÓN N</w:t>
    </w:r>
    <w:r w:rsidR="000010E4">
      <w:rPr>
        <w:sz w:val="22"/>
      </w:rPr>
      <w:t>o</w:t>
    </w:r>
    <w:r w:rsidR="00A919D8">
      <w:rPr>
        <w:sz w:val="22"/>
      </w:rPr>
      <w:t xml:space="preserve"> RA_NOTI_S</w:t>
    </w:r>
    <w:r w:rsidR="00490FE5">
      <w:rPr>
        <w:sz w:val="32"/>
      </w:rPr>
      <w:t xml:space="preserve"> </w:t>
    </w:r>
    <w:r>
      <w:rPr>
        <w:sz w:val="22"/>
      </w:rPr>
      <w:t>DE</w:t>
    </w:r>
    <w:r w:rsidR="00472CD5">
      <w:rPr>
        <w:sz w:val="22"/>
      </w:rPr>
      <w:t xml:space="preserve"> ANHO_S </w:t>
    </w:r>
    <w:r w:rsidR="000010E4" w:rsidRPr="000010E4">
      <w:rPr>
        <w:sz w:val="22"/>
        <w:lang w:val="es-ES"/>
      </w:rPr>
      <w:t xml:space="preserve">Página </w:t>
    </w:r>
    <w:r w:rsidR="000010E4" w:rsidRPr="000010E4">
      <w:rPr>
        <w:b/>
        <w:bCs/>
        <w:sz w:val="22"/>
      </w:rPr>
      <w:fldChar w:fldCharType="begin"/>
    </w:r>
    <w:r w:rsidR="000010E4" w:rsidRPr="000010E4">
      <w:rPr>
        <w:b/>
        <w:bCs/>
        <w:sz w:val="22"/>
      </w:rPr>
      <w:instrText>PAGE  \* Arabic  \* MERGEFORMAT</w:instrText>
    </w:r>
    <w:r w:rsidR="000010E4" w:rsidRPr="000010E4">
      <w:rPr>
        <w:b/>
        <w:bCs/>
        <w:sz w:val="22"/>
      </w:rPr>
      <w:fldChar w:fldCharType="separate"/>
    </w:r>
    <w:r w:rsidR="000010E4" w:rsidRPr="000010E4">
      <w:rPr>
        <w:b/>
        <w:bCs/>
        <w:sz w:val="22"/>
        <w:lang w:val="es-ES"/>
      </w:rPr>
      <w:t>1</w:t>
    </w:r>
    <w:r w:rsidR="000010E4" w:rsidRPr="000010E4">
      <w:rPr>
        <w:b/>
        <w:bCs/>
        <w:sz w:val="22"/>
      </w:rPr>
      <w:fldChar w:fldCharType="end"/>
    </w:r>
    <w:r w:rsidR="000010E4" w:rsidRPr="000010E4">
      <w:rPr>
        <w:sz w:val="22"/>
        <w:lang w:val="es-ES"/>
      </w:rPr>
      <w:t xml:space="preserve"> de </w:t>
    </w:r>
    <w:r w:rsidR="000010E4" w:rsidRPr="000010E4">
      <w:rPr>
        <w:b/>
        <w:bCs/>
        <w:sz w:val="22"/>
      </w:rPr>
      <w:fldChar w:fldCharType="begin"/>
    </w:r>
    <w:r w:rsidR="000010E4" w:rsidRPr="000010E4">
      <w:rPr>
        <w:b/>
        <w:bCs/>
        <w:sz w:val="22"/>
      </w:rPr>
      <w:instrText>NUMPAGES  \* Arabic  \* MERGEFORMAT</w:instrText>
    </w:r>
    <w:r w:rsidR="000010E4" w:rsidRPr="000010E4">
      <w:rPr>
        <w:b/>
        <w:bCs/>
        <w:sz w:val="22"/>
      </w:rPr>
      <w:fldChar w:fldCharType="separate"/>
    </w:r>
    <w:r w:rsidR="000010E4" w:rsidRPr="000010E4">
      <w:rPr>
        <w:b/>
        <w:bCs/>
        <w:sz w:val="22"/>
        <w:lang w:val="es-ES"/>
      </w:rPr>
      <w:t>2</w:t>
    </w:r>
    <w:r w:rsidR="000010E4" w:rsidRPr="000010E4">
      <w:rPr>
        <w:b/>
        <w:bCs/>
        <w:sz w:val="22"/>
      </w:rPr>
      <w:fldChar w:fldCharType="end"/>
    </w:r>
  </w:p>
  <w:p w14:paraId="55D8B744" w14:textId="77777777" w:rsidR="00120D90" w:rsidRDefault="0002775F" w:rsidP="00AB3E28">
    <w:pPr>
      <w:spacing w:line="240" w:lineRule="auto"/>
      <w:jc w:val="center"/>
      <w:rPr>
        <w:rFonts w:ascii="Arial" w:hAnsi="Arial" w:cs="Arial"/>
        <w:sz w:val="22"/>
        <w:szCs w:val="22"/>
      </w:rPr>
    </w:pPr>
    <w:r>
      <w:rPr>
        <w:noProof/>
        <w:spacing w:val="12"/>
        <w:lang w:val="es-CO" w:eastAsia="es-CO"/>
      </w:rPr>
      <mc:AlternateContent>
        <mc:Choice Requires="wps">
          <w:drawing>
            <wp:anchor distT="0" distB="0" distL="114300" distR="114300" simplePos="0" relativeHeight="251659264" behindDoc="1" locked="0" layoutInCell="1" allowOverlap="1" wp14:anchorId="6A9ADCE4" wp14:editId="20E613D3">
              <wp:simplePos x="0" y="0"/>
              <wp:positionH relativeFrom="column">
                <wp:posOffset>-186055</wp:posOffset>
              </wp:positionH>
              <wp:positionV relativeFrom="paragraph">
                <wp:posOffset>97155</wp:posOffset>
              </wp:positionV>
              <wp:extent cx="6362065" cy="10677525"/>
              <wp:effectExtent l="0" t="0" r="19685" b="2857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065" cy="10677525"/>
                      </a:xfrm>
                      <a:prstGeom prst="roundRect">
                        <a:avLst>
                          <a:gd name="adj" fmla="val 2285"/>
                        </a:avLst>
                      </a:prstGeom>
                      <a:solidFill>
                        <a:srgbClr val="FFFFFF"/>
                      </a:solidFill>
                      <a:ln w="9525" cap="rnd">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F67F6" id="Rectangle 4" o:spid="_x0000_s1026" style="position:absolute;margin-left:-14.65pt;margin-top:7.65pt;width:500.95pt;height:84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MNQIAAGsEAAAOAAAAZHJzL2Uyb0RvYy54bWysVG1v0zAQ/o7Ef7D8nSUNfdmipdO0UYQ0&#10;YGLwA6620xgc25zdpuXXc3HS0gGfEPlg3fnOj5977pzrm31r2E5h0M5WfHKRc6ascFLbTcW/fF69&#10;uuQsRLASjLOq4gcV+M3y5YvrzpeqcI0zUiEjEBvKzle8idGXWRZEo1oIF84rS8HaYQuRXNxkEqEj&#10;9NZkRZ7Ps86h9OiECoF274cgXyb8ulYifqzroCIzFSduMa2Y1nW/ZstrKDcIvtFipAH/wKIFbenS&#10;E9Q9RGBb1H9AtVqgC66OF8K1matrLVSqgaqZ5L9V89SAV6kWEif4k0zh/8GKD7tHZFpWfMGZhZZa&#10;9IlEA7sxik17eTofSsp68o/YFxj8gxPfArPurqEsdYvoukaBJFKTPj97dqB3Ah1l6+69k4QO2+iS&#10;Uvsa2x6QNGD71JDDqSFqH5mgzfnreZHPZ5wJik3y+WIxK2bpEiiP5z2G+Fa5lvVGxdFtrexLSJfA&#10;7iHE1Bc5VgfyK2d1a6jLOzCsKC6PgGNuBuURMtXrjJYrbUxycLO+M8joZMVX6RvZhPM0Y1lX8aue&#10;KxNAU41WJjrPssI5WJ6+v4GlgtKY9iq/sTLZEbQZbOJr7Ch7r/TQsbWTB1Id3TDx9ELJaBz+4Kyj&#10;aa94+L4FVJyZd5Y6dzWZTvvnkZzpbFGQg+eR9XkErCCoikfOBvMuDk9q61FvGrppksq17pa6Xet4&#10;HIuB1UiWJpqsZ0/m3E9Zv/4Ry58AAAD//wMAUEsDBBQABgAIAAAAIQAeG+Dk4AAAAAsBAAAPAAAA&#10;ZHJzL2Rvd25yZXYueG1sTI/NTsMwEITvSLyDtUjcWocAaRLiVIiIExRoy4XbNjZJRPwj223C27Oc&#10;4LTandHsN9V61iM7KR8GawRcLRNgyrRWDqYT8L5/XOTAQkQjcbRGCfhWAdb1+VmFpbST2arTLnaM&#10;QkwoUUAfoys5D22vNIaldcqQ9mm9xkir77j0OFG4HnmaJBnXOBj60KNTD71qv3ZHLaBxH6l/fZ5y&#10;97LdWGzebp58Y4W4vJjv74BFNcc/M/ziEzrUxHSwRyMDGwUs0uKarCTc0iRDsUozYAc6ZEWWA68r&#10;/r9D/QMAAP//AwBQSwECLQAUAAYACAAAACEAtoM4kv4AAADhAQAAEwAAAAAAAAAAAAAAAAAAAAAA&#10;W0NvbnRlbnRfVHlwZXNdLnhtbFBLAQItABQABgAIAAAAIQA4/SH/1gAAAJQBAAALAAAAAAAAAAAA&#10;AAAAAC8BAABfcmVscy8ucmVsc1BLAQItABQABgAIAAAAIQAx+eNMNQIAAGsEAAAOAAAAAAAAAAAA&#10;AAAAAC4CAABkcnMvZTJvRG9jLnhtbFBLAQItABQABgAIAAAAIQAeG+Dk4AAAAAsBAAAPAAAAAAAA&#10;AAAAAAAAAI8EAABkcnMvZG93bnJldi54bWxQSwUGAAAAAAQABADzAAAAnAUAAAAA&#10;">
              <v:stroke endcap="round"/>
            </v:roundrect>
          </w:pict>
        </mc:Fallback>
      </mc:AlternateContent>
    </w:r>
    <w:r>
      <w:rPr>
        <w:rFonts w:ascii="Arial" w:hAnsi="Arial" w:cs="Arial"/>
        <w:sz w:val="22"/>
        <w:szCs w:val="22"/>
      </w:rPr>
      <w:t xml:space="preserve">                                                                                                                                         </w:t>
    </w:r>
  </w:p>
  <w:p w14:paraId="506C7291" w14:textId="77777777" w:rsidR="00120D90" w:rsidRDefault="00120D90" w:rsidP="00AB3E28">
    <w:pPr>
      <w:spacing w:line="240" w:lineRule="auto"/>
      <w:jc w:val="center"/>
      <w:rPr>
        <w:rFonts w:ascii="Arial" w:hAnsi="Arial" w:cs="Arial"/>
        <w:sz w:val="22"/>
        <w:szCs w:val="22"/>
      </w:rPr>
    </w:pPr>
  </w:p>
  <w:p w14:paraId="5524624E" w14:textId="75FB9ABE" w:rsidR="0002775F" w:rsidRPr="000A377E" w:rsidRDefault="0002775F" w:rsidP="00AB3E28">
    <w:pPr>
      <w:spacing w:line="240" w:lineRule="auto"/>
      <w:jc w:val="center"/>
      <w:rPr>
        <w:rFonts w:ascii="Arial" w:hAnsi="Arial" w:cs="Arial"/>
        <w:sz w:val="22"/>
        <w:szCs w:val="22"/>
      </w:rPr>
    </w:pPr>
    <w:r w:rsidRPr="002A15A8">
      <w:rPr>
        <w:rFonts w:ascii="Arial" w:hAnsi="Arial" w:cs="Arial"/>
      </w:rPr>
      <w:t>Continuación de la resolución,</w:t>
    </w:r>
    <w:r w:rsidRPr="002A15A8">
      <w:rPr>
        <w:rFonts w:ascii="Arial" w:hAnsi="Arial" w:cs="Arial"/>
        <w:b/>
      </w:rPr>
      <w:t xml:space="preserve"> </w:t>
    </w:r>
    <w:r w:rsidR="00505899" w:rsidRPr="00505899">
      <w:rPr>
        <w:rFonts w:ascii="Arial" w:hAnsi="Arial" w:cs="Arial"/>
        <w:b/>
      </w:rPr>
      <w:t>RA_ASUN</w:t>
    </w:r>
  </w:p>
  <w:p w14:paraId="6FDC21B3" w14:textId="000E8E05" w:rsidR="0002775F" w:rsidRDefault="0002775F" w:rsidP="00AB3E28">
    <w:pPr>
      <w:pStyle w:val="Ttulo5"/>
      <w:spacing w:line="240" w:lineRule="auto"/>
      <w:rPr>
        <w:rFonts w:ascii="Arial Narrow" w:hAnsi="Arial Narrow"/>
        <w:i w:val="0"/>
      </w:rPr>
    </w:pPr>
    <w:r>
      <w:rPr>
        <w:rFonts w:ascii="Arial Narrow" w:hAnsi="Arial Narrow"/>
        <w:i w:val="0"/>
        <w:noProof/>
        <w:lang w:val="es-CO" w:eastAsia="es-CO"/>
      </w:rPr>
      <mc:AlternateContent>
        <mc:Choice Requires="wps">
          <w:drawing>
            <wp:anchor distT="4294967295" distB="4294967295" distL="114300" distR="114300" simplePos="0" relativeHeight="251655168" behindDoc="0" locked="0" layoutInCell="1" allowOverlap="1" wp14:anchorId="22AD3818" wp14:editId="1A9BB9D1">
              <wp:simplePos x="0" y="0"/>
              <wp:positionH relativeFrom="column">
                <wp:posOffset>22860</wp:posOffset>
              </wp:positionH>
              <wp:positionV relativeFrom="paragraph">
                <wp:posOffset>29844</wp:posOffset>
              </wp:positionV>
              <wp:extent cx="5688965" cy="0"/>
              <wp:effectExtent l="0" t="0" r="2603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680207" id="_x0000_t32" coordsize="21600,21600" o:spt="32" o:oned="t" path="m,l21600,21600e" filled="f">
              <v:path arrowok="t" fillok="f" o:connecttype="none"/>
              <o:lock v:ext="edit" shapetype="t"/>
            </v:shapetype>
            <v:shape id="AutoShape 3" o:spid="_x0000_s1026" type="#_x0000_t32" style="position:absolute;margin-left:1.8pt;margin-top:2.35pt;width:447.9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XizAEAAHwDAAAOAAAAZHJzL2Uyb0RvYy54bWysU02PEzEMvSPxH6Lc6bSFVt1RpyvUZbks&#10;UGmXH+AmmZmIJI6StDP99zjpBwvcEHOInNjv2X72rO9Ha9hRhajRNXw2mXKmnECpXdfw7y+P71ac&#10;xQROgkGnGn5Skd9v3r5ZD75Wc+zRSBUYkbhYD77hfUq+rqooemUhTtArR84Wg4VE19BVMsBA7NZU&#10;8+l0WQ0YpA8oVIz0+nB28k3hb1sl0re2jSox03CqLZUzlHOfz2qzhroL4HstLmXAP1RhQTtKeqN6&#10;gATsEPRfVFaLgBHbNBFoK2xbLVTpgbqZTf/o5rkHr0ovJE70N5ni/6MVX4+7wLRs+AfOHFga0cdD&#10;wpKZvc/yDD7WFLV1u5AbFKN79k8ofkTmcNuD61QJfjl5ws4yovoNki/RU5L98AUlxQDxF63GNthM&#10;SSqwsYzkdBuJGhMT9LhYrlZ3ywVn4uqroL4CfYjps0LLstHwmALork9bdI4Gj2FW0sDxKaZcFtRX&#10;QM7q8FEbU+ZvHBsafreYLwogotEyO3NYDN1+awI7Qt6g8pUeyfM6LODByULWK5CfLnYCbc42JTfu&#10;Ik1W46zrHuVpF66S0YhLlZd1zDv0+l7Qv36azU8AAAD//wMAUEsDBBQABgAIAAAAIQAxTbBO2gAA&#10;AAUBAAAPAAAAZHJzL2Rvd25yZXYueG1sTI7BTsMwEETvSPyDtUhcEHVaaGlCNlWFxIEjbSWubrwk&#10;gXgdxU4T+vUsXOA4mtGbl28m16oT9aHxjDCfJaCIS28brhAO++fbNagQDVvTeiaELwqwKS4vcpNZ&#10;P/IrnXaxUgLhkBmEOsYu0zqUNTkTZr4jlu7d985EiX2lbW9GgbtWL5JkpZ1pWB5q09FTTeXnbnAI&#10;FIblPNmmrjq8nMebt8X5Y+z2iNdX0/YRVKQp/o3hR1/UoRCnox/YBtUi3K1kiHD/AEradZouQR1/&#10;sy5y/d+++AYAAP//AwBQSwECLQAUAAYACAAAACEAtoM4kv4AAADhAQAAEwAAAAAAAAAAAAAAAAAA&#10;AAAAW0NvbnRlbnRfVHlwZXNdLnhtbFBLAQItABQABgAIAAAAIQA4/SH/1gAAAJQBAAALAAAAAAAA&#10;AAAAAAAAAC8BAABfcmVscy8ucmVsc1BLAQItABQABgAIAAAAIQCOloXizAEAAHwDAAAOAAAAAAAA&#10;AAAAAAAAAC4CAABkcnMvZTJvRG9jLnhtbFBLAQItABQABgAIAAAAIQAxTbBO2gAAAAUBAAAPAAAA&#10;AAAAAAAAAAAAACYEAABkcnMvZG93bnJldi54bWxQSwUGAAAAAAQABADzAAAAL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86E3" w14:textId="5740D339" w:rsidR="0002775F" w:rsidRDefault="00246E53" w:rsidP="00246E53">
    <w:pPr>
      <w:pStyle w:val="Encabezado"/>
      <w:rPr>
        <w:spacing w:val="12"/>
      </w:rPr>
    </w:pPr>
    <w:r>
      <w:rPr>
        <w:noProof/>
      </w:rPr>
      <w:drawing>
        <wp:inline distT="0" distB="0" distL="0" distR="0" wp14:anchorId="5C9A39A5" wp14:editId="46488C6A">
          <wp:extent cx="1647825" cy="5400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871" cy="548218"/>
                  </a:xfrm>
                  <a:prstGeom prst="rect">
                    <a:avLst/>
                  </a:prstGeom>
                  <a:noFill/>
                  <a:ln>
                    <a:noFill/>
                  </a:ln>
                </pic:spPr>
              </pic:pic>
            </a:graphicData>
          </a:graphic>
        </wp:inline>
      </w:drawing>
    </w:r>
  </w:p>
  <w:p w14:paraId="0200A1BD" w14:textId="50D5A9D8" w:rsidR="0002775F" w:rsidRDefault="00246E53">
    <w:pPr>
      <w:pStyle w:val="Encabezado"/>
      <w:jc w:val="center"/>
    </w:pPr>
    <w:r>
      <w:rPr>
        <w:noProof/>
      </w:rPr>
      <mc:AlternateContent>
        <mc:Choice Requires="wps">
          <w:drawing>
            <wp:anchor distT="0" distB="0" distL="114300" distR="114300" simplePos="0" relativeHeight="251658240" behindDoc="0" locked="0" layoutInCell="1" allowOverlap="1" wp14:anchorId="2FE19178" wp14:editId="6D93CBBD">
              <wp:simplePos x="0" y="0"/>
              <wp:positionH relativeFrom="column">
                <wp:posOffset>-138430</wp:posOffset>
              </wp:positionH>
              <wp:positionV relativeFrom="paragraph">
                <wp:posOffset>128905</wp:posOffset>
              </wp:positionV>
              <wp:extent cx="6362065" cy="10239375"/>
              <wp:effectExtent l="0" t="0" r="19685" b="28575"/>
              <wp:wrapNone/>
              <wp:docPr id="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065" cy="10239375"/>
                      </a:xfrm>
                      <a:prstGeom prst="roundRect">
                        <a:avLst>
                          <a:gd name="adj" fmla="val 2285"/>
                        </a:avLst>
                      </a:prstGeom>
                      <a:solidFill>
                        <a:srgbClr val="FFFFFF"/>
                      </a:solidFill>
                      <a:ln w="9525" cap="rnd">
                        <a:solidFill>
                          <a:srgbClr val="0000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7ED9FEAE" id="Rectangle 4" o:spid="_x0000_s1026" style="position:absolute;margin-left:-10.9pt;margin-top:10.15pt;width:500.95pt;height:806.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dZNgIAAGwEAAAOAAAAZHJzL2Uyb0RvYy54bWysVFFv0zAQfkfiP1h+Z0mztlujpdO0UYQ0&#10;YGLwA1zbaQyOz5zdpt2v5+K0pQWeEHmw7nznz999d87N7ba1bKMxGHAVH13knGknQRm3qvjXL4s3&#10;15yFKJwSFpyu+E4Hfjt//eqm86UuoAGrNDICcaHsfMWbGH2ZZUE2uhXhArx2FKwBWxHJxVWmUHSE&#10;3tqsyPNp1gEqjyB1CLT7MAT5POHXtZbxU10HHZmtOHGLacW0Lvs1m9+IcoXCN0buaYh/YNEK4+jS&#10;I9SDiIKt0fwB1RqJEKCOFxLaDOraSJ1qoGpG+W/VPDfC61QLiRP8Uabw/2Dlx80TMqMqfjXjzImW&#10;evSZVBNuZTUb9/p0PpSU9uyfsK8w+EeQ3wNzcN9Qlr5DhK7RQhGrUZ+fnR3onUBH2bL7AIrQxTpC&#10;kmpbY9sDkghsmzqyO3ZEbyOTtDm9nBb5dMKZpNgoLy5nl1eTdIkoD+c9hvhOQ8t6o+IIa6f6EtIl&#10;YvMYYmqM2lcn1DfO6tZSmzfCsqK4PgDuczNRHiBTvWCNWhhrk4Or5b1FRicrvkjfnk04TbOOdRWf&#10;TYqeuaCxRqcSnbOscAqWp+9vYKmgNKe9ym+dSnYUxg428bVuL3uv9NCxJagdqY4wjDw9UTIawBfO&#10;Ohr3iocfa4GaM/veUedmo/G4fx/JGU+uCnLwNLI8jQgnCarikbPBvI/Dm1p7NKuGbhqlch3cUbdr&#10;Ew9jMbDak6WRJuvszZz6KevXT2L+EwAA//8DAFBLAwQUAAYACAAAACEAn1OqDuAAAAALAQAADwAA&#10;AGRycy9kb3ducmV2LnhtbEyPy07DMBBF90j8gzVI7Fo7LqpCGqdCRKx4trDpbhoPSURsR7bbhL/H&#10;rGA5ukf3nim3sxnYmXzonVWQLQUwso3TvW0VfLw/LHJgIaLVODhLCr4pwLa6vCix0G6yOzrvY8tS&#10;iQ0FKuhiHAvOQ9ORwbB0I9mUfTpvMKbTt1x7nFK5GbgUYs0N9jYtdDjSfUfN1/5kFNTjQfrXpykf&#10;X3bPDuu3m0dfO6Wur+a7DbBIc/yD4Vc/qUOVnI7uZHVgg4KFzJJ6VCDFClgCbnORATsmcr2SOfCq&#10;5P9/qH4AAAD//wMAUEsBAi0AFAAGAAgAAAAhALaDOJL+AAAA4QEAABMAAAAAAAAAAAAAAAAAAAAA&#10;AFtDb250ZW50X1R5cGVzXS54bWxQSwECLQAUAAYACAAAACEAOP0h/9YAAACUAQAACwAAAAAAAAAA&#10;AAAAAAAvAQAAX3JlbHMvLnJlbHNQSwECLQAUAAYACAAAACEAyT9XWTYCAABsBAAADgAAAAAAAAAA&#10;AAAAAAAuAgAAZHJzL2Uyb0RvYy54bWxQSwECLQAUAAYACAAAACEAn1OqDuAAAAALAQAADwAAAAAA&#10;AAAAAAAAAACQBAAAZHJzL2Rvd25yZXYueG1sUEsFBgAAAAAEAAQA8wAAAJ0FAAAAAA==&#10;">
              <v:stroke endcap="round"/>
            </v:roundrect>
          </w:pict>
        </mc:Fallback>
      </mc:AlternateContent>
    </w:r>
  </w:p>
  <w:p w14:paraId="6D497905" w14:textId="20859601" w:rsidR="0002775F" w:rsidRDefault="0002775F">
    <w:pPr>
      <w:pStyle w:val="Encabezado"/>
      <w:jc w:val="center"/>
    </w:pPr>
    <w:r>
      <w:rPr>
        <w:noProof/>
        <w:lang w:val="es-CO" w:eastAsia="es-CO"/>
      </w:rPr>
      <mc:AlternateContent>
        <mc:Choice Requires="wps">
          <w:drawing>
            <wp:anchor distT="0" distB="0" distL="114300" distR="114300" simplePos="0" relativeHeight="251656192" behindDoc="1" locked="0" layoutInCell="0" allowOverlap="1" wp14:anchorId="7E5859AA" wp14:editId="68719367">
              <wp:simplePos x="0" y="0"/>
              <wp:positionH relativeFrom="column">
                <wp:posOffset>2028190</wp:posOffset>
              </wp:positionH>
              <wp:positionV relativeFrom="paragraph">
                <wp:posOffset>250190</wp:posOffset>
              </wp:positionV>
              <wp:extent cx="1737995" cy="635"/>
              <wp:effectExtent l="0" t="19050" r="14605" b="565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635"/>
                      </a:xfrm>
                      <a:prstGeom prst="line">
                        <a:avLst/>
                      </a:prstGeom>
                      <a:noFill/>
                      <a:ln w="508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1E03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19.7pt" to="296.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AmxAEAAGwDAAAOAAAAZHJzL2Uyb0RvYy54bWysU01v2zAMvQ/YfxB0X+ykSD+MOD2kyy7Z&#10;FqDdD2Ak2RYqi4KkxM6/H6V8dN1uQ30QKJF8fHykF49jb9hB+aDR1nw6KTlTVqDUtq35r5f1l3vO&#10;QgQrwaBVNT+qwB+Xnz8tBlepGXZopPKMQGyoBlfzLkZXFUUQneohTNApS84GfQ+Rrr4tpIeB0HtT&#10;zMrythjQS+dRqBDo9enk5MuM3zRKxJ9NE1RkpubELebT53OXzmK5gKr14DotzjTgP1j0oC0VvUI9&#10;QQS29/ofqF4LjwGbOBHYF9g0WqjcA3UzLf/q5rkDp3IvJE5wV5nCx8GKH4etZ1rWfMaZhZ5GtNFW&#10;sVlSZnChooCV3frUmxjts9ugeA3M4qoD26rM8OXoKG2aMop3KekSHOHvhu8oKQb2EbNMY+P7BEkC&#10;sDFP43idhhojE/Q4vbu5e3iYcybId3szz/hQXVKdD/Gbwp4lo+aGWGdoOGxCTFSguoSkShbX2pg8&#10;bmPZUPN5eV+WOSOg0TJ5U1zw7W5lPDsAbcw6f+fC78I87q3MaJ0C+fVsR9DmZFN1Y896JAlOYu5Q&#10;Hrf+ohONNNM8r1/amT/vOfvtJ1n+BgAA//8DAFBLAwQUAAYACAAAACEAd+MoQ9sAAAAJAQAADwAA&#10;AGRycy9kb3ducmV2LnhtbEyPTU7DMBCF90jcwRokdtRJSykNcSpUxAFoK7F14iGJiMfBdpqU0zNZ&#10;0dX8Pb33Tb6bbCfO6EPrSEG6SEAgVc60VCs4Hd8fnkGEqMnozhEquGCAXXF7k+vMuJE+8HyItWAT&#10;CplW0MTYZ1KGqkGrw8L1SHz7ct7qyKOvpfF6ZHPbyWWSPEmrW+KERve4b7D6PgyWQ8I+fA59NG/l&#10;5njyv5vx57Kslbq/m15fQESc4r8YZnxGh4KZSjeQCaJTsEq3jyzlZq4sWG9XKYhyXqxBFrm8/qD4&#10;AwAA//8DAFBLAQItABQABgAIAAAAIQC2gziS/gAAAOEBAAATAAAAAAAAAAAAAAAAAAAAAABbQ29u&#10;dGVudF9UeXBlc10ueG1sUEsBAi0AFAAGAAgAAAAhADj9If/WAAAAlAEAAAsAAAAAAAAAAAAAAAAA&#10;LwEAAF9yZWxzLy5yZWxzUEsBAi0AFAAGAAgAAAAhAJWBwCbEAQAAbAMAAA4AAAAAAAAAAAAAAAAA&#10;LgIAAGRycy9lMm9Eb2MueG1sUEsBAi0AFAAGAAgAAAAhAHfjKEPbAAAACQEAAA8AAAAAAAAAAAAA&#10;AAAAHgQAAGRycy9kb3ducmV2LnhtbFBLBQYAAAAABAAEAPMAAAAmBQAAAAA=&#10;" o:allowincell="f" strokecolor="white" strokeweight="4pt"/>
          </w:pict>
        </mc:Fallback>
      </mc:AlternateContent>
    </w:r>
  </w:p>
  <w:p w14:paraId="36B498D9" w14:textId="77777777" w:rsidR="0002775F" w:rsidRDefault="000277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0A8"/>
    <w:multiLevelType w:val="hybridMultilevel"/>
    <w:tmpl w:val="EF3A08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04460D"/>
    <w:multiLevelType w:val="hybridMultilevel"/>
    <w:tmpl w:val="9A0085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C12513"/>
    <w:multiLevelType w:val="hybridMultilevel"/>
    <w:tmpl w:val="15909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FCC4D99"/>
    <w:multiLevelType w:val="hybridMultilevel"/>
    <w:tmpl w:val="B378A1D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861BF9"/>
    <w:multiLevelType w:val="hybridMultilevel"/>
    <w:tmpl w:val="BE8A4E5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19786043">
    <w:abstractNumId w:val="2"/>
  </w:num>
  <w:num w:numId="2" w16cid:durableId="1196819358">
    <w:abstractNumId w:val="0"/>
  </w:num>
  <w:num w:numId="3" w16cid:durableId="1155023535">
    <w:abstractNumId w:val="3"/>
  </w:num>
  <w:num w:numId="4" w16cid:durableId="778377979">
    <w:abstractNumId w:val="4"/>
  </w:num>
  <w:num w:numId="5" w16cid:durableId="192958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EE"/>
    <w:rsid w:val="000010E4"/>
    <w:rsid w:val="000034B2"/>
    <w:rsid w:val="0001003F"/>
    <w:rsid w:val="0001121A"/>
    <w:rsid w:val="000121E0"/>
    <w:rsid w:val="0001335A"/>
    <w:rsid w:val="000150AD"/>
    <w:rsid w:val="00015F22"/>
    <w:rsid w:val="000178B1"/>
    <w:rsid w:val="00022E24"/>
    <w:rsid w:val="000269A7"/>
    <w:rsid w:val="0002775F"/>
    <w:rsid w:val="0003440D"/>
    <w:rsid w:val="00036A00"/>
    <w:rsid w:val="0004065D"/>
    <w:rsid w:val="00042AD2"/>
    <w:rsid w:val="00042D99"/>
    <w:rsid w:val="000512A2"/>
    <w:rsid w:val="0005328A"/>
    <w:rsid w:val="00056576"/>
    <w:rsid w:val="0006048F"/>
    <w:rsid w:val="00066F95"/>
    <w:rsid w:val="00067779"/>
    <w:rsid w:val="00067B7C"/>
    <w:rsid w:val="00070E14"/>
    <w:rsid w:val="00071F4A"/>
    <w:rsid w:val="00072031"/>
    <w:rsid w:val="000725C3"/>
    <w:rsid w:val="00073EDF"/>
    <w:rsid w:val="000759E3"/>
    <w:rsid w:val="000759FD"/>
    <w:rsid w:val="00076043"/>
    <w:rsid w:val="00086654"/>
    <w:rsid w:val="000933DD"/>
    <w:rsid w:val="0009790C"/>
    <w:rsid w:val="000A2299"/>
    <w:rsid w:val="000A25D6"/>
    <w:rsid w:val="000A2907"/>
    <w:rsid w:val="000A4A42"/>
    <w:rsid w:val="000A5BD3"/>
    <w:rsid w:val="000A6C47"/>
    <w:rsid w:val="000B462B"/>
    <w:rsid w:val="000C1C1F"/>
    <w:rsid w:val="000C2700"/>
    <w:rsid w:val="000C5F85"/>
    <w:rsid w:val="000C77D7"/>
    <w:rsid w:val="000D4356"/>
    <w:rsid w:val="000D46F7"/>
    <w:rsid w:val="000D621E"/>
    <w:rsid w:val="000D6365"/>
    <w:rsid w:val="000E0B33"/>
    <w:rsid w:val="000E6798"/>
    <w:rsid w:val="000F0DDE"/>
    <w:rsid w:val="000F3AED"/>
    <w:rsid w:val="000F54BD"/>
    <w:rsid w:val="000F75CF"/>
    <w:rsid w:val="00101A5E"/>
    <w:rsid w:val="001050A8"/>
    <w:rsid w:val="001062B8"/>
    <w:rsid w:val="00110DEA"/>
    <w:rsid w:val="00111D75"/>
    <w:rsid w:val="00115157"/>
    <w:rsid w:val="001155EF"/>
    <w:rsid w:val="0011656F"/>
    <w:rsid w:val="00117820"/>
    <w:rsid w:val="00120D90"/>
    <w:rsid w:val="0012275A"/>
    <w:rsid w:val="00123121"/>
    <w:rsid w:val="00123C2C"/>
    <w:rsid w:val="001243AB"/>
    <w:rsid w:val="001316B5"/>
    <w:rsid w:val="00132803"/>
    <w:rsid w:val="001333E6"/>
    <w:rsid w:val="00134C9D"/>
    <w:rsid w:val="00137623"/>
    <w:rsid w:val="00140286"/>
    <w:rsid w:val="00140359"/>
    <w:rsid w:val="00144E41"/>
    <w:rsid w:val="00146C6F"/>
    <w:rsid w:val="00147AC8"/>
    <w:rsid w:val="00154759"/>
    <w:rsid w:val="00157EC9"/>
    <w:rsid w:val="00163A45"/>
    <w:rsid w:val="001667C2"/>
    <w:rsid w:val="00170C1F"/>
    <w:rsid w:val="00170E49"/>
    <w:rsid w:val="001727D8"/>
    <w:rsid w:val="00172D2A"/>
    <w:rsid w:val="00175AD9"/>
    <w:rsid w:val="00176A61"/>
    <w:rsid w:val="00177CE1"/>
    <w:rsid w:val="00183CDF"/>
    <w:rsid w:val="0018740D"/>
    <w:rsid w:val="001902DC"/>
    <w:rsid w:val="00190372"/>
    <w:rsid w:val="0019395B"/>
    <w:rsid w:val="00197530"/>
    <w:rsid w:val="001A06EB"/>
    <w:rsid w:val="001A39DA"/>
    <w:rsid w:val="001A5733"/>
    <w:rsid w:val="001B0B9D"/>
    <w:rsid w:val="001B1066"/>
    <w:rsid w:val="001B1BE4"/>
    <w:rsid w:val="001B41C1"/>
    <w:rsid w:val="001B496A"/>
    <w:rsid w:val="001B6370"/>
    <w:rsid w:val="001B6ED2"/>
    <w:rsid w:val="001C0CAD"/>
    <w:rsid w:val="001C37FA"/>
    <w:rsid w:val="001C6D20"/>
    <w:rsid w:val="001C789C"/>
    <w:rsid w:val="001D0BAC"/>
    <w:rsid w:val="001D3044"/>
    <w:rsid w:val="001D453B"/>
    <w:rsid w:val="001E1B36"/>
    <w:rsid w:val="001E405D"/>
    <w:rsid w:val="001F5F53"/>
    <w:rsid w:val="001F76FE"/>
    <w:rsid w:val="001F79CB"/>
    <w:rsid w:val="00200C45"/>
    <w:rsid w:val="002023BE"/>
    <w:rsid w:val="00202B4B"/>
    <w:rsid w:val="00203947"/>
    <w:rsid w:val="002059E4"/>
    <w:rsid w:val="002059E8"/>
    <w:rsid w:val="00206CF3"/>
    <w:rsid w:val="00213367"/>
    <w:rsid w:val="00223ACE"/>
    <w:rsid w:val="0022573B"/>
    <w:rsid w:val="00225EFC"/>
    <w:rsid w:val="00226F99"/>
    <w:rsid w:val="00232B4B"/>
    <w:rsid w:val="002347C1"/>
    <w:rsid w:val="00236A07"/>
    <w:rsid w:val="00237A27"/>
    <w:rsid w:val="00237B76"/>
    <w:rsid w:val="00246591"/>
    <w:rsid w:val="00246A22"/>
    <w:rsid w:val="00246E53"/>
    <w:rsid w:val="002470E2"/>
    <w:rsid w:val="002476AD"/>
    <w:rsid w:val="002538F1"/>
    <w:rsid w:val="00256E34"/>
    <w:rsid w:val="00261CD6"/>
    <w:rsid w:val="00262592"/>
    <w:rsid w:val="00265B04"/>
    <w:rsid w:val="00265C92"/>
    <w:rsid w:val="00270F86"/>
    <w:rsid w:val="002751A9"/>
    <w:rsid w:val="0027697D"/>
    <w:rsid w:val="00276FDB"/>
    <w:rsid w:val="002819C9"/>
    <w:rsid w:val="00282CE2"/>
    <w:rsid w:val="002833B0"/>
    <w:rsid w:val="00283F5D"/>
    <w:rsid w:val="00286933"/>
    <w:rsid w:val="002879CA"/>
    <w:rsid w:val="00290057"/>
    <w:rsid w:val="00290345"/>
    <w:rsid w:val="00290C36"/>
    <w:rsid w:val="00296B19"/>
    <w:rsid w:val="002A0645"/>
    <w:rsid w:val="002A15A8"/>
    <w:rsid w:val="002A4B9E"/>
    <w:rsid w:val="002A6AA5"/>
    <w:rsid w:val="002B09F0"/>
    <w:rsid w:val="002B1A91"/>
    <w:rsid w:val="002B2145"/>
    <w:rsid w:val="002B384A"/>
    <w:rsid w:val="002B65FB"/>
    <w:rsid w:val="002C11EC"/>
    <w:rsid w:val="002C2573"/>
    <w:rsid w:val="002C2B31"/>
    <w:rsid w:val="002C4567"/>
    <w:rsid w:val="002C4C3F"/>
    <w:rsid w:val="002D0B51"/>
    <w:rsid w:val="002E0441"/>
    <w:rsid w:val="002E5C94"/>
    <w:rsid w:val="002F151D"/>
    <w:rsid w:val="002F40DD"/>
    <w:rsid w:val="002F59AE"/>
    <w:rsid w:val="002F7E0E"/>
    <w:rsid w:val="00300004"/>
    <w:rsid w:val="00301D18"/>
    <w:rsid w:val="003101FF"/>
    <w:rsid w:val="00311ACE"/>
    <w:rsid w:val="0031493B"/>
    <w:rsid w:val="0032398C"/>
    <w:rsid w:val="00323C74"/>
    <w:rsid w:val="00323E3E"/>
    <w:rsid w:val="00324381"/>
    <w:rsid w:val="00324839"/>
    <w:rsid w:val="00330406"/>
    <w:rsid w:val="00330DE1"/>
    <w:rsid w:val="00331A0B"/>
    <w:rsid w:val="00332255"/>
    <w:rsid w:val="003328E8"/>
    <w:rsid w:val="00333072"/>
    <w:rsid w:val="00333371"/>
    <w:rsid w:val="00333D64"/>
    <w:rsid w:val="00340692"/>
    <w:rsid w:val="00341340"/>
    <w:rsid w:val="00342705"/>
    <w:rsid w:val="00344BA8"/>
    <w:rsid w:val="00352B1A"/>
    <w:rsid w:val="00354914"/>
    <w:rsid w:val="003576B3"/>
    <w:rsid w:val="00362C60"/>
    <w:rsid w:val="003633DC"/>
    <w:rsid w:val="003668DB"/>
    <w:rsid w:val="00371D9E"/>
    <w:rsid w:val="003742F3"/>
    <w:rsid w:val="003758B3"/>
    <w:rsid w:val="00380599"/>
    <w:rsid w:val="00380E94"/>
    <w:rsid w:val="003818F4"/>
    <w:rsid w:val="00384E3D"/>
    <w:rsid w:val="00385386"/>
    <w:rsid w:val="0039025B"/>
    <w:rsid w:val="00393CDB"/>
    <w:rsid w:val="003971FF"/>
    <w:rsid w:val="003A08B5"/>
    <w:rsid w:val="003A233A"/>
    <w:rsid w:val="003A23B3"/>
    <w:rsid w:val="003A4227"/>
    <w:rsid w:val="003A4754"/>
    <w:rsid w:val="003A5289"/>
    <w:rsid w:val="003A549A"/>
    <w:rsid w:val="003B0F44"/>
    <w:rsid w:val="003B51A4"/>
    <w:rsid w:val="003C1E6E"/>
    <w:rsid w:val="003C2B71"/>
    <w:rsid w:val="003C794D"/>
    <w:rsid w:val="003D5AC7"/>
    <w:rsid w:val="003D7EAA"/>
    <w:rsid w:val="003E1C18"/>
    <w:rsid w:val="003E5623"/>
    <w:rsid w:val="003E5F98"/>
    <w:rsid w:val="003F0597"/>
    <w:rsid w:val="003F2894"/>
    <w:rsid w:val="003F3C54"/>
    <w:rsid w:val="003F4E23"/>
    <w:rsid w:val="003F5BAE"/>
    <w:rsid w:val="003F70B5"/>
    <w:rsid w:val="003F7CE5"/>
    <w:rsid w:val="0040097D"/>
    <w:rsid w:val="00400B2A"/>
    <w:rsid w:val="00403236"/>
    <w:rsid w:val="0040454A"/>
    <w:rsid w:val="00412B55"/>
    <w:rsid w:val="00415DDB"/>
    <w:rsid w:val="00417784"/>
    <w:rsid w:val="00417C5D"/>
    <w:rsid w:val="0042146E"/>
    <w:rsid w:val="00423209"/>
    <w:rsid w:val="00424041"/>
    <w:rsid w:val="004257B2"/>
    <w:rsid w:val="00427DC6"/>
    <w:rsid w:val="004311C3"/>
    <w:rsid w:val="00433F6C"/>
    <w:rsid w:val="004347D6"/>
    <w:rsid w:val="004366AE"/>
    <w:rsid w:val="00441B12"/>
    <w:rsid w:val="00441C95"/>
    <w:rsid w:val="00444BC8"/>
    <w:rsid w:val="004507C1"/>
    <w:rsid w:val="00453752"/>
    <w:rsid w:val="00455074"/>
    <w:rsid w:val="00457D05"/>
    <w:rsid w:val="00460F40"/>
    <w:rsid w:val="004650EE"/>
    <w:rsid w:val="0046588B"/>
    <w:rsid w:val="00470766"/>
    <w:rsid w:val="004724D2"/>
    <w:rsid w:val="0047278E"/>
    <w:rsid w:val="00472CD5"/>
    <w:rsid w:val="00474CB8"/>
    <w:rsid w:val="0047509B"/>
    <w:rsid w:val="0047584A"/>
    <w:rsid w:val="00476100"/>
    <w:rsid w:val="00480890"/>
    <w:rsid w:val="00481BF4"/>
    <w:rsid w:val="00481CAF"/>
    <w:rsid w:val="00485B43"/>
    <w:rsid w:val="00490B54"/>
    <w:rsid w:val="00490FE5"/>
    <w:rsid w:val="00492A1F"/>
    <w:rsid w:val="00495943"/>
    <w:rsid w:val="00497C7C"/>
    <w:rsid w:val="00497FC1"/>
    <w:rsid w:val="004A744F"/>
    <w:rsid w:val="004B1D47"/>
    <w:rsid w:val="004B3EF1"/>
    <w:rsid w:val="004C26C7"/>
    <w:rsid w:val="004C6261"/>
    <w:rsid w:val="004C642B"/>
    <w:rsid w:val="004C7F43"/>
    <w:rsid w:val="004D03FC"/>
    <w:rsid w:val="004D2109"/>
    <w:rsid w:val="004D2924"/>
    <w:rsid w:val="004D2F0B"/>
    <w:rsid w:val="004D448F"/>
    <w:rsid w:val="004D455E"/>
    <w:rsid w:val="004D5901"/>
    <w:rsid w:val="004D6525"/>
    <w:rsid w:val="004D7416"/>
    <w:rsid w:val="004E1613"/>
    <w:rsid w:val="004E26D8"/>
    <w:rsid w:val="004E2E70"/>
    <w:rsid w:val="004E62C2"/>
    <w:rsid w:val="004E6CED"/>
    <w:rsid w:val="004F057A"/>
    <w:rsid w:val="004F07A0"/>
    <w:rsid w:val="004F1059"/>
    <w:rsid w:val="004F2FA2"/>
    <w:rsid w:val="004F3755"/>
    <w:rsid w:val="005002C5"/>
    <w:rsid w:val="005003E6"/>
    <w:rsid w:val="00503E29"/>
    <w:rsid w:val="0050478F"/>
    <w:rsid w:val="00504F7D"/>
    <w:rsid w:val="00505899"/>
    <w:rsid w:val="0050619F"/>
    <w:rsid w:val="005078A7"/>
    <w:rsid w:val="00507E65"/>
    <w:rsid w:val="0051342F"/>
    <w:rsid w:val="0051747C"/>
    <w:rsid w:val="00520B1F"/>
    <w:rsid w:val="00522040"/>
    <w:rsid w:val="00522FB0"/>
    <w:rsid w:val="00524913"/>
    <w:rsid w:val="00524A4D"/>
    <w:rsid w:val="00536280"/>
    <w:rsid w:val="00536F16"/>
    <w:rsid w:val="00537981"/>
    <w:rsid w:val="00537AB6"/>
    <w:rsid w:val="005400B1"/>
    <w:rsid w:val="005446B5"/>
    <w:rsid w:val="00546FE1"/>
    <w:rsid w:val="0055022A"/>
    <w:rsid w:val="00550B55"/>
    <w:rsid w:val="00552C5D"/>
    <w:rsid w:val="0055555F"/>
    <w:rsid w:val="0055573E"/>
    <w:rsid w:val="005647CE"/>
    <w:rsid w:val="00564F06"/>
    <w:rsid w:val="00571DBC"/>
    <w:rsid w:val="00576E30"/>
    <w:rsid w:val="00584C4B"/>
    <w:rsid w:val="00584CDD"/>
    <w:rsid w:val="0058593A"/>
    <w:rsid w:val="00586A8C"/>
    <w:rsid w:val="0059507A"/>
    <w:rsid w:val="00595650"/>
    <w:rsid w:val="00595778"/>
    <w:rsid w:val="00596DC4"/>
    <w:rsid w:val="005A1613"/>
    <w:rsid w:val="005A3329"/>
    <w:rsid w:val="005A43A2"/>
    <w:rsid w:val="005A4DE0"/>
    <w:rsid w:val="005A6F41"/>
    <w:rsid w:val="005B12A5"/>
    <w:rsid w:val="005B159C"/>
    <w:rsid w:val="005B2A42"/>
    <w:rsid w:val="005C1148"/>
    <w:rsid w:val="005C2675"/>
    <w:rsid w:val="005C5286"/>
    <w:rsid w:val="005C79EA"/>
    <w:rsid w:val="005D1DC5"/>
    <w:rsid w:val="005D290A"/>
    <w:rsid w:val="005D4D59"/>
    <w:rsid w:val="005E0F23"/>
    <w:rsid w:val="005E1D2C"/>
    <w:rsid w:val="005E25C5"/>
    <w:rsid w:val="005E262D"/>
    <w:rsid w:val="005E320D"/>
    <w:rsid w:val="005E6FD1"/>
    <w:rsid w:val="005F3F56"/>
    <w:rsid w:val="00600185"/>
    <w:rsid w:val="0060360F"/>
    <w:rsid w:val="00603743"/>
    <w:rsid w:val="006121C7"/>
    <w:rsid w:val="0061306A"/>
    <w:rsid w:val="00613EB2"/>
    <w:rsid w:val="00613F21"/>
    <w:rsid w:val="00624049"/>
    <w:rsid w:val="00624DF1"/>
    <w:rsid w:val="00626338"/>
    <w:rsid w:val="00626504"/>
    <w:rsid w:val="00627BD5"/>
    <w:rsid w:val="006326F9"/>
    <w:rsid w:val="00635F01"/>
    <w:rsid w:val="00642A08"/>
    <w:rsid w:val="00643DBB"/>
    <w:rsid w:val="0065049D"/>
    <w:rsid w:val="0065333A"/>
    <w:rsid w:val="006535CD"/>
    <w:rsid w:val="00655B2F"/>
    <w:rsid w:val="0065745D"/>
    <w:rsid w:val="00666E53"/>
    <w:rsid w:val="0067142B"/>
    <w:rsid w:val="00673DD3"/>
    <w:rsid w:val="00675800"/>
    <w:rsid w:val="0067730A"/>
    <w:rsid w:val="00680173"/>
    <w:rsid w:val="00684BE7"/>
    <w:rsid w:val="00684E6A"/>
    <w:rsid w:val="0068776B"/>
    <w:rsid w:val="00690111"/>
    <w:rsid w:val="006925D0"/>
    <w:rsid w:val="00692AC1"/>
    <w:rsid w:val="006A238F"/>
    <w:rsid w:val="006A2D19"/>
    <w:rsid w:val="006A3C16"/>
    <w:rsid w:val="006A3D3C"/>
    <w:rsid w:val="006B181B"/>
    <w:rsid w:val="006B2935"/>
    <w:rsid w:val="006B3068"/>
    <w:rsid w:val="006B3F48"/>
    <w:rsid w:val="006B5B9D"/>
    <w:rsid w:val="006C3549"/>
    <w:rsid w:val="006C3816"/>
    <w:rsid w:val="006C38E4"/>
    <w:rsid w:val="006C4762"/>
    <w:rsid w:val="006D035F"/>
    <w:rsid w:val="006D36EB"/>
    <w:rsid w:val="006D5668"/>
    <w:rsid w:val="006E26EE"/>
    <w:rsid w:val="006E7C46"/>
    <w:rsid w:val="006F0F57"/>
    <w:rsid w:val="006F2388"/>
    <w:rsid w:val="0070028A"/>
    <w:rsid w:val="00701663"/>
    <w:rsid w:val="0070586C"/>
    <w:rsid w:val="007108D3"/>
    <w:rsid w:val="00712F93"/>
    <w:rsid w:val="00713A59"/>
    <w:rsid w:val="00713ED7"/>
    <w:rsid w:val="007154C0"/>
    <w:rsid w:val="00715A66"/>
    <w:rsid w:val="00715B67"/>
    <w:rsid w:val="00716A61"/>
    <w:rsid w:val="0071703C"/>
    <w:rsid w:val="00721EF5"/>
    <w:rsid w:val="00725257"/>
    <w:rsid w:val="007305CA"/>
    <w:rsid w:val="0073305A"/>
    <w:rsid w:val="00733336"/>
    <w:rsid w:val="007374B7"/>
    <w:rsid w:val="00743E89"/>
    <w:rsid w:val="00746415"/>
    <w:rsid w:val="0075418D"/>
    <w:rsid w:val="00754D67"/>
    <w:rsid w:val="00757F97"/>
    <w:rsid w:val="0076348C"/>
    <w:rsid w:val="00763FAE"/>
    <w:rsid w:val="00767324"/>
    <w:rsid w:val="00771EBD"/>
    <w:rsid w:val="00772429"/>
    <w:rsid w:val="00774364"/>
    <w:rsid w:val="00775879"/>
    <w:rsid w:val="0078083B"/>
    <w:rsid w:val="0079409B"/>
    <w:rsid w:val="007968EF"/>
    <w:rsid w:val="00797A8C"/>
    <w:rsid w:val="00797F6F"/>
    <w:rsid w:val="007A0BD5"/>
    <w:rsid w:val="007A228D"/>
    <w:rsid w:val="007A3153"/>
    <w:rsid w:val="007A47DA"/>
    <w:rsid w:val="007A4F1A"/>
    <w:rsid w:val="007A57A1"/>
    <w:rsid w:val="007B02AB"/>
    <w:rsid w:val="007B3655"/>
    <w:rsid w:val="007B57AC"/>
    <w:rsid w:val="007C5132"/>
    <w:rsid w:val="007C7730"/>
    <w:rsid w:val="007C7F2B"/>
    <w:rsid w:val="007D0971"/>
    <w:rsid w:val="007D1C37"/>
    <w:rsid w:val="007D303C"/>
    <w:rsid w:val="007E1C60"/>
    <w:rsid w:val="007E1E5E"/>
    <w:rsid w:val="007E258D"/>
    <w:rsid w:val="007E428A"/>
    <w:rsid w:val="007E4C5A"/>
    <w:rsid w:val="007F1C95"/>
    <w:rsid w:val="007F2159"/>
    <w:rsid w:val="007F6B94"/>
    <w:rsid w:val="00800514"/>
    <w:rsid w:val="00800EF4"/>
    <w:rsid w:val="00804401"/>
    <w:rsid w:val="00811263"/>
    <w:rsid w:val="0082199E"/>
    <w:rsid w:val="0082376D"/>
    <w:rsid w:val="00824223"/>
    <w:rsid w:val="00824BC6"/>
    <w:rsid w:val="00825B9F"/>
    <w:rsid w:val="00826368"/>
    <w:rsid w:val="00831087"/>
    <w:rsid w:val="0083342C"/>
    <w:rsid w:val="0083531B"/>
    <w:rsid w:val="00837EE2"/>
    <w:rsid w:val="008443B0"/>
    <w:rsid w:val="008449D3"/>
    <w:rsid w:val="0084501B"/>
    <w:rsid w:val="00854073"/>
    <w:rsid w:val="00854E06"/>
    <w:rsid w:val="0086137E"/>
    <w:rsid w:val="00861CBC"/>
    <w:rsid w:val="008657F1"/>
    <w:rsid w:val="008670D0"/>
    <w:rsid w:val="00870CD0"/>
    <w:rsid w:val="00876FE8"/>
    <w:rsid w:val="0088586E"/>
    <w:rsid w:val="00885E03"/>
    <w:rsid w:val="00886D61"/>
    <w:rsid w:val="008904CE"/>
    <w:rsid w:val="00890C2C"/>
    <w:rsid w:val="00892E03"/>
    <w:rsid w:val="008A2403"/>
    <w:rsid w:val="008A2A09"/>
    <w:rsid w:val="008A3D4E"/>
    <w:rsid w:val="008A4EAA"/>
    <w:rsid w:val="008A53FE"/>
    <w:rsid w:val="008A557A"/>
    <w:rsid w:val="008A73DC"/>
    <w:rsid w:val="008A7463"/>
    <w:rsid w:val="008B06D9"/>
    <w:rsid w:val="008B07C0"/>
    <w:rsid w:val="008B5BB9"/>
    <w:rsid w:val="008B6EFF"/>
    <w:rsid w:val="008C09A6"/>
    <w:rsid w:val="008C548F"/>
    <w:rsid w:val="008D0FAE"/>
    <w:rsid w:val="008D2632"/>
    <w:rsid w:val="008D3988"/>
    <w:rsid w:val="008D4257"/>
    <w:rsid w:val="008D5F4A"/>
    <w:rsid w:val="008D78C3"/>
    <w:rsid w:val="008D7BE7"/>
    <w:rsid w:val="008D7C66"/>
    <w:rsid w:val="008E5D6B"/>
    <w:rsid w:val="008F13CF"/>
    <w:rsid w:val="008F4A1D"/>
    <w:rsid w:val="008F4CF9"/>
    <w:rsid w:val="008F4FF9"/>
    <w:rsid w:val="008F60CC"/>
    <w:rsid w:val="00901E13"/>
    <w:rsid w:val="009042F3"/>
    <w:rsid w:val="009078DA"/>
    <w:rsid w:val="00913BEB"/>
    <w:rsid w:val="0091490D"/>
    <w:rsid w:val="00922D5E"/>
    <w:rsid w:val="00927709"/>
    <w:rsid w:val="009278D3"/>
    <w:rsid w:val="00932BF1"/>
    <w:rsid w:val="009347E6"/>
    <w:rsid w:val="00935507"/>
    <w:rsid w:val="0093580D"/>
    <w:rsid w:val="009367D2"/>
    <w:rsid w:val="00941E0C"/>
    <w:rsid w:val="00944F23"/>
    <w:rsid w:val="009460B7"/>
    <w:rsid w:val="00953F3A"/>
    <w:rsid w:val="009553DD"/>
    <w:rsid w:val="009603FD"/>
    <w:rsid w:val="00960CFD"/>
    <w:rsid w:val="00960EE6"/>
    <w:rsid w:val="00964541"/>
    <w:rsid w:val="009657AA"/>
    <w:rsid w:val="0096755F"/>
    <w:rsid w:val="0096764D"/>
    <w:rsid w:val="009700E2"/>
    <w:rsid w:val="009708CF"/>
    <w:rsid w:val="00971F96"/>
    <w:rsid w:val="009733B8"/>
    <w:rsid w:val="00977813"/>
    <w:rsid w:val="00982791"/>
    <w:rsid w:val="0098363E"/>
    <w:rsid w:val="009836D8"/>
    <w:rsid w:val="00984EB1"/>
    <w:rsid w:val="009879A7"/>
    <w:rsid w:val="00997552"/>
    <w:rsid w:val="009A1734"/>
    <w:rsid w:val="009A7E18"/>
    <w:rsid w:val="009B3901"/>
    <w:rsid w:val="009B6015"/>
    <w:rsid w:val="009C00B8"/>
    <w:rsid w:val="009C021A"/>
    <w:rsid w:val="009C184B"/>
    <w:rsid w:val="009C6F21"/>
    <w:rsid w:val="009D3E23"/>
    <w:rsid w:val="009D445E"/>
    <w:rsid w:val="009D4BC9"/>
    <w:rsid w:val="009E1535"/>
    <w:rsid w:val="009E365E"/>
    <w:rsid w:val="009E3711"/>
    <w:rsid w:val="009E56FE"/>
    <w:rsid w:val="009E67B7"/>
    <w:rsid w:val="009F3BFF"/>
    <w:rsid w:val="009F5496"/>
    <w:rsid w:val="009F5BE1"/>
    <w:rsid w:val="009F7D84"/>
    <w:rsid w:val="00A0331D"/>
    <w:rsid w:val="00A040AC"/>
    <w:rsid w:val="00A10A28"/>
    <w:rsid w:val="00A124D0"/>
    <w:rsid w:val="00A1449C"/>
    <w:rsid w:val="00A1588A"/>
    <w:rsid w:val="00A172B4"/>
    <w:rsid w:val="00A215C9"/>
    <w:rsid w:val="00A222CE"/>
    <w:rsid w:val="00A248C7"/>
    <w:rsid w:val="00A259F3"/>
    <w:rsid w:val="00A261CD"/>
    <w:rsid w:val="00A26876"/>
    <w:rsid w:val="00A312E4"/>
    <w:rsid w:val="00A3171C"/>
    <w:rsid w:val="00A319F6"/>
    <w:rsid w:val="00A31CCE"/>
    <w:rsid w:val="00A33E33"/>
    <w:rsid w:val="00A34EE3"/>
    <w:rsid w:val="00A350F2"/>
    <w:rsid w:val="00A3545C"/>
    <w:rsid w:val="00A37EAD"/>
    <w:rsid w:val="00A408B4"/>
    <w:rsid w:val="00A42194"/>
    <w:rsid w:val="00A454F8"/>
    <w:rsid w:val="00A456DC"/>
    <w:rsid w:val="00A4599E"/>
    <w:rsid w:val="00A46012"/>
    <w:rsid w:val="00A4768B"/>
    <w:rsid w:val="00A50D9E"/>
    <w:rsid w:val="00A53687"/>
    <w:rsid w:val="00A561DD"/>
    <w:rsid w:val="00A65E8D"/>
    <w:rsid w:val="00A660DF"/>
    <w:rsid w:val="00A679BA"/>
    <w:rsid w:val="00A701A9"/>
    <w:rsid w:val="00A77CFE"/>
    <w:rsid w:val="00A80BE2"/>
    <w:rsid w:val="00A81A8C"/>
    <w:rsid w:val="00A82AFA"/>
    <w:rsid w:val="00A90451"/>
    <w:rsid w:val="00A919D8"/>
    <w:rsid w:val="00A94D76"/>
    <w:rsid w:val="00AA12E2"/>
    <w:rsid w:val="00AA15F3"/>
    <w:rsid w:val="00AA2BD2"/>
    <w:rsid w:val="00AA2F04"/>
    <w:rsid w:val="00AA347A"/>
    <w:rsid w:val="00AA355A"/>
    <w:rsid w:val="00AA3781"/>
    <w:rsid w:val="00AA6AE2"/>
    <w:rsid w:val="00AB0BD5"/>
    <w:rsid w:val="00AB3E28"/>
    <w:rsid w:val="00AB7101"/>
    <w:rsid w:val="00AC1C30"/>
    <w:rsid w:val="00AC214E"/>
    <w:rsid w:val="00AC2285"/>
    <w:rsid w:val="00AD0041"/>
    <w:rsid w:val="00AD1CAB"/>
    <w:rsid w:val="00AD2DE9"/>
    <w:rsid w:val="00AD5B54"/>
    <w:rsid w:val="00AD6E76"/>
    <w:rsid w:val="00AE266B"/>
    <w:rsid w:val="00AE66E5"/>
    <w:rsid w:val="00AF2390"/>
    <w:rsid w:val="00B07447"/>
    <w:rsid w:val="00B119A5"/>
    <w:rsid w:val="00B11A09"/>
    <w:rsid w:val="00B11E2F"/>
    <w:rsid w:val="00B12223"/>
    <w:rsid w:val="00B13F34"/>
    <w:rsid w:val="00B16758"/>
    <w:rsid w:val="00B230D5"/>
    <w:rsid w:val="00B241CF"/>
    <w:rsid w:val="00B270EE"/>
    <w:rsid w:val="00B316BE"/>
    <w:rsid w:val="00B341BD"/>
    <w:rsid w:val="00B354DE"/>
    <w:rsid w:val="00B3745B"/>
    <w:rsid w:val="00B40BB2"/>
    <w:rsid w:val="00B4726C"/>
    <w:rsid w:val="00B509C9"/>
    <w:rsid w:val="00B60AF2"/>
    <w:rsid w:val="00B61CEA"/>
    <w:rsid w:val="00B663FA"/>
    <w:rsid w:val="00B675BA"/>
    <w:rsid w:val="00B67CF5"/>
    <w:rsid w:val="00B7128B"/>
    <w:rsid w:val="00B7477F"/>
    <w:rsid w:val="00B7495A"/>
    <w:rsid w:val="00B769BD"/>
    <w:rsid w:val="00B76C8D"/>
    <w:rsid w:val="00B77F2A"/>
    <w:rsid w:val="00B802D9"/>
    <w:rsid w:val="00B8106E"/>
    <w:rsid w:val="00B81E3A"/>
    <w:rsid w:val="00B827BF"/>
    <w:rsid w:val="00B90AC3"/>
    <w:rsid w:val="00B964C6"/>
    <w:rsid w:val="00BA0457"/>
    <w:rsid w:val="00BA25A6"/>
    <w:rsid w:val="00BB0862"/>
    <w:rsid w:val="00BB2586"/>
    <w:rsid w:val="00BB3D3E"/>
    <w:rsid w:val="00BB3EA8"/>
    <w:rsid w:val="00BB724A"/>
    <w:rsid w:val="00BB72A1"/>
    <w:rsid w:val="00BC075E"/>
    <w:rsid w:val="00BC11AB"/>
    <w:rsid w:val="00BC3A04"/>
    <w:rsid w:val="00BC468C"/>
    <w:rsid w:val="00BC657B"/>
    <w:rsid w:val="00BC66B2"/>
    <w:rsid w:val="00BD03DC"/>
    <w:rsid w:val="00BD2487"/>
    <w:rsid w:val="00BD6CD2"/>
    <w:rsid w:val="00BD72FD"/>
    <w:rsid w:val="00BE6074"/>
    <w:rsid w:val="00BE6ED4"/>
    <w:rsid w:val="00BF3273"/>
    <w:rsid w:val="00BF5738"/>
    <w:rsid w:val="00BF745F"/>
    <w:rsid w:val="00C00D62"/>
    <w:rsid w:val="00C0324D"/>
    <w:rsid w:val="00C04AC1"/>
    <w:rsid w:val="00C05FA8"/>
    <w:rsid w:val="00C10233"/>
    <w:rsid w:val="00C10D38"/>
    <w:rsid w:val="00C10DC0"/>
    <w:rsid w:val="00C1187C"/>
    <w:rsid w:val="00C145FB"/>
    <w:rsid w:val="00C14C59"/>
    <w:rsid w:val="00C15116"/>
    <w:rsid w:val="00C15E01"/>
    <w:rsid w:val="00C169FB"/>
    <w:rsid w:val="00C209E2"/>
    <w:rsid w:val="00C24669"/>
    <w:rsid w:val="00C30F7C"/>
    <w:rsid w:val="00C335ED"/>
    <w:rsid w:val="00C33FFC"/>
    <w:rsid w:val="00C3524A"/>
    <w:rsid w:val="00C406FE"/>
    <w:rsid w:val="00C40AC6"/>
    <w:rsid w:val="00C44C60"/>
    <w:rsid w:val="00C4593C"/>
    <w:rsid w:val="00C50E2B"/>
    <w:rsid w:val="00C544CE"/>
    <w:rsid w:val="00C622F4"/>
    <w:rsid w:val="00C662A3"/>
    <w:rsid w:val="00C70231"/>
    <w:rsid w:val="00C72193"/>
    <w:rsid w:val="00C76564"/>
    <w:rsid w:val="00C8048A"/>
    <w:rsid w:val="00C804E6"/>
    <w:rsid w:val="00C82587"/>
    <w:rsid w:val="00C843C6"/>
    <w:rsid w:val="00C84CFA"/>
    <w:rsid w:val="00C86FBB"/>
    <w:rsid w:val="00C872E7"/>
    <w:rsid w:val="00C87E69"/>
    <w:rsid w:val="00C934C6"/>
    <w:rsid w:val="00C934E7"/>
    <w:rsid w:val="00CA2641"/>
    <w:rsid w:val="00CA42AF"/>
    <w:rsid w:val="00CA4E56"/>
    <w:rsid w:val="00CA7D05"/>
    <w:rsid w:val="00CA7E0E"/>
    <w:rsid w:val="00CB0FD9"/>
    <w:rsid w:val="00CB2195"/>
    <w:rsid w:val="00CB2675"/>
    <w:rsid w:val="00CC1F26"/>
    <w:rsid w:val="00CC72F9"/>
    <w:rsid w:val="00CC7B45"/>
    <w:rsid w:val="00CD1FF9"/>
    <w:rsid w:val="00CD5571"/>
    <w:rsid w:val="00CD6AEC"/>
    <w:rsid w:val="00CD7ABB"/>
    <w:rsid w:val="00CE193D"/>
    <w:rsid w:val="00CF373B"/>
    <w:rsid w:val="00CF392D"/>
    <w:rsid w:val="00CF44BE"/>
    <w:rsid w:val="00CF770B"/>
    <w:rsid w:val="00D00A34"/>
    <w:rsid w:val="00D01BF3"/>
    <w:rsid w:val="00D01FF0"/>
    <w:rsid w:val="00D05835"/>
    <w:rsid w:val="00D05DEB"/>
    <w:rsid w:val="00D1150C"/>
    <w:rsid w:val="00D12BD1"/>
    <w:rsid w:val="00D15DBD"/>
    <w:rsid w:val="00D20A73"/>
    <w:rsid w:val="00D238F7"/>
    <w:rsid w:val="00D2519D"/>
    <w:rsid w:val="00D31D33"/>
    <w:rsid w:val="00D34018"/>
    <w:rsid w:val="00D35BB7"/>
    <w:rsid w:val="00D36EA3"/>
    <w:rsid w:val="00D46961"/>
    <w:rsid w:val="00D46CCD"/>
    <w:rsid w:val="00D47A0C"/>
    <w:rsid w:val="00D52A9C"/>
    <w:rsid w:val="00D545BF"/>
    <w:rsid w:val="00D547BA"/>
    <w:rsid w:val="00D54B44"/>
    <w:rsid w:val="00D5624A"/>
    <w:rsid w:val="00D5628D"/>
    <w:rsid w:val="00D5685C"/>
    <w:rsid w:val="00D57696"/>
    <w:rsid w:val="00D63A4A"/>
    <w:rsid w:val="00D65BA3"/>
    <w:rsid w:val="00D662AD"/>
    <w:rsid w:val="00D737B9"/>
    <w:rsid w:val="00D73BF4"/>
    <w:rsid w:val="00D7450A"/>
    <w:rsid w:val="00D752C9"/>
    <w:rsid w:val="00D75FE8"/>
    <w:rsid w:val="00D762D3"/>
    <w:rsid w:val="00D86775"/>
    <w:rsid w:val="00D87A99"/>
    <w:rsid w:val="00D92CC3"/>
    <w:rsid w:val="00D9365A"/>
    <w:rsid w:val="00D94CB4"/>
    <w:rsid w:val="00D97218"/>
    <w:rsid w:val="00D972ED"/>
    <w:rsid w:val="00DA3398"/>
    <w:rsid w:val="00DA44AB"/>
    <w:rsid w:val="00DA5440"/>
    <w:rsid w:val="00DB056C"/>
    <w:rsid w:val="00DB0D3C"/>
    <w:rsid w:val="00DB299B"/>
    <w:rsid w:val="00DB2B94"/>
    <w:rsid w:val="00DB46E9"/>
    <w:rsid w:val="00DB5E09"/>
    <w:rsid w:val="00DC2499"/>
    <w:rsid w:val="00DC290E"/>
    <w:rsid w:val="00DC6667"/>
    <w:rsid w:val="00DD055A"/>
    <w:rsid w:val="00DD232B"/>
    <w:rsid w:val="00DD45AB"/>
    <w:rsid w:val="00DD5AB6"/>
    <w:rsid w:val="00DD7630"/>
    <w:rsid w:val="00DD7F47"/>
    <w:rsid w:val="00DE25BC"/>
    <w:rsid w:val="00DE2A9C"/>
    <w:rsid w:val="00DE5DCF"/>
    <w:rsid w:val="00DF16E8"/>
    <w:rsid w:val="00DF1C8C"/>
    <w:rsid w:val="00DF2384"/>
    <w:rsid w:val="00DF381F"/>
    <w:rsid w:val="00DF59DC"/>
    <w:rsid w:val="00E006AD"/>
    <w:rsid w:val="00E02F05"/>
    <w:rsid w:val="00E04D40"/>
    <w:rsid w:val="00E06A0F"/>
    <w:rsid w:val="00E06A63"/>
    <w:rsid w:val="00E10D6F"/>
    <w:rsid w:val="00E14DCD"/>
    <w:rsid w:val="00E17E97"/>
    <w:rsid w:val="00E2194F"/>
    <w:rsid w:val="00E2283D"/>
    <w:rsid w:val="00E23332"/>
    <w:rsid w:val="00E25529"/>
    <w:rsid w:val="00E26459"/>
    <w:rsid w:val="00E27D9A"/>
    <w:rsid w:val="00E3287C"/>
    <w:rsid w:val="00E32A85"/>
    <w:rsid w:val="00E36B05"/>
    <w:rsid w:val="00E36BC3"/>
    <w:rsid w:val="00E37DCF"/>
    <w:rsid w:val="00E43D9F"/>
    <w:rsid w:val="00E440A8"/>
    <w:rsid w:val="00E4687B"/>
    <w:rsid w:val="00E46C49"/>
    <w:rsid w:val="00E46F60"/>
    <w:rsid w:val="00E501C2"/>
    <w:rsid w:val="00E51A7D"/>
    <w:rsid w:val="00E53053"/>
    <w:rsid w:val="00E53C1B"/>
    <w:rsid w:val="00E64625"/>
    <w:rsid w:val="00E64626"/>
    <w:rsid w:val="00E646FE"/>
    <w:rsid w:val="00E65D85"/>
    <w:rsid w:val="00E66405"/>
    <w:rsid w:val="00E66A14"/>
    <w:rsid w:val="00E6757D"/>
    <w:rsid w:val="00E70406"/>
    <w:rsid w:val="00E70DFC"/>
    <w:rsid w:val="00E75816"/>
    <w:rsid w:val="00E773AD"/>
    <w:rsid w:val="00E8179C"/>
    <w:rsid w:val="00E83A50"/>
    <w:rsid w:val="00E87DED"/>
    <w:rsid w:val="00E91050"/>
    <w:rsid w:val="00E92394"/>
    <w:rsid w:val="00E927A1"/>
    <w:rsid w:val="00E92D9A"/>
    <w:rsid w:val="00E930FA"/>
    <w:rsid w:val="00E940DF"/>
    <w:rsid w:val="00EA01E8"/>
    <w:rsid w:val="00EA2DC9"/>
    <w:rsid w:val="00EA455F"/>
    <w:rsid w:val="00EA5518"/>
    <w:rsid w:val="00EA558B"/>
    <w:rsid w:val="00EA5E02"/>
    <w:rsid w:val="00EB604C"/>
    <w:rsid w:val="00EB778C"/>
    <w:rsid w:val="00EB77FD"/>
    <w:rsid w:val="00EC05F3"/>
    <w:rsid w:val="00EC0AF8"/>
    <w:rsid w:val="00EC281F"/>
    <w:rsid w:val="00EC3E8C"/>
    <w:rsid w:val="00EC6E19"/>
    <w:rsid w:val="00ED169B"/>
    <w:rsid w:val="00ED3C25"/>
    <w:rsid w:val="00EE3865"/>
    <w:rsid w:val="00EE3C6D"/>
    <w:rsid w:val="00EE6819"/>
    <w:rsid w:val="00EF0E3B"/>
    <w:rsid w:val="00EF1F74"/>
    <w:rsid w:val="00EF5368"/>
    <w:rsid w:val="00EF5520"/>
    <w:rsid w:val="00F011B4"/>
    <w:rsid w:val="00F02F17"/>
    <w:rsid w:val="00F02F6D"/>
    <w:rsid w:val="00F03127"/>
    <w:rsid w:val="00F10D98"/>
    <w:rsid w:val="00F10FA6"/>
    <w:rsid w:val="00F15048"/>
    <w:rsid w:val="00F16539"/>
    <w:rsid w:val="00F172D6"/>
    <w:rsid w:val="00F17550"/>
    <w:rsid w:val="00F176FD"/>
    <w:rsid w:val="00F20CDB"/>
    <w:rsid w:val="00F213E3"/>
    <w:rsid w:val="00F216FA"/>
    <w:rsid w:val="00F220A9"/>
    <w:rsid w:val="00F264B2"/>
    <w:rsid w:val="00F27C14"/>
    <w:rsid w:val="00F31444"/>
    <w:rsid w:val="00F33D59"/>
    <w:rsid w:val="00F34A9F"/>
    <w:rsid w:val="00F35A24"/>
    <w:rsid w:val="00F362D0"/>
    <w:rsid w:val="00F366EB"/>
    <w:rsid w:val="00F37708"/>
    <w:rsid w:val="00F4095F"/>
    <w:rsid w:val="00F424D1"/>
    <w:rsid w:val="00F470C1"/>
    <w:rsid w:val="00F47F2C"/>
    <w:rsid w:val="00F50C29"/>
    <w:rsid w:val="00F5241E"/>
    <w:rsid w:val="00F54D32"/>
    <w:rsid w:val="00F57D3C"/>
    <w:rsid w:val="00F60375"/>
    <w:rsid w:val="00F62B7C"/>
    <w:rsid w:val="00F6532A"/>
    <w:rsid w:val="00F6547D"/>
    <w:rsid w:val="00F72B16"/>
    <w:rsid w:val="00F77C89"/>
    <w:rsid w:val="00F84C55"/>
    <w:rsid w:val="00F85A48"/>
    <w:rsid w:val="00F90D07"/>
    <w:rsid w:val="00F91A99"/>
    <w:rsid w:val="00F91E06"/>
    <w:rsid w:val="00F95127"/>
    <w:rsid w:val="00F9530B"/>
    <w:rsid w:val="00FA0436"/>
    <w:rsid w:val="00FA1BAB"/>
    <w:rsid w:val="00FA405E"/>
    <w:rsid w:val="00FA4F9C"/>
    <w:rsid w:val="00FA6EA7"/>
    <w:rsid w:val="00FB2FE3"/>
    <w:rsid w:val="00FB50FA"/>
    <w:rsid w:val="00FB5143"/>
    <w:rsid w:val="00FD01F9"/>
    <w:rsid w:val="00FD1285"/>
    <w:rsid w:val="00FD4980"/>
    <w:rsid w:val="00FD64C1"/>
    <w:rsid w:val="00FD6686"/>
    <w:rsid w:val="00FE4A9E"/>
    <w:rsid w:val="00FE5BA5"/>
    <w:rsid w:val="00FE65B2"/>
    <w:rsid w:val="00FF3A22"/>
    <w:rsid w:val="00FF3BFB"/>
    <w:rsid w:val="00FF5712"/>
    <w:rsid w:val="00FF64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403CB"/>
  <w15:docId w15:val="{494C412E-D7C7-4312-A37F-A8942271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EE"/>
    <w:pPr>
      <w:widowControl w:val="0"/>
      <w:adjustRightInd w:val="0"/>
      <w:spacing w:line="360" w:lineRule="atLeast"/>
      <w:jc w:val="both"/>
      <w:textAlignment w:val="baseline"/>
    </w:pPr>
    <w:rPr>
      <w:rFonts w:ascii="Times New Roman" w:eastAsia="Times New Roman" w:hAnsi="Times New Roman"/>
      <w:lang w:val="es-ES" w:eastAsia="es-ES"/>
    </w:rPr>
  </w:style>
  <w:style w:type="paragraph" w:styleId="Ttulo1">
    <w:name w:val="heading 1"/>
    <w:basedOn w:val="Normal"/>
    <w:next w:val="Normal"/>
    <w:link w:val="Ttulo1Car"/>
    <w:qFormat/>
    <w:rsid w:val="00B270EE"/>
    <w:pPr>
      <w:keepNext/>
      <w:jc w:val="center"/>
      <w:outlineLvl w:val="0"/>
    </w:pPr>
    <w:rPr>
      <w:b/>
      <w:snapToGrid w:val="0"/>
      <w:sz w:val="28"/>
    </w:rPr>
  </w:style>
  <w:style w:type="paragraph" w:styleId="Ttulo2">
    <w:name w:val="heading 2"/>
    <w:basedOn w:val="Normal"/>
    <w:next w:val="Normal"/>
    <w:link w:val="Ttulo2Car"/>
    <w:qFormat/>
    <w:rsid w:val="00B270EE"/>
    <w:pPr>
      <w:keepNext/>
      <w:outlineLvl w:val="1"/>
    </w:pPr>
    <w:rPr>
      <w:rFonts w:ascii="Arial Narrow" w:hAnsi="Arial Narrow"/>
      <w:sz w:val="24"/>
    </w:rPr>
  </w:style>
  <w:style w:type="paragraph" w:styleId="Ttulo3">
    <w:name w:val="heading 3"/>
    <w:basedOn w:val="Normal"/>
    <w:next w:val="Normal"/>
    <w:link w:val="Ttulo3Car"/>
    <w:qFormat/>
    <w:rsid w:val="00B270EE"/>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B270EE"/>
    <w:pPr>
      <w:keepNext/>
      <w:jc w:val="center"/>
      <w:outlineLvl w:val="3"/>
    </w:pPr>
    <w:rPr>
      <w:rFonts w:ascii="Arial Narrow" w:hAnsi="Arial Narrow"/>
      <w:b/>
      <w:sz w:val="24"/>
      <w:lang w:val="es-ES_tradnl"/>
    </w:rPr>
  </w:style>
  <w:style w:type="paragraph" w:styleId="Ttulo5">
    <w:name w:val="heading 5"/>
    <w:basedOn w:val="Normal"/>
    <w:next w:val="Normal"/>
    <w:link w:val="Ttulo5Car"/>
    <w:qFormat/>
    <w:rsid w:val="00B270EE"/>
    <w:pPr>
      <w:spacing w:before="240" w:after="60"/>
      <w:outlineLvl w:val="4"/>
    </w:pPr>
    <w:rPr>
      <w:b/>
      <w:bCs/>
      <w:i/>
      <w:iCs/>
      <w:sz w:val="26"/>
      <w:szCs w:val="26"/>
    </w:rPr>
  </w:style>
  <w:style w:type="paragraph" w:styleId="Ttulo6">
    <w:name w:val="heading 6"/>
    <w:basedOn w:val="Normal"/>
    <w:next w:val="Normal"/>
    <w:link w:val="Ttulo6Car"/>
    <w:qFormat/>
    <w:rsid w:val="00B270EE"/>
    <w:pPr>
      <w:keepNext/>
      <w:autoSpaceDE w:val="0"/>
      <w:autoSpaceDN w:val="0"/>
      <w:outlineLvl w:val="5"/>
    </w:pPr>
    <w:rPr>
      <w:rFonts w:ascii="Arial" w:hAnsi="Arial" w:cs="Arial"/>
      <w:b/>
      <w:bCs/>
      <w:lang w:val="es-MX"/>
    </w:rPr>
  </w:style>
  <w:style w:type="paragraph" w:styleId="Ttulo7">
    <w:name w:val="heading 7"/>
    <w:basedOn w:val="Normal"/>
    <w:next w:val="Normal"/>
    <w:link w:val="Ttulo7Car"/>
    <w:qFormat/>
    <w:rsid w:val="00B270EE"/>
    <w:pPr>
      <w:keepNext/>
      <w:widowControl/>
      <w:tabs>
        <w:tab w:val="num" w:pos="1296"/>
      </w:tabs>
      <w:adjustRightInd/>
      <w:spacing w:line="360" w:lineRule="auto"/>
      <w:ind w:left="1296" w:hanging="1296"/>
      <w:jc w:val="center"/>
      <w:textAlignment w:val="auto"/>
      <w:outlineLvl w:val="6"/>
    </w:pPr>
    <w:rPr>
      <w:rFonts w:ascii="Arial" w:hAnsi="Arial"/>
      <w:b/>
      <w:sz w:val="28"/>
      <w:lang w:val="es-ES_tradnl"/>
    </w:rPr>
  </w:style>
  <w:style w:type="paragraph" w:styleId="Ttulo8">
    <w:name w:val="heading 8"/>
    <w:basedOn w:val="Normal"/>
    <w:next w:val="Normal"/>
    <w:link w:val="Ttulo8Car"/>
    <w:qFormat/>
    <w:rsid w:val="00B270EE"/>
    <w:pPr>
      <w:keepNext/>
      <w:widowControl/>
      <w:tabs>
        <w:tab w:val="num" w:pos="1440"/>
      </w:tabs>
      <w:adjustRightInd/>
      <w:spacing w:line="360" w:lineRule="auto"/>
      <w:ind w:left="1440" w:hanging="1440"/>
      <w:jc w:val="center"/>
      <w:textAlignment w:val="auto"/>
      <w:outlineLvl w:val="7"/>
    </w:pPr>
    <w:rPr>
      <w:rFonts w:ascii="Arial" w:hAnsi="Arial"/>
      <w:b/>
      <w:sz w:val="48"/>
      <w:lang w:val="es-CO"/>
    </w:rPr>
  </w:style>
  <w:style w:type="paragraph" w:styleId="Ttulo9">
    <w:name w:val="heading 9"/>
    <w:basedOn w:val="Normal"/>
    <w:next w:val="Normal"/>
    <w:link w:val="Ttulo9Car"/>
    <w:qFormat/>
    <w:rsid w:val="00B270EE"/>
    <w:pPr>
      <w:keepNext/>
      <w:widowControl/>
      <w:tabs>
        <w:tab w:val="num" w:pos="1584"/>
      </w:tabs>
      <w:adjustRightInd/>
      <w:spacing w:line="360" w:lineRule="auto"/>
      <w:ind w:left="1584" w:hanging="1584"/>
      <w:jc w:val="center"/>
      <w:textAlignment w:val="auto"/>
      <w:outlineLvl w:val="8"/>
    </w:pPr>
    <w:rPr>
      <w:rFonts w:ascii="Arial" w:hAnsi="Arial"/>
      <w:b/>
      <w:sz w:val="5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270EE"/>
    <w:rPr>
      <w:rFonts w:ascii="Times New Roman" w:eastAsia="Times New Roman" w:hAnsi="Times New Roman" w:cs="Times New Roman"/>
      <w:b/>
      <w:snapToGrid w:val="0"/>
      <w:sz w:val="28"/>
      <w:szCs w:val="20"/>
      <w:lang w:eastAsia="es-ES"/>
    </w:rPr>
  </w:style>
  <w:style w:type="character" w:customStyle="1" w:styleId="Ttulo2Car">
    <w:name w:val="Título 2 Car"/>
    <w:link w:val="Ttulo2"/>
    <w:rsid w:val="00B270EE"/>
    <w:rPr>
      <w:rFonts w:ascii="Arial Narrow" w:eastAsia="Times New Roman" w:hAnsi="Arial Narrow" w:cs="Times New Roman"/>
      <w:sz w:val="24"/>
      <w:szCs w:val="20"/>
      <w:lang w:eastAsia="es-ES"/>
    </w:rPr>
  </w:style>
  <w:style w:type="character" w:customStyle="1" w:styleId="Ttulo3Car">
    <w:name w:val="Título 3 Car"/>
    <w:link w:val="Ttulo3"/>
    <w:rsid w:val="00B270EE"/>
    <w:rPr>
      <w:rFonts w:ascii="Arial" w:eastAsia="Times New Roman" w:hAnsi="Arial" w:cs="Arial"/>
      <w:b/>
      <w:bCs/>
      <w:sz w:val="26"/>
      <w:szCs w:val="26"/>
      <w:lang w:eastAsia="es-ES"/>
    </w:rPr>
  </w:style>
  <w:style w:type="character" w:customStyle="1" w:styleId="Ttulo4Car">
    <w:name w:val="Título 4 Car"/>
    <w:link w:val="Ttulo4"/>
    <w:rsid w:val="00B270EE"/>
    <w:rPr>
      <w:rFonts w:ascii="Arial Narrow" w:eastAsia="Times New Roman" w:hAnsi="Arial Narrow" w:cs="Times New Roman"/>
      <w:b/>
      <w:sz w:val="24"/>
      <w:szCs w:val="20"/>
      <w:lang w:val="es-ES_tradnl" w:eastAsia="es-ES"/>
    </w:rPr>
  </w:style>
  <w:style w:type="character" w:customStyle="1" w:styleId="Ttulo5Car">
    <w:name w:val="Título 5 Car"/>
    <w:link w:val="Ttulo5"/>
    <w:rsid w:val="00B270EE"/>
    <w:rPr>
      <w:rFonts w:ascii="Times New Roman" w:eastAsia="Times New Roman" w:hAnsi="Times New Roman" w:cs="Times New Roman"/>
      <w:b/>
      <w:bCs/>
      <w:i/>
      <w:iCs/>
      <w:sz w:val="26"/>
      <w:szCs w:val="26"/>
      <w:lang w:eastAsia="es-ES"/>
    </w:rPr>
  </w:style>
  <w:style w:type="character" w:customStyle="1" w:styleId="Ttulo6Car">
    <w:name w:val="Título 6 Car"/>
    <w:link w:val="Ttulo6"/>
    <w:rsid w:val="00B270EE"/>
    <w:rPr>
      <w:rFonts w:ascii="Arial" w:eastAsia="Times New Roman" w:hAnsi="Arial" w:cs="Arial"/>
      <w:b/>
      <w:bCs/>
      <w:sz w:val="20"/>
      <w:szCs w:val="20"/>
      <w:lang w:val="es-MX" w:eastAsia="es-ES"/>
    </w:rPr>
  </w:style>
  <w:style w:type="character" w:customStyle="1" w:styleId="Ttulo7Car">
    <w:name w:val="Título 7 Car"/>
    <w:link w:val="Ttulo7"/>
    <w:rsid w:val="00B270EE"/>
    <w:rPr>
      <w:rFonts w:ascii="Arial" w:eastAsia="Times New Roman" w:hAnsi="Arial" w:cs="Times New Roman"/>
      <w:b/>
      <w:sz w:val="28"/>
      <w:szCs w:val="20"/>
      <w:lang w:val="es-ES_tradnl" w:eastAsia="es-ES"/>
    </w:rPr>
  </w:style>
  <w:style w:type="character" w:customStyle="1" w:styleId="Ttulo8Car">
    <w:name w:val="Título 8 Car"/>
    <w:link w:val="Ttulo8"/>
    <w:rsid w:val="00B270EE"/>
    <w:rPr>
      <w:rFonts w:ascii="Arial" w:eastAsia="Times New Roman" w:hAnsi="Arial" w:cs="Times New Roman"/>
      <w:b/>
      <w:sz w:val="48"/>
      <w:szCs w:val="20"/>
      <w:lang w:val="es-CO" w:eastAsia="es-ES"/>
    </w:rPr>
  </w:style>
  <w:style w:type="character" w:customStyle="1" w:styleId="Ttulo9Car">
    <w:name w:val="Título 9 Car"/>
    <w:link w:val="Ttulo9"/>
    <w:rsid w:val="00B270EE"/>
    <w:rPr>
      <w:rFonts w:ascii="Arial" w:eastAsia="Times New Roman" w:hAnsi="Arial" w:cs="Times New Roman"/>
      <w:b/>
      <w:sz w:val="50"/>
      <w:szCs w:val="20"/>
      <w:lang w:val="es-CO" w:eastAsia="es-ES"/>
    </w:rPr>
  </w:style>
  <w:style w:type="paragraph" w:styleId="Sangradetextonormal">
    <w:name w:val="Body Text Indent"/>
    <w:basedOn w:val="Normal"/>
    <w:link w:val="SangradetextonormalCar"/>
    <w:rsid w:val="00B270EE"/>
    <w:pPr>
      <w:jc w:val="center"/>
    </w:pPr>
    <w:rPr>
      <w:rFonts w:ascii="Arial Narrow" w:hAnsi="Arial Narrow"/>
      <w:snapToGrid w:val="0"/>
      <w:sz w:val="24"/>
    </w:rPr>
  </w:style>
  <w:style w:type="character" w:customStyle="1" w:styleId="SangradetextonormalCar">
    <w:name w:val="Sangría de texto normal Car"/>
    <w:link w:val="Sangradetextonormal"/>
    <w:rsid w:val="00B270EE"/>
    <w:rPr>
      <w:rFonts w:ascii="Arial Narrow" w:eastAsia="Times New Roman" w:hAnsi="Arial Narrow" w:cs="Times New Roman"/>
      <w:snapToGrid w:val="0"/>
      <w:sz w:val="24"/>
      <w:szCs w:val="20"/>
      <w:lang w:eastAsia="es-ES"/>
    </w:rPr>
  </w:style>
  <w:style w:type="paragraph" w:styleId="Textoindependiente2">
    <w:name w:val="Body Text 2"/>
    <w:basedOn w:val="Normal"/>
    <w:link w:val="Textoindependiente2Car"/>
    <w:rsid w:val="00B270EE"/>
    <w:rPr>
      <w:rFonts w:ascii="Arial" w:hAnsi="Arial"/>
      <w:sz w:val="22"/>
    </w:rPr>
  </w:style>
  <w:style w:type="character" w:customStyle="1" w:styleId="Textoindependiente2Car">
    <w:name w:val="Texto independiente 2 Car"/>
    <w:link w:val="Textoindependiente2"/>
    <w:rsid w:val="00B270EE"/>
    <w:rPr>
      <w:rFonts w:ascii="Arial" w:eastAsia="Times New Roman" w:hAnsi="Arial" w:cs="Times New Roman"/>
      <w:szCs w:val="20"/>
      <w:lang w:eastAsia="es-ES"/>
    </w:rPr>
  </w:style>
  <w:style w:type="paragraph" w:customStyle="1" w:styleId="BodyText21">
    <w:name w:val="Body Text 21"/>
    <w:basedOn w:val="Normal"/>
    <w:rsid w:val="00B270EE"/>
    <w:rPr>
      <w:rFonts w:ascii="Arial" w:hAnsi="Arial"/>
      <w:sz w:val="24"/>
      <w:lang w:val="es-ES_tradnl"/>
    </w:rPr>
  </w:style>
  <w:style w:type="paragraph" w:styleId="Textoindependiente3">
    <w:name w:val="Body Text 3"/>
    <w:basedOn w:val="Normal"/>
    <w:link w:val="Textoindependiente3Car"/>
    <w:rsid w:val="00B270EE"/>
    <w:rPr>
      <w:rFonts w:ascii="Arial" w:hAnsi="Arial"/>
      <w:b/>
      <w:sz w:val="24"/>
      <w:lang w:val="es-ES_tradnl"/>
    </w:rPr>
  </w:style>
  <w:style w:type="character" w:customStyle="1" w:styleId="Textoindependiente3Car">
    <w:name w:val="Texto independiente 3 Car"/>
    <w:link w:val="Textoindependiente3"/>
    <w:rsid w:val="00B270EE"/>
    <w:rPr>
      <w:rFonts w:ascii="Arial" w:eastAsia="Times New Roman" w:hAnsi="Arial" w:cs="Times New Roman"/>
      <w:b/>
      <w:sz w:val="24"/>
      <w:szCs w:val="20"/>
      <w:lang w:val="es-ES_tradnl" w:eastAsia="es-ES"/>
    </w:rPr>
  </w:style>
  <w:style w:type="paragraph" w:styleId="Textoindependiente">
    <w:name w:val="Body Text"/>
    <w:basedOn w:val="Normal"/>
    <w:link w:val="TextoindependienteCar"/>
    <w:rsid w:val="00B270EE"/>
    <w:rPr>
      <w:rFonts w:ascii="Arial" w:hAnsi="Arial"/>
      <w:sz w:val="24"/>
      <w:lang w:val="es-ES_tradnl"/>
    </w:rPr>
  </w:style>
  <w:style w:type="character" w:customStyle="1" w:styleId="TextoindependienteCar">
    <w:name w:val="Texto independiente Car"/>
    <w:link w:val="Textoindependiente"/>
    <w:rsid w:val="00B270EE"/>
    <w:rPr>
      <w:rFonts w:ascii="Arial" w:eastAsia="Times New Roman" w:hAnsi="Arial" w:cs="Times New Roman"/>
      <w:sz w:val="24"/>
      <w:szCs w:val="20"/>
      <w:lang w:val="es-ES_tradnl" w:eastAsia="es-ES"/>
    </w:rPr>
  </w:style>
  <w:style w:type="paragraph" w:styleId="Encabezado">
    <w:name w:val="header"/>
    <w:basedOn w:val="Normal"/>
    <w:link w:val="EncabezadoCar"/>
    <w:uiPriority w:val="99"/>
    <w:rsid w:val="00B270EE"/>
    <w:pPr>
      <w:tabs>
        <w:tab w:val="center" w:pos="4419"/>
        <w:tab w:val="right" w:pos="8838"/>
      </w:tabs>
    </w:pPr>
    <w:rPr>
      <w:rFonts w:ascii="Arial" w:hAnsi="Arial"/>
      <w:sz w:val="24"/>
      <w:lang w:val="es-ES_tradnl"/>
    </w:rPr>
  </w:style>
  <w:style w:type="character" w:customStyle="1" w:styleId="EncabezadoCar">
    <w:name w:val="Encabezado Car"/>
    <w:link w:val="Encabezado"/>
    <w:uiPriority w:val="99"/>
    <w:rsid w:val="00B270EE"/>
    <w:rPr>
      <w:rFonts w:ascii="Arial" w:eastAsia="Times New Roman" w:hAnsi="Arial" w:cs="Times New Roman"/>
      <w:sz w:val="24"/>
      <w:szCs w:val="20"/>
      <w:lang w:val="es-ES_tradnl" w:eastAsia="es-ES"/>
    </w:rPr>
  </w:style>
  <w:style w:type="paragraph" w:styleId="Piedepgina">
    <w:name w:val="footer"/>
    <w:basedOn w:val="Normal"/>
    <w:link w:val="PiedepginaCar"/>
    <w:rsid w:val="00B270EE"/>
    <w:pPr>
      <w:tabs>
        <w:tab w:val="center" w:pos="4252"/>
        <w:tab w:val="right" w:pos="8504"/>
      </w:tabs>
    </w:pPr>
  </w:style>
  <w:style w:type="character" w:customStyle="1" w:styleId="PiedepginaCar">
    <w:name w:val="Pie de página Car"/>
    <w:link w:val="Piedepgina"/>
    <w:rsid w:val="00B270EE"/>
    <w:rPr>
      <w:rFonts w:ascii="Times New Roman" w:eastAsia="Times New Roman" w:hAnsi="Times New Roman" w:cs="Times New Roman"/>
      <w:sz w:val="20"/>
      <w:szCs w:val="20"/>
      <w:lang w:eastAsia="es-ES"/>
    </w:rPr>
  </w:style>
  <w:style w:type="paragraph" w:styleId="Sangra2detindependiente">
    <w:name w:val="Body Text Indent 2"/>
    <w:basedOn w:val="Normal"/>
    <w:link w:val="Sangra2detindependienteCar"/>
    <w:rsid w:val="00B270EE"/>
    <w:pPr>
      <w:tabs>
        <w:tab w:val="left" w:pos="567"/>
      </w:tabs>
      <w:autoSpaceDE w:val="0"/>
      <w:autoSpaceDN w:val="0"/>
      <w:ind w:left="567" w:hanging="567"/>
    </w:pPr>
    <w:rPr>
      <w:rFonts w:ascii="Arial" w:hAnsi="Arial" w:cs="Arial"/>
      <w:b/>
      <w:bCs/>
      <w:lang w:val="es-ES_tradnl"/>
    </w:rPr>
  </w:style>
  <w:style w:type="character" w:customStyle="1" w:styleId="Sangra2detindependienteCar">
    <w:name w:val="Sangría 2 de t. independiente Car"/>
    <w:link w:val="Sangra2detindependiente"/>
    <w:rsid w:val="00B270EE"/>
    <w:rPr>
      <w:rFonts w:ascii="Arial" w:eastAsia="Times New Roman" w:hAnsi="Arial" w:cs="Arial"/>
      <w:b/>
      <w:bCs/>
      <w:sz w:val="20"/>
      <w:szCs w:val="20"/>
      <w:lang w:val="es-ES_tradnl" w:eastAsia="es-ES"/>
    </w:rPr>
  </w:style>
  <w:style w:type="paragraph" w:styleId="Textocomentario">
    <w:name w:val="annotation text"/>
    <w:basedOn w:val="Normal"/>
    <w:link w:val="TextocomentarioCar"/>
    <w:semiHidden/>
    <w:rsid w:val="00B270EE"/>
    <w:pPr>
      <w:autoSpaceDE w:val="0"/>
      <w:autoSpaceDN w:val="0"/>
    </w:pPr>
    <w:rPr>
      <w:lang w:val="es-ES_tradnl"/>
    </w:rPr>
  </w:style>
  <w:style w:type="character" w:customStyle="1" w:styleId="TextocomentarioCar">
    <w:name w:val="Texto comentario Car"/>
    <w:link w:val="Textocomentario"/>
    <w:semiHidden/>
    <w:rsid w:val="00B270EE"/>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semiHidden/>
    <w:rsid w:val="00B270EE"/>
    <w:pPr>
      <w:autoSpaceDE w:val="0"/>
      <w:autoSpaceDN w:val="0"/>
    </w:pPr>
  </w:style>
  <w:style w:type="character" w:customStyle="1" w:styleId="TextonotapieCar">
    <w:name w:val="Texto nota pie Car"/>
    <w:link w:val="Textonotapie"/>
    <w:semiHidden/>
    <w:rsid w:val="00B270EE"/>
    <w:rPr>
      <w:rFonts w:ascii="Times New Roman" w:eastAsia="Times New Roman" w:hAnsi="Times New Roman" w:cs="Times New Roman"/>
      <w:sz w:val="20"/>
      <w:szCs w:val="20"/>
      <w:lang w:eastAsia="es-ES"/>
    </w:rPr>
  </w:style>
  <w:style w:type="character" w:styleId="Textoennegrita">
    <w:name w:val="Strong"/>
    <w:qFormat/>
    <w:rsid w:val="00B270EE"/>
    <w:rPr>
      <w:b/>
      <w:bCs/>
    </w:rPr>
  </w:style>
  <w:style w:type="character" w:styleId="Hipervnculo">
    <w:name w:val="Hyperlink"/>
    <w:rsid w:val="00B270EE"/>
    <w:rPr>
      <w:color w:val="0000FF"/>
      <w:u w:val="single"/>
    </w:rPr>
  </w:style>
  <w:style w:type="paragraph" w:styleId="Prrafodelista">
    <w:name w:val="List Paragraph"/>
    <w:basedOn w:val="Normal"/>
    <w:uiPriority w:val="34"/>
    <w:qFormat/>
    <w:rsid w:val="00B270EE"/>
    <w:pPr>
      <w:spacing w:before="60" w:after="40"/>
      <w:ind w:left="720" w:right="28"/>
      <w:contextualSpacing/>
    </w:pPr>
    <w:rPr>
      <w:rFonts w:ascii="Calibri" w:eastAsia="Calibri" w:hAnsi="Calibri"/>
      <w:sz w:val="22"/>
      <w:szCs w:val="22"/>
      <w:lang w:eastAsia="en-US"/>
    </w:rPr>
  </w:style>
  <w:style w:type="table" w:styleId="Tablaconcuadrcula">
    <w:name w:val="Table Grid"/>
    <w:basedOn w:val="Tablanormal"/>
    <w:uiPriority w:val="59"/>
    <w:rsid w:val="00B270EE"/>
    <w:pPr>
      <w:widowControl w:val="0"/>
      <w:adjustRightInd w:val="0"/>
      <w:spacing w:line="360" w:lineRule="atLeast"/>
      <w:jc w:val="both"/>
      <w:textAlignment w:val="baseline"/>
    </w:pPr>
    <w:rPr>
      <w:rFonts w:ascii="Times New Roman" w:eastAsia="Times New Roman" w:hAnsi="Times New Roman"/>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B270EE"/>
    <w:rPr>
      <w:rFonts w:ascii="Tahoma" w:hAnsi="Tahoma" w:cs="Tahoma"/>
      <w:sz w:val="16"/>
      <w:szCs w:val="16"/>
    </w:rPr>
  </w:style>
  <w:style w:type="character" w:customStyle="1" w:styleId="TextodegloboCar">
    <w:name w:val="Texto de globo Car"/>
    <w:link w:val="Textodeglobo"/>
    <w:rsid w:val="00B270EE"/>
    <w:rPr>
      <w:rFonts w:ascii="Tahoma" w:eastAsia="Times New Roman" w:hAnsi="Tahoma" w:cs="Tahoma"/>
      <w:sz w:val="16"/>
      <w:szCs w:val="16"/>
      <w:lang w:eastAsia="es-ES"/>
    </w:rPr>
  </w:style>
  <w:style w:type="paragraph" w:styleId="Sangra3detindependiente">
    <w:name w:val="Body Text Indent 3"/>
    <w:basedOn w:val="Normal"/>
    <w:link w:val="Sangra3detindependienteCar"/>
    <w:rsid w:val="00B270EE"/>
    <w:pPr>
      <w:spacing w:after="120"/>
      <w:ind w:left="283"/>
    </w:pPr>
    <w:rPr>
      <w:sz w:val="16"/>
      <w:szCs w:val="16"/>
    </w:rPr>
  </w:style>
  <w:style w:type="character" w:customStyle="1" w:styleId="Sangra3detindependienteCar">
    <w:name w:val="Sangría 3 de t. independiente Car"/>
    <w:link w:val="Sangra3detindependiente"/>
    <w:rsid w:val="00B270EE"/>
    <w:rPr>
      <w:rFonts w:ascii="Times New Roman" w:eastAsia="Times New Roman" w:hAnsi="Times New Roman" w:cs="Times New Roman"/>
      <w:sz w:val="16"/>
      <w:szCs w:val="16"/>
      <w:lang w:eastAsia="es-ES"/>
    </w:rPr>
  </w:style>
  <w:style w:type="character" w:styleId="Refdenotaalpie">
    <w:name w:val="footnote reference"/>
    <w:semiHidden/>
    <w:rsid w:val="00B270EE"/>
    <w:rPr>
      <w:vertAlign w:val="superscript"/>
    </w:rPr>
  </w:style>
  <w:style w:type="paragraph" w:styleId="TDC1">
    <w:name w:val="toc 1"/>
    <w:basedOn w:val="Normal"/>
    <w:next w:val="Normal"/>
    <w:autoRedefine/>
    <w:uiPriority w:val="39"/>
    <w:rsid w:val="00B270EE"/>
    <w:pPr>
      <w:spacing w:before="120" w:after="120"/>
    </w:pPr>
    <w:rPr>
      <w:b/>
      <w:caps/>
    </w:rPr>
  </w:style>
  <w:style w:type="paragraph" w:styleId="TDC2">
    <w:name w:val="toc 2"/>
    <w:basedOn w:val="Normal"/>
    <w:next w:val="Normal"/>
    <w:autoRedefine/>
    <w:uiPriority w:val="39"/>
    <w:rsid w:val="00B270EE"/>
    <w:pPr>
      <w:ind w:left="200"/>
    </w:pPr>
    <w:rPr>
      <w:smallCaps/>
    </w:rPr>
  </w:style>
  <w:style w:type="paragraph" w:styleId="TDC3">
    <w:name w:val="toc 3"/>
    <w:basedOn w:val="Normal"/>
    <w:next w:val="Normal"/>
    <w:autoRedefine/>
    <w:uiPriority w:val="39"/>
    <w:rsid w:val="00B270EE"/>
    <w:pPr>
      <w:ind w:left="400"/>
    </w:pPr>
    <w:rPr>
      <w:i/>
    </w:rPr>
  </w:style>
  <w:style w:type="paragraph" w:customStyle="1" w:styleId="textos">
    <w:name w:val="textos"/>
    <w:basedOn w:val="Normal"/>
    <w:rsid w:val="00B270EE"/>
    <w:pPr>
      <w:spacing w:before="100" w:beforeAutospacing="1" w:after="100" w:afterAutospacing="1"/>
    </w:pPr>
    <w:rPr>
      <w:sz w:val="24"/>
      <w:szCs w:val="24"/>
    </w:rPr>
  </w:style>
  <w:style w:type="paragraph" w:styleId="NormalWeb">
    <w:name w:val="Normal (Web)"/>
    <w:basedOn w:val="Normal"/>
    <w:uiPriority w:val="99"/>
    <w:rsid w:val="00B270EE"/>
    <w:pPr>
      <w:widowControl/>
      <w:adjustRightInd/>
      <w:spacing w:before="100" w:beforeAutospacing="1" w:after="100" w:afterAutospacing="1" w:line="240" w:lineRule="auto"/>
      <w:jc w:val="left"/>
      <w:textAlignment w:val="auto"/>
    </w:pPr>
    <w:rPr>
      <w:sz w:val="24"/>
      <w:szCs w:val="24"/>
    </w:rPr>
  </w:style>
  <w:style w:type="paragraph" w:styleId="Textodebloque">
    <w:name w:val="Block Text"/>
    <w:basedOn w:val="Normal"/>
    <w:rsid w:val="00B270EE"/>
    <w:pPr>
      <w:keepNext/>
      <w:widowControl/>
      <w:adjustRightInd/>
      <w:spacing w:before="80" w:after="80" w:line="240" w:lineRule="auto"/>
      <w:ind w:left="113" w:right="57"/>
      <w:textAlignment w:val="auto"/>
    </w:pPr>
    <w:rPr>
      <w:rFonts w:ascii="Arial" w:hAnsi="Arial"/>
      <w:sz w:val="22"/>
    </w:rPr>
  </w:style>
  <w:style w:type="paragraph" w:customStyle="1" w:styleId="MARITZA3">
    <w:name w:val="MARITZA3"/>
    <w:rsid w:val="00B270EE"/>
    <w:pPr>
      <w:widowControl w:val="0"/>
      <w:tabs>
        <w:tab w:val="left" w:pos="-720"/>
        <w:tab w:val="left" w:pos="0"/>
      </w:tabs>
      <w:suppressAutoHyphens/>
      <w:jc w:val="both"/>
    </w:pPr>
    <w:rPr>
      <w:rFonts w:ascii="Courier New" w:eastAsia="Times New Roman" w:hAnsi="Courier New"/>
      <w:spacing w:val="-2"/>
      <w:sz w:val="24"/>
      <w:lang w:val="en-US" w:eastAsia="es-ES"/>
    </w:rPr>
  </w:style>
  <w:style w:type="character" w:styleId="Nmerodepgina">
    <w:name w:val="page number"/>
    <w:basedOn w:val="Fuentedeprrafopredeter"/>
    <w:rsid w:val="00B270EE"/>
  </w:style>
  <w:style w:type="character" w:styleId="Hipervnculovisitado">
    <w:name w:val="FollowedHyperlink"/>
    <w:rsid w:val="00B270EE"/>
    <w:rPr>
      <w:color w:val="800080"/>
      <w:u w:val="single"/>
    </w:rPr>
  </w:style>
  <w:style w:type="paragraph" w:customStyle="1" w:styleId="parrafo1">
    <w:name w:val="parrafo1"/>
    <w:basedOn w:val="Normal"/>
    <w:rsid w:val="00DF59DC"/>
    <w:pPr>
      <w:widowControl/>
      <w:adjustRightInd/>
      <w:spacing w:line="240" w:lineRule="auto"/>
      <w:textAlignment w:val="auto"/>
    </w:pPr>
    <w:rPr>
      <w:rFonts w:ascii="Verdana" w:hAnsi="Verdana"/>
      <w:color w:val="000000"/>
    </w:rPr>
  </w:style>
  <w:style w:type="character" w:styleId="Refdecomentario">
    <w:name w:val="annotation reference"/>
    <w:basedOn w:val="Fuentedeprrafopredeter"/>
    <w:uiPriority w:val="99"/>
    <w:semiHidden/>
    <w:unhideWhenUsed/>
    <w:rsid w:val="000178B1"/>
    <w:rPr>
      <w:sz w:val="16"/>
      <w:szCs w:val="16"/>
    </w:rPr>
  </w:style>
  <w:style w:type="paragraph" w:styleId="Asuntodelcomentario">
    <w:name w:val="annotation subject"/>
    <w:basedOn w:val="Textocomentario"/>
    <w:next w:val="Textocomentario"/>
    <w:link w:val="AsuntodelcomentarioCar"/>
    <w:uiPriority w:val="99"/>
    <w:semiHidden/>
    <w:unhideWhenUsed/>
    <w:rsid w:val="000178B1"/>
    <w:pPr>
      <w:autoSpaceDE/>
      <w:autoSpaceDN/>
      <w:spacing w:line="240" w:lineRule="auto"/>
    </w:pPr>
    <w:rPr>
      <w:b/>
      <w:bCs/>
      <w:lang w:val="es-ES"/>
    </w:rPr>
  </w:style>
  <w:style w:type="character" w:customStyle="1" w:styleId="AsuntodelcomentarioCar">
    <w:name w:val="Asunto del comentario Car"/>
    <w:basedOn w:val="TextocomentarioCar"/>
    <w:link w:val="Asuntodelcomentario"/>
    <w:uiPriority w:val="99"/>
    <w:semiHidden/>
    <w:rsid w:val="000178B1"/>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0178B1"/>
  </w:style>
  <w:style w:type="paragraph" w:styleId="Revisin">
    <w:name w:val="Revision"/>
    <w:hidden/>
    <w:uiPriority w:val="99"/>
    <w:semiHidden/>
    <w:rsid w:val="009D4BC9"/>
    <w:rPr>
      <w:rFonts w:ascii="Times New Roman" w:eastAsia="Times New Roman" w:hAnsi="Times New Roman"/>
      <w:lang w:val="es-ES" w:eastAsia="es-ES"/>
    </w:rPr>
  </w:style>
  <w:style w:type="character" w:customStyle="1" w:styleId="tl8wme">
    <w:name w:val="tl8wme"/>
    <w:basedOn w:val="Fuentedeprrafopredeter"/>
    <w:rsid w:val="008A4EAA"/>
  </w:style>
  <w:style w:type="character" w:styleId="Mencinsinresolver">
    <w:name w:val="Unresolved Mention"/>
    <w:basedOn w:val="Fuentedeprrafopredeter"/>
    <w:uiPriority w:val="99"/>
    <w:semiHidden/>
    <w:unhideWhenUsed/>
    <w:rsid w:val="00BE6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47022">
      <w:bodyDiv w:val="1"/>
      <w:marLeft w:val="0"/>
      <w:marRight w:val="0"/>
      <w:marTop w:val="0"/>
      <w:marBottom w:val="0"/>
      <w:divBdr>
        <w:top w:val="none" w:sz="0" w:space="0" w:color="auto"/>
        <w:left w:val="none" w:sz="0" w:space="0" w:color="auto"/>
        <w:bottom w:val="none" w:sz="0" w:space="0" w:color="auto"/>
        <w:right w:val="none" w:sz="0" w:space="0" w:color="auto"/>
      </w:divBdr>
    </w:div>
    <w:div w:id="658583724">
      <w:bodyDiv w:val="1"/>
      <w:marLeft w:val="0"/>
      <w:marRight w:val="0"/>
      <w:marTop w:val="0"/>
      <w:marBottom w:val="0"/>
      <w:divBdr>
        <w:top w:val="none" w:sz="0" w:space="0" w:color="auto"/>
        <w:left w:val="none" w:sz="0" w:space="0" w:color="auto"/>
        <w:bottom w:val="none" w:sz="0" w:space="0" w:color="auto"/>
        <w:right w:val="none" w:sz="0" w:space="0" w:color="auto"/>
      </w:divBdr>
    </w:div>
    <w:div w:id="709689820">
      <w:bodyDiv w:val="1"/>
      <w:marLeft w:val="0"/>
      <w:marRight w:val="0"/>
      <w:marTop w:val="0"/>
      <w:marBottom w:val="0"/>
      <w:divBdr>
        <w:top w:val="none" w:sz="0" w:space="0" w:color="auto"/>
        <w:left w:val="none" w:sz="0" w:space="0" w:color="auto"/>
        <w:bottom w:val="none" w:sz="0" w:space="0" w:color="auto"/>
        <w:right w:val="none" w:sz="0" w:space="0" w:color="auto"/>
      </w:divBdr>
    </w:div>
    <w:div w:id="723525267">
      <w:bodyDiv w:val="1"/>
      <w:marLeft w:val="0"/>
      <w:marRight w:val="0"/>
      <w:marTop w:val="0"/>
      <w:marBottom w:val="0"/>
      <w:divBdr>
        <w:top w:val="none" w:sz="0" w:space="0" w:color="auto"/>
        <w:left w:val="none" w:sz="0" w:space="0" w:color="auto"/>
        <w:bottom w:val="none" w:sz="0" w:space="0" w:color="auto"/>
        <w:right w:val="none" w:sz="0" w:space="0" w:color="auto"/>
      </w:divBdr>
    </w:div>
    <w:div w:id="766116978">
      <w:bodyDiv w:val="1"/>
      <w:marLeft w:val="0"/>
      <w:marRight w:val="0"/>
      <w:marTop w:val="0"/>
      <w:marBottom w:val="0"/>
      <w:divBdr>
        <w:top w:val="none" w:sz="0" w:space="0" w:color="auto"/>
        <w:left w:val="none" w:sz="0" w:space="0" w:color="auto"/>
        <w:bottom w:val="none" w:sz="0" w:space="0" w:color="auto"/>
        <w:right w:val="none" w:sz="0" w:space="0" w:color="auto"/>
      </w:divBdr>
    </w:div>
    <w:div w:id="1023214910">
      <w:bodyDiv w:val="1"/>
      <w:marLeft w:val="0"/>
      <w:marRight w:val="0"/>
      <w:marTop w:val="0"/>
      <w:marBottom w:val="0"/>
      <w:divBdr>
        <w:top w:val="none" w:sz="0" w:space="0" w:color="auto"/>
        <w:left w:val="none" w:sz="0" w:space="0" w:color="auto"/>
        <w:bottom w:val="none" w:sz="0" w:space="0" w:color="auto"/>
        <w:right w:val="none" w:sz="0" w:space="0" w:color="auto"/>
      </w:divBdr>
      <w:divsChild>
        <w:div w:id="1210990658">
          <w:marLeft w:val="0"/>
          <w:marRight w:val="0"/>
          <w:marTop w:val="0"/>
          <w:marBottom w:val="0"/>
          <w:divBdr>
            <w:top w:val="none" w:sz="0" w:space="0" w:color="auto"/>
            <w:left w:val="none" w:sz="0" w:space="0" w:color="auto"/>
            <w:bottom w:val="none" w:sz="0" w:space="0" w:color="auto"/>
            <w:right w:val="none" w:sz="0" w:space="0" w:color="auto"/>
          </w:divBdr>
          <w:divsChild>
            <w:div w:id="469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42416">
      <w:bodyDiv w:val="1"/>
      <w:marLeft w:val="0"/>
      <w:marRight w:val="0"/>
      <w:marTop w:val="0"/>
      <w:marBottom w:val="0"/>
      <w:divBdr>
        <w:top w:val="none" w:sz="0" w:space="0" w:color="auto"/>
        <w:left w:val="none" w:sz="0" w:space="0" w:color="auto"/>
        <w:bottom w:val="none" w:sz="0" w:space="0" w:color="auto"/>
        <w:right w:val="none" w:sz="0" w:space="0" w:color="auto"/>
      </w:divBdr>
    </w:div>
    <w:div w:id="1309237839">
      <w:bodyDiv w:val="1"/>
      <w:marLeft w:val="0"/>
      <w:marRight w:val="0"/>
      <w:marTop w:val="0"/>
      <w:marBottom w:val="0"/>
      <w:divBdr>
        <w:top w:val="none" w:sz="0" w:space="0" w:color="auto"/>
        <w:left w:val="none" w:sz="0" w:space="0" w:color="auto"/>
        <w:bottom w:val="none" w:sz="0" w:space="0" w:color="auto"/>
        <w:right w:val="none" w:sz="0" w:space="0" w:color="auto"/>
      </w:divBdr>
    </w:div>
    <w:div w:id="1349019027">
      <w:bodyDiv w:val="1"/>
      <w:marLeft w:val="0"/>
      <w:marRight w:val="0"/>
      <w:marTop w:val="0"/>
      <w:marBottom w:val="0"/>
      <w:divBdr>
        <w:top w:val="none" w:sz="0" w:space="0" w:color="auto"/>
        <w:left w:val="none" w:sz="0" w:space="0" w:color="auto"/>
        <w:bottom w:val="none" w:sz="0" w:space="0" w:color="auto"/>
        <w:right w:val="none" w:sz="0" w:space="0" w:color="auto"/>
      </w:divBdr>
    </w:div>
    <w:div w:id="1397049709">
      <w:bodyDiv w:val="1"/>
      <w:marLeft w:val="0"/>
      <w:marRight w:val="0"/>
      <w:marTop w:val="0"/>
      <w:marBottom w:val="0"/>
      <w:divBdr>
        <w:top w:val="none" w:sz="0" w:space="0" w:color="auto"/>
        <w:left w:val="none" w:sz="0" w:space="0" w:color="auto"/>
        <w:bottom w:val="none" w:sz="0" w:space="0" w:color="auto"/>
        <w:right w:val="none" w:sz="0" w:space="0" w:color="auto"/>
      </w:divBdr>
    </w:div>
    <w:div w:id="1715763530">
      <w:bodyDiv w:val="1"/>
      <w:marLeft w:val="0"/>
      <w:marRight w:val="0"/>
      <w:marTop w:val="0"/>
      <w:marBottom w:val="0"/>
      <w:divBdr>
        <w:top w:val="none" w:sz="0" w:space="0" w:color="auto"/>
        <w:left w:val="none" w:sz="0" w:space="0" w:color="auto"/>
        <w:bottom w:val="none" w:sz="0" w:space="0" w:color="auto"/>
        <w:right w:val="none" w:sz="0" w:space="0" w:color="auto"/>
      </w:divBdr>
    </w:div>
    <w:div w:id="1764035368">
      <w:bodyDiv w:val="1"/>
      <w:marLeft w:val="0"/>
      <w:marRight w:val="0"/>
      <w:marTop w:val="0"/>
      <w:marBottom w:val="0"/>
      <w:divBdr>
        <w:top w:val="none" w:sz="0" w:space="0" w:color="auto"/>
        <w:left w:val="none" w:sz="0" w:space="0" w:color="auto"/>
        <w:bottom w:val="none" w:sz="0" w:space="0" w:color="auto"/>
        <w:right w:val="none" w:sz="0" w:space="0" w:color="auto"/>
      </w:divBdr>
    </w:div>
    <w:div w:id="1832132579">
      <w:bodyDiv w:val="1"/>
      <w:marLeft w:val="0"/>
      <w:marRight w:val="0"/>
      <w:marTop w:val="0"/>
      <w:marBottom w:val="0"/>
      <w:divBdr>
        <w:top w:val="none" w:sz="0" w:space="0" w:color="auto"/>
        <w:left w:val="none" w:sz="0" w:space="0" w:color="auto"/>
        <w:bottom w:val="none" w:sz="0" w:space="0" w:color="auto"/>
        <w:right w:val="none" w:sz="0" w:space="0" w:color="auto"/>
      </w:divBdr>
    </w:div>
    <w:div w:id="20350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upersalud.gov.c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b6565643-c00f-44ce-b5d1-532a85e4382c">XQAF2AT3N76N-223-184</_dlc_DocId>
    <_dlc_DocIdUrl xmlns="b6565643-c00f-44ce-b5d1-532a85e4382c">
      <Url>https://docs.supersalud.gov.co/PortalWeb/Comunicaciones/_layouts/15/DocIdRedir.aspx?ID=XQAF2AT3N76N-223-184</Url>
      <Description>XQAF2AT3N76N-223-184</Description>
    </_dlc_DocIdUrl>
    <Numero xmlns="b6565643-c00f-44ce-b5d1-532a85e4382c">OPC150</Numero>
    <Language xmlns="http://schemas.microsoft.com/sharepoint/v3">Español (España)</Language>
    <Tipo_de_Norma xmlns="b6565643-c00f-44ce-b5d1-532a85e4382c">No aplica</Tipo_de_Norma>
    <Frecuencia_de_actualizacion xmlns="b6565643-c00f-44ce-b5d1-532a85e4382c">Por demanda</Frecuencia_de_actualizacion>
    <Mes_Plantilla xmlns="b6565643-c00f-44ce-b5d1-532a85e4382c">mayo</Mes_Plantilla>
    <_Format xmlns="http://schemas.microsoft.com/sharepoint/v3/fields">Documento de texto</_Format>
    <Ano_Plantilla xmlns="b6565643-c00f-44ce-b5d1-532a85e4382c">2023</Ano_Plantilla>
    <Descripcion xmlns="b6565643-c00f-44ce-b5d1-532a85e4382c">Proyecto de resolución por el cual se establecen las tarifas, los lugares o medios y plazos para cumplir con el pago de la Contribución 2023, consagrada en el artículo 76 de la Ley 1955 de 2019.</Descripcion>
    <Informacion_publicada_o_disponible xmlns="b6565643-c00f-44ce-b5d1-532a85e4382c">http://docs.supersalud.gov.co/PortalWeb/Comunicaciones/OtrasPublicacionesComunicaciones</Informacion_publicada_o_disponible>
    <Estado_Plantilla xmlns="b6565643-c00f-44ce-b5d1-532a85e4382c">No Aplica</Estado_Plantilla>
    <Medio_de_conservacion_y_x002f_o_soporte xmlns="b6565643-c00f-44ce-b5d1-532a85e4382c">Documento electrónico</Medio_de_conservacion_y_x002f_o_soporte>
    <Fecha_x0020_de_x0020_generación_x0020_de_x0020_la_x0020_información xmlns="b6565643-c00f-44ce-b5d1-532a85e4382c">2023-05-11T05:00:00+00:00</Fecha_x0020_de_x0020_generación_x0020_de_x0020_la_x0020_información>
    <Fecha_x0020_final_x0020_de_x0020_publicación xmlns="b6565643-c00f-44ce-b5d1-532a85e4382c" xsi:nil="true"/>
    <Fecha_x0020_de_x0020_inicio_x0020_de_x0020_publicación xmlns="b6565643-c00f-44ce-b5d1-532a85e4382c">2023-05-11T05:00:00+00:00</Fecha_x0020_de_x0020_inicio_x0020_de_x0020_publicación>
    <Serie xmlns="43b5979b-6cc0-44c2-b7e9-cdfca181321f">472</Serie>
    <Tipo_x0020_Documental xmlns="43b5979b-6cc0-44c2-b7e9-cdfca181321f">2423</Tipo_x0020_Documental>
    <Código_x0020_responsable_x0020_de_x0020_la_x0020_información xmlns="43b5979b-6cc0-44c2-b7e9-cdfca181321f">33</Código_x0020_responsable_x0020_de_x0020_la_x0020_información>
    <Sub-Serie xmlns="43b5979b-6cc0-44c2-b7e9-cdfca181321f">64</Sub-Serie>
    <Código_x0020_nombre_x0020_del_x0020_reponsable_x0020_producción xmlns="43b5979b-6cc0-44c2-b7e9-cdfca181321f">33</Código_x0020_nombre_x0020_del_x0020_reponsable_x0020_producción>
    <Responsable_x0020_de_x0020_la_x0020_información xmlns="43b5979b-6cc0-44c2-b7e9-cdfca181321f">33</Responsable_x0020_de_x0020_la_x0020_información>
    <Nombre_x0020_del_x0020_responsable_x0020_de_x0020_producción xmlns="43b5979b-6cc0-44c2-b7e9-cdfca18132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47E7CD5F3D5D2147AE529C35CF5F8421" ma:contentTypeVersion="37" ma:contentTypeDescription="Campos definidos por la oficina de planeación" ma:contentTypeScope="" ma:versionID="29599ec75fff2857000aaaa24d0e5fef">
  <xsd:schema xmlns:xsd="http://www.w3.org/2001/XMLSchema" xmlns:xs="http://www.w3.org/2001/XMLSchema" xmlns:p="http://schemas.microsoft.com/office/2006/metadata/properties" xmlns:ns1="http://schemas.microsoft.com/sharepoint/v3" xmlns:ns2="b6565643-c00f-44ce-b5d1-532a85e4382c" xmlns:ns3="http://schemas.microsoft.com/sharepoint/v3/fields" xmlns:ns4="43b5979b-6cc0-44c2-b7e9-cdfca181321f" targetNamespace="http://schemas.microsoft.com/office/2006/metadata/properties" ma:root="true" ma:fieldsID="9c6b8b5d5cdb921490e1984d6936e540" ns1:_="" ns2:_="" ns3:_="" ns4:_="">
    <xsd:import namespace="http://schemas.microsoft.com/sharepoint/v3"/>
    <xsd:import namespace="b6565643-c00f-44ce-b5d1-532a85e4382c"/>
    <xsd:import namespace="http://schemas.microsoft.com/sharepoint/v3/fields"/>
    <xsd:import namespace="43b5979b-6cc0-44c2-b7e9-cdfca181321f"/>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Código_x0020_nombre_x0020_del_x0020_reponsable_x0020_producción" minOccurs="0"/>
                <xsd:element ref="ns4:Código_x0020_responsable_x0020_de_x0020_la_x0020_información" minOccurs="0"/>
                <xsd:element ref="ns4:Nombre_x0020_del_x0020_responsable_x0020_de_x0020_producción" minOccurs="0"/>
                <xsd:element ref="ns4:Responsable_x0020_de_x0020_la_x0020_información" minOccurs="0"/>
                <xsd:element ref="ns4:Serie" minOccurs="0"/>
                <xsd:element ref="ns4:Sub-Serie" minOccurs="0"/>
                <xsd:element ref="ns4:Tipo_x0020_Docume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43b5979b-6cc0-44c2-b7e9-cdfca181321f" elementFormDefault="qualified">
    <xsd:import namespace="http://schemas.microsoft.com/office/2006/documentManagement/types"/>
    <xsd:import namespace="http://schemas.microsoft.com/office/infopath/2007/PartnerControls"/>
    <xsd:element name="Código_x0020_nombre_x0020_del_x0020_reponsable_x0020_producción" ma:index="26" nillable="true" ma:displayName="Código nombre del reponsable producción" ma:description="Corresponde al Código de la dependencia encargada de la Producción de la información para efectos de permitir su correcta elaboración (este código sale de su TRD)" ma:list="{d3b256e3-7f57-4578-b8af-59fe474d0280}" ma:internalName="C_x00f3_digo_x0020_nombre_x0020_del_x0020_reponsable_x0020_producci_x00f3_n" ma:showField="Codigos_x0020_Dependencias" ma:web="43b5979b-6cc0-44c2-b7e9-cdfca181321f">
      <xsd:simpleType>
        <xsd:restriction base="dms:Lookup"/>
      </xsd:simpleType>
    </xsd:element>
    <xsd:element name="Código_x0020_responsable_x0020_de_x0020_la_x0020_información" ma:index="27" nillable="true" ma:displayName="Código responsable de la información" ma:list="{d3b256e3-7f57-4578-b8af-59fe474d0280}" ma:internalName="C_x00f3_digo_x0020_responsable_x0020_de_x0020_la_x0020_informaci_x00f3_n" ma:showField="Codigos_x0020_Dependencias" ma:web="43b5979b-6cc0-44c2-b7e9-cdfca181321f">
      <xsd:simpleType>
        <xsd:restriction base="dms:Lookup"/>
      </xsd:simpleType>
    </xsd:element>
    <xsd:element name="Nombre_x0020_del_x0020_responsable_x0020_de_x0020_producción" ma:index="28" nillable="true" ma:displayName="Nombre del responsable de producción" ma:description="Corresponde al nombre de la dependencia encargada de la Producción de la información" ma:list="{849e7c7c-cf69-40b3-bfd3-ce4436b8c08f}" ma:internalName="Nombre_x0020_del_x0020_responsable_x0020_de_x0020_producci_x00f3_n" ma:showField="Dependencias" ma:web="43b5979b-6cc0-44c2-b7e9-cdfca181321f">
      <xsd:simpleType>
        <xsd:restriction base="dms:Lookup"/>
      </xsd:simpleType>
    </xsd:element>
    <xsd:element name="Responsable_x0020_de_x0020_la_x0020_información" ma:index="29" nillable="true" ma:displayName="Responsable de la información" ma:description="Corresponde al nombre de la dependencia encargada administrar y publicar la información." ma:list="{849e7c7c-cf69-40b3-bfd3-ce4436b8c08f}" ma:internalName="Responsable_x0020_de_x0020_la_x0020_informaci_x00f3_n" ma:showField="Dependencias" ma:web="43b5979b-6cc0-44c2-b7e9-cdfca181321f">
      <xsd:simpleType>
        <xsd:restriction base="dms:Lookup"/>
      </xsd:simpleType>
    </xsd:element>
    <xsd:element name="Serie" ma:index="30" nillable="true" ma:displayName="Serie" ma:description="Este dato corresponde a la clasificación documental de cada documento" ma:list="{d3876e43-394d-4298-8aa7-6ae2eff76c55}" ma:internalName="Serie" ma:showField="Series" ma:web="43b5979b-6cc0-44c2-b7e9-cdfca181321f">
      <xsd:simpleType>
        <xsd:restriction base="dms:Lookup"/>
      </xsd:simpleType>
    </xsd:element>
    <xsd:element name="Sub-Serie" ma:index="31" nillable="true" ma:displayName="Sub-Serie" ma:description="Este dato corresponde a la clasificación documental de cada documento" ma:list="{f00760b0-d124-467b-b3d5-dcd3a70d92f3}" ma:internalName="Sub_x002d_Serie" ma:showField="SubSeries" ma:web="43b5979b-6cc0-44c2-b7e9-cdfca181321f">
      <xsd:simpleType>
        <xsd:restriction base="dms:Lookup"/>
      </xsd:simpleType>
    </xsd:element>
    <xsd:element name="Tipo_x0020_Documental" ma:index="32" nillable="true" ma:displayName="Tipo Documental" ma:description="Este dato corresponde a la clasificación documental del documento a cargar" ma:list="{8c221c07-c913-4c3c-90b7-40b8bd558b08}" ma:internalName="Tipo_x0020_Documental" ma:showField="Tipologias" ma:web="43b5979b-6cc0-44c2-b7e9-cdfca181321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11402256c7663cc00c3b3ea16b2b101c">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5182bded6f6d6a9e4f2182a6aa0eb646"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5510D-B148-4EE5-922F-615E790AC477}"/>
</file>

<file path=customXml/itemProps2.xml><?xml version="1.0" encoding="utf-8"?>
<ds:datastoreItem xmlns:ds="http://schemas.openxmlformats.org/officeDocument/2006/customXml" ds:itemID="{0F896029-3DB0-4396-ADCA-43253AC4D1D2}"/>
</file>

<file path=customXml/itemProps3.xml><?xml version="1.0" encoding="utf-8"?>
<ds:datastoreItem xmlns:ds="http://schemas.openxmlformats.org/officeDocument/2006/customXml" ds:itemID="{AF38C065-957C-4935-B955-39F89572310D}"/>
</file>

<file path=customXml/itemProps4.xml><?xml version="1.0" encoding="utf-8"?>
<ds:datastoreItem xmlns:ds="http://schemas.openxmlformats.org/officeDocument/2006/customXml" ds:itemID="{81CFFF76-AA6A-49D8-B11A-5EEF893A9EAE}"/>
</file>

<file path=customXml/itemProps5.xml><?xml version="1.0" encoding="utf-8"?>
<ds:datastoreItem xmlns:ds="http://schemas.openxmlformats.org/officeDocument/2006/customXml" ds:itemID="{873BB07D-2C52-4BD9-9E6E-D740FADEBD45}"/>
</file>

<file path=customXml/itemProps6.xml><?xml version="1.0" encoding="utf-8"?>
<ds:datastoreItem xmlns:ds="http://schemas.openxmlformats.org/officeDocument/2006/customXml" ds:itemID="{44C2BBE5-492E-47A6-B9A8-30AB9B72F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1875</Words>
  <Characters>10313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Resoluciones</vt:lpstr>
    </vt:vector>
  </TitlesOfParts>
  <Company>Hewlett-Packard Company</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Contribución 2023</dc:title>
  <dc:creator>hlozano</dc:creator>
  <cp:keywords>Proyecto de resolución, contribución, 2023</cp:keywords>
  <cp:lastModifiedBy>Angela Consuelo Preciado Guevara</cp:lastModifiedBy>
  <cp:revision>2</cp:revision>
  <cp:lastPrinted>2014-12-19T17:32:00Z</cp:lastPrinted>
  <dcterms:created xsi:type="dcterms:W3CDTF">2023-05-11T19:58:00Z</dcterms:created>
  <dcterms:modified xsi:type="dcterms:W3CDTF">2023-05-11T19:58:00Z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6c100b7f-8550-4427-af6e-a56f576e5991</vt:lpwstr>
  </property>
  <property fmtid="{D5CDD505-2E9C-101B-9397-08002B2CF9AE}" pid="3" name="ContentTypeId">
    <vt:lpwstr>0x0101006C70C9CFFF10F647A97BB5C9232AAEE50047E7CD5F3D5D2147AE529C35CF5F8421</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resoluciones, Entidad, GDFL01,  administración, Sistema, integrado, Gestión, Proceso, Administración, Documental, GDCR01</vt:lpwstr>
  </property>
  <property fmtid="{D5CDD505-2E9C-101B-9397-08002B2CF9AE}" pid="7" name="Nombre_del_responsable_Produccion">
    <vt:lpwstr>Oficina Asesora De Comunicaciones Estrategicas E Imagen Institucional</vt:lpwstr>
  </property>
</Properties>
</file>