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F5C3"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09AAFA35"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7F4D77DA"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59FBE20B"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47EB032" w14:textId="77777777" w:rsidR="008D45C6" w:rsidRPr="008D45C6" w:rsidRDefault="00B51F39" w:rsidP="008D45C6">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rPr>
        <w:t xml:space="preserve">PROYECTO DE </w:t>
      </w:r>
      <w:r w:rsidR="008D45C6" w:rsidRPr="008D45C6">
        <w:rPr>
          <w:rFonts w:ascii="Arial" w:hAnsi="Arial" w:cs="Arial"/>
          <w:b/>
          <w:sz w:val="24"/>
          <w:szCs w:val="24"/>
        </w:rPr>
        <w:t>CIRCULAR EXTERNA</w:t>
      </w:r>
      <w:r w:rsidRPr="008D45C6">
        <w:rPr>
          <w:rFonts w:ascii="Arial" w:hAnsi="Arial" w:cs="Arial"/>
          <w:sz w:val="24"/>
          <w:szCs w:val="24"/>
        </w:rPr>
        <w:t xml:space="preserve">: </w:t>
      </w:r>
      <w:bookmarkStart w:id="0" w:name="_Hlk138162297"/>
      <w:r w:rsidR="008D45C6" w:rsidRPr="008D45C6">
        <w:rPr>
          <w:rFonts w:ascii="Arial" w:hAnsi="Arial" w:cs="Arial"/>
          <w:sz w:val="24"/>
          <w:szCs w:val="24"/>
          <w:lang w:val="es-CO"/>
        </w:rPr>
        <w:t>P</w:t>
      </w:r>
      <w:r w:rsidR="008D45C6" w:rsidRPr="008D45C6">
        <w:rPr>
          <w:rFonts w:ascii="Arial" w:hAnsi="Arial" w:cs="Arial"/>
          <w:sz w:val="24"/>
          <w:szCs w:val="24"/>
        </w:rPr>
        <w:t xml:space="preserve">ráctica abusiva </w:t>
      </w:r>
      <w:bookmarkEnd w:id="0"/>
      <w:r w:rsidR="008D45C6" w:rsidRPr="008D45C6">
        <w:rPr>
          <w:rFonts w:ascii="Arial" w:hAnsi="Arial" w:cs="Arial"/>
          <w:sz w:val="24"/>
          <w:szCs w:val="24"/>
        </w:rPr>
        <w:t>en materia de administración del riesgo de lavado de activos y de la financiación del terrorismo</w:t>
      </w:r>
    </w:p>
    <w:p w14:paraId="4762B7FD"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1D8BA993" w14:textId="54D66D22" w:rsidR="008D45C6" w:rsidRPr="008D45C6" w:rsidRDefault="00B51F39" w:rsidP="008D45C6">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PROPÓSITO: </w:t>
      </w:r>
      <w:r w:rsidR="008D45C6">
        <w:rPr>
          <w:rFonts w:ascii="Arial" w:hAnsi="Arial" w:cs="Arial"/>
          <w:bCs/>
          <w:sz w:val="24"/>
          <w:szCs w:val="24"/>
        </w:rPr>
        <w:t>Adicionar</w:t>
      </w:r>
      <w:r w:rsidR="008D45C6" w:rsidRPr="008D45C6">
        <w:rPr>
          <w:rFonts w:ascii="Arial" w:hAnsi="Arial" w:cs="Arial"/>
          <w:bCs/>
          <w:sz w:val="24"/>
          <w:szCs w:val="24"/>
        </w:rPr>
        <w:t xml:space="preserve"> una práctica abusiva con el propósito de prohibir a las entidades vigiladas incurrir en conductas que impidan el acceso a productos o servicios cuando que no estén fundamentadas en causales objetivas.  </w:t>
      </w:r>
    </w:p>
    <w:p w14:paraId="36C7310C"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12B162B8" w14:textId="3C67CA1E" w:rsidR="00B51F39"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 xml:space="preserve">PLAZO PARA COMENTARIOS: </w:t>
      </w:r>
      <w:r w:rsidR="008D45C6">
        <w:rPr>
          <w:rFonts w:ascii="Arial" w:hAnsi="Arial" w:cs="Arial"/>
          <w:bCs/>
          <w:sz w:val="24"/>
          <w:szCs w:val="24"/>
        </w:rPr>
        <w:t>Hasta las 5:00 p.m. del lunes 10 de julio de 2023</w:t>
      </w:r>
    </w:p>
    <w:p w14:paraId="3A24D9A7"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2BEA6F9"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71866FD"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5E33CB27"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04058FCE"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0"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646A963E"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6812C281"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32BCC3FA" w14:textId="09978797" w:rsidR="00B51F39" w:rsidRPr="00E77E01" w:rsidRDefault="006F70A6" w:rsidP="006F70A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RADICADO No.</w:t>
      </w:r>
      <w:r w:rsidR="008D45C6">
        <w:rPr>
          <w:rFonts w:ascii="Arial" w:hAnsi="Arial" w:cs="Arial"/>
          <w:b/>
          <w:bCs/>
          <w:sz w:val="24"/>
          <w:szCs w:val="24"/>
          <w:lang w:val="es-ES"/>
        </w:rPr>
        <w:t xml:space="preserve"> </w:t>
      </w:r>
      <w:r w:rsidR="008D45C6" w:rsidRPr="008D45C6">
        <w:rPr>
          <w:rFonts w:ascii="Arial" w:hAnsi="Arial" w:cs="Arial"/>
          <w:b/>
          <w:bCs/>
          <w:sz w:val="24"/>
          <w:szCs w:val="24"/>
          <w:lang w:val="es-ES"/>
        </w:rPr>
        <w:t>2023067880</w:t>
      </w:r>
    </w:p>
    <w:p w14:paraId="0EB723FE" w14:textId="7777777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22EC7668" w14:textId="15396002"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Subdirector</w:t>
      </w:r>
      <w:r w:rsidR="008D45C6">
        <w:rPr>
          <w:rFonts w:ascii="Arial" w:hAnsi="Arial" w:cs="Arial"/>
          <w:b/>
          <w:bCs/>
          <w:sz w:val="24"/>
          <w:szCs w:val="24"/>
        </w:rPr>
        <w:t>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p>
    <w:p w14:paraId="648730EC"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316CAFF7"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31A77597"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0056FA0D"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23C3702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BB37C0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FAA6000"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631CE1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FBB5BDC"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61BFE029"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9076B8D"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4CB5ADDB"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70DB75C9"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2E4287F2"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4966265B"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EDA49EC"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372D7C9F" w14:textId="77777777" w:rsidR="008D45C6" w:rsidRDefault="008D45C6">
      <w:pPr>
        <w:jc w:val="center"/>
        <w:rPr>
          <w:rFonts w:cs="Arial"/>
          <w:b/>
          <w:bCs/>
          <w:sz w:val="22"/>
          <w:szCs w:val="22"/>
        </w:rPr>
        <w:sectPr w:rsidR="008D45C6" w:rsidSect="00EE3537">
          <w:headerReference w:type="default" r:id="rId11"/>
          <w:footerReference w:type="default" r:id="rId12"/>
          <w:headerReference w:type="first" r:id="rId13"/>
          <w:footerReference w:type="first" r:id="rId14"/>
          <w:pgSz w:w="12242" w:h="18722" w:code="14"/>
          <w:pgMar w:top="2977" w:right="1701" w:bottom="1701" w:left="2268" w:header="709" w:footer="709" w:gutter="0"/>
          <w:paperSrc w:first="2" w:other="2"/>
          <w:cols w:space="708"/>
          <w:titlePg/>
          <w:docGrid w:linePitch="360"/>
        </w:sectPr>
      </w:pPr>
    </w:p>
    <w:p w14:paraId="5754795D" w14:textId="77777777" w:rsidR="008D45C6" w:rsidRPr="008D45C6" w:rsidRDefault="008D45C6" w:rsidP="008D45C6">
      <w:pPr>
        <w:rPr>
          <w:rFonts w:ascii="Arial" w:eastAsia="Arial" w:hAnsi="Arial" w:cs="Arial"/>
          <w:b/>
          <w:bCs/>
          <w:color w:val="000000"/>
          <w:szCs w:val="24"/>
          <w:lang w:val="es-CO"/>
        </w:rPr>
      </w:pPr>
    </w:p>
    <w:p w14:paraId="5EC0D1BB" w14:textId="77777777" w:rsidR="008D45C6" w:rsidRPr="008D45C6" w:rsidRDefault="008D45C6" w:rsidP="008D45C6">
      <w:pPr>
        <w:jc w:val="center"/>
        <w:rPr>
          <w:rFonts w:ascii="Arial" w:eastAsia="Arial" w:hAnsi="Arial" w:cs="Arial"/>
          <w:b/>
          <w:bCs/>
          <w:color w:val="000000"/>
          <w:sz w:val="24"/>
          <w:szCs w:val="24"/>
          <w:lang w:val="es-CO"/>
        </w:rPr>
      </w:pPr>
      <w:r w:rsidRPr="008D45C6">
        <w:rPr>
          <w:rFonts w:ascii="Arial" w:eastAsia="Arial" w:hAnsi="Arial" w:cs="Arial"/>
          <w:b/>
          <w:bCs/>
          <w:color w:val="000000"/>
          <w:sz w:val="24"/>
          <w:szCs w:val="24"/>
          <w:lang w:val="es-CO"/>
        </w:rPr>
        <w:t>CIRCULAR EXTERNA        DE 2023</w:t>
      </w:r>
    </w:p>
    <w:p w14:paraId="263AD0D2" w14:textId="77777777" w:rsidR="008D45C6" w:rsidRPr="008D45C6" w:rsidRDefault="008D45C6" w:rsidP="008D45C6">
      <w:pPr>
        <w:jc w:val="center"/>
        <w:rPr>
          <w:rFonts w:ascii="Arial" w:eastAsia="Arial" w:hAnsi="Arial" w:cs="Arial"/>
          <w:b/>
          <w:bCs/>
          <w:color w:val="000000"/>
          <w:sz w:val="24"/>
          <w:szCs w:val="24"/>
          <w:lang w:val="es-CO"/>
        </w:rPr>
      </w:pPr>
    </w:p>
    <w:p w14:paraId="3969D29E" w14:textId="77777777" w:rsidR="008D45C6" w:rsidRPr="008D45C6" w:rsidRDefault="008D45C6" w:rsidP="008D45C6">
      <w:pPr>
        <w:jc w:val="center"/>
        <w:rPr>
          <w:rFonts w:ascii="Arial" w:eastAsia="Arial" w:hAnsi="Arial" w:cs="Arial"/>
          <w:b/>
          <w:bCs/>
          <w:color w:val="000000"/>
          <w:sz w:val="24"/>
          <w:szCs w:val="24"/>
          <w:lang w:val="es-CO"/>
        </w:rPr>
      </w:pPr>
      <w:r w:rsidRPr="008D45C6">
        <w:rPr>
          <w:rFonts w:ascii="Arial" w:eastAsia="Arial" w:hAnsi="Arial" w:cs="Arial"/>
          <w:b/>
          <w:bCs/>
          <w:color w:val="000000"/>
          <w:sz w:val="24"/>
          <w:szCs w:val="24"/>
          <w:lang w:val="es-CO"/>
        </w:rPr>
        <w:t>(                            )</w:t>
      </w:r>
    </w:p>
    <w:p w14:paraId="2BC1D86F" w14:textId="77777777" w:rsidR="008D45C6" w:rsidRPr="008D45C6" w:rsidRDefault="008D45C6" w:rsidP="008D45C6">
      <w:pPr>
        <w:jc w:val="both"/>
        <w:rPr>
          <w:rFonts w:ascii="Arial" w:eastAsia="Arial" w:hAnsi="Arial" w:cs="Arial"/>
          <w:b/>
          <w:bCs/>
          <w:color w:val="000000"/>
          <w:sz w:val="24"/>
          <w:szCs w:val="24"/>
          <w:lang w:val="es-CO"/>
        </w:rPr>
      </w:pPr>
    </w:p>
    <w:p w14:paraId="64ACE4ED" w14:textId="77777777" w:rsidR="00CE3139" w:rsidRPr="00CE3139" w:rsidRDefault="00CE3139" w:rsidP="00CE3139">
      <w:pPr>
        <w:jc w:val="both"/>
        <w:rPr>
          <w:rFonts w:ascii="Arial" w:eastAsia="Arial" w:hAnsi="Arial" w:cs="Arial"/>
          <w:b/>
          <w:bCs/>
          <w:color w:val="000000"/>
          <w:sz w:val="24"/>
          <w:szCs w:val="24"/>
          <w:lang w:val="es-CO"/>
        </w:rPr>
      </w:pPr>
    </w:p>
    <w:p w14:paraId="57D73ED3" w14:textId="77777777" w:rsidR="00CE3139" w:rsidRPr="00CE3139" w:rsidRDefault="00CE3139" w:rsidP="00CE3139">
      <w:pPr>
        <w:jc w:val="both"/>
        <w:rPr>
          <w:rFonts w:ascii="Arial" w:eastAsia="Arial" w:hAnsi="Arial" w:cs="Arial"/>
          <w:b/>
          <w:bCs/>
          <w:color w:val="000000"/>
          <w:sz w:val="24"/>
          <w:szCs w:val="24"/>
          <w:lang w:val="es-CO"/>
        </w:rPr>
      </w:pPr>
      <w:r w:rsidRPr="00CE3139">
        <w:rPr>
          <w:rFonts w:ascii="Arial" w:eastAsia="Arial" w:hAnsi="Arial" w:cs="Arial"/>
          <w:b/>
          <w:bCs/>
          <w:color w:val="000000"/>
          <w:sz w:val="24"/>
          <w:szCs w:val="24"/>
          <w:lang w:val="es-CO"/>
        </w:rPr>
        <w:t>Señores</w:t>
      </w:r>
    </w:p>
    <w:p w14:paraId="7791FF9D" w14:textId="77777777" w:rsidR="00CE3139" w:rsidRPr="00CE3139" w:rsidRDefault="00CE3139" w:rsidP="00CE3139">
      <w:pPr>
        <w:jc w:val="both"/>
        <w:rPr>
          <w:rFonts w:ascii="Arial" w:hAnsi="Arial" w:cs="Arial"/>
          <w:sz w:val="24"/>
          <w:szCs w:val="24"/>
        </w:rPr>
      </w:pPr>
      <w:r w:rsidRPr="00CE3139">
        <w:rPr>
          <w:rFonts w:ascii="Arial" w:eastAsia="Arial" w:hAnsi="Arial" w:cs="Arial"/>
          <w:color w:val="000000"/>
          <w:sz w:val="24"/>
          <w:szCs w:val="24"/>
        </w:rPr>
        <w:t xml:space="preserve">REPRESENTANTES LEGALES, </w:t>
      </w:r>
      <w:r w:rsidRPr="00CE3139">
        <w:rPr>
          <w:rFonts w:ascii="Arial" w:hAnsi="Arial" w:cs="Arial"/>
          <w:sz w:val="24"/>
          <w:szCs w:val="24"/>
        </w:rPr>
        <w:t xml:space="preserve">OFICIALES DE CUMPLIMIENTO Y FUNCIONARIOS RESPONSABLES DE LAS ENTIDADES VIGILADAS </w:t>
      </w:r>
    </w:p>
    <w:p w14:paraId="37081782" w14:textId="77777777" w:rsidR="00CE3139" w:rsidRPr="00CE3139" w:rsidRDefault="00CE3139" w:rsidP="00CE3139">
      <w:pPr>
        <w:jc w:val="both"/>
        <w:rPr>
          <w:rFonts w:ascii="Arial" w:hAnsi="Arial" w:cs="Arial"/>
          <w:sz w:val="24"/>
          <w:szCs w:val="24"/>
        </w:rPr>
      </w:pPr>
    </w:p>
    <w:p w14:paraId="4C7A983D" w14:textId="77777777" w:rsidR="00CE3139" w:rsidRPr="00CE3139" w:rsidRDefault="00CE3139" w:rsidP="00CE3139">
      <w:pPr>
        <w:jc w:val="both"/>
        <w:rPr>
          <w:rFonts w:ascii="Arial" w:hAnsi="Arial" w:cs="Arial"/>
          <w:sz w:val="24"/>
          <w:szCs w:val="24"/>
        </w:rPr>
      </w:pPr>
    </w:p>
    <w:p w14:paraId="162F36FA" w14:textId="77777777" w:rsidR="00CE3139" w:rsidRPr="00CE3139" w:rsidRDefault="00CE3139" w:rsidP="00CE3139">
      <w:pPr>
        <w:jc w:val="both"/>
        <w:rPr>
          <w:rFonts w:ascii="Arial" w:hAnsi="Arial" w:cs="Arial"/>
          <w:b/>
          <w:sz w:val="24"/>
          <w:szCs w:val="24"/>
        </w:rPr>
      </w:pPr>
      <w:r w:rsidRPr="00CE3139">
        <w:rPr>
          <w:rFonts w:ascii="Arial" w:hAnsi="Arial" w:cs="Arial"/>
          <w:b/>
          <w:sz w:val="24"/>
          <w:szCs w:val="24"/>
        </w:rPr>
        <w:t>Referencia</w:t>
      </w:r>
      <w:bookmarkStart w:id="1" w:name="_Hlk128389026"/>
      <w:r w:rsidRPr="00CE3139">
        <w:rPr>
          <w:rFonts w:ascii="Arial" w:hAnsi="Arial" w:cs="Arial"/>
          <w:b/>
          <w:sz w:val="24"/>
          <w:szCs w:val="24"/>
        </w:rPr>
        <w:t>:</w:t>
      </w:r>
      <w:r w:rsidRPr="00CE3139">
        <w:rPr>
          <w:rFonts w:ascii="Arial" w:eastAsia="Arial" w:hAnsi="Arial" w:cs="Arial"/>
          <w:b/>
          <w:bCs/>
          <w:color w:val="000000"/>
          <w:sz w:val="24"/>
          <w:szCs w:val="24"/>
          <w:lang w:val="es-CO"/>
        </w:rPr>
        <w:t xml:space="preserve"> P</w:t>
      </w:r>
      <w:r w:rsidRPr="00CE3139">
        <w:rPr>
          <w:rFonts w:ascii="Arial" w:hAnsi="Arial" w:cs="Arial"/>
          <w:b/>
          <w:sz w:val="24"/>
          <w:szCs w:val="24"/>
        </w:rPr>
        <w:t>ráctica abusiva en materia de administración del riesgo de lavado de activos y de la financiación del terrorismo</w:t>
      </w:r>
    </w:p>
    <w:p w14:paraId="2C5CCDFE" w14:textId="77777777" w:rsidR="00CE3139" w:rsidRPr="00CE3139" w:rsidRDefault="00CE3139" w:rsidP="00CE3139">
      <w:pPr>
        <w:jc w:val="both"/>
        <w:rPr>
          <w:rFonts w:ascii="Arial" w:hAnsi="Arial" w:cs="Arial"/>
          <w:b/>
          <w:sz w:val="24"/>
          <w:szCs w:val="24"/>
        </w:rPr>
      </w:pPr>
    </w:p>
    <w:p w14:paraId="7F575373" w14:textId="77777777" w:rsidR="00CE3139" w:rsidRPr="00CE3139" w:rsidRDefault="00CE3139" w:rsidP="00CE3139">
      <w:pPr>
        <w:jc w:val="both"/>
        <w:rPr>
          <w:rFonts w:ascii="Arial" w:hAnsi="Arial" w:cs="Arial"/>
          <w:b/>
          <w:sz w:val="24"/>
          <w:szCs w:val="24"/>
        </w:rPr>
      </w:pPr>
    </w:p>
    <w:bookmarkEnd w:id="1"/>
    <w:p w14:paraId="54295C3C" w14:textId="77777777" w:rsidR="00CE3139" w:rsidRPr="00CE3139" w:rsidRDefault="00CE3139" w:rsidP="00CE3139">
      <w:pPr>
        <w:jc w:val="both"/>
        <w:rPr>
          <w:rFonts w:ascii="Arial" w:eastAsia="Arial" w:hAnsi="Arial" w:cs="Arial"/>
          <w:color w:val="000000"/>
          <w:sz w:val="24"/>
          <w:szCs w:val="24"/>
          <w:lang w:val="es-CO"/>
        </w:rPr>
      </w:pPr>
      <w:r w:rsidRPr="00CE3139">
        <w:rPr>
          <w:rFonts w:ascii="Arial" w:eastAsia="Arial" w:hAnsi="Arial" w:cs="Arial"/>
          <w:color w:val="000000"/>
          <w:sz w:val="24"/>
          <w:szCs w:val="24"/>
          <w:lang w:val="es-CO"/>
        </w:rPr>
        <w:t>Apreciados señores:</w:t>
      </w:r>
    </w:p>
    <w:p w14:paraId="51C45492" w14:textId="77777777" w:rsidR="00CE3139" w:rsidRPr="00CE3139" w:rsidRDefault="00CE3139" w:rsidP="00CE3139">
      <w:pPr>
        <w:jc w:val="both"/>
        <w:rPr>
          <w:rFonts w:ascii="Arial" w:hAnsi="Arial" w:cs="Arial"/>
          <w:sz w:val="24"/>
          <w:szCs w:val="24"/>
        </w:rPr>
      </w:pPr>
    </w:p>
    <w:p w14:paraId="73ED38A8" w14:textId="77777777" w:rsidR="00CE3139" w:rsidRPr="00CE3139" w:rsidRDefault="00CE3139" w:rsidP="00CE3139">
      <w:pPr>
        <w:jc w:val="both"/>
        <w:rPr>
          <w:rFonts w:ascii="Arial" w:hAnsi="Arial" w:cs="Arial"/>
          <w:sz w:val="24"/>
          <w:szCs w:val="24"/>
        </w:rPr>
      </w:pPr>
      <w:r w:rsidRPr="00CE3139">
        <w:rPr>
          <w:rFonts w:ascii="Arial" w:hAnsi="Arial" w:cs="Arial"/>
          <w:sz w:val="24"/>
          <w:szCs w:val="24"/>
        </w:rPr>
        <w:t>La Superintendencia Financiera de Colombia, con el fin de continuar con la consolidación de una cultura de debida atención, trato justo, protección y servicio, en ejercicio de sus funciones ha identificado conductas al interior de las entidades vigiladas que afectan los derechos de los consumidores financieros al negar el acceso a productos y servicios, invocando la aplicación de las medidas para la administración del riesgo de lavado de activos y financiación del terrorismo.</w:t>
      </w:r>
    </w:p>
    <w:p w14:paraId="6EA37A24" w14:textId="77777777" w:rsidR="00CE3139" w:rsidRPr="00CE3139" w:rsidRDefault="00CE3139" w:rsidP="00CE3139">
      <w:pPr>
        <w:jc w:val="both"/>
        <w:rPr>
          <w:rFonts w:ascii="Arial" w:hAnsi="Arial" w:cs="Arial"/>
          <w:sz w:val="24"/>
          <w:szCs w:val="24"/>
        </w:rPr>
      </w:pPr>
    </w:p>
    <w:p w14:paraId="1091B3B0" w14:textId="77777777" w:rsidR="00CE3139" w:rsidRPr="00CE3139" w:rsidRDefault="00CE3139" w:rsidP="00CE3139">
      <w:pPr>
        <w:spacing w:before="120" w:after="120"/>
        <w:jc w:val="both"/>
        <w:rPr>
          <w:rFonts w:ascii="Arial" w:hAnsi="Arial" w:cs="Arial"/>
          <w:sz w:val="24"/>
          <w:szCs w:val="24"/>
        </w:rPr>
      </w:pPr>
      <w:r w:rsidRPr="00CE3139">
        <w:rPr>
          <w:rFonts w:ascii="Arial" w:hAnsi="Arial" w:cs="Arial"/>
          <w:sz w:val="24"/>
          <w:szCs w:val="24"/>
        </w:rPr>
        <w:t>Respecto de la negativa de las entidades vigiladas para la prestación de servicios u ofrecimiento de productos, la Corte Constitucional en sentencia SU 157 de 1999 señaló lo siguiente:</w:t>
      </w:r>
    </w:p>
    <w:p w14:paraId="40A71D1C" w14:textId="77777777" w:rsidR="00CE3139" w:rsidRPr="00CE3139" w:rsidRDefault="00CE3139" w:rsidP="00CE3139">
      <w:pPr>
        <w:jc w:val="both"/>
        <w:rPr>
          <w:rFonts w:ascii="Arial" w:hAnsi="Arial" w:cs="Arial"/>
          <w:sz w:val="24"/>
          <w:szCs w:val="24"/>
        </w:rPr>
      </w:pPr>
    </w:p>
    <w:p w14:paraId="6614A186" w14:textId="77777777" w:rsidR="00CE3139" w:rsidRPr="00CE3139" w:rsidRDefault="00CE3139" w:rsidP="00CE3139">
      <w:pPr>
        <w:ind w:left="284"/>
        <w:jc w:val="both"/>
        <w:rPr>
          <w:rFonts w:ascii="Arial" w:hAnsi="Arial" w:cs="Arial"/>
          <w:i/>
          <w:iCs/>
          <w:color w:val="000000"/>
          <w:spacing w:val="5"/>
          <w:sz w:val="24"/>
          <w:szCs w:val="24"/>
          <w:shd w:val="clear" w:color="auto" w:fill="FFFFFF"/>
        </w:rPr>
      </w:pPr>
      <w:r w:rsidRPr="00CE3139">
        <w:rPr>
          <w:rFonts w:ascii="Arial" w:hAnsi="Arial" w:cs="Arial"/>
          <w:color w:val="000000"/>
          <w:sz w:val="24"/>
          <w:szCs w:val="24"/>
        </w:rPr>
        <w:t>«</w:t>
      </w:r>
      <w:r w:rsidRPr="00CE3139">
        <w:rPr>
          <w:rFonts w:ascii="Arial" w:hAnsi="Arial" w:cs="Arial"/>
          <w:i/>
          <w:iCs/>
          <w:color w:val="000000"/>
          <w:sz w:val="24"/>
          <w:szCs w:val="24"/>
        </w:rPr>
        <w:t>(…)</w:t>
      </w:r>
      <w:r w:rsidRPr="00CE3139">
        <w:rPr>
          <w:rFonts w:ascii="Arial" w:hAnsi="Arial" w:cs="Arial"/>
          <w:i/>
          <w:iCs/>
          <w:color w:val="000000"/>
          <w:spacing w:val="5"/>
          <w:sz w:val="24"/>
          <w:szCs w:val="24"/>
          <w:shd w:val="clear" w:color="auto" w:fill="FFFFFF"/>
        </w:rPr>
        <w:t xml:space="preserve"> si bien la autonomía de la voluntad de los bancos está amparada constitucionalmente ellos anulan derechos de los clientes o bloquean comercialmente a una persona cuando se presentan los siguientes elementos:</w:t>
      </w:r>
    </w:p>
    <w:p w14:paraId="4085702A" w14:textId="77777777" w:rsidR="00CE3139" w:rsidRPr="00CE3139" w:rsidRDefault="00CE3139" w:rsidP="00CE3139">
      <w:pPr>
        <w:tabs>
          <w:tab w:val="left" w:pos="3806"/>
        </w:tabs>
        <w:ind w:left="284"/>
        <w:jc w:val="both"/>
        <w:rPr>
          <w:rFonts w:ascii="Arial" w:hAnsi="Arial" w:cs="Arial"/>
          <w:i/>
          <w:iCs/>
          <w:color w:val="000000"/>
          <w:spacing w:val="5"/>
          <w:sz w:val="24"/>
          <w:szCs w:val="24"/>
          <w:shd w:val="clear" w:color="auto" w:fill="FFFFFF"/>
        </w:rPr>
      </w:pPr>
      <w:r w:rsidRPr="00CE3139">
        <w:rPr>
          <w:rFonts w:ascii="Arial" w:hAnsi="Arial" w:cs="Arial"/>
          <w:i/>
          <w:iCs/>
          <w:color w:val="000000"/>
          <w:spacing w:val="5"/>
          <w:sz w:val="24"/>
          <w:szCs w:val="24"/>
          <w:shd w:val="clear" w:color="auto" w:fill="FFFFFF"/>
        </w:rPr>
        <w:tab/>
      </w:r>
    </w:p>
    <w:p w14:paraId="5A2CD6F8" w14:textId="77777777" w:rsidR="00CE3139" w:rsidRPr="00CE3139" w:rsidRDefault="00CE3139" w:rsidP="00CE3139">
      <w:pPr>
        <w:ind w:left="284"/>
        <w:jc w:val="both"/>
        <w:rPr>
          <w:rFonts w:ascii="Arial" w:hAnsi="Arial" w:cs="Arial"/>
          <w:i/>
          <w:iCs/>
          <w:color w:val="000000"/>
          <w:spacing w:val="5"/>
          <w:sz w:val="24"/>
          <w:szCs w:val="24"/>
          <w:shd w:val="clear" w:color="auto" w:fill="FFFFFF"/>
        </w:rPr>
      </w:pPr>
      <w:r w:rsidRPr="00CE3139">
        <w:rPr>
          <w:rFonts w:ascii="Arial" w:hAnsi="Arial" w:cs="Arial"/>
          <w:i/>
          <w:iCs/>
          <w:color w:val="000000"/>
          <w:spacing w:val="5"/>
          <w:sz w:val="24"/>
          <w:szCs w:val="24"/>
          <w:shd w:val="clear" w:color="auto" w:fill="FFFFFF"/>
        </w:rPr>
        <w:t>(…)</w:t>
      </w:r>
    </w:p>
    <w:p w14:paraId="053FCE86" w14:textId="77777777" w:rsidR="00CE3139" w:rsidRPr="00CE3139" w:rsidRDefault="00CE3139" w:rsidP="00CE3139">
      <w:pPr>
        <w:ind w:left="284"/>
        <w:jc w:val="both"/>
        <w:rPr>
          <w:rFonts w:ascii="Arial" w:hAnsi="Arial" w:cs="Arial"/>
          <w:i/>
          <w:iCs/>
          <w:color w:val="000000"/>
          <w:spacing w:val="5"/>
          <w:sz w:val="24"/>
          <w:szCs w:val="24"/>
          <w:shd w:val="clear" w:color="auto" w:fill="FFFFFF"/>
        </w:rPr>
      </w:pPr>
    </w:p>
    <w:p w14:paraId="7BE2A9C4" w14:textId="77777777" w:rsidR="00CE3139" w:rsidRPr="00CE3139" w:rsidRDefault="00CE3139" w:rsidP="00CE3139">
      <w:pPr>
        <w:ind w:left="284"/>
        <w:jc w:val="both"/>
        <w:rPr>
          <w:rFonts w:ascii="Arial" w:hAnsi="Arial" w:cs="Arial"/>
          <w:color w:val="000000"/>
          <w:sz w:val="24"/>
          <w:szCs w:val="24"/>
        </w:rPr>
      </w:pPr>
      <w:r w:rsidRPr="00CE3139">
        <w:rPr>
          <w:rFonts w:ascii="Arial" w:hAnsi="Arial" w:cs="Arial"/>
          <w:i/>
          <w:iCs/>
          <w:color w:val="000000"/>
          <w:spacing w:val="5"/>
          <w:sz w:val="24"/>
          <w:szCs w:val="24"/>
          <w:shd w:val="clear" w:color="auto" w:fill="FFFFFF"/>
        </w:rPr>
        <w:t>b4. Cuando la negativa de negociación no responde a causas objetivas y razonables que justifican la decisión. Por lo tanto, las entidades financieras pueden negar el acceso al sistema financiero o puede terminar contratos bancarios cuando se presentan causales objetivas que amparan la decisión. Por consiguiente, no existe bloqueo financiero cuando las entidades financieras fundamentan su decisión razonablemente. En otras palabras, no se transgreden derechos del cliente cuando existe una causa objetiva que explique la desvinculación o la negativa de negociación. Por el contrario, sería evidente el abuso de la libertad negocial privada, opuesto a los principios del Estado Social, si se niega el acceso a la actividad bancaria sin justificación legal o económica alguna. Cabe anotar que no constituye causal objetiva que autoricen la negativa para el acceso a la actividad financiera, la utilización de criterios de diferenciación prohibidos constitucionalmente (C.P. art. 13). Por ende, no es factible negar el servicio público bancario por razones de sexo, raza, origen nacional o familiar, lengua, religión, opinión (inciso 2º del artículo 5º de la Ley 35 de 1993, transcrito en el numeral 11 de esta sentencia)</w:t>
      </w:r>
      <w:r w:rsidRPr="00CE3139">
        <w:rPr>
          <w:rFonts w:ascii="Arial" w:hAnsi="Arial" w:cs="Arial"/>
          <w:color w:val="000000"/>
          <w:spacing w:val="5"/>
          <w:sz w:val="24"/>
          <w:szCs w:val="24"/>
          <w:shd w:val="clear" w:color="auto" w:fill="FFFFFF"/>
        </w:rPr>
        <w:t>.»</w:t>
      </w:r>
    </w:p>
    <w:p w14:paraId="4197C228" w14:textId="77777777" w:rsidR="00CE3139" w:rsidRPr="00CE3139" w:rsidRDefault="00CE3139" w:rsidP="00CE3139">
      <w:pPr>
        <w:jc w:val="both"/>
        <w:rPr>
          <w:rFonts w:ascii="Arial" w:hAnsi="Arial" w:cs="Arial"/>
          <w:color w:val="000000"/>
          <w:sz w:val="24"/>
          <w:szCs w:val="24"/>
        </w:rPr>
      </w:pPr>
    </w:p>
    <w:p w14:paraId="76005F68" w14:textId="77777777" w:rsidR="00CE3139" w:rsidRPr="00CE3139" w:rsidRDefault="00CE3139" w:rsidP="00CE3139">
      <w:pPr>
        <w:jc w:val="both"/>
        <w:rPr>
          <w:rFonts w:ascii="Arial" w:hAnsi="Arial" w:cs="Arial"/>
          <w:i/>
          <w:iCs/>
          <w:color w:val="000000"/>
          <w:sz w:val="24"/>
          <w:szCs w:val="24"/>
        </w:rPr>
      </w:pPr>
      <w:r w:rsidRPr="00CE3139">
        <w:rPr>
          <w:rFonts w:ascii="Arial" w:hAnsi="Arial" w:cs="Arial"/>
          <w:color w:val="000000"/>
          <w:sz w:val="24"/>
          <w:szCs w:val="24"/>
        </w:rPr>
        <w:t>En el mismo sentido, el literal b) del artículo 3 de la Ley 1328 de 2009 reconoce que: «</w:t>
      </w:r>
      <w:r w:rsidRPr="00CE3139">
        <w:rPr>
          <w:rFonts w:ascii="Arial" w:hAnsi="Arial" w:cs="Arial"/>
          <w:i/>
          <w:iCs/>
          <w:color w:val="000000"/>
          <w:sz w:val="24"/>
          <w:szCs w:val="24"/>
          <w:shd w:val="clear" w:color="auto" w:fill="FFFFFF"/>
        </w:rPr>
        <w:t xml:space="preserve">La negativa en la prestación de servicios o en el ofrecimiento de productos </w:t>
      </w:r>
      <w:r w:rsidRPr="00CE3139">
        <w:rPr>
          <w:rFonts w:ascii="Arial" w:hAnsi="Arial" w:cs="Arial"/>
          <w:i/>
          <w:iCs/>
          <w:color w:val="000000"/>
          <w:sz w:val="24"/>
          <w:szCs w:val="24"/>
          <w:shd w:val="clear" w:color="auto" w:fill="FFFFFF"/>
        </w:rPr>
        <w:lastRenderedPageBreak/>
        <w:t>deberá fundamentarse en causas objetivas y no podrá establecerse tratamiento diferente injustificado a los consumidores financieros.»</w:t>
      </w:r>
    </w:p>
    <w:p w14:paraId="075901AF" w14:textId="77777777" w:rsidR="00CE3139" w:rsidRPr="00CE3139" w:rsidRDefault="00CE3139" w:rsidP="00CE3139">
      <w:pPr>
        <w:jc w:val="both"/>
        <w:rPr>
          <w:rFonts w:ascii="Arial" w:hAnsi="Arial" w:cs="Arial"/>
          <w:color w:val="000000"/>
          <w:sz w:val="24"/>
          <w:szCs w:val="24"/>
        </w:rPr>
      </w:pPr>
    </w:p>
    <w:p w14:paraId="7CA25570" w14:textId="77777777" w:rsidR="00CE3139" w:rsidRPr="00CE3139" w:rsidRDefault="00CE3139" w:rsidP="00CE3139">
      <w:pPr>
        <w:jc w:val="both"/>
        <w:rPr>
          <w:rFonts w:ascii="Arial" w:hAnsi="Arial" w:cs="Arial"/>
          <w:color w:val="000000"/>
          <w:sz w:val="24"/>
          <w:szCs w:val="24"/>
        </w:rPr>
      </w:pPr>
      <w:r w:rsidRPr="00CE3139">
        <w:rPr>
          <w:rFonts w:ascii="Arial" w:hAnsi="Arial" w:cs="Arial"/>
          <w:color w:val="000000"/>
          <w:sz w:val="24"/>
          <w:szCs w:val="24"/>
        </w:rPr>
        <w:t xml:space="preserve">Adicionalmente, el artículo 12 de la Ley 1328 de 2009 incorpora las prácticas de las entidades vigiladas que se consideran abusivas, otorgando a esta Superintendencia la facultad de establecer prácticas adicionales a las allí señaladas. En desarrollo de lo anterior, esta Entidad adiciona una práctica abusiva, con el propósito de prohibir a las entidades vigiladas incurrir en conductas que impidan el acceso a productos o servicios cuando que no estén fundamentadas en causales objetivas.  </w:t>
      </w:r>
    </w:p>
    <w:p w14:paraId="7AB492BC" w14:textId="77777777" w:rsidR="00CE3139" w:rsidRPr="00CE3139" w:rsidRDefault="00CE3139" w:rsidP="00CE3139">
      <w:pPr>
        <w:jc w:val="both"/>
        <w:rPr>
          <w:rFonts w:ascii="Arial" w:hAnsi="Arial" w:cs="Arial"/>
          <w:color w:val="000000"/>
          <w:sz w:val="24"/>
          <w:szCs w:val="24"/>
        </w:rPr>
      </w:pPr>
    </w:p>
    <w:p w14:paraId="7C6E299C" w14:textId="77777777" w:rsidR="00CE3139" w:rsidRPr="00CE3139" w:rsidRDefault="00CE3139" w:rsidP="00CE3139">
      <w:pPr>
        <w:jc w:val="both"/>
        <w:rPr>
          <w:rFonts w:ascii="Arial" w:eastAsia="Arial" w:hAnsi="Arial" w:cs="Arial"/>
          <w:color w:val="000000"/>
          <w:sz w:val="24"/>
          <w:szCs w:val="24"/>
          <w:lang w:val="es-CO"/>
        </w:rPr>
      </w:pPr>
      <w:r w:rsidRPr="00CE3139">
        <w:rPr>
          <w:rFonts w:ascii="Arial" w:eastAsia="Arial" w:hAnsi="Arial" w:cs="Arial"/>
          <w:color w:val="000000"/>
          <w:sz w:val="24"/>
          <w:szCs w:val="24"/>
          <w:lang w:val="es-CO"/>
        </w:rPr>
        <w:t>En virtud de lo expuesto y, en ejercicio de las facultades conferidas en el literal a) del numeral 3 del artículo 326 del Estatuto Orgánico del Sistema Financiero, literales b) y d) de los artículos 3 y 12 de la Ley 1328 de 2009, respectivamente, así como los numerales 4. y 5. del artículo 11.2.1.4.2. del Decreto 2555 de 2010, esta Superintendencia imparte la siguiente instrucción:</w:t>
      </w:r>
    </w:p>
    <w:p w14:paraId="293F347E" w14:textId="77777777" w:rsidR="00CE3139" w:rsidRPr="00CE3139" w:rsidRDefault="00CE3139" w:rsidP="00CE3139">
      <w:pPr>
        <w:jc w:val="both"/>
        <w:rPr>
          <w:rFonts w:ascii="Arial" w:eastAsia="Arial" w:hAnsi="Arial" w:cs="Arial"/>
          <w:color w:val="000000"/>
          <w:sz w:val="24"/>
          <w:szCs w:val="24"/>
          <w:lang w:val="es-CO"/>
        </w:rPr>
      </w:pPr>
    </w:p>
    <w:p w14:paraId="78CD921F" w14:textId="55233552" w:rsidR="00CE3139" w:rsidRPr="00CE3139" w:rsidRDefault="00CE3139" w:rsidP="00CE3139">
      <w:pPr>
        <w:spacing w:before="120" w:after="120"/>
        <w:jc w:val="both"/>
        <w:rPr>
          <w:rFonts w:ascii="Arial" w:hAnsi="Arial" w:cs="Arial"/>
          <w:color w:val="000000"/>
          <w:sz w:val="24"/>
          <w:szCs w:val="24"/>
        </w:rPr>
      </w:pPr>
      <w:r w:rsidRPr="00CE3139">
        <w:rPr>
          <w:rFonts w:ascii="Arial" w:eastAsia="Arial" w:hAnsi="Arial" w:cs="Arial"/>
          <w:b/>
          <w:bCs/>
          <w:color w:val="000000"/>
          <w:sz w:val="24"/>
          <w:szCs w:val="24"/>
          <w:lang w:val="es-CO"/>
        </w:rPr>
        <w:t>PRIMERA:</w:t>
      </w:r>
      <w:r w:rsidRPr="00CE3139">
        <w:rPr>
          <w:rFonts w:ascii="Arial" w:eastAsia="Arial" w:hAnsi="Arial" w:cs="Arial"/>
          <w:color w:val="000000"/>
          <w:sz w:val="24"/>
          <w:szCs w:val="24"/>
          <w:lang w:val="es-CO"/>
        </w:rPr>
        <w:t xml:space="preserve"> Adicionar el </w:t>
      </w:r>
      <w:r w:rsidRPr="00CE3139">
        <w:rPr>
          <w:rFonts w:ascii="Arial" w:eastAsia="Arial" w:hAnsi="Arial" w:cs="Arial"/>
          <w:color w:val="000000"/>
          <w:sz w:val="24"/>
          <w:szCs w:val="24"/>
          <w:lang w:val="es-AR"/>
        </w:rPr>
        <w:t>subnumeral 8 al Capítulo IV del Título IV de la Parte I de la Circular Básica Jurídica</w:t>
      </w:r>
      <w:r w:rsidRPr="00CE3139">
        <w:rPr>
          <w:rFonts w:ascii="Arial" w:eastAsia="Arial" w:hAnsi="Arial" w:cs="Arial"/>
          <w:color w:val="000000"/>
          <w:sz w:val="24"/>
          <w:szCs w:val="24"/>
        </w:rPr>
        <w:t xml:space="preserve"> «</w:t>
      </w:r>
      <w:r w:rsidRPr="00CE3139">
        <w:rPr>
          <w:rFonts w:ascii="Arial" w:eastAsia="Arial" w:hAnsi="Arial" w:cs="Arial"/>
          <w:i/>
          <w:iCs/>
          <w:color w:val="000000"/>
          <w:sz w:val="24"/>
          <w:szCs w:val="24"/>
        </w:rPr>
        <w:t>Instrucciones relativas a la administración del riesgo de lavado de activos y de la financiación del terrorismo»</w:t>
      </w:r>
      <w:r w:rsidRPr="00CE3139">
        <w:rPr>
          <w:rFonts w:ascii="Arial" w:eastAsia="Arial" w:hAnsi="Arial" w:cs="Arial"/>
          <w:color w:val="000000"/>
          <w:sz w:val="24"/>
          <w:szCs w:val="24"/>
        </w:rPr>
        <w:t xml:space="preserve"> </w:t>
      </w:r>
      <w:r w:rsidRPr="00CE3139">
        <w:rPr>
          <w:rFonts w:ascii="Arial" w:eastAsia="Arial" w:hAnsi="Arial" w:cs="Arial"/>
          <w:color w:val="000000"/>
          <w:sz w:val="24"/>
          <w:szCs w:val="24"/>
          <w:lang w:val="es-AR"/>
        </w:rPr>
        <w:t xml:space="preserve">con el fin de incorporar una práctica abusiva relacionada con la negación de la prestación de un servicio o producto por las entidades vigiladas, aduciendo el cumplimiento </w:t>
      </w:r>
      <w:r w:rsidRPr="00CE3139">
        <w:rPr>
          <w:rFonts w:ascii="Arial" w:hAnsi="Arial" w:cs="Arial"/>
          <w:color w:val="000000"/>
          <w:sz w:val="24"/>
          <w:szCs w:val="24"/>
        </w:rPr>
        <w:t>de las medidas para la administración del riesgo de lavado de activos y financiación del terrorismo</w:t>
      </w:r>
      <w:r w:rsidRPr="00CE3139">
        <w:rPr>
          <w:rFonts w:ascii="Arial" w:eastAsia="Arial" w:hAnsi="Arial" w:cs="Arial"/>
          <w:color w:val="000000"/>
          <w:sz w:val="24"/>
          <w:szCs w:val="24"/>
          <w:lang w:val="es-AR"/>
        </w:rPr>
        <w:t xml:space="preserve">, </w:t>
      </w:r>
      <w:r w:rsidRPr="00CE3139">
        <w:rPr>
          <w:rFonts w:ascii="Arial" w:hAnsi="Arial" w:cs="Arial"/>
          <w:color w:val="000000"/>
          <w:sz w:val="24"/>
          <w:szCs w:val="24"/>
        </w:rPr>
        <w:t xml:space="preserve">sin que existan: </w:t>
      </w:r>
      <w:r w:rsidR="00750F3F" w:rsidRPr="00750F3F">
        <w:rPr>
          <w:rFonts w:ascii="Arial" w:hAnsi="Arial" w:cs="Arial"/>
          <w:color w:val="000000"/>
          <w:sz w:val="24"/>
          <w:szCs w:val="24"/>
        </w:rPr>
        <w:t>i) coincidencias en listas internacionales vinculantes para Colombia, o ii) causales objetivas y razonables previamente justificadas y establecidas por la entidad vigilada, tales como: justificar la negativa en la lista elaborada por la Oficina de Control de Activos Extranjeros del Departamento del Tesoro del Gobierno de Estados Unidos (OFAC, por sus siglas en inglés) o en reglas definidas en dicha lista desconociendo su alcance.</w:t>
      </w:r>
    </w:p>
    <w:p w14:paraId="016BB2FD" w14:textId="77777777" w:rsidR="00CE3139" w:rsidRPr="00CE3139" w:rsidRDefault="00CE3139" w:rsidP="00CE3139">
      <w:pPr>
        <w:jc w:val="both"/>
        <w:rPr>
          <w:rFonts w:ascii="Arial" w:eastAsia="Arial" w:hAnsi="Arial" w:cs="Arial"/>
          <w:color w:val="000000"/>
          <w:sz w:val="24"/>
          <w:szCs w:val="24"/>
          <w:lang w:val="es-AR"/>
        </w:rPr>
      </w:pPr>
    </w:p>
    <w:p w14:paraId="1BBE53FA" w14:textId="77777777" w:rsidR="00CE3139" w:rsidRPr="00CE3139" w:rsidRDefault="00CE3139" w:rsidP="00CE3139">
      <w:pPr>
        <w:jc w:val="both"/>
        <w:rPr>
          <w:rFonts w:ascii="Arial" w:eastAsia="Arial" w:hAnsi="Arial" w:cs="Arial"/>
          <w:color w:val="000000"/>
          <w:sz w:val="24"/>
          <w:szCs w:val="24"/>
          <w:lang w:val="es-AR"/>
        </w:rPr>
      </w:pPr>
      <w:r w:rsidRPr="00CE3139">
        <w:rPr>
          <w:rFonts w:ascii="Arial" w:eastAsia="Arial" w:hAnsi="Arial" w:cs="Arial"/>
          <w:color w:val="000000"/>
          <w:sz w:val="24"/>
          <w:szCs w:val="24"/>
          <w:lang w:val="es-AR"/>
        </w:rPr>
        <w:t xml:space="preserve">La presente Circular rige a partir de su publicación. </w:t>
      </w:r>
    </w:p>
    <w:p w14:paraId="6FA85CE9" w14:textId="77777777" w:rsidR="00CE3139" w:rsidRPr="00CE3139" w:rsidRDefault="00CE3139" w:rsidP="00CE3139">
      <w:pPr>
        <w:jc w:val="both"/>
        <w:rPr>
          <w:rFonts w:ascii="Arial" w:eastAsia="Arial" w:hAnsi="Arial" w:cs="Arial"/>
          <w:color w:val="000000"/>
          <w:sz w:val="24"/>
          <w:szCs w:val="24"/>
          <w:lang w:val="es-CO"/>
        </w:rPr>
      </w:pPr>
    </w:p>
    <w:p w14:paraId="290139BD" w14:textId="77777777" w:rsidR="00CE3139" w:rsidRPr="00CE3139" w:rsidRDefault="00CE3139" w:rsidP="00CE3139">
      <w:pPr>
        <w:jc w:val="both"/>
        <w:rPr>
          <w:rFonts w:ascii="Arial" w:eastAsia="Arial" w:hAnsi="Arial" w:cs="Arial"/>
          <w:color w:val="000000"/>
          <w:sz w:val="24"/>
          <w:szCs w:val="24"/>
          <w:lang w:val="es-CO"/>
        </w:rPr>
      </w:pPr>
      <w:r w:rsidRPr="00CE3139">
        <w:rPr>
          <w:rFonts w:ascii="Arial" w:eastAsia="Arial" w:hAnsi="Arial" w:cs="Arial"/>
          <w:color w:val="000000"/>
          <w:sz w:val="24"/>
          <w:szCs w:val="24"/>
          <w:lang w:val="es-CO"/>
        </w:rPr>
        <w:t>Se anexan las páginas objeto de modificación.</w:t>
      </w:r>
    </w:p>
    <w:p w14:paraId="2F10D6DC" w14:textId="77777777" w:rsidR="00CE3139" w:rsidRPr="00CE3139" w:rsidRDefault="00CE3139" w:rsidP="00CE3139">
      <w:pPr>
        <w:jc w:val="both"/>
        <w:rPr>
          <w:rFonts w:ascii="Arial" w:eastAsia="Arial" w:hAnsi="Arial" w:cs="Arial"/>
          <w:color w:val="000000"/>
          <w:sz w:val="24"/>
          <w:szCs w:val="24"/>
          <w:lang w:val="es-CO"/>
        </w:rPr>
      </w:pPr>
    </w:p>
    <w:p w14:paraId="340F8F8A" w14:textId="77777777" w:rsidR="00CE3139" w:rsidRPr="00CE3139" w:rsidRDefault="00CE3139" w:rsidP="00CE3139">
      <w:pPr>
        <w:jc w:val="both"/>
        <w:rPr>
          <w:rFonts w:ascii="Arial" w:eastAsia="Arial" w:hAnsi="Arial" w:cs="Arial"/>
          <w:color w:val="000000"/>
          <w:sz w:val="24"/>
          <w:szCs w:val="24"/>
          <w:lang w:val="es-CO"/>
        </w:rPr>
      </w:pPr>
      <w:r w:rsidRPr="00CE3139">
        <w:rPr>
          <w:rFonts w:ascii="Arial" w:eastAsia="Arial" w:hAnsi="Arial" w:cs="Arial"/>
          <w:color w:val="000000"/>
          <w:sz w:val="24"/>
          <w:szCs w:val="24"/>
          <w:lang w:val="es-CO"/>
        </w:rPr>
        <w:t>Cordialmente,</w:t>
      </w:r>
    </w:p>
    <w:p w14:paraId="515ED332" w14:textId="77777777" w:rsidR="008D45C6" w:rsidRPr="008D45C6" w:rsidRDefault="008D45C6" w:rsidP="008D45C6">
      <w:pPr>
        <w:pStyle w:val="Sinespaciado"/>
        <w:jc w:val="both"/>
        <w:rPr>
          <w:rFonts w:eastAsia="Arial" w:cs="Arial"/>
          <w:color w:val="000000"/>
          <w:szCs w:val="24"/>
          <w:lang w:val="es-CO"/>
        </w:rPr>
      </w:pPr>
    </w:p>
    <w:p w14:paraId="3DD90DD7" w14:textId="77777777" w:rsidR="008D45C6" w:rsidRPr="008D45C6" w:rsidRDefault="008D45C6" w:rsidP="008D45C6">
      <w:pPr>
        <w:pStyle w:val="Sinespaciado"/>
        <w:jc w:val="both"/>
        <w:rPr>
          <w:rFonts w:eastAsia="Arial" w:cs="Arial"/>
          <w:color w:val="000000"/>
          <w:szCs w:val="24"/>
          <w:lang w:val="es-CO"/>
        </w:rPr>
      </w:pPr>
    </w:p>
    <w:p w14:paraId="4AF4C16E" w14:textId="77777777" w:rsidR="008D45C6" w:rsidRPr="008D45C6" w:rsidRDefault="008D45C6" w:rsidP="008D45C6">
      <w:pPr>
        <w:pStyle w:val="Sinespaciado"/>
        <w:jc w:val="both"/>
        <w:rPr>
          <w:rFonts w:eastAsia="Arial" w:cs="Arial"/>
          <w:color w:val="000000"/>
          <w:szCs w:val="24"/>
          <w:lang w:val="es-CO"/>
        </w:rPr>
      </w:pPr>
    </w:p>
    <w:p w14:paraId="2AAD6803" w14:textId="77777777" w:rsidR="008D45C6" w:rsidRPr="008D45C6" w:rsidRDefault="008D45C6" w:rsidP="008D45C6">
      <w:pPr>
        <w:pStyle w:val="Sinespaciado"/>
        <w:jc w:val="both"/>
        <w:rPr>
          <w:rFonts w:eastAsia="Arial" w:cs="Arial"/>
          <w:b/>
          <w:bCs/>
          <w:color w:val="000000"/>
          <w:szCs w:val="24"/>
          <w:lang w:val="es-CO"/>
        </w:rPr>
      </w:pPr>
      <w:r w:rsidRPr="008D45C6">
        <w:rPr>
          <w:rFonts w:eastAsia="Arial" w:cs="Arial"/>
          <w:b/>
          <w:bCs/>
          <w:color w:val="000000"/>
          <w:szCs w:val="24"/>
          <w:lang w:val="es-CO"/>
        </w:rPr>
        <w:t>CÉSAR FERRARI Ph.D.</w:t>
      </w:r>
    </w:p>
    <w:p w14:paraId="597C06C4" w14:textId="77777777" w:rsidR="008D45C6" w:rsidRPr="008D45C6" w:rsidRDefault="008D45C6" w:rsidP="008D45C6">
      <w:pPr>
        <w:pStyle w:val="Sinespaciado"/>
        <w:jc w:val="both"/>
        <w:rPr>
          <w:rFonts w:eastAsia="Arial" w:cs="Arial"/>
          <w:color w:val="000000"/>
          <w:szCs w:val="24"/>
          <w:lang w:val="es-CO"/>
        </w:rPr>
      </w:pPr>
      <w:r w:rsidRPr="008D45C6">
        <w:rPr>
          <w:rFonts w:eastAsia="Arial" w:cs="Arial"/>
          <w:color w:val="000000"/>
          <w:szCs w:val="24"/>
          <w:lang w:val="es-CO"/>
        </w:rPr>
        <w:t xml:space="preserve">Superintendente Financiero </w:t>
      </w:r>
    </w:p>
    <w:p w14:paraId="061C7894" w14:textId="77777777" w:rsidR="008D45C6" w:rsidRPr="008D45C6" w:rsidRDefault="008D45C6" w:rsidP="008D45C6">
      <w:pPr>
        <w:pStyle w:val="Sinespaciado"/>
        <w:jc w:val="both"/>
        <w:rPr>
          <w:rFonts w:eastAsia="Arial" w:cs="Arial"/>
          <w:color w:val="000000"/>
          <w:szCs w:val="24"/>
          <w:lang w:val="es-CO"/>
        </w:rPr>
      </w:pPr>
      <w:r w:rsidRPr="008D45C6">
        <w:rPr>
          <w:rFonts w:eastAsia="Arial" w:cs="Arial"/>
          <w:color w:val="000000"/>
          <w:szCs w:val="24"/>
          <w:lang w:val="es-CO"/>
        </w:rPr>
        <w:t>50000</w:t>
      </w:r>
    </w:p>
    <w:p w14:paraId="0D4A8469" w14:textId="77777777" w:rsidR="008D45C6" w:rsidRPr="008D45C6" w:rsidRDefault="008D45C6" w:rsidP="008D45C6">
      <w:pPr>
        <w:pStyle w:val="Sinespaciado"/>
        <w:jc w:val="both"/>
        <w:rPr>
          <w:rFonts w:eastAsia="Arial" w:cs="Arial"/>
          <w:color w:val="000000"/>
          <w:szCs w:val="24"/>
          <w:lang w:val="es-CO"/>
        </w:rPr>
      </w:pPr>
    </w:p>
    <w:p w14:paraId="7EC65DEC" w14:textId="77777777" w:rsidR="008D45C6" w:rsidRPr="008D45C6" w:rsidRDefault="008D45C6" w:rsidP="008D45C6">
      <w:pPr>
        <w:pStyle w:val="Sinespaciado"/>
        <w:jc w:val="both"/>
        <w:rPr>
          <w:rFonts w:eastAsia="Arial" w:cs="Arial"/>
          <w:color w:val="000000"/>
          <w:sz w:val="16"/>
          <w:szCs w:val="16"/>
          <w:lang w:val="es-CO"/>
        </w:rPr>
      </w:pPr>
    </w:p>
    <w:p w14:paraId="1B0E2644" w14:textId="77777777" w:rsidR="008D45C6" w:rsidRPr="008D45C6" w:rsidRDefault="008D45C6" w:rsidP="008D45C6">
      <w:pPr>
        <w:pStyle w:val="Sinespaciado"/>
        <w:jc w:val="both"/>
        <w:rPr>
          <w:rFonts w:eastAsia="Arial" w:cs="Arial"/>
          <w:color w:val="000000"/>
          <w:sz w:val="16"/>
          <w:szCs w:val="16"/>
          <w:lang w:val="es-CO"/>
        </w:rPr>
      </w:pPr>
      <w:r w:rsidRPr="008D45C6">
        <w:rPr>
          <w:rFonts w:eastAsia="Arial" w:cs="Arial"/>
          <w:color w:val="000000"/>
          <w:sz w:val="16"/>
          <w:szCs w:val="16"/>
          <w:lang w:val="es-CO"/>
        </w:rPr>
        <w:t>Elaboró: Maya Bhatia / Isabela Gaviria</w:t>
      </w:r>
    </w:p>
    <w:p w14:paraId="08DEB82D" w14:textId="77777777" w:rsidR="008D45C6" w:rsidRPr="008D45C6" w:rsidRDefault="008D45C6" w:rsidP="008D45C6">
      <w:pPr>
        <w:pStyle w:val="Sinespaciado"/>
        <w:jc w:val="both"/>
        <w:rPr>
          <w:rFonts w:eastAsia="Arial" w:cs="Arial"/>
          <w:color w:val="000000"/>
          <w:sz w:val="16"/>
          <w:szCs w:val="16"/>
          <w:lang w:val="es-CO"/>
        </w:rPr>
      </w:pPr>
    </w:p>
    <w:p w14:paraId="634C5609" w14:textId="77777777" w:rsidR="008D45C6" w:rsidRPr="008D45C6" w:rsidRDefault="008D45C6" w:rsidP="008D45C6">
      <w:pPr>
        <w:pStyle w:val="Sinespaciado"/>
        <w:jc w:val="both"/>
        <w:rPr>
          <w:rFonts w:eastAsia="Arial" w:cs="Arial"/>
          <w:color w:val="000000"/>
          <w:sz w:val="16"/>
          <w:szCs w:val="16"/>
          <w:lang w:val="es-CO"/>
        </w:rPr>
      </w:pPr>
      <w:r w:rsidRPr="008D45C6">
        <w:rPr>
          <w:rFonts w:eastAsia="Arial" w:cs="Arial"/>
          <w:color w:val="000000"/>
          <w:sz w:val="16"/>
          <w:szCs w:val="16"/>
          <w:lang w:val="es-CO"/>
        </w:rPr>
        <w:t>Revisó: Diana Castañeda / Carolina Guevara</w:t>
      </w:r>
    </w:p>
    <w:p w14:paraId="028D8040" w14:textId="77777777" w:rsidR="008D45C6" w:rsidRPr="008D45C6" w:rsidRDefault="008D45C6" w:rsidP="008D45C6">
      <w:pPr>
        <w:pStyle w:val="Sinespaciado"/>
        <w:jc w:val="both"/>
        <w:rPr>
          <w:rFonts w:eastAsia="Arial" w:cs="Arial"/>
          <w:color w:val="000000"/>
          <w:sz w:val="16"/>
          <w:szCs w:val="16"/>
          <w:lang w:val="es-CO"/>
        </w:rPr>
      </w:pPr>
    </w:p>
    <w:p w14:paraId="097DB6B9" w14:textId="77777777" w:rsidR="008D45C6" w:rsidRPr="008D45C6" w:rsidRDefault="008D45C6" w:rsidP="008D45C6">
      <w:pPr>
        <w:pStyle w:val="Sinespaciado"/>
        <w:jc w:val="both"/>
        <w:rPr>
          <w:rFonts w:eastAsia="Arial" w:cs="Arial"/>
          <w:color w:val="000000"/>
          <w:sz w:val="16"/>
          <w:szCs w:val="16"/>
          <w:lang w:val="es-CO"/>
        </w:rPr>
      </w:pPr>
      <w:r w:rsidRPr="008D45C6">
        <w:rPr>
          <w:rFonts w:eastAsia="Arial" w:cs="Arial"/>
          <w:color w:val="000000"/>
          <w:sz w:val="16"/>
          <w:szCs w:val="16"/>
          <w:lang w:val="es-CO"/>
        </w:rPr>
        <w:t>Aprobó: Camila Quevedo</w:t>
      </w:r>
    </w:p>
    <w:p w14:paraId="4752CCE8" w14:textId="77777777" w:rsidR="00B51F39" w:rsidRPr="008D45C6" w:rsidRDefault="00B51F39" w:rsidP="008D45C6">
      <w:pPr>
        <w:rPr>
          <w:rFonts w:ascii="Arial" w:hAnsi="Arial" w:cs="Arial"/>
          <w:b/>
          <w:bCs/>
          <w:sz w:val="22"/>
          <w:szCs w:val="22"/>
          <w:lang w:val="es-CO"/>
        </w:rPr>
      </w:pPr>
    </w:p>
    <w:sectPr w:rsidR="00B51F39" w:rsidRPr="008D45C6" w:rsidSect="00136FF3">
      <w:headerReference w:type="default" r:id="rId15"/>
      <w:footerReference w:type="default" r:id="rId16"/>
      <w:headerReference w:type="first" r:id="rId17"/>
      <w:footerReference w:type="first" r:id="rId18"/>
      <w:pgSz w:w="12240" w:h="18720" w:code="119"/>
      <w:pgMar w:top="1417" w:right="1701" w:bottom="1417" w:left="170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4143" w14:textId="77777777" w:rsidR="00351DEF" w:rsidRDefault="00351DEF">
      <w:r>
        <w:separator/>
      </w:r>
    </w:p>
  </w:endnote>
  <w:endnote w:type="continuationSeparator" w:id="0">
    <w:p w14:paraId="6519B47D" w14:textId="77777777" w:rsidR="00351DEF" w:rsidRDefault="0035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CE3C" w14:textId="77777777" w:rsidR="00564B20" w:rsidRDefault="00564B20">
    <w:pPr>
      <w:widowControl w:val="0"/>
      <w:autoSpaceDE w:val="0"/>
      <w:autoSpaceDN w:val="0"/>
      <w:adjustRightInd w:val="0"/>
      <w:jc w:val="both"/>
      <w:rPr>
        <w:rFonts w:ascii="Arial" w:hAnsi="Arial" w:cs="Arial"/>
        <w:sz w:val="22"/>
        <w:szCs w:val="22"/>
      </w:rPr>
    </w:pPr>
  </w:p>
  <w:p w14:paraId="16D0BAAD"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0A12" w14:textId="77777777" w:rsidR="00564B20" w:rsidRDefault="00564B20">
    <w:pPr>
      <w:widowControl w:val="0"/>
      <w:autoSpaceDE w:val="0"/>
      <w:autoSpaceDN w:val="0"/>
      <w:adjustRightInd w:val="0"/>
      <w:jc w:val="both"/>
      <w:rPr>
        <w:rFonts w:ascii="Arial" w:hAnsi="Arial" w:cs="Arial"/>
        <w:sz w:val="22"/>
        <w:szCs w:val="22"/>
      </w:rPr>
    </w:pPr>
  </w:p>
  <w:p w14:paraId="7DB3156C"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1E650738" w14:paraId="626B2047" w14:textId="77777777" w:rsidTr="00112AD6">
      <w:tc>
        <w:tcPr>
          <w:tcW w:w="2946" w:type="dxa"/>
        </w:tcPr>
        <w:p w14:paraId="1AA21875" w14:textId="77777777" w:rsidR="1E650738" w:rsidRDefault="0006240A" w:rsidP="00112AD6">
          <w:pPr>
            <w:pStyle w:val="Encabezado"/>
            <w:ind w:left="-115"/>
          </w:pPr>
        </w:p>
      </w:tc>
      <w:tc>
        <w:tcPr>
          <w:tcW w:w="2946" w:type="dxa"/>
        </w:tcPr>
        <w:p w14:paraId="5790FD58" w14:textId="77777777" w:rsidR="1E650738" w:rsidRDefault="0006240A" w:rsidP="00112AD6">
          <w:pPr>
            <w:pStyle w:val="Encabezado"/>
            <w:jc w:val="center"/>
          </w:pPr>
        </w:p>
      </w:tc>
      <w:tc>
        <w:tcPr>
          <w:tcW w:w="2946" w:type="dxa"/>
        </w:tcPr>
        <w:p w14:paraId="705405B0" w14:textId="77777777" w:rsidR="1E650738" w:rsidRDefault="0006240A" w:rsidP="00112AD6">
          <w:pPr>
            <w:pStyle w:val="Encabezado"/>
            <w:ind w:right="-115"/>
            <w:jc w:val="right"/>
          </w:pPr>
        </w:p>
      </w:tc>
    </w:tr>
  </w:tbl>
  <w:p w14:paraId="42C24100" w14:textId="77777777" w:rsidR="1E650738" w:rsidRDefault="0006240A" w:rsidP="00112AD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1E650738" w14:paraId="09BCA7C2" w14:textId="77777777" w:rsidTr="00112AD6">
      <w:tc>
        <w:tcPr>
          <w:tcW w:w="2946" w:type="dxa"/>
        </w:tcPr>
        <w:p w14:paraId="7B7BB7D1" w14:textId="77777777" w:rsidR="1E650738" w:rsidRDefault="0006240A" w:rsidP="00A9512C">
          <w:pPr>
            <w:pStyle w:val="Encabezado"/>
            <w:tabs>
              <w:tab w:val="clear" w:pos="8838"/>
              <w:tab w:val="right" w:pos="2723"/>
            </w:tabs>
            <w:ind w:left="-115"/>
          </w:pPr>
        </w:p>
      </w:tc>
      <w:tc>
        <w:tcPr>
          <w:tcW w:w="2946" w:type="dxa"/>
        </w:tcPr>
        <w:p w14:paraId="5447D5F8" w14:textId="77777777" w:rsidR="1E650738" w:rsidRDefault="0006240A" w:rsidP="00112AD6">
          <w:pPr>
            <w:pStyle w:val="Encabezado"/>
            <w:jc w:val="center"/>
          </w:pPr>
        </w:p>
      </w:tc>
      <w:tc>
        <w:tcPr>
          <w:tcW w:w="2946" w:type="dxa"/>
        </w:tcPr>
        <w:p w14:paraId="62E86D79" w14:textId="77777777" w:rsidR="1E650738" w:rsidRDefault="0006240A" w:rsidP="00112AD6">
          <w:pPr>
            <w:pStyle w:val="Encabezado"/>
            <w:ind w:right="-115"/>
            <w:jc w:val="right"/>
          </w:pPr>
        </w:p>
      </w:tc>
    </w:tr>
  </w:tbl>
  <w:p w14:paraId="257C6710" w14:textId="77777777" w:rsidR="00422A4F" w:rsidRDefault="0006240A" w:rsidP="00422A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5FB3" w14:textId="77777777" w:rsidR="00351DEF" w:rsidRDefault="00351DEF">
      <w:r>
        <w:separator/>
      </w:r>
    </w:p>
  </w:footnote>
  <w:footnote w:type="continuationSeparator" w:id="0">
    <w:p w14:paraId="47F09C38" w14:textId="77777777" w:rsidR="00351DEF" w:rsidRDefault="0035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B4D6" w14:textId="77777777" w:rsidR="00564B20" w:rsidRDefault="00564B20">
    <w:pPr>
      <w:pStyle w:val="Encabezado"/>
      <w:jc w:val="center"/>
      <w:rPr>
        <w:rFonts w:ascii="Arial" w:hAnsi="Arial" w:cs="Arial"/>
        <w:b/>
        <w:sz w:val="24"/>
        <w:szCs w:val="24"/>
      </w:rPr>
    </w:pPr>
  </w:p>
  <w:p w14:paraId="4FDD2120" w14:textId="77777777" w:rsidR="00564B20" w:rsidRDefault="00564B20">
    <w:pPr>
      <w:pStyle w:val="Encabezado"/>
      <w:jc w:val="center"/>
      <w:rPr>
        <w:rFonts w:ascii="Arial" w:hAnsi="Arial" w:cs="Arial"/>
        <w:b/>
        <w:sz w:val="24"/>
        <w:szCs w:val="24"/>
      </w:rPr>
    </w:pPr>
  </w:p>
  <w:p w14:paraId="714CA8FB" w14:textId="77777777" w:rsidR="00564B20" w:rsidRDefault="00564B20">
    <w:pPr>
      <w:pStyle w:val="Encabezado"/>
      <w:jc w:val="center"/>
      <w:rPr>
        <w:rFonts w:ascii="Arial" w:hAnsi="Arial" w:cs="Arial"/>
        <w:b/>
        <w:sz w:val="24"/>
        <w:szCs w:val="24"/>
      </w:rPr>
    </w:pPr>
  </w:p>
  <w:p w14:paraId="24FB95A7"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62A8F3DE" w14:textId="77777777" w:rsidR="00564B20" w:rsidRDefault="00564B20">
    <w:pPr>
      <w:pStyle w:val="Encabezado"/>
      <w:jc w:val="center"/>
      <w:rPr>
        <w:rFonts w:ascii="Arial" w:hAnsi="Arial" w:cs="Arial"/>
        <w:b/>
        <w:bCs/>
        <w:sz w:val="24"/>
        <w:szCs w:val="24"/>
        <w:lang w:val="es-CO"/>
      </w:rPr>
    </w:pPr>
  </w:p>
  <w:p w14:paraId="06A08171"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5"/>
      <w:gridCol w:w="4399"/>
      <w:gridCol w:w="2052"/>
    </w:tblGrid>
    <w:tr w:rsidR="00564B20" w14:paraId="248E65CD" w14:textId="77777777" w:rsidTr="0044428D">
      <w:trPr>
        <w:cantSplit/>
        <w:trHeight w:val="699"/>
      </w:trPr>
      <w:tc>
        <w:tcPr>
          <w:tcW w:w="2055" w:type="dxa"/>
          <w:vMerge w:val="restart"/>
          <w:noWrap/>
          <w:vAlign w:val="bottom"/>
        </w:tcPr>
        <w:p w14:paraId="7F5731D3" w14:textId="3ADE5548" w:rsidR="00564B20" w:rsidRDefault="0006240A" w:rsidP="000F6CB5">
          <w:pPr>
            <w:rPr>
              <w:rFonts w:cs="Arial"/>
              <w:sz w:val="2"/>
              <w:szCs w:val="2"/>
              <w:lang w:val="es-CO"/>
            </w:rPr>
          </w:pPr>
          <w:r>
            <w:rPr>
              <w:rFonts w:ascii="Arial" w:hAnsi="Arial" w:cs="Arial"/>
              <w:noProof/>
              <w:color w:val="000000"/>
              <w:lang w:eastAsia="es-CO"/>
            </w:rPr>
            <w:drawing>
              <wp:inline distT="0" distB="0" distL="0" distR="0" wp14:anchorId="3AF476E8" wp14:editId="1DE6D0A0">
                <wp:extent cx="1343025" cy="48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p>
        <w:p w14:paraId="4F1F7B11" w14:textId="77777777" w:rsidR="00564B20" w:rsidRDefault="00564B20" w:rsidP="000F6CB5">
          <w:pPr>
            <w:rPr>
              <w:rFonts w:cs="Arial"/>
              <w:sz w:val="2"/>
              <w:szCs w:val="2"/>
              <w:lang w:val="es-CO"/>
            </w:rPr>
          </w:pPr>
        </w:p>
        <w:p w14:paraId="05C10822" w14:textId="77777777" w:rsidR="00564B20" w:rsidRDefault="00564B20" w:rsidP="000F6CB5">
          <w:pPr>
            <w:rPr>
              <w:rFonts w:cs="Arial"/>
              <w:sz w:val="2"/>
              <w:szCs w:val="2"/>
              <w:lang w:val="es-CO"/>
            </w:rPr>
          </w:pPr>
        </w:p>
        <w:p w14:paraId="5961A25E" w14:textId="77777777" w:rsidR="00564B20" w:rsidRDefault="00564B20" w:rsidP="000F6CB5">
          <w:pPr>
            <w:rPr>
              <w:rFonts w:cs="Arial"/>
              <w:sz w:val="2"/>
              <w:szCs w:val="2"/>
              <w:lang w:val="es-CO"/>
            </w:rPr>
          </w:pPr>
        </w:p>
        <w:p w14:paraId="119EDBD3" w14:textId="77777777" w:rsidR="00564B20" w:rsidRDefault="00564B20" w:rsidP="000F6CB5">
          <w:pPr>
            <w:rPr>
              <w:rFonts w:cs="Arial"/>
              <w:sz w:val="2"/>
              <w:szCs w:val="2"/>
              <w:lang w:val="es-CO"/>
            </w:rPr>
          </w:pPr>
        </w:p>
      </w:tc>
      <w:tc>
        <w:tcPr>
          <w:tcW w:w="4399" w:type="dxa"/>
          <w:shd w:val="clear" w:color="auto" w:fill="FFFFFF"/>
          <w:noWrap/>
          <w:vAlign w:val="center"/>
        </w:tcPr>
        <w:p w14:paraId="1663E1CE"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10DA5F80" w14:textId="77777777" w:rsidR="00564B20" w:rsidRDefault="00564B20" w:rsidP="000F6CB5">
          <w:pPr>
            <w:jc w:val="center"/>
            <w:rPr>
              <w:rFonts w:ascii="Arial" w:hAnsi="Arial" w:cs="Arial"/>
              <w:lang w:val="es-CO"/>
            </w:rPr>
          </w:pPr>
          <w:r>
            <w:rPr>
              <w:rFonts w:ascii="Arial" w:hAnsi="Arial" w:cs="Arial"/>
              <w:bCs/>
            </w:rPr>
            <w:t>E-PI-DDS-002</w:t>
          </w:r>
        </w:p>
      </w:tc>
    </w:tr>
    <w:tr w:rsidR="00564B20" w14:paraId="185E95DC" w14:textId="77777777" w:rsidTr="00043B3D">
      <w:trPr>
        <w:cantSplit/>
        <w:trHeight w:val="378"/>
      </w:trPr>
      <w:tc>
        <w:tcPr>
          <w:tcW w:w="2055" w:type="dxa"/>
          <w:vMerge/>
          <w:noWrap/>
          <w:vAlign w:val="bottom"/>
        </w:tcPr>
        <w:p w14:paraId="05E43B13" w14:textId="77777777" w:rsidR="00564B20" w:rsidRDefault="00564B20" w:rsidP="000F6CB5">
          <w:pPr>
            <w:rPr>
              <w:rFonts w:cs="Arial"/>
              <w:color w:val="FFFFFF"/>
              <w:lang w:val="es-CO"/>
            </w:rPr>
          </w:pPr>
        </w:p>
      </w:tc>
      <w:tc>
        <w:tcPr>
          <w:tcW w:w="4399" w:type="dxa"/>
          <w:vAlign w:val="center"/>
        </w:tcPr>
        <w:p w14:paraId="1FBAF3F6"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622DF6B6"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7FA7E86B"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95C6" w14:textId="77777777" w:rsidR="0056468E" w:rsidRPr="008D45C6" w:rsidRDefault="00351DEF" w:rsidP="00A65541">
    <w:pPr>
      <w:pStyle w:val="Encabezado"/>
      <w:jc w:val="center"/>
      <w:rPr>
        <w:rFonts w:ascii="Arial" w:hAnsi="Arial" w:cs="Arial"/>
        <w:b/>
        <w:bCs/>
        <w:sz w:val="24"/>
        <w:szCs w:val="24"/>
        <w:lang w:val="es-ES"/>
      </w:rPr>
    </w:pPr>
    <w:r w:rsidRPr="008D45C6">
      <w:rPr>
        <w:rFonts w:ascii="Arial" w:hAnsi="Arial" w:cs="Arial"/>
        <w:b/>
        <w:bCs/>
        <w:sz w:val="24"/>
        <w:szCs w:val="24"/>
        <w:lang w:val="es-ES"/>
      </w:rPr>
      <w:t>SUPERINTENDENCIA FINANCIERA DE COLOMBIA</w:t>
    </w:r>
  </w:p>
  <w:p w14:paraId="0799B11A" w14:textId="77777777" w:rsidR="0056468E" w:rsidRPr="008D45C6" w:rsidRDefault="0006240A" w:rsidP="00A65541">
    <w:pPr>
      <w:pStyle w:val="Encabezado"/>
      <w:jc w:val="center"/>
      <w:rPr>
        <w:rFonts w:ascii="Arial" w:hAnsi="Arial" w:cs="Arial"/>
        <w:b/>
        <w:bCs/>
        <w:sz w:val="24"/>
        <w:szCs w:val="24"/>
        <w:lang w:val="es-ES"/>
      </w:rPr>
    </w:pPr>
  </w:p>
  <w:p w14:paraId="2E2BF761" w14:textId="77777777" w:rsidR="0056468E" w:rsidRPr="008D45C6" w:rsidRDefault="00351DEF" w:rsidP="00F83A3A">
    <w:pPr>
      <w:pStyle w:val="Piedepgina"/>
      <w:rPr>
        <w:rFonts w:ascii="Arial" w:hAnsi="Arial" w:cs="Arial"/>
        <w:b/>
        <w:bCs/>
        <w:sz w:val="24"/>
        <w:szCs w:val="24"/>
      </w:rPr>
    </w:pPr>
    <w:r w:rsidRPr="008D45C6">
      <w:rPr>
        <w:rFonts w:ascii="Arial" w:hAnsi="Arial" w:cs="Arial"/>
        <w:b/>
        <w:bCs/>
        <w:sz w:val="24"/>
        <w:szCs w:val="24"/>
      </w:rPr>
      <w:t xml:space="preserve">Circular Externa       de 2023                                                                 Página  </w:t>
    </w:r>
    <w:r w:rsidRPr="008D45C6">
      <w:rPr>
        <w:rFonts w:ascii="Arial" w:eastAsia="Arial" w:hAnsi="Arial" w:cs="Arial"/>
        <w:b/>
        <w:bCs/>
        <w:sz w:val="24"/>
        <w:szCs w:val="24"/>
      </w:rPr>
      <w:t>2</w:t>
    </w:r>
  </w:p>
  <w:p w14:paraId="67BE2245" w14:textId="77777777" w:rsidR="0056468E" w:rsidRPr="00F83A3A" w:rsidRDefault="0006240A" w:rsidP="00A65541">
    <w:pPr>
      <w:pStyle w:val="Encabezado"/>
      <w:jc w:val="center"/>
      <w:rPr>
        <w:rFonts w:cs="Arial"/>
        <w:b/>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3F78" w14:textId="3B9C9286" w:rsidR="0085680E" w:rsidRPr="008D45C6" w:rsidRDefault="00351DEF" w:rsidP="008D45C6">
    <w:pPr>
      <w:pStyle w:val="Encabezado"/>
      <w:jc w:val="center"/>
      <w:rPr>
        <w:rFonts w:ascii="Arial" w:hAnsi="Arial" w:cs="Arial"/>
        <w:b/>
        <w:bCs/>
        <w:sz w:val="24"/>
        <w:szCs w:val="24"/>
        <w:lang w:val="es-ES"/>
      </w:rPr>
    </w:pPr>
    <w:r w:rsidRPr="008D45C6">
      <w:rPr>
        <w:rFonts w:ascii="Arial" w:hAnsi="Arial" w:cs="Arial"/>
        <w:b/>
        <w:bCs/>
        <w:sz w:val="24"/>
        <w:szCs w:val="24"/>
        <w:lang w:val="es-ES"/>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352999646">
    <w:abstractNumId w:val="10"/>
  </w:num>
  <w:num w:numId="2" w16cid:durableId="1184058027">
    <w:abstractNumId w:val="42"/>
  </w:num>
  <w:num w:numId="3" w16cid:durableId="1125276229">
    <w:abstractNumId w:val="27"/>
  </w:num>
  <w:num w:numId="4" w16cid:durableId="1388534954">
    <w:abstractNumId w:val="2"/>
  </w:num>
  <w:num w:numId="5" w16cid:durableId="691566973">
    <w:abstractNumId w:val="1"/>
  </w:num>
  <w:num w:numId="6" w16cid:durableId="2145847107">
    <w:abstractNumId w:val="0"/>
  </w:num>
  <w:num w:numId="7" w16cid:durableId="1489402873">
    <w:abstractNumId w:val="43"/>
  </w:num>
  <w:num w:numId="8" w16cid:durableId="1106970109">
    <w:abstractNumId w:val="12"/>
  </w:num>
  <w:num w:numId="9" w16cid:durableId="1755514114">
    <w:abstractNumId w:val="36"/>
  </w:num>
  <w:num w:numId="10" w16cid:durableId="1358844842">
    <w:abstractNumId w:val="14"/>
  </w:num>
  <w:num w:numId="11" w16cid:durableId="1774203065">
    <w:abstractNumId w:val="26"/>
  </w:num>
  <w:num w:numId="12" w16cid:durableId="1869639097">
    <w:abstractNumId w:val="5"/>
  </w:num>
  <w:num w:numId="13" w16cid:durableId="722825667">
    <w:abstractNumId w:val="18"/>
  </w:num>
  <w:num w:numId="14" w16cid:durableId="586038435">
    <w:abstractNumId w:val="25"/>
  </w:num>
  <w:num w:numId="15" w16cid:durableId="2057657177">
    <w:abstractNumId w:val="11"/>
  </w:num>
  <w:num w:numId="16" w16cid:durableId="957758106">
    <w:abstractNumId w:val="13"/>
  </w:num>
  <w:num w:numId="17" w16cid:durableId="2017070099">
    <w:abstractNumId w:val="8"/>
  </w:num>
  <w:num w:numId="18" w16cid:durableId="1642229204">
    <w:abstractNumId w:val="45"/>
  </w:num>
  <w:num w:numId="19" w16cid:durableId="1035227673">
    <w:abstractNumId w:val="38"/>
  </w:num>
  <w:num w:numId="20" w16cid:durableId="1230460116">
    <w:abstractNumId w:val="20"/>
  </w:num>
  <w:num w:numId="21" w16cid:durableId="458107591">
    <w:abstractNumId w:val="15"/>
  </w:num>
  <w:num w:numId="22" w16cid:durableId="1566911913">
    <w:abstractNumId w:val="16"/>
  </w:num>
  <w:num w:numId="23" w16cid:durableId="1506285210">
    <w:abstractNumId w:val="7"/>
  </w:num>
  <w:num w:numId="24" w16cid:durableId="1302534955">
    <w:abstractNumId w:val="24"/>
  </w:num>
  <w:num w:numId="25" w16cid:durableId="2120686652">
    <w:abstractNumId w:val="37"/>
  </w:num>
  <w:num w:numId="26" w16cid:durableId="1801607324">
    <w:abstractNumId w:val="23"/>
  </w:num>
  <w:num w:numId="27" w16cid:durableId="312954494">
    <w:abstractNumId w:val="44"/>
  </w:num>
  <w:num w:numId="28" w16cid:durableId="1786848809">
    <w:abstractNumId w:val="6"/>
  </w:num>
  <w:num w:numId="29" w16cid:durableId="895896688">
    <w:abstractNumId w:val="21"/>
  </w:num>
  <w:num w:numId="30" w16cid:durableId="504394596">
    <w:abstractNumId w:val="19"/>
  </w:num>
  <w:num w:numId="31" w16cid:durableId="335307937">
    <w:abstractNumId w:val="39"/>
  </w:num>
  <w:num w:numId="32" w16cid:durableId="1150831795">
    <w:abstractNumId w:val="32"/>
  </w:num>
  <w:num w:numId="33" w16cid:durableId="697194508">
    <w:abstractNumId w:val="4"/>
  </w:num>
  <w:num w:numId="34" w16cid:durableId="533886298">
    <w:abstractNumId w:val="29"/>
  </w:num>
  <w:num w:numId="35" w16cid:durableId="1641573405">
    <w:abstractNumId w:val="9"/>
  </w:num>
  <w:num w:numId="36" w16cid:durableId="1458789796">
    <w:abstractNumId w:val="28"/>
  </w:num>
  <w:num w:numId="37" w16cid:durableId="953370227">
    <w:abstractNumId w:val="34"/>
  </w:num>
  <w:num w:numId="38" w16cid:durableId="1800106368">
    <w:abstractNumId w:val="22"/>
  </w:num>
  <w:num w:numId="39" w16cid:durableId="265617747">
    <w:abstractNumId w:val="31"/>
  </w:num>
  <w:num w:numId="40" w16cid:durableId="1917204754">
    <w:abstractNumId w:val="41"/>
  </w:num>
  <w:num w:numId="41" w16cid:durableId="471948908">
    <w:abstractNumId w:val="17"/>
  </w:num>
  <w:num w:numId="42" w16cid:durableId="298534208">
    <w:abstractNumId w:val="30"/>
  </w:num>
  <w:num w:numId="43" w16cid:durableId="2087797498">
    <w:abstractNumId w:val="3"/>
  </w:num>
  <w:num w:numId="44" w16cid:durableId="671760115">
    <w:abstractNumId w:val="35"/>
  </w:num>
  <w:num w:numId="45" w16cid:durableId="633340322">
    <w:abstractNumId w:val="40"/>
  </w:num>
  <w:num w:numId="46" w16cid:durableId="11058784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B3D"/>
    <w:rsid w:val="00047316"/>
    <w:rsid w:val="0006240A"/>
    <w:rsid w:val="000779CA"/>
    <w:rsid w:val="000D147B"/>
    <w:rsid w:val="000F6CB5"/>
    <w:rsid w:val="00120DA4"/>
    <w:rsid w:val="001258E1"/>
    <w:rsid w:val="001543F0"/>
    <w:rsid w:val="00190EE7"/>
    <w:rsid w:val="001922C8"/>
    <w:rsid w:val="001A6B7D"/>
    <w:rsid w:val="002B6E99"/>
    <w:rsid w:val="002F4A2A"/>
    <w:rsid w:val="00316E05"/>
    <w:rsid w:val="00351DEF"/>
    <w:rsid w:val="0037411F"/>
    <w:rsid w:val="00374F5A"/>
    <w:rsid w:val="003760B7"/>
    <w:rsid w:val="003918C3"/>
    <w:rsid w:val="003E3CC3"/>
    <w:rsid w:val="003F7BBD"/>
    <w:rsid w:val="00404235"/>
    <w:rsid w:val="004043B0"/>
    <w:rsid w:val="0040661C"/>
    <w:rsid w:val="00410CAB"/>
    <w:rsid w:val="0044428D"/>
    <w:rsid w:val="00451E47"/>
    <w:rsid w:val="00457601"/>
    <w:rsid w:val="004C2087"/>
    <w:rsid w:val="004D5BBF"/>
    <w:rsid w:val="004F111A"/>
    <w:rsid w:val="00513233"/>
    <w:rsid w:val="00564B20"/>
    <w:rsid w:val="00581497"/>
    <w:rsid w:val="005D51F0"/>
    <w:rsid w:val="00621A24"/>
    <w:rsid w:val="0064423D"/>
    <w:rsid w:val="00655C9D"/>
    <w:rsid w:val="00664B83"/>
    <w:rsid w:val="006B29A5"/>
    <w:rsid w:val="006B56BB"/>
    <w:rsid w:val="006C2208"/>
    <w:rsid w:val="006D2615"/>
    <w:rsid w:val="006F70A6"/>
    <w:rsid w:val="006F7746"/>
    <w:rsid w:val="00750F3F"/>
    <w:rsid w:val="0075215C"/>
    <w:rsid w:val="007A55C7"/>
    <w:rsid w:val="007C0F8A"/>
    <w:rsid w:val="007E4209"/>
    <w:rsid w:val="008078CF"/>
    <w:rsid w:val="00824B7C"/>
    <w:rsid w:val="00836A72"/>
    <w:rsid w:val="0084010C"/>
    <w:rsid w:val="008B697F"/>
    <w:rsid w:val="008C78C6"/>
    <w:rsid w:val="008D1DF6"/>
    <w:rsid w:val="008D45C6"/>
    <w:rsid w:val="008E4990"/>
    <w:rsid w:val="00903F36"/>
    <w:rsid w:val="00904A52"/>
    <w:rsid w:val="00997CB7"/>
    <w:rsid w:val="009A55F6"/>
    <w:rsid w:val="00A164B8"/>
    <w:rsid w:val="00A57330"/>
    <w:rsid w:val="00A61CAF"/>
    <w:rsid w:val="00AC0FDE"/>
    <w:rsid w:val="00B05C8F"/>
    <w:rsid w:val="00B51F39"/>
    <w:rsid w:val="00BB3603"/>
    <w:rsid w:val="00BB37DA"/>
    <w:rsid w:val="00BC13D7"/>
    <w:rsid w:val="00C340E1"/>
    <w:rsid w:val="00C8742D"/>
    <w:rsid w:val="00CB6959"/>
    <w:rsid w:val="00CD33D4"/>
    <w:rsid w:val="00CE3139"/>
    <w:rsid w:val="00D071C4"/>
    <w:rsid w:val="00D42D4C"/>
    <w:rsid w:val="00DF3624"/>
    <w:rsid w:val="00E416CF"/>
    <w:rsid w:val="00E435E8"/>
    <w:rsid w:val="00E47C9B"/>
    <w:rsid w:val="00E530A0"/>
    <w:rsid w:val="00E66DC8"/>
    <w:rsid w:val="00E77E01"/>
    <w:rsid w:val="00E93C1D"/>
    <w:rsid w:val="00E979D9"/>
    <w:rsid w:val="00EA1049"/>
    <w:rsid w:val="00EB26B9"/>
    <w:rsid w:val="00EC6395"/>
    <w:rsid w:val="00ED37AC"/>
    <w:rsid w:val="00EE3537"/>
    <w:rsid w:val="00F32DEC"/>
    <w:rsid w:val="00F6044F"/>
    <w:rsid w:val="00F70A31"/>
    <w:rsid w:val="00F822C8"/>
    <w:rsid w:val="00F9082E"/>
    <w:rsid w:val="00FC3F04"/>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943A7"/>
  <w15:chartTrackingRefBased/>
  <w15:docId w15:val="{A6E25C24-4BB9-46E8-9386-415A671E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link w:val="Textoindependiente2Car"/>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8D45C6"/>
    <w:rPr>
      <w:lang w:val="es-ES_tradnl" w:eastAsia="es-ES"/>
    </w:rPr>
  </w:style>
  <w:style w:type="character" w:customStyle="1" w:styleId="PiedepginaCar">
    <w:name w:val="Pie de página Car"/>
    <w:link w:val="Piedepgina"/>
    <w:rsid w:val="008D45C6"/>
    <w:rPr>
      <w:lang w:val="es-ES_tradnl" w:eastAsia="es-ES"/>
    </w:rPr>
  </w:style>
  <w:style w:type="paragraph" w:styleId="Sinespaciado">
    <w:name w:val="No Spacing"/>
    <w:uiPriority w:val="1"/>
    <w:qFormat/>
    <w:rsid w:val="008D45C6"/>
    <w:rPr>
      <w:rFonts w:ascii="Arial" w:hAnsi="Arial"/>
      <w:sz w:val="24"/>
      <w:lang w:val="es-ES_tradnl" w:eastAsia="es-ES"/>
    </w:rPr>
  </w:style>
  <w:style w:type="character" w:customStyle="1" w:styleId="Textoindependiente2Car">
    <w:name w:val="Texto independiente 2 Car"/>
    <w:link w:val="Textoindependiente2"/>
    <w:rsid w:val="008D45C6"/>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ormativa@superfinanciera.gov.c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2FA30E39BDA4EBC702A95D01A01D0" ma:contentTypeVersion="3" ma:contentTypeDescription="Create a new document." ma:contentTypeScope="" ma:versionID="41afbeceafe1b6b25b7bd6988e638a81">
  <xsd:schema xmlns:xsd="http://www.w3.org/2001/XMLSchema" xmlns:xs="http://www.w3.org/2001/XMLSchema" xmlns:p="http://schemas.microsoft.com/office/2006/metadata/properties" xmlns:ns2="4cd8a5a4-5d80-4c48-b055-1ab9b4d9f3a5" targetNamespace="http://schemas.microsoft.com/office/2006/metadata/properties" ma:root="true" ma:fieldsID="2322f0200960c697364fc7e0f4dd1b7f" ns2:_="">
    <xsd:import namespace="4cd8a5a4-5d80-4c48-b055-1ab9b4d9f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a5a4-5d80-4c48-b055-1ab9b4d9f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B8ED1-9FD5-45FF-BCD9-17DD17A42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1E049-B9BF-42E2-9555-C305873CDF68}">
  <ds:schemaRefs>
    <ds:schemaRef ds:uri="http://schemas.microsoft.com/sharepoint/v3/contenttype/forms"/>
  </ds:schemaRefs>
</ds:datastoreItem>
</file>

<file path=customXml/itemProps3.xml><?xml version="1.0" encoding="utf-8"?>
<ds:datastoreItem xmlns:ds="http://schemas.openxmlformats.org/officeDocument/2006/customXml" ds:itemID="{51EBDD82-4F09-481C-8963-CE105FDA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a5a4-5d80-4c48-b055-1ab9b4d9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6051</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Oscar Andres Alvarez Torres</cp:lastModifiedBy>
  <cp:revision>2</cp:revision>
  <cp:lastPrinted>2016-09-26T16:13:00Z</cp:lastPrinted>
  <dcterms:created xsi:type="dcterms:W3CDTF">2023-07-05T20:15:00Z</dcterms:created>
  <dcterms:modified xsi:type="dcterms:W3CDTF">2023-07-05T20:15:00Z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0x010100F072FA30E39BDA4EBC702A95D01A01D0</vt:lpwstr>
  </property>
</Properties>
</file>