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B4BB" w14:textId="77777777" w:rsidR="00F100C3" w:rsidRPr="00F100C3" w:rsidRDefault="00F100C3" w:rsidP="00530AF3">
      <w:pPr>
        <w:pStyle w:val="Textoindependiente"/>
        <w:ind w:right="147"/>
        <w:rPr>
          <w:rFonts w:ascii="Arial" w:hAnsi="Arial" w:cs="Arial"/>
          <w:sz w:val="23"/>
          <w:szCs w:val="23"/>
        </w:rPr>
        <w:sectPr w:rsidR="00F100C3" w:rsidRPr="00F100C3" w:rsidSect="005E5A5D">
          <w:headerReference w:type="default" r:id="rId8"/>
          <w:pgSz w:w="12240" w:h="20160" w:code="5"/>
          <w:pgMar w:top="1440" w:right="1080" w:bottom="1440" w:left="1080" w:header="708" w:footer="708" w:gutter="0"/>
          <w:pgNumType w:start="1"/>
          <w:cols w:space="708"/>
          <w:docGrid w:linePitch="360"/>
        </w:sectPr>
      </w:pPr>
    </w:p>
    <w:p w14:paraId="22933584" w14:textId="77777777" w:rsidR="00F100C3" w:rsidRDefault="00F100C3" w:rsidP="00530AF3">
      <w:pPr>
        <w:pStyle w:val="Ttulo"/>
        <w:ind w:left="-567" w:right="-660"/>
        <w:rPr>
          <w:rFonts w:cs="Arial"/>
          <w:b w:val="0"/>
          <w:i/>
          <w:iCs/>
          <w:sz w:val="23"/>
          <w:szCs w:val="23"/>
        </w:rPr>
      </w:pPr>
      <w:bookmarkStart w:id="0" w:name="_Hlk26542279"/>
    </w:p>
    <w:p w14:paraId="4DE819D5" w14:textId="148A8EC1" w:rsidR="00530AF3" w:rsidRPr="00F100C3" w:rsidRDefault="00530AF3" w:rsidP="00530AF3">
      <w:pPr>
        <w:pStyle w:val="Ttulo"/>
        <w:ind w:left="-567" w:right="-660"/>
        <w:rPr>
          <w:rFonts w:cs="Arial"/>
          <w:b w:val="0"/>
          <w:i/>
          <w:iCs/>
          <w:sz w:val="23"/>
          <w:szCs w:val="23"/>
        </w:rPr>
      </w:pPr>
      <w:r w:rsidRPr="00F100C3">
        <w:rPr>
          <w:rFonts w:cs="Arial"/>
          <w:b w:val="0"/>
          <w:i/>
          <w:iCs/>
          <w:sz w:val="23"/>
          <w:szCs w:val="23"/>
        </w:rPr>
        <w:t>Por la cual se modifica el artículo 12 de la Resolución 0072587 de 2022, modificado por la Resolución 670 de 2023</w:t>
      </w:r>
    </w:p>
    <w:p w14:paraId="125EA4B6" w14:textId="77777777" w:rsidR="00530AF3" w:rsidRPr="00F100C3" w:rsidRDefault="00530AF3" w:rsidP="00530AF3">
      <w:pPr>
        <w:pStyle w:val="Ttulo"/>
        <w:ind w:left="-567" w:right="-660"/>
        <w:rPr>
          <w:rFonts w:cs="Arial"/>
          <w:b w:val="0"/>
          <w:sz w:val="23"/>
          <w:szCs w:val="23"/>
        </w:rPr>
      </w:pPr>
    </w:p>
    <w:p w14:paraId="7FCB5E9B" w14:textId="77777777" w:rsidR="00530AF3" w:rsidRPr="00F100C3" w:rsidRDefault="00530AF3" w:rsidP="00530AF3">
      <w:pPr>
        <w:pStyle w:val="Ttulo"/>
        <w:ind w:left="-567" w:right="-660"/>
        <w:rPr>
          <w:rFonts w:cs="Arial"/>
          <w:b w:val="0"/>
          <w:sz w:val="23"/>
          <w:szCs w:val="23"/>
        </w:rPr>
      </w:pPr>
    </w:p>
    <w:p w14:paraId="5C33DDAA" w14:textId="77777777" w:rsidR="00530AF3" w:rsidRPr="00F100C3" w:rsidRDefault="00530AF3" w:rsidP="00530AF3">
      <w:pPr>
        <w:pStyle w:val="Ttulo"/>
        <w:ind w:left="-567" w:right="-660"/>
        <w:rPr>
          <w:rFonts w:cs="Arial"/>
          <w:sz w:val="23"/>
          <w:szCs w:val="23"/>
        </w:rPr>
      </w:pPr>
      <w:r w:rsidRPr="00F100C3">
        <w:rPr>
          <w:rFonts w:cs="Arial"/>
          <w:b w:val="0"/>
          <w:sz w:val="23"/>
          <w:szCs w:val="23"/>
        </w:rPr>
        <w:t xml:space="preserve"> </w:t>
      </w:r>
      <w:bookmarkStart w:id="1" w:name="_Hlk18677193"/>
      <w:bookmarkEnd w:id="0"/>
      <w:r w:rsidRPr="00F100C3">
        <w:rPr>
          <w:rFonts w:cs="Arial"/>
          <w:sz w:val="23"/>
          <w:szCs w:val="23"/>
        </w:rPr>
        <w:t xml:space="preserve">EL DIRECTOR GENERAL DE LA ADMINISTRADORA DE LOS RECURSOS DEL SISTEMA GENERAL DE SEGURIDAD SOCIAL EN SALUD – ADRES </w:t>
      </w:r>
    </w:p>
    <w:p w14:paraId="4CCBA211" w14:textId="77777777" w:rsidR="00530AF3" w:rsidRPr="00F100C3" w:rsidRDefault="00530AF3" w:rsidP="00530AF3">
      <w:pPr>
        <w:spacing w:after="0" w:line="240" w:lineRule="auto"/>
        <w:ind w:left="-567" w:right="-660"/>
        <w:rPr>
          <w:rFonts w:ascii="Arial" w:hAnsi="Arial" w:cs="Arial"/>
          <w:b/>
          <w:sz w:val="23"/>
          <w:szCs w:val="23"/>
        </w:rPr>
      </w:pPr>
    </w:p>
    <w:p w14:paraId="7493B7C9" w14:textId="77777777" w:rsidR="00530AF3" w:rsidRPr="00F100C3" w:rsidRDefault="00530AF3" w:rsidP="00530AF3">
      <w:pPr>
        <w:spacing w:after="0" w:line="240" w:lineRule="auto"/>
        <w:ind w:left="-567" w:right="-660"/>
        <w:rPr>
          <w:rFonts w:ascii="Arial" w:hAnsi="Arial" w:cs="Arial"/>
          <w:b/>
          <w:sz w:val="23"/>
          <w:szCs w:val="23"/>
        </w:rPr>
      </w:pPr>
    </w:p>
    <w:p w14:paraId="3B1541D0" w14:textId="77777777" w:rsidR="00530AF3" w:rsidRPr="00F100C3" w:rsidRDefault="00530AF3" w:rsidP="00530AF3">
      <w:pPr>
        <w:spacing w:after="0" w:line="240" w:lineRule="auto"/>
        <w:ind w:left="-567" w:right="-660"/>
        <w:jc w:val="center"/>
        <w:rPr>
          <w:rFonts w:ascii="Arial" w:hAnsi="Arial" w:cs="Arial"/>
          <w:sz w:val="23"/>
          <w:szCs w:val="23"/>
        </w:rPr>
      </w:pPr>
      <w:r w:rsidRPr="00F100C3">
        <w:rPr>
          <w:rFonts w:ascii="Arial" w:hAnsi="Arial" w:cs="Arial"/>
          <w:sz w:val="23"/>
          <w:szCs w:val="23"/>
        </w:rPr>
        <w:t xml:space="preserve">En ejercicio de sus facultades, en especial, de las conferidas en el numeral 12 del artículo 9 del Decreto 1429 de 2016, en concordancia con el Decreto Legislativo 538 de 2020 y en desarrollo del artículo 4 de la Resolución 2461 de 2020 </w:t>
      </w:r>
      <w:bookmarkEnd w:id="1"/>
      <w:r w:rsidRPr="00F100C3">
        <w:rPr>
          <w:rFonts w:ascii="Arial" w:hAnsi="Arial" w:cs="Arial"/>
          <w:sz w:val="23"/>
          <w:szCs w:val="23"/>
        </w:rPr>
        <w:t xml:space="preserve">y el artículo 7 de la Resolución 1463 de 2020, modificada por la Resolución 1630 de 2020 y, </w:t>
      </w:r>
    </w:p>
    <w:p w14:paraId="398AA806" w14:textId="77777777" w:rsidR="00530AF3" w:rsidRPr="00F100C3" w:rsidRDefault="00530AF3" w:rsidP="00530AF3">
      <w:pPr>
        <w:spacing w:after="0" w:line="240" w:lineRule="auto"/>
        <w:ind w:left="-567" w:right="-660"/>
        <w:rPr>
          <w:rFonts w:ascii="Arial" w:hAnsi="Arial" w:cs="Arial"/>
          <w:sz w:val="23"/>
          <w:szCs w:val="23"/>
        </w:rPr>
      </w:pPr>
    </w:p>
    <w:p w14:paraId="7DFC7F35" w14:textId="77777777" w:rsidR="00530AF3" w:rsidRPr="00F100C3" w:rsidRDefault="00530AF3" w:rsidP="00530AF3">
      <w:pPr>
        <w:spacing w:after="0" w:line="240" w:lineRule="auto"/>
        <w:ind w:left="-567" w:right="-660"/>
        <w:rPr>
          <w:rFonts w:ascii="Arial" w:hAnsi="Arial" w:cs="Arial"/>
          <w:sz w:val="23"/>
          <w:szCs w:val="23"/>
        </w:rPr>
      </w:pPr>
    </w:p>
    <w:p w14:paraId="175CB165" w14:textId="77777777" w:rsidR="00530AF3" w:rsidRPr="00F100C3" w:rsidRDefault="00530AF3" w:rsidP="00530AF3">
      <w:pPr>
        <w:spacing w:after="0" w:line="240" w:lineRule="auto"/>
        <w:ind w:left="-567" w:right="-660"/>
        <w:jc w:val="center"/>
        <w:rPr>
          <w:rFonts w:ascii="Arial" w:hAnsi="Arial" w:cs="Arial"/>
          <w:b/>
          <w:sz w:val="23"/>
          <w:szCs w:val="23"/>
        </w:rPr>
      </w:pPr>
      <w:r w:rsidRPr="00F100C3">
        <w:rPr>
          <w:rFonts w:ascii="Arial" w:hAnsi="Arial" w:cs="Arial"/>
          <w:b/>
          <w:sz w:val="23"/>
          <w:szCs w:val="23"/>
        </w:rPr>
        <w:t>CONSIDERANDO:</w:t>
      </w:r>
    </w:p>
    <w:p w14:paraId="5A0E208B" w14:textId="77777777" w:rsidR="00530AF3" w:rsidRPr="00F100C3" w:rsidRDefault="00530AF3" w:rsidP="00530AF3">
      <w:pPr>
        <w:spacing w:after="0" w:line="240" w:lineRule="auto"/>
        <w:ind w:left="-567" w:right="-660"/>
        <w:jc w:val="both"/>
        <w:rPr>
          <w:rFonts w:ascii="Arial" w:hAnsi="Arial" w:cs="Arial"/>
          <w:sz w:val="23"/>
          <w:szCs w:val="23"/>
        </w:rPr>
      </w:pPr>
    </w:p>
    <w:p w14:paraId="08264442" w14:textId="77777777" w:rsidR="00530AF3" w:rsidRPr="00F100C3" w:rsidRDefault="00530AF3" w:rsidP="00530AF3">
      <w:pPr>
        <w:spacing w:after="0" w:line="240" w:lineRule="auto"/>
        <w:ind w:left="-567" w:right="-660"/>
        <w:jc w:val="both"/>
        <w:rPr>
          <w:rFonts w:ascii="Arial" w:hAnsi="Arial" w:cs="Arial"/>
          <w:sz w:val="23"/>
          <w:szCs w:val="23"/>
        </w:rPr>
      </w:pPr>
    </w:p>
    <w:p w14:paraId="6B035ED1"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de conformidad con el artículo 66 de la Ley 1753 de 2015 la Administradora de los Recursos del Sistema General de Seguridad Social en Salud - ADRES es una entidad adscrita al Ministerio de Salud y Protección Social, cuya finalidad es garantizar el adecuado flujo y los respectivos controles de recursos del Sistema General de Seguridad Social en Salud - SGSSS.</w:t>
      </w:r>
    </w:p>
    <w:p w14:paraId="7B596E76"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30EF8C7F"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 xml:space="preserve">Que en el artículo 20 del Decreto Legislativo 538 de 2020, adicionado por el artículo 8 del Decreto Legislativo 800 del mismo año, se adoptaron las canastas de servicios y tecnologías en salud, las cuales se financian con recursos adicionales, de manera que los prestadores de servicios de salud, las EPS y los diferentes actores del Sistema de Salud, pudieran programar, contratar y pagar las atenciones respectivas. </w:t>
      </w:r>
    </w:p>
    <w:p w14:paraId="70ED9FB4"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6714A5BD"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en la Resolución 1161 de 2020 del Ministerio de Salud y Protección Social se establecieron los servicios y tecnologías en salud que integran las canastas para la atención del Coronavirus COVID-19, estableciendo en el numeral 2 del artículo 4 las pruebas de búsqueda, tamizaje y diagnóstico de SARS CoV2 - COVID-19.</w:t>
      </w:r>
    </w:p>
    <w:p w14:paraId="1E272C7D"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5FE26F4E" w14:textId="4665400F"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 xml:space="preserve">Que el referido Ministerio expidió la Resolución 2461 por la cual determinó el reconocimiento de las pruebas de búsqueda, tamizaje y diagnóstico de SARS CoV2 - COVID-19 realizadas entre el 17 de marzo y el 25 de agosto de 2020, se fijó el monto por EPS y demás EOC por este concepto y, se dictaron otras disposiciones, como el procedimiento que debe adelantarse para </w:t>
      </w:r>
      <w:r w:rsidR="002444AB">
        <w:rPr>
          <w:rFonts w:ascii="Arial" w:hAnsi="Arial" w:cs="Arial"/>
          <w:color w:val="000000" w:themeColor="text1"/>
          <w:sz w:val="23"/>
          <w:szCs w:val="23"/>
        </w:rPr>
        <w:t>estos</w:t>
      </w:r>
      <w:r w:rsidRPr="00F100C3">
        <w:rPr>
          <w:rFonts w:ascii="Arial" w:hAnsi="Arial" w:cs="Arial"/>
          <w:color w:val="000000" w:themeColor="text1"/>
          <w:sz w:val="23"/>
          <w:szCs w:val="23"/>
        </w:rPr>
        <w:t xml:space="preserve"> efectos ante la ADRES, con cargo a los recursos del Fondo de Mitigación de Emergencias - FOME.</w:t>
      </w:r>
    </w:p>
    <w:p w14:paraId="0CD4F083"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601B77A7"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 xml:space="preserve">Que la Resolución 2461 de 2020 fue modificada mediante la Resolución 1137 de 2021, determinando, entre otras, que para el reconocimiento y pago de las pruebas de búsqueda, tamizaje y diagnóstico de SARS CoV2 - COVID-19, realizadas entre el 17 de marzo y el 25 de agosto de 2020, la ADRES debía validar la información de los afiliados reportados por la EPS y demás EOC contra la información registrada en SISMUESTRAS al corte en que se efectuara el proceso de validaciones. </w:t>
      </w:r>
    </w:p>
    <w:p w14:paraId="18CA2600"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1E2089CC" w14:textId="45DE8D09"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en desarrollo de lo anterior, la ADRES expidió la Resolución 144 de 2021 en la cual estableció los términos y condiciones para el reconocimiento y pago de las pruebas de búsqueda, tamizaje y diagnóstico de SARS CoV2, COVID-19, realizadas entre el 17 de marzo y el 25 de agosto de 2020. En el artículo 4 de la Resolución en comento, se determinó el cronograma para la presentación de la información de las solicitudes de reconocimiento y pago antes referidas por parte de las EPS o EOC.</w:t>
      </w:r>
    </w:p>
    <w:p w14:paraId="615308A3"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497F3187"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 xml:space="preserve">Que con las Resoluciones 524, 851, 1956 y 2332 de 2021 se modificaron los numerales 4.1 y 4.2 del artículo 4 de la Resolución 144 de 2021 estableciendo que para las pruebas de búsqueda, tamizaje y diagnóstico de SARS CoV2, COVID-19, realizadas entre el 17 de marzo y el 25 de agosto </w:t>
      </w:r>
      <w:r w:rsidRPr="00F100C3">
        <w:rPr>
          <w:rFonts w:ascii="Arial" w:hAnsi="Arial" w:cs="Arial"/>
          <w:color w:val="000000" w:themeColor="text1"/>
          <w:sz w:val="23"/>
          <w:szCs w:val="23"/>
        </w:rPr>
        <w:lastRenderedPageBreak/>
        <w:t>de 2020 las EPS y EOC debían presentar la información en cinco periodos: el primero, entre el 15 de febrero y el 15 de marzo de 2021; el segundo, entre el 17 de mayo y el 18 de junio de 2021; el tercero, entre el 12 de julio y el 11 de octubre de 2021; el cuarto, entre el 19 de octubre y el 03 de diciembre de 2021 y; el quinto, entre el 20 de diciembre de 2021 y el 25 de febrero de 2022.</w:t>
      </w:r>
    </w:p>
    <w:p w14:paraId="2F9BD97E" w14:textId="77777777" w:rsidR="00530AF3" w:rsidRPr="00F100C3" w:rsidRDefault="00530AF3" w:rsidP="00530AF3">
      <w:pPr>
        <w:spacing w:after="0" w:line="240" w:lineRule="auto"/>
        <w:ind w:left="-567" w:right="-660"/>
        <w:jc w:val="both"/>
        <w:rPr>
          <w:rFonts w:ascii="Arial" w:hAnsi="Arial" w:cs="Arial"/>
          <w:sz w:val="23"/>
          <w:szCs w:val="23"/>
        </w:rPr>
      </w:pPr>
    </w:p>
    <w:p w14:paraId="08F37B43" w14:textId="77777777" w:rsidR="00530AF3" w:rsidRPr="004C4CE7" w:rsidRDefault="00530AF3" w:rsidP="00530AF3">
      <w:pPr>
        <w:spacing w:after="0" w:line="240" w:lineRule="auto"/>
        <w:ind w:left="-567" w:right="-660"/>
        <w:jc w:val="both"/>
        <w:rPr>
          <w:rFonts w:ascii="Arial" w:hAnsi="Arial" w:cs="Arial"/>
          <w:i/>
          <w:iCs/>
          <w:color w:val="000000" w:themeColor="text1"/>
        </w:rPr>
      </w:pPr>
      <w:r w:rsidRPr="00F100C3">
        <w:rPr>
          <w:rFonts w:ascii="Arial" w:hAnsi="Arial" w:cs="Arial"/>
          <w:color w:val="000000" w:themeColor="text1"/>
          <w:sz w:val="23"/>
          <w:szCs w:val="23"/>
        </w:rPr>
        <w:t xml:space="preserve">Que la ADRES expidió la Resolución 72587 de 2022, </w:t>
      </w:r>
      <w:r w:rsidRPr="00F100C3">
        <w:rPr>
          <w:rFonts w:ascii="Arial" w:hAnsi="Arial" w:cs="Arial"/>
          <w:i/>
          <w:iCs/>
          <w:color w:val="000000" w:themeColor="text1"/>
          <w:sz w:val="23"/>
          <w:szCs w:val="23"/>
        </w:rPr>
        <w:t>“</w:t>
      </w:r>
      <w:r w:rsidRPr="004C4CE7">
        <w:rPr>
          <w:rFonts w:ascii="Arial" w:hAnsi="Arial" w:cs="Arial"/>
          <w:i/>
          <w:iCs/>
          <w:color w:val="000000" w:themeColor="text1"/>
        </w:rPr>
        <w:t>Por la cual se establecen los términos y condiciones del procedimiento para el reconocimiento y pago de las pruebas de búsqueda, tamizaje y diagnóstico de SARS CoV2 - COVID-19 realizadas en el marco de la emergencia sanitaria causada con ocasión del SARS CoV-2 - COVID-19”.</w:t>
      </w:r>
    </w:p>
    <w:p w14:paraId="7FCC6D90" w14:textId="77777777" w:rsidR="00530AF3" w:rsidRPr="00F100C3" w:rsidRDefault="00530AF3" w:rsidP="004C4CE7">
      <w:pPr>
        <w:spacing w:after="0"/>
        <w:rPr>
          <w:rFonts w:ascii="Arial" w:hAnsi="Arial" w:cs="Arial"/>
          <w:i/>
          <w:iCs/>
          <w:color w:val="000000" w:themeColor="text1"/>
          <w:sz w:val="23"/>
          <w:szCs w:val="23"/>
        </w:rPr>
      </w:pPr>
    </w:p>
    <w:p w14:paraId="60941E4D" w14:textId="5403A7FD"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en el artículo 12 de Resolución 72587 de 2022</w:t>
      </w:r>
      <w:r w:rsidR="007A5E78" w:rsidRPr="00F100C3">
        <w:rPr>
          <w:rFonts w:ascii="Arial" w:hAnsi="Arial" w:cs="Arial"/>
          <w:color w:val="000000" w:themeColor="text1"/>
          <w:sz w:val="23"/>
          <w:szCs w:val="23"/>
        </w:rPr>
        <w:t>, modificado por la Resolución 670 de 2023,</w:t>
      </w:r>
      <w:r w:rsidRPr="00F100C3">
        <w:rPr>
          <w:rFonts w:ascii="Arial" w:hAnsi="Arial" w:cs="Arial"/>
          <w:color w:val="000000" w:themeColor="text1"/>
          <w:sz w:val="23"/>
          <w:szCs w:val="23"/>
        </w:rPr>
        <w:t xml:space="preserve"> se estableció que</w:t>
      </w:r>
      <w:r w:rsidR="007A5E78" w:rsidRPr="00F100C3">
        <w:rPr>
          <w:rFonts w:ascii="Arial" w:hAnsi="Arial" w:cs="Arial"/>
          <w:color w:val="000000" w:themeColor="text1"/>
          <w:sz w:val="23"/>
          <w:szCs w:val="23"/>
        </w:rPr>
        <w:t>:</w:t>
      </w:r>
      <w:r w:rsidRPr="00F100C3">
        <w:rPr>
          <w:rFonts w:ascii="Arial" w:hAnsi="Arial" w:cs="Arial"/>
          <w:color w:val="000000" w:themeColor="text1"/>
          <w:sz w:val="23"/>
          <w:szCs w:val="23"/>
        </w:rPr>
        <w:t xml:space="preserve"> </w:t>
      </w:r>
      <w:r w:rsidR="007A5E78" w:rsidRPr="00F100C3">
        <w:rPr>
          <w:rFonts w:ascii="Arial" w:hAnsi="Arial" w:cs="Arial"/>
          <w:color w:val="000000" w:themeColor="text1"/>
          <w:sz w:val="23"/>
          <w:szCs w:val="23"/>
        </w:rPr>
        <w:t>1) entre el 12 de diciembre de 2022 y el 10 de febrero de 2023 y; 2) entre el 13 de marzo y el 10 de abril de 2023</w:t>
      </w:r>
      <w:r w:rsidRPr="00F100C3">
        <w:rPr>
          <w:rFonts w:ascii="Arial" w:hAnsi="Arial" w:cs="Arial"/>
          <w:color w:val="000000" w:themeColor="text1"/>
          <w:sz w:val="23"/>
          <w:szCs w:val="23"/>
        </w:rPr>
        <w:t>, las EPS o EOC podrían realizar el reporte de información de pruebas realizadas entre el 17 de marzo de 2020 y el 25 de agosto de 2020.</w:t>
      </w:r>
    </w:p>
    <w:p w14:paraId="2D5B6CE1" w14:textId="77777777" w:rsidR="00530AF3" w:rsidRPr="00F100C3" w:rsidRDefault="00530AF3" w:rsidP="00530AF3">
      <w:pPr>
        <w:spacing w:after="0" w:line="240" w:lineRule="auto"/>
        <w:ind w:left="-567" w:right="-660"/>
        <w:jc w:val="both"/>
        <w:rPr>
          <w:rFonts w:ascii="Arial" w:hAnsi="Arial" w:cs="Arial"/>
          <w:i/>
          <w:iCs/>
          <w:sz w:val="23"/>
          <w:szCs w:val="23"/>
        </w:rPr>
      </w:pPr>
    </w:p>
    <w:p w14:paraId="276CC5B6" w14:textId="76A29429"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en las asistencias técnicas que la ADRES ha realizado a las EPS o EOC</w:t>
      </w:r>
      <w:r w:rsidR="007A5E78" w:rsidRPr="00F100C3">
        <w:rPr>
          <w:rFonts w:ascii="Arial" w:hAnsi="Arial" w:cs="Arial"/>
          <w:color w:val="000000" w:themeColor="text1"/>
          <w:sz w:val="23"/>
          <w:szCs w:val="23"/>
        </w:rPr>
        <w:t xml:space="preserve"> y con los prestadores de servicios</w:t>
      </w:r>
      <w:r w:rsidRPr="00F100C3">
        <w:rPr>
          <w:rFonts w:ascii="Arial" w:hAnsi="Arial" w:cs="Arial"/>
          <w:color w:val="000000" w:themeColor="text1"/>
          <w:sz w:val="23"/>
          <w:szCs w:val="23"/>
        </w:rPr>
        <w:t xml:space="preserve">, </w:t>
      </w:r>
      <w:r w:rsidR="007A5E78" w:rsidRPr="00F100C3">
        <w:rPr>
          <w:rFonts w:ascii="Arial" w:hAnsi="Arial" w:cs="Arial"/>
          <w:color w:val="000000" w:themeColor="text1"/>
          <w:sz w:val="23"/>
          <w:szCs w:val="23"/>
        </w:rPr>
        <w:t>se</w:t>
      </w:r>
      <w:r w:rsidRPr="00F100C3">
        <w:rPr>
          <w:rFonts w:ascii="Arial" w:hAnsi="Arial" w:cs="Arial"/>
          <w:color w:val="000000" w:themeColor="text1"/>
          <w:sz w:val="23"/>
          <w:szCs w:val="23"/>
        </w:rPr>
        <w:t xml:space="preserve"> solicit</w:t>
      </w:r>
      <w:r w:rsidR="007A5E78" w:rsidRPr="00F100C3">
        <w:rPr>
          <w:rFonts w:ascii="Arial" w:hAnsi="Arial" w:cs="Arial"/>
          <w:color w:val="000000" w:themeColor="text1"/>
          <w:sz w:val="23"/>
          <w:szCs w:val="23"/>
        </w:rPr>
        <w:t>ó</w:t>
      </w:r>
      <w:r w:rsidRPr="00F100C3">
        <w:rPr>
          <w:rFonts w:ascii="Arial" w:hAnsi="Arial" w:cs="Arial"/>
          <w:color w:val="000000" w:themeColor="text1"/>
          <w:sz w:val="23"/>
          <w:szCs w:val="23"/>
        </w:rPr>
        <w:t xml:space="preserve"> disponer de un nuevo periodo para la presentación de la información con el fin de acceder el reconocimiento y pago de las pruebas de búsqueda, tamizaje y diagnóstico de SARS CoV2, COVID-19, realizadas entre el 17 de marzo y el 25 de agosto de 2020, con fundamento, entre otros, en la demora en el reporte de la información por parte de sus prestadores.</w:t>
      </w:r>
    </w:p>
    <w:p w14:paraId="12E9A605" w14:textId="77777777" w:rsidR="00530AF3" w:rsidRPr="00F100C3" w:rsidRDefault="00530AF3" w:rsidP="00530AF3">
      <w:pPr>
        <w:spacing w:after="0" w:line="240" w:lineRule="auto"/>
        <w:ind w:left="-567" w:right="-660"/>
        <w:jc w:val="both"/>
        <w:rPr>
          <w:rFonts w:ascii="Arial" w:hAnsi="Arial" w:cs="Arial"/>
          <w:sz w:val="23"/>
          <w:szCs w:val="23"/>
        </w:rPr>
      </w:pPr>
    </w:p>
    <w:p w14:paraId="2892CB8F"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Que, de acuerdo con lo expuesto, en concordancia con los principios de eficiencia y eficacia de que trata el artículo 3 de la Ley 498 de 1998 y con el fin de permitir la ejecución del mecanismo de reconocimiento teniendo en cuenta la problemática expuesta por los actores, resulta necesario modificar los términos dispuestos en el artículo 12 de la Resolución 72587 de 2022 con el fin de incluir un nuevo periodo para que las EPS o EOC realicen el reporte de información de las pruebas de búsqueda, tamizaje y diagnóstico de SARS CoV2, COVID-19, realizadas entre el 17 de marzo y el 25 de agosto de 2020 y de esta forma, en caso que corresponda, accedan al reconocimiento de las mismas.</w:t>
      </w:r>
    </w:p>
    <w:p w14:paraId="2297FA34"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 xml:space="preserve"> </w:t>
      </w:r>
    </w:p>
    <w:p w14:paraId="3B665AC8"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color w:val="000000" w:themeColor="text1"/>
          <w:sz w:val="23"/>
          <w:szCs w:val="23"/>
        </w:rPr>
        <w:t>En mérito de lo expuesto,</w:t>
      </w:r>
    </w:p>
    <w:p w14:paraId="60B585D8" w14:textId="77777777" w:rsidR="00530AF3" w:rsidRPr="00F100C3" w:rsidRDefault="00530AF3" w:rsidP="00530AF3">
      <w:pPr>
        <w:spacing w:after="0" w:line="240" w:lineRule="auto"/>
        <w:ind w:left="-567" w:right="-660"/>
        <w:jc w:val="both"/>
        <w:rPr>
          <w:rFonts w:ascii="Arial" w:hAnsi="Arial" w:cs="Arial"/>
          <w:color w:val="000000" w:themeColor="text1"/>
          <w:sz w:val="23"/>
          <w:szCs w:val="23"/>
        </w:rPr>
      </w:pPr>
    </w:p>
    <w:p w14:paraId="2EDC8B7B" w14:textId="77777777" w:rsidR="00530AF3" w:rsidRPr="00F100C3" w:rsidRDefault="00530AF3" w:rsidP="00530AF3">
      <w:pPr>
        <w:spacing w:after="0" w:line="240" w:lineRule="auto"/>
        <w:ind w:left="-567" w:right="-660"/>
        <w:jc w:val="center"/>
        <w:rPr>
          <w:rFonts w:ascii="Arial" w:hAnsi="Arial" w:cs="Arial"/>
          <w:b/>
          <w:sz w:val="23"/>
          <w:szCs w:val="23"/>
        </w:rPr>
      </w:pPr>
      <w:r w:rsidRPr="00F100C3">
        <w:rPr>
          <w:rFonts w:ascii="Arial" w:hAnsi="Arial" w:cs="Arial"/>
          <w:b/>
          <w:sz w:val="23"/>
          <w:szCs w:val="23"/>
        </w:rPr>
        <w:t>RESUELVE:</w:t>
      </w:r>
    </w:p>
    <w:p w14:paraId="5DDFC99E" w14:textId="77777777" w:rsidR="00530AF3" w:rsidRPr="00F100C3" w:rsidRDefault="00530AF3" w:rsidP="00530AF3">
      <w:pPr>
        <w:spacing w:after="0" w:line="240" w:lineRule="auto"/>
        <w:ind w:left="-567" w:right="-660"/>
        <w:rPr>
          <w:rFonts w:ascii="Arial" w:hAnsi="Arial" w:cs="Arial"/>
          <w:b/>
          <w:sz w:val="23"/>
          <w:szCs w:val="23"/>
        </w:rPr>
      </w:pPr>
    </w:p>
    <w:p w14:paraId="6D46ADBA" w14:textId="4F633DBD" w:rsidR="00530AF3" w:rsidRPr="00F100C3" w:rsidRDefault="00530AF3" w:rsidP="00530AF3">
      <w:pPr>
        <w:spacing w:after="0" w:line="240" w:lineRule="auto"/>
        <w:ind w:left="-567" w:right="-660"/>
        <w:jc w:val="both"/>
        <w:rPr>
          <w:rFonts w:ascii="Arial" w:hAnsi="Arial" w:cs="Arial"/>
          <w:color w:val="000000" w:themeColor="text1"/>
          <w:sz w:val="23"/>
          <w:szCs w:val="23"/>
        </w:rPr>
      </w:pPr>
      <w:r w:rsidRPr="00F100C3">
        <w:rPr>
          <w:rFonts w:ascii="Arial" w:hAnsi="Arial" w:cs="Arial"/>
          <w:b/>
          <w:sz w:val="23"/>
          <w:szCs w:val="23"/>
        </w:rPr>
        <w:t>Artículo 1.</w:t>
      </w:r>
      <w:r w:rsidRPr="00F100C3">
        <w:rPr>
          <w:rFonts w:ascii="Arial" w:hAnsi="Arial" w:cs="Arial"/>
          <w:sz w:val="23"/>
          <w:szCs w:val="23"/>
        </w:rPr>
        <w:t xml:space="preserve"> </w:t>
      </w:r>
      <w:r w:rsidRPr="00F100C3">
        <w:rPr>
          <w:rFonts w:ascii="Arial" w:hAnsi="Arial" w:cs="Arial"/>
          <w:color w:val="000000" w:themeColor="text1"/>
          <w:sz w:val="23"/>
          <w:szCs w:val="23"/>
        </w:rPr>
        <w:t>Modifíquese el artículo 12 de la Resolución 0072587 de 2022, el cual quedará así:</w:t>
      </w:r>
    </w:p>
    <w:p w14:paraId="4B83B806" w14:textId="77777777" w:rsidR="00530AF3" w:rsidRPr="00F100C3" w:rsidRDefault="00530AF3" w:rsidP="00530AF3">
      <w:pPr>
        <w:spacing w:after="0" w:line="240" w:lineRule="auto"/>
        <w:jc w:val="both"/>
        <w:rPr>
          <w:rFonts w:ascii="Arial" w:hAnsi="Arial" w:cs="Arial"/>
          <w:color w:val="000000" w:themeColor="text1"/>
          <w:sz w:val="23"/>
          <w:szCs w:val="23"/>
        </w:rPr>
      </w:pPr>
    </w:p>
    <w:p w14:paraId="173796F9" w14:textId="77777777" w:rsidR="00530AF3" w:rsidRPr="00F100C3" w:rsidRDefault="00530AF3" w:rsidP="00530AF3">
      <w:pPr>
        <w:spacing w:after="0" w:line="240" w:lineRule="auto"/>
        <w:ind w:left="-284" w:right="-376"/>
        <w:jc w:val="both"/>
        <w:rPr>
          <w:rFonts w:ascii="Arial" w:hAnsi="Arial" w:cs="Arial"/>
          <w:i/>
          <w:iCs/>
          <w:sz w:val="23"/>
          <w:szCs w:val="23"/>
        </w:rPr>
      </w:pPr>
      <w:r w:rsidRPr="00F100C3">
        <w:rPr>
          <w:rFonts w:ascii="Arial" w:hAnsi="Arial" w:cs="Arial"/>
          <w:b/>
          <w:i/>
          <w:iCs/>
          <w:sz w:val="23"/>
          <w:szCs w:val="23"/>
        </w:rPr>
        <w:t>“Artículo 12. Cronograma.</w:t>
      </w:r>
      <w:r w:rsidRPr="00F100C3">
        <w:rPr>
          <w:rFonts w:ascii="Arial" w:hAnsi="Arial" w:cs="Arial"/>
          <w:i/>
          <w:iCs/>
          <w:sz w:val="23"/>
          <w:szCs w:val="23"/>
        </w:rPr>
        <w:t xml:space="preserve"> El reconocimiento y pago de las pruebas de búsqueda, tamizaje y diagnóstico de SARS CoV2 - COVID-19 realizadas entre el 17 de marzo y el 25 de agosto de 2020 presentadas por las EPS o EOC ante la ADRES estará sujeto al siguiente cronograma: </w:t>
      </w:r>
    </w:p>
    <w:p w14:paraId="4AA78B4C" w14:textId="77777777" w:rsidR="00530AF3" w:rsidRPr="00F100C3" w:rsidRDefault="00530AF3" w:rsidP="00530AF3">
      <w:pPr>
        <w:spacing w:after="0" w:line="240" w:lineRule="auto"/>
        <w:ind w:left="-284" w:right="-376"/>
        <w:jc w:val="both"/>
        <w:rPr>
          <w:rFonts w:ascii="Arial" w:hAnsi="Arial" w:cs="Arial"/>
          <w:i/>
          <w:iCs/>
          <w:sz w:val="23"/>
          <w:szCs w:val="23"/>
        </w:rPr>
      </w:pPr>
    </w:p>
    <w:p w14:paraId="1897CF55" w14:textId="2F45BA6E" w:rsidR="00530AF3" w:rsidRPr="00F100C3" w:rsidRDefault="00530AF3" w:rsidP="00530AF3">
      <w:pPr>
        <w:pStyle w:val="Prrafodelista"/>
        <w:numPr>
          <w:ilvl w:val="0"/>
          <w:numId w:val="4"/>
        </w:numPr>
        <w:ind w:left="0" w:right="-376" w:hanging="283"/>
        <w:jc w:val="both"/>
        <w:rPr>
          <w:rFonts w:cs="Arial"/>
          <w:i/>
          <w:iCs/>
          <w:sz w:val="23"/>
          <w:szCs w:val="23"/>
        </w:rPr>
      </w:pPr>
      <w:r w:rsidRPr="00F100C3">
        <w:rPr>
          <w:rFonts w:cs="Arial"/>
          <w:b/>
          <w:bCs/>
          <w:i/>
          <w:iCs/>
          <w:sz w:val="23"/>
          <w:szCs w:val="23"/>
        </w:rPr>
        <w:t xml:space="preserve"> Presentación.</w:t>
      </w:r>
      <w:r w:rsidRPr="00F100C3">
        <w:rPr>
          <w:rFonts w:cs="Arial"/>
          <w:i/>
          <w:iCs/>
          <w:sz w:val="23"/>
          <w:szCs w:val="23"/>
        </w:rPr>
        <w:t xml:space="preserve"> Las EPS o EOC presentarán la información de las solicitudes de reconocimiento y pago de que trata el Título I de este acto administrativo durante los siguientes periodos: 1) entre el 12 de diciembre de 2022 y el 10 de febrero de 2023; 2) entre el 13 de marzo y el 10 de abril de 2023</w:t>
      </w:r>
      <w:r w:rsidR="007A5E78" w:rsidRPr="00F100C3">
        <w:rPr>
          <w:rFonts w:cs="Arial"/>
          <w:i/>
          <w:iCs/>
          <w:sz w:val="23"/>
          <w:szCs w:val="23"/>
        </w:rPr>
        <w:t xml:space="preserve"> y; 3) entre el 18 de septiembre y el 06 de octubre de 2023</w:t>
      </w:r>
      <w:r w:rsidRPr="00F100C3">
        <w:rPr>
          <w:rFonts w:cs="Arial"/>
          <w:i/>
          <w:iCs/>
          <w:sz w:val="23"/>
          <w:szCs w:val="23"/>
        </w:rPr>
        <w:t>.</w:t>
      </w:r>
      <w:r w:rsidR="007A5E78" w:rsidRPr="00F100C3">
        <w:rPr>
          <w:rFonts w:cs="Arial"/>
          <w:i/>
          <w:iCs/>
          <w:sz w:val="23"/>
          <w:szCs w:val="23"/>
        </w:rPr>
        <w:t xml:space="preserve"> Los reportes efectuados fuera de las fechas señaladas se entenderán como extemporáneos y no serán considerados dentro del proceso de validación que realice la ADRES.</w:t>
      </w:r>
    </w:p>
    <w:p w14:paraId="12F9B8DD" w14:textId="77777777" w:rsidR="00530AF3" w:rsidRPr="00F100C3" w:rsidRDefault="00530AF3" w:rsidP="00530AF3">
      <w:pPr>
        <w:pStyle w:val="Prrafodelista"/>
        <w:ind w:left="0" w:right="-376" w:hanging="283"/>
        <w:jc w:val="both"/>
        <w:rPr>
          <w:rFonts w:cs="Arial"/>
          <w:i/>
          <w:iCs/>
          <w:sz w:val="23"/>
          <w:szCs w:val="23"/>
        </w:rPr>
      </w:pPr>
    </w:p>
    <w:p w14:paraId="1135A69E" w14:textId="48BB53CD" w:rsidR="00530AF3" w:rsidRPr="00F100C3" w:rsidRDefault="00530AF3" w:rsidP="00530AF3">
      <w:pPr>
        <w:pStyle w:val="Prrafodelista"/>
        <w:ind w:left="0" w:right="-376"/>
        <w:jc w:val="both"/>
        <w:rPr>
          <w:rFonts w:cs="Arial"/>
          <w:i/>
          <w:iCs/>
          <w:sz w:val="23"/>
          <w:szCs w:val="23"/>
        </w:rPr>
      </w:pPr>
      <w:r w:rsidRPr="00F100C3">
        <w:rPr>
          <w:rFonts w:cs="Arial"/>
          <w:i/>
          <w:iCs/>
          <w:sz w:val="23"/>
          <w:szCs w:val="23"/>
        </w:rPr>
        <w:t>En estos periodos, las EPS o EOC presentarán la relación de la totalidad de las pruebas realizadas entre el 17 de marzo y el 25 de agosto de 2020, que no hayan sido presentadas en los cinco periodos habilitados por la ADRES en la Resolución 144 de 2021 o aquellos registros que no superaron el proceso de validación y que ya fueron subsanados por parte de las EPS</w:t>
      </w:r>
      <w:r w:rsidR="00F100C3" w:rsidRPr="00F100C3">
        <w:rPr>
          <w:rFonts w:cs="Arial"/>
          <w:i/>
          <w:iCs/>
          <w:sz w:val="23"/>
          <w:szCs w:val="23"/>
        </w:rPr>
        <w:t xml:space="preserve"> o </w:t>
      </w:r>
      <w:r w:rsidRPr="00F100C3">
        <w:rPr>
          <w:rFonts w:cs="Arial"/>
          <w:i/>
          <w:iCs/>
          <w:sz w:val="23"/>
          <w:szCs w:val="23"/>
        </w:rPr>
        <w:t>EOC. En todo caso, las EPS</w:t>
      </w:r>
      <w:r w:rsidR="00F100C3" w:rsidRPr="00F100C3">
        <w:rPr>
          <w:rFonts w:cs="Arial"/>
          <w:i/>
          <w:iCs/>
          <w:sz w:val="23"/>
          <w:szCs w:val="23"/>
        </w:rPr>
        <w:t xml:space="preserve"> o </w:t>
      </w:r>
      <w:r w:rsidRPr="00F100C3">
        <w:rPr>
          <w:rFonts w:cs="Arial"/>
          <w:i/>
          <w:iCs/>
          <w:sz w:val="23"/>
          <w:szCs w:val="23"/>
        </w:rPr>
        <w:t>EOC deberán considerar que el valor presentado ante la ADRES no exceda el monto definido en la Resolución 2461 de 2020 para cada EPS</w:t>
      </w:r>
      <w:r w:rsidR="00F100C3" w:rsidRPr="00F100C3">
        <w:rPr>
          <w:rFonts w:cs="Arial"/>
          <w:i/>
          <w:iCs/>
          <w:sz w:val="23"/>
          <w:szCs w:val="23"/>
        </w:rPr>
        <w:t xml:space="preserve"> o </w:t>
      </w:r>
      <w:r w:rsidRPr="00F100C3">
        <w:rPr>
          <w:rFonts w:cs="Arial"/>
          <w:i/>
          <w:iCs/>
          <w:sz w:val="23"/>
          <w:szCs w:val="23"/>
        </w:rPr>
        <w:t>EOC.</w:t>
      </w:r>
    </w:p>
    <w:p w14:paraId="5245B4F1" w14:textId="77777777" w:rsidR="00530AF3" w:rsidRPr="00F100C3" w:rsidRDefault="00530AF3" w:rsidP="00530AF3">
      <w:pPr>
        <w:pStyle w:val="Prrafodelista"/>
        <w:ind w:left="0" w:right="-376" w:hanging="283"/>
        <w:jc w:val="both"/>
        <w:rPr>
          <w:rFonts w:cs="Arial"/>
          <w:b/>
          <w:bCs/>
          <w:i/>
          <w:iCs/>
          <w:sz w:val="23"/>
          <w:szCs w:val="23"/>
        </w:rPr>
      </w:pPr>
    </w:p>
    <w:p w14:paraId="573B6E92" w14:textId="77777777" w:rsidR="00530AF3" w:rsidRPr="00F100C3" w:rsidRDefault="00530AF3" w:rsidP="00530AF3">
      <w:pPr>
        <w:spacing w:after="0" w:line="240" w:lineRule="auto"/>
        <w:ind w:right="-376"/>
        <w:jc w:val="both"/>
        <w:rPr>
          <w:rFonts w:ascii="Arial" w:hAnsi="Arial" w:cs="Arial"/>
          <w:i/>
          <w:iCs/>
          <w:sz w:val="23"/>
          <w:szCs w:val="23"/>
        </w:rPr>
      </w:pPr>
      <w:r w:rsidRPr="00F100C3">
        <w:rPr>
          <w:rFonts w:ascii="Arial" w:hAnsi="Arial" w:cs="Arial"/>
          <w:i/>
          <w:iCs/>
          <w:sz w:val="23"/>
          <w:szCs w:val="23"/>
        </w:rPr>
        <w:t>La ADRES podrá realizar cortes periódicos para efectuar las validaciones correspondientes, conforme con la disponibilidad de recursos con la que cuente.</w:t>
      </w:r>
    </w:p>
    <w:p w14:paraId="1E0DBBE5" w14:textId="77777777" w:rsidR="00530AF3" w:rsidRPr="00F100C3" w:rsidRDefault="00530AF3" w:rsidP="00530AF3">
      <w:pPr>
        <w:pStyle w:val="Prrafodelista"/>
        <w:ind w:left="0" w:right="-376" w:hanging="283"/>
        <w:jc w:val="both"/>
        <w:rPr>
          <w:rFonts w:cs="Arial"/>
          <w:i/>
          <w:iCs/>
          <w:sz w:val="23"/>
          <w:szCs w:val="23"/>
        </w:rPr>
      </w:pPr>
    </w:p>
    <w:p w14:paraId="0FEE0667" w14:textId="77777777" w:rsidR="00530AF3" w:rsidRPr="00F100C3" w:rsidRDefault="00530AF3" w:rsidP="00530AF3">
      <w:pPr>
        <w:pStyle w:val="Prrafodelista"/>
        <w:numPr>
          <w:ilvl w:val="0"/>
          <w:numId w:val="4"/>
        </w:numPr>
        <w:ind w:left="0" w:right="-376" w:hanging="283"/>
        <w:jc w:val="both"/>
        <w:rPr>
          <w:rFonts w:cs="Arial"/>
          <w:i/>
          <w:iCs/>
          <w:sz w:val="23"/>
          <w:szCs w:val="23"/>
        </w:rPr>
      </w:pPr>
      <w:r w:rsidRPr="00F100C3">
        <w:rPr>
          <w:rFonts w:cs="Arial"/>
          <w:b/>
          <w:bCs/>
          <w:i/>
          <w:iCs/>
          <w:sz w:val="23"/>
          <w:szCs w:val="23"/>
        </w:rPr>
        <w:lastRenderedPageBreak/>
        <w:t xml:space="preserve">Corrección. </w:t>
      </w:r>
      <w:r w:rsidRPr="00F100C3">
        <w:rPr>
          <w:rFonts w:cs="Arial"/>
          <w:i/>
          <w:iCs/>
          <w:sz w:val="23"/>
          <w:szCs w:val="23"/>
        </w:rPr>
        <w:t>Para la información que sea objeto de corrección y que no alcance a ser presentada durante los periodos definidos en el numeral 1 del presente artículo, la ADRES, mediante Circular establecerá el plazo para el reporte de información por parte de las EPS o EOC”.</w:t>
      </w:r>
    </w:p>
    <w:p w14:paraId="39785876" w14:textId="77777777" w:rsidR="00530AF3" w:rsidRPr="00F100C3" w:rsidRDefault="00530AF3" w:rsidP="00530AF3">
      <w:pPr>
        <w:spacing w:after="0" w:line="240" w:lineRule="auto"/>
        <w:jc w:val="both"/>
        <w:rPr>
          <w:rFonts w:ascii="Arial" w:hAnsi="Arial" w:cs="Arial"/>
          <w:i/>
          <w:iCs/>
          <w:sz w:val="23"/>
          <w:szCs w:val="23"/>
        </w:rPr>
      </w:pPr>
    </w:p>
    <w:p w14:paraId="58E685CD" w14:textId="77777777" w:rsidR="00530AF3" w:rsidRPr="00F100C3" w:rsidRDefault="00530AF3" w:rsidP="00530AF3">
      <w:pPr>
        <w:spacing w:after="0" w:line="240" w:lineRule="auto"/>
        <w:jc w:val="both"/>
        <w:rPr>
          <w:rFonts w:ascii="Arial" w:hAnsi="Arial" w:cs="Arial"/>
          <w:b/>
          <w:bCs/>
          <w:iCs/>
          <w:sz w:val="23"/>
          <w:szCs w:val="23"/>
        </w:rPr>
      </w:pPr>
      <w:r w:rsidRPr="00F100C3">
        <w:rPr>
          <w:rFonts w:ascii="Arial" w:hAnsi="Arial" w:cs="Arial"/>
          <w:b/>
          <w:bCs/>
          <w:sz w:val="23"/>
          <w:szCs w:val="23"/>
        </w:rPr>
        <w:t xml:space="preserve">Artículo 2. </w:t>
      </w:r>
      <w:r w:rsidRPr="00F100C3">
        <w:rPr>
          <w:rFonts w:ascii="Arial" w:hAnsi="Arial" w:cs="Arial"/>
          <w:b/>
          <w:bCs/>
          <w:iCs/>
          <w:sz w:val="23"/>
          <w:szCs w:val="23"/>
        </w:rPr>
        <w:t xml:space="preserve">Vigencia. </w:t>
      </w:r>
      <w:r w:rsidRPr="00F100C3">
        <w:rPr>
          <w:rFonts w:ascii="Arial" w:hAnsi="Arial" w:cs="Arial"/>
          <w:sz w:val="23"/>
          <w:szCs w:val="23"/>
        </w:rPr>
        <w:t>La presente Resolución rige a partir de su publicación.</w:t>
      </w:r>
    </w:p>
    <w:p w14:paraId="1EA7E8A2" w14:textId="77777777" w:rsidR="00530AF3" w:rsidRPr="00F100C3" w:rsidRDefault="00530AF3" w:rsidP="00530AF3">
      <w:pPr>
        <w:spacing w:after="0" w:line="240" w:lineRule="auto"/>
        <w:jc w:val="both"/>
        <w:rPr>
          <w:rFonts w:ascii="Arial" w:hAnsi="Arial" w:cs="Arial"/>
          <w:b/>
          <w:bCs/>
          <w:sz w:val="23"/>
          <w:szCs w:val="23"/>
        </w:rPr>
      </w:pPr>
    </w:p>
    <w:p w14:paraId="2A945C8E" w14:textId="77777777" w:rsidR="00530AF3" w:rsidRPr="00F100C3" w:rsidRDefault="00530AF3" w:rsidP="00530AF3">
      <w:pPr>
        <w:spacing w:after="0" w:line="240" w:lineRule="auto"/>
        <w:jc w:val="center"/>
        <w:rPr>
          <w:rFonts w:ascii="Arial" w:hAnsi="Arial" w:cs="Arial"/>
          <w:b/>
          <w:sz w:val="23"/>
          <w:szCs w:val="23"/>
        </w:rPr>
      </w:pPr>
      <w:r w:rsidRPr="00F100C3">
        <w:rPr>
          <w:rFonts w:ascii="Arial" w:hAnsi="Arial" w:cs="Arial"/>
          <w:b/>
          <w:sz w:val="23"/>
          <w:szCs w:val="23"/>
        </w:rPr>
        <w:t>PUBLÍQUESE Y CÚMPLASE</w:t>
      </w:r>
    </w:p>
    <w:p w14:paraId="18AF74ED" w14:textId="77777777" w:rsidR="00530AF3" w:rsidRPr="00F100C3" w:rsidRDefault="00530AF3" w:rsidP="00530AF3">
      <w:pPr>
        <w:spacing w:after="0" w:line="240" w:lineRule="auto"/>
        <w:jc w:val="center"/>
        <w:rPr>
          <w:rFonts w:ascii="Arial" w:hAnsi="Arial" w:cs="Arial"/>
          <w:b/>
          <w:sz w:val="23"/>
          <w:szCs w:val="23"/>
        </w:rPr>
      </w:pPr>
    </w:p>
    <w:p w14:paraId="1E256A90" w14:textId="4CDA0154" w:rsidR="00530AF3" w:rsidRPr="00F100C3" w:rsidRDefault="00530AF3" w:rsidP="00530AF3">
      <w:pPr>
        <w:spacing w:after="0" w:line="240" w:lineRule="auto"/>
        <w:rPr>
          <w:rFonts w:ascii="Arial" w:hAnsi="Arial" w:cs="Arial"/>
          <w:sz w:val="23"/>
          <w:szCs w:val="23"/>
        </w:rPr>
      </w:pPr>
      <w:r w:rsidRPr="00F100C3">
        <w:rPr>
          <w:rFonts w:ascii="Arial" w:hAnsi="Arial" w:cs="Arial"/>
          <w:sz w:val="23"/>
          <w:szCs w:val="23"/>
        </w:rPr>
        <w:t xml:space="preserve">Dada en Bogotá, D.C.,                      </w:t>
      </w:r>
    </w:p>
    <w:p w14:paraId="1C75CE36" w14:textId="77777777" w:rsidR="00530AF3" w:rsidRPr="00F100C3" w:rsidRDefault="00530AF3" w:rsidP="00530AF3">
      <w:pPr>
        <w:spacing w:after="0" w:line="240" w:lineRule="auto"/>
        <w:jc w:val="center"/>
        <w:rPr>
          <w:rFonts w:ascii="Arial" w:hAnsi="Arial" w:cs="Arial"/>
          <w:sz w:val="23"/>
          <w:szCs w:val="23"/>
        </w:rPr>
      </w:pPr>
    </w:p>
    <w:p w14:paraId="6E74B46C" w14:textId="77777777" w:rsidR="00530AF3" w:rsidRPr="00F100C3" w:rsidRDefault="00530AF3" w:rsidP="00530AF3">
      <w:pPr>
        <w:spacing w:after="0" w:line="240" w:lineRule="auto"/>
        <w:rPr>
          <w:rFonts w:ascii="Arial" w:hAnsi="Arial" w:cs="Arial"/>
          <w:sz w:val="23"/>
          <w:szCs w:val="23"/>
        </w:rPr>
      </w:pPr>
    </w:p>
    <w:p w14:paraId="76347881" w14:textId="77777777" w:rsidR="00530AF3" w:rsidRPr="00F100C3" w:rsidRDefault="00530AF3" w:rsidP="00530AF3">
      <w:pPr>
        <w:spacing w:after="0" w:line="240" w:lineRule="auto"/>
        <w:rPr>
          <w:rFonts w:ascii="Arial" w:hAnsi="Arial" w:cs="Arial"/>
          <w:sz w:val="23"/>
          <w:szCs w:val="23"/>
        </w:rPr>
      </w:pPr>
    </w:p>
    <w:p w14:paraId="55FFF562" w14:textId="77777777" w:rsidR="00530AF3" w:rsidRPr="00F100C3" w:rsidRDefault="00530AF3" w:rsidP="00530AF3">
      <w:pPr>
        <w:spacing w:after="0" w:line="240" w:lineRule="auto"/>
        <w:rPr>
          <w:rFonts w:ascii="Arial" w:hAnsi="Arial" w:cs="Arial"/>
          <w:sz w:val="23"/>
          <w:szCs w:val="23"/>
        </w:rPr>
      </w:pPr>
    </w:p>
    <w:p w14:paraId="577588A4" w14:textId="77777777" w:rsidR="00530AF3" w:rsidRPr="00F100C3" w:rsidRDefault="00530AF3" w:rsidP="00530AF3">
      <w:pPr>
        <w:pStyle w:val="Ttulo"/>
        <w:rPr>
          <w:rFonts w:eastAsia="Batang" w:cs="Arial"/>
          <w:bCs/>
          <w:sz w:val="23"/>
          <w:szCs w:val="23"/>
        </w:rPr>
      </w:pPr>
      <w:r w:rsidRPr="00F100C3">
        <w:rPr>
          <w:rFonts w:eastAsia="Batang" w:cs="Arial"/>
          <w:bCs/>
          <w:sz w:val="23"/>
          <w:szCs w:val="23"/>
        </w:rPr>
        <w:t>FÉLIX LEÓN MARTÍNEZ MARTÍN</w:t>
      </w:r>
    </w:p>
    <w:p w14:paraId="5307E5D3" w14:textId="77777777" w:rsidR="00530AF3" w:rsidRPr="00F100C3" w:rsidRDefault="00530AF3" w:rsidP="00530AF3">
      <w:pPr>
        <w:pStyle w:val="Ttulo"/>
        <w:rPr>
          <w:rFonts w:eastAsia="Batang" w:cs="Arial"/>
          <w:b w:val="0"/>
          <w:sz w:val="23"/>
          <w:szCs w:val="23"/>
        </w:rPr>
      </w:pPr>
      <w:r w:rsidRPr="00F100C3">
        <w:rPr>
          <w:rFonts w:eastAsia="Batang" w:cs="Arial"/>
          <w:b w:val="0"/>
          <w:sz w:val="23"/>
          <w:szCs w:val="23"/>
        </w:rPr>
        <w:t>Director General</w:t>
      </w:r>
    </w:p>
    <w:p w14:paraId="779CB2F0" w14:textId="77777777" w:rsidR="00530AF3" w:rsidRPr="00F100C3" w:rsidRDefault="00530AF3" w:rsidP="00530AF3">
      <w:pPr>
        <w:spacing w:after="0" w:line="240" w:lineRule="auto"/>
        <w:jc w:val="both"/>
        <w:rPr>
          <w:rFonts w:ascii="Arial" w:hAnsi="Arial" w:cs="Arial"/>
          <w:sz w:val="23"/>
          <w:szCs w:val="23"/>
        </w:rPr>
      </w:pPr>
    </w:p>
    <w:p w14:paraId="51899B18" w14:textId="3BB023D2" w:rsidR="00530AF3" w:rsidRPr="00F100C3" w:rsidRDefault="00530AF3" w:rsidP="00F100C3">
      <w:pPr>
        <w:pStyle w:val="Ttulo"/>
        <w:ind w:left="709" w:hanging="709"/>
        <w:jc w:val="both"/>
        <w:rPr>
          <w:rFonts w:eastAsia="Batang" w:cs="Arial"/>
          <w:b w:val="0"/>
          <w:sz w:val="14"/>
          <w:szCs w:val="14"/>
        </w:rPr>
      </w:pPr>
      <w:r w:rsidRPr="00F100C3">
        <w:rPr>
          <w:rFonts w:eastAsia="Batang" w:cs="Arial"/>
          <w:b w:val="0"/>
          <w:sz w:val="14"/>
          <w:szCs w:val="14"/>
        </w:rPr>
        <w:t>Revisó:</w:t>
      </w:r>
      <w:r w:rsidR="00791CCA">
        <w:rPr>
          <w:rFonts w:eastAsia="Batang" w:cs="Arial"/>
          <w:b w:val="0"/>
          <w:sz w:val="14"/>
          <w:szCs w:val="14"/>
        </w:rPr>
        <w:tab/>
      </w:r>
      <w:r w:rsidRPr="00F100C3">
        <w:rPr>
          <w:rFonts w:eastAsia="Batang" w:cs="Arial"/>
          <w:b w:val="0"/>
          <w:sz w:val="14"/>
          <w:szCs w:val="14"/>
        </w:rPr>
        <w:t xml:space="preserve">Claudia Pulido Buitrago. Subdirectora de Liquidaciones del Aseguramiento encargada de las funciones de la Dirección de Liquidaciones y Garantías </w:t>
      </w:r>
    </w:p>
    <w:p w14:paraId="12492ADD" w14:textId="77777777" w:rsidR="00791CCA" w:rsidRDefault="00791CCA" w:rsidP="00530AF3">
      <w:pPr>
        <w:pStyle w:val="Ttulo"/>
        <w:jc w:val="left"/>
        <w:rPr>
          <w:rFonts w:eastAsia="Batang" w:cs="Arial"/>
          <w:b w:val="0"/>
          <w:sz w:val="14"/>
          <w:szCs w:val="14"/>
        </w:rPr>
      </w:pPr>
    </w:p>
    <w:p w14:paraId="258F3972" w14:textId="6F5B07DA" w:rsidR="00530AF3" w:rsidRPr="00F100C3" w:rsidRDefault="00530AF3" w:rsidP="00530AF3">
      <w:pPr>
        <w:pStyle w:val="Ttulo"/>
        <w:jc w:val="left"/>
        <w:rPr>
          <w:rFonts w:eastAsia="Batang" w:cs="Arial"/>
          <w:b w:val="0"/>
          <w:sz w:val="14"/>
          <w:szCs w:val="14"/>
        </w:rPr>
      </w:pPr>
      <w:r w:rsidRPr="00F100C3">
        <w:rPr>
          <w:rFonts w:eastAsia="Batang" w:cs="Arial"/>
          <w:b w:val="0"/>
          <w:sz w:val="14"/>
          <w:szCs w:val="14"/>
        </w:rPr>
        <w:t xml:space="preserve">Revisó:    </w:t>
      </w:r>
      <w:r w:rsidR="00F100C3">
        <w:rPr>
          <w:rFonts w:eastAsia="Batang" w:cs="Arial"/>
          <w:b w:val="0"/>
          <w:sz w:val="14"/>
          <w:szCs w:val="14"/>
        </w:rPr>
        <w:tab/>
      </w:r>
      <w:r w:rsidRPr="00F100C3">
        <w:rPr>
          <w:rFonts w:eastAsia="Batang" w:cs="Arial"/>
          <w:b w:val="0"/>
          <w:sz w:val="14"/>
          <w:szCs w:val="14"/>
        </w:rPr>
        <w:t>C. Hernández</w:t>
      </w:r>
    </w:p>
    <w:p w14:paraId="7C3ABDAA" w14:textId="77777777" w:rsidR="00791CCA" w:rsidRDefault="00791CCA" w:rsidP="00530AF3">
      <w:pPr>
        <w:pStyle w:val="Ttulo"/>
        <w:jc w:val="left"/>
        <w:rPr>
          <w:rFonts w:eastAsia="Batang" w:cs="Arial"/>
          <w:b w:val="0"/>
          <w:sz w:val="14"/>
          <w:szCs w:val="14"/>
        </w:rPr>
      </w:pPr>
    </w:p>
    <w:p w14:paraId="26A5F28C" w14:textId="1BFE0CB8" w:rsidR="00530AF3" w:rsidRPr="00F100C3" w:rsidRDefault="00530AF3" w:rsidP="00530AF3">
      <w:pPr>
        <w:pStyle w:val="Ttulo"/>
        <w:jc w:val="left"/>
        <w:rPr>
          <w:rFonts w:eastAsia="Batang" w:cs="Arial"/>
          <w:b w:val="0"/>
          <w:sz w:val="14"/>
          <w:szCs w:val="14"/>
        </w:rPr>
      </w:pPr>
      <w:r w:rsidRPr="00F100C3">
        <w:rPr>
          <w:rFonts w:eastAsia="Batang" w:cs="Arial"/>
          <w:b w:val="0"/>
          <w:sz w:val="14"/>
          <w:szCs w:val="14"/>
        </w:rPr>
        <w:t>Proyectó:</w:t>
      </w:r>
      <w:r w:rsidR="00F100C3">
        <w:rPr>
          <w:rFonts w:eastAsia="Batang" w:cs="Arial"/>
          <w:b w:val="0"/>
          <w:sz w:val="14"/>
          <w:szCs w:val="14"/>
        </w:rPr>
        <w:tab/>
      </w:r>
      <w:r w:rsidRPr="00F100C3">
        <w:rPr>
          <w:rFonts w:eastAsia="Batang" w:cs="Arial"/>
          <w:b w:val="0"/>
          <w:sz w:val="14"/>
          <w:szCs w:val="14"/>
        </w:rPr>
        <w:t xml:space="preserve"> J. González</w:t>
      </w:r>
    </w:p>
    <w:p w14:paraId="29DFFB08" w14:textId="77777777" w:rsidR="00F100C3" w:rsidRPr="00F100C3" w:rsidRDefault="00F100C3" w:rsidP="00530AF3">
      <w:pPr>
        <w:spacing w:after="0" w:line="240" w:lineRule="auto"/>
        <w:rPr>
          <w:rFonts w:ascii="Arial" w:hAnsi="Arial" w:cs="Arial"/>
          <w:sz w:val="14"/>
          <w:szCs w:val="14"/>
        </w:rPr>
        <w:sectPr w:rsidR="00F100C3" w:rsidRPr="00F100C3" w:rsidSect="00392804">
          <w:headerReference w:type="default" r:id="rId9"/>
          <w:type w:val="continuous"/>
          <w:pgSz w:w="12240" w:h="20160" w:code="5"/>
          <w:pgMar w:top="1417" w:right="1701" w:bottom="1417" w:left="1701" w:header="708" w:footer="708" w:gutter="0"/>
          <w:cols w:space="708"/>
          <w:docGrid w:linePitch="360"/>
        </w:sectPr>
      </w:pPr>
    </w:p>
    <w:p w14:paraId="13D0B024" w14:textId="77777777" w:rsidR="00F100C3" w:rsidRPr="00F100C3" w:rsidRDefault="00F100C3" w:rsidP="00530AF3">
      <w:pPr>
        <w:spacing w:after="0" w:line="240" w:lineRule="auto"/>
        <w:rPr>
          <w:rFonts w:ascii="Arial" w:hAnsi="Arial" w:cs="Arial"/>
          <w:sz w:val="23"/>
          <w:szCs w:val="23"/>
        </w:rPr>
      </w:pPr>
    </w:p>
    <w:sectPr w:rsidR="00F100C3" w:rsidRPr="00F100C3" w:rsidSect="009C6420">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2CB5" w14:textId="77777777" w:rsidR="009316C4" w:rsidRDefault="009316C4">
      <w:pPr>
        <w:spacing w:after="0" w:line="240" w:lineRule="auto"/>
      </w:pPr>
      <w:r>
        <w:separator/>
      </w:r>
    </w:p>
  </w:endnote>
  <w:endnote w:type="continuationSeparator" w:id="0">
    <w:p w14:paraId="2BEA6D3C" w14:textId="77777777" w:rsidR="009316C4" w:rsidRDefault="0093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0C5" w14:textId="77777777" w:rsidR="009316C4" w:rsidRDefault="009316C4">
      <w:pPr>
        <w:spacing w:after="0" w:line="240" w:lineRule="auto"/>
      </w:pPr>
      <w:r>
        <w:separator/>
      </w:r>
    </w:p>
  </w:footnote>
  <w:footnote w:type="continuationSeparator" w:id="0">
    <w:p w14:paraId="42FF2DE8" w14:textId="77777777" w:rsidR="009316C4" w:rsidRDefault="0093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2575" w14:textId="77777777" w:rsidR="00F100C3" w:rsidRDefault="009316C4" w:rsidP="004E09DA">
    <w:pPr>
      <w:pStyle w:val="Encabezado"/>
      <w:jc w:val="center"/>
      <w:rPr>
        <w:rFonts w:ascii="Arial" w:hAnsi="Arial" w:cs="Arial"/>
        <w:b/>
        <w:bCs/>
        <w:sz w:val="24"/>
      </w:rPr>
    </w:pPr>
    <w:r w:rsidRPr="009068CD">
      <w:rPr>
        <w:noProof/>
        <w:lang w:eastAsia="es-CO"/>
      </w:rPr>
      <w:drawing>
        <wp:anchor distT="0" distB="0" distL="114300" distR="114300" simplePos="0" relativeHeight="251659776" behindDoc="1" locked="0" layoutInCell="1" allowOverlap="0" wp14:anchorId="04991AA8" wp14:editId="00A06492">
          <wp:simplePos x="0" y="0"/>
          <wp:positionH relativeFrom="page">
            <wp:align>right</wp:align>
          </wp:positionH>
          <wp:positionV relativeFrom="paragraph">
            <wp:posOffset>-440055</wp:posOffset>
          </wp:positionV>
          <wp:extent cx="7767955" cy="12918493"/>
          <wp:effectExtent l="0" t="0" r="0" b="0"/>
          <wp:wrapNone/>
          <wp:docPr id="3" name="Imagen 3"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7955" cy="129184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BC87B" w14:textId="77777777" w:rsidR="00F100C3" w:rsidRDefault="00F100C3" w:rsidP="004E09DA">
    <w:pPr>
      <w:pStyle w:val="Encabezado"/>
      <w:jc w:val="center"/>
      <w:rPr>
        <w:rFonts w:ascii="Arial" w:hAnsi="Arial" w:cs="Arial"/>
        <w:b/>
        <w:bCs/>
        <w:sz w:val="24"/>
      </w:rPr>
    </w:pPr>
  </w:p>
  <w:p w14:paraId="67C6DB64" w14:textId="77777777" w:rsidR="00F100C3" w:rsidRDefault="00F100C3" w:rsidP="004E09DA">
    <w:pPr>
      <w:pStyle w:val="Encabezado"/>
      <w:jc w:val="center"/>
      <w:rPr>
        <w:rFonts w:ascii="Arial" w:hAnsi="Arial" w:cs="Arial"/>
        <w:b/>
        <w:bCs/>
        <w:sz w:val="24"/>
      </w:rPr>
    </w:pPr>
  </w:p>
  <w:p w14:paraId="5D484045" w14:textId="77777777" w:rsidR="00530AF3" w:rsidRPr="00530AF3" w:rsidRDefault="00530AF3" w:rsidP="009A7E0A">
    <w:pPr>
      <w:pStyle w:val="Encabezado"/>
      <w:jc w:val="center"/>
      <w:rPr>
        <w:rFonts w:ascii="Arial" w:hAnsi="Arial" w:cs="Arial"/>
        <w:b/>
        <w:bCs/>
        <w:sz w:val="16"/>
        <w:szCs w:val="12"/>
      </w:rPr>
    </w:pPr>
  </w:p>
  <w:p w14:paraId="52DB7AD2" w14:textId="0389ECA6" w:rsidR="00F100C3" w:rsidRPr="00630BBB" w:rsidRDefault="009316C4" w:rsidP="009A7E0A">
    <w:pPr>
      <w:pStyle w:val="Encabezado"/>
      <w:jc w:val="center"/>
      <w:rPr>
        <w:rFonts w:ascii="Arial" w:hAnsi="Arial" w:cs="Arial"/>
        <w:b/>
        <w:bCs/>
        <w:szCs w:val="18"/>
      </w:rPr>
    </w:pPr>
    <w:r w:rsidRPr="00630BBB">
      <w:rPr>
        <w:rFonts w:ascii="Arial" w:hAnsi="Arial" w:cs="Arial"/>
        <w:b/>
        <w:bCs/>
        <w:szCs w:val="18"/>
      </w:rPr>
      <w:t xml:space="preserve">ADMINISTRADORA DE LOS RECURSOS DEL SISTEMA GENERAL DE SEGURIDAD SOCIAL EN SALUD – ADRES </w:t>
    </w:r>
  </w:p>
  <w:p w14:paraId="4903AEEB" w14:textId="77777777" w:rsidR="00F100C3" w:rsidRPr="00630BBB" w:rsidRDefault="00F100C3" w:rsidP="009A7E0A">
    <w:pPr>
      <w:pStyle w:val="Encabezado"/>
      <w:jc w:val="center"/>
      <w:rPr>
        <w:rFonts w:ascii="Arial" w:hAnsi="Arial" w:cs="Arial"/>
        <w:b/>
        <w:bCs/>
        <w:szCs w:val="18"/>
      </w:rPr>
    </w:pPr>
  </w:p>
  <w:p w14:paraId="2D5A450A" w14:textId="77777777" w:rsidR="00F100C3" w:rsidRPr="00630BBB" w:rsidRDefault="009316C4" w:rsidP="009A7E0A">
    <w:pPr>
      <w:pStyle w:val="Encabezado"/>
      <w:jc w:val="center"/>
      <w:rPr>
        <w:rFonts w:ascii="Arial" w:hAnsi="Arial" w:cs="Arial"/>
        <w:b/>
        <w:bCs/>
        <w:szCs w:val="18"/>
      </w:rPr>
    </w:pPr>
    <w:r w:rsidRPr="00630BBB">
      <w:rPr>
        <w:rFonts w:ascii="Arial" w:hAnsi="Arial" w:cs="Arial"/>
        <w:b/>
        <w:bCs/>
        <w:szCs w:val="18"/>
      </w:rPr>
      <w:t xml:space="preserve">RESOLUCIÓN NÚMERO </w:t>
    </w:r>
    <w:r>
      <w:rPr>
        <w:rFonts w:ascii="Arial" w:hAnsi="Arial" w:cs="Arial"/>
        <w:b/>
        <w:bCs/>
        <w:szCs w:val="18"/>
      </w:rPr>
      <w:t xml:space="preserve">                </w:t>
    </w:r>
    <w:r w:rsidRPr="00630BBB">
      <w:rPr>
        <w:rFonts w:ascii="Arial" w:hAnsi="Arial" w:cs="Arial"/>
        <w:b/>
        <w:bCs/>
        <w:szCs w:val="18"/>
      </w:rPr>
      <w:t xml:space="preserve"> DE 202</w:t>
    </w:r>
    <w:r>
      <w:rPr>
        <w:rFonts w:ascii="Arial" w:hAnsi="Arial" w:cs="Arial"/>
        <w:b/>
        <w:bCs/>
        <w:szCs w:val="18"/>
      </w:rPr>
      <w:t>3</w:t>
    </w:r>
  </w:p>
  <w:p w14:paraId="7B175809" w14:textId="77777777" w:rsidR="00F100C3" w:rsidRPr="00FB52DD" w:rsidRDefault="00F100C3" w:rsidP="009A7E0A">
    <w:pPr>
      <w:pStyle w:val="Encabezado"/>
      <w:jc w:val="center"/>
      <w:rPr>
        <w:rFonts w:ascii="Arial" w:hAnsi="Arial" w:cs="Arial"/>
        <w:b/>
        <w:bCs/>
        <w:sz w:val="24"/>
      </w:rPr>
    </w:pPr>
  </w:p>
  <w:p w14:paraId="49995571" w14:textId="77777777" w:rsidR="00F100C3" w:rsidRPr="00630BBB" w:rsidRDefault="009316C4" w:rsidP="008E6937">
    <w:pPr>
      <w:autoSpaceDE w:val="0"/>
      <w:autoSpaceDN w:val="0"/>
      <w:adjustRightInd w:val="0"/>
      <w:spacing w:after="0"/>
      <w:jc w:val="center"/>
      <w:rPr>
        <w:rFonts w:ascii="Arial" w:hAnsi="Arial" w:cs="Arial"/>
        <w:color w:val="000000"/>
      </w:rPr>
    </w:pPr>
    <w:r w:rsidRPr="00630BBB">
      <w:rPr>
        <w:rFonts w:ascii="Arial" w:hAnsi="Arial" w:cs="Arial"/>
        <w:color w:val="000000"/>
      </w:rPr>
      <w:t>(</w:t>
    </w:r>
    <w:r>
      <w:rPr>
        <w:rFonts w:ascii="Arial" w:hAnsi="Arial" w:cs="Arial"/>
        <w:color w:val="000000"/>
      </w:rPr>
      <w:t xml:space="preserve">                                       </w:t>
    </w:r>
    <w:r w:rsidRPr="00630BBB">
      <w:rPr>
        <w:rFonts w:ascii="Arial" w:hAnsi="Arial" w:cs="Arial"/>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F5B7" w14:textId="77777777" w:rsidR="00F100C3" w:rsidRDefault="009316C4" w:rsidP="004E09DA">
    <w:pPr>
      <w:pStyle w:val="Encabezado"/>
      <w:jc w:val="center"/>
      <w:rPr>
        <w:rFonts w:ascii="Arial" w:hAnsi="Arial" w:cs="Arial"/>
        <w:b/>
        <w:bCs/>
        <w:sz w:val="24"/>
      </w:rPr>
    </w:pPr>
    <w:r w:rsidRPr="009068CD">
      <w:rPr>
        <w:noProof/>
        <w:lang w:eastAsia="es-CO"/>
      </w:rPr>
      <w:drawing>
        <wp:anchor distT="0" distB="0" distL="114300" distR="114300" simplePos="0" relativeHeight="251657728" behindDoc="1" locked="0" layoutInCell="1" allowOverlap="0" wp14:anchorId="243ED7BC" wp14:editId="19E6FE99">
          <wp:simplePos x="0" y="0"/>
          <wp:positionH relativeFrom="page">
            <wp:align>right</wp:align>
          </wp:positionH>
          <wp:positionV relativeFrom="paragraph">
            <wp:posOffset>-440055</wp:posOffset>
          </wp:positionV>
          <wp:extent cx="7767955" cy="12918493"/>
          <wp:effectExtent l="0" t="0" r="0" b="0"/>
          <wp:wrapNone/>
          <wp:docPr id="1" name="Imagen 1"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7955" cy="129184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34180B" w14:textId="77777777" w:rsidR="00F100C3" w:rsidRDefault="00F100C3" w:rsidP="004E09DA">
    <w:pPr>
      <w:pStyle w:val="Encabezado"/>
      <w:jc w:val="center"/>
      <w:rPr>
        <w:rFonts w:ascii="Arial" w:hAnsi="Arial" w:cs="Arial"/>
        <w:b/>
        <w:bCs/>
        <w:sz w:val="24"/>
      </w:rPr>
    </w:pPr>
  </w:p>
  <w:p w14:paraId="2E8B1811" w14:textId="77777777" w:rsidR="00F100C3" w:rsidRDefault="00F100C3" w:rsidP="004E09DA">
    <w:pPr>
      <w:pStyle w:val="Encabezado"/>
      <w:jc w:val="center"/>
      <w:rPr>
        <w:rFonts w:ascii="Arial" w:hAnsi="Arial" w:cs="Arial"/>
        <w:b/>
        <w:bCs/>
        <w:sz w:val="24"/>
      </w:rPr>
    </w:pPr>
  </w:p>
  <w:p w14:paraId="53EE99AA" w14:textId="77777777" w:rsidR="00530AF3" w:rsidRPr="00530AF3" w:rsidRDefault="00530AF3" w:rsidP="009A7E0A">
    <w:pPr>
      <w:pStyle w:val="Encabezado"/>
      <w:jc w:val="center"/>
      <w:rPr>
        <w:rFonts w:ascii="Arial" w:hAnsi="Arial" w:cs="Arial"/>
        <w:b/>
        <w:sz w:val="12"/>
        <w:szCs w:val="12"/>
      </w:rPr>
    </w:pPr>
  </w:p>
  <w:p w14:paraId="29271540" w14:textId="37CD2419" w:rsidR="00F100C3" w:rsidRPr="00E0682A" w:rsidRDefault="009316C4" w:rsidP="009A7E0A">
    <w:pPr>
      <w:pStyle w:val="Encabezado"/>
      <w:jc w:val="center"/>
      <w:rPr>
        <w:rFonts w:ascii="Arial" w:hAnsi="Arial" w:cs="Arial"/>
        <w:u w:val="single"/>
      </w:rPr>
    </w:pPr>
    <w:r w:rsidRPr="00E0682A">
      <w:rPr>
        <w:rFonts w:ascii="Arial" w:hAnsi="Arial" w:cs="Arial"/>
        <w:b/>
      </w:rPr>
      <w:t xml:space="preserve">RESOLUCIÓN NÚMERO </w:t>
    </w:r>
    <w:r>
      <w:rPr>
        <w:rFonts w:ascii="Arial" w:hAnsi="Arial" w:cs="Arial"/>
        <w:b/>
      </w:rPr>
      <w:t xml:space="preserve">                </w:t>
    </w:r>
    <w:r w:rsidRPr="00E0682A">
      <w:rPr>
        <w:rFonts w:ascii="Arial" w:hAnsi="Arial" w:cs="Arial"/>
        <w:b/>
      </w:rPr>
      <w:t xml:space="preserve">         DE 2023        </w:t>
    </w:r>
    <w:r>
      <w:rPr>
        <w:rFonts w:ascii="Arial" w:hAnsi="Arial" w:cs="Arial"/>
        <w:b/>
      </w:rPr>
      <w:t xml:space="preserve">                </w:t>
    </w:r>
    <w:r w:rsidRPr="00E0682A">
      <w:rPr>
        <w:rFonts w:ascii="Arial" w:hAnsi="Arial" w:cs="Arial"/>
        <w:b/>
      </w:rPr>
      <w:t xml:space="preserve">HOJA No. </w:t>
    </w:r>
    <w:r w:rsidRPr="00E0682A">
      <w:rPr>
        <w:rStyle w:val="Nmerodepgina"/>
        <w:rFonts w:ascii="Arial" w:hAnsi="Arial" w:cs="Arial"/>
        <w:b/>
      </w:rPr>
      <w:fldChar w:fldCharType="begin"/>
    </w:r>
    <w:r w:rsidRPr="00E0682A">
      <w:rPr>
        <w:rStyle w:val="Nmerodepgina"/>
        <w:rFonts w:ascii="Arial" w:hAnsi="Arial" w:cs="Arial"/>
        <w:b/>
      </w:rPr>
      <w:instrText xml:space="preserve"> PAGE </w:instrText>
    </w:r>
    <w:r w:rsidRPr="00E0682A">
      <w:rPr>
        <w:rStyle w:val="Nmerodepgina"/>
        <w:rFonts w:ascii="Arial" w:hAnsi="Arial" w:cs="Arial"/>
        <w:b/>
      </w:rPr>
      <w:fldChar w:fldCharType="separate"/>
    </w:r>
    <w:r>
      <w:rPr>
        <w:rStyle w:val="Nmerodepgina"/>
        <w:rFonts w:ascii="Arial" w:hAnsi="Arial" w:cs="Arial"/>
        <w:b/>
      </w:rPr>
      <w:t>2</w:t>
    </w:r>
    <w:r w:rsidRPr="00E0682A">
      <w:rPr>
        <w:rStyle w:val="Nmerodepgina"/>
        <w:rFonts w:ascii="Arial" w:hAnsi="Arial" w:cs="Arial"/>
        <w:b/>
      </w:rPr>
      <w:fldChar w:fldCharType="end"/>
    </w:r>
    <w:r w:rsidRPr="00E0682A">
      <w:rPr>
        <w:rStyle w:val="Nmerodepgina"/>
        <w:rFonts w:ascii="Arial" w:hAnsi="Arial" w:cs="Arial"/>
        <w:b/>
      </w:rPr>
      <w:t xml:space="preserve"> de </w:t>
    </w:r>
    <w:r w:rsidRPr="00E0682A">
      <w:rPr>
        <w:rStyle w:val="Nmerodepgina"/>
        <w:rFonts w:ascii="Arial" w:hAnsi="Arial" w:cs="Arial"/>
        <w:b/>
      </w:rPr>
      <w:fldChar w:fldCharType="begin"/>
    </w:r>
    <w:r w:rsidRPr="00E0682A">
      <w:rPr>
        <w:rStyle w:val="Nmerodepgina"/>
        <w:rFonts w:ascii="Arial" w:hAnsi="Arial" w:cs="Arial"/>
        <w:b/>
      </w:rPr>
      <w:instrText xml:space="preserve"> NUMPAGES  </w:instrText>
    </w:r>
    <w:r w:rsidRPr="00E0682A">
      <w:rPr>
        <w:rStyle w:val="Nmerodepgina"/>
        <w:rFonts w:ascii="Arial" w:hAnsi="Arial" w:cs="Arial"/>
        <w:b/>
      </w:rPr>
      <w:fldChar w:fldCharType="separate"/>
    </w:r>
    <w:r>
      <w:rPr>
        <w:rStyle w:val="Nmerodepgina"/>
        <w:rFonts w:ascii="Arial" w:hAnsi="Arial" w:cs="Arial"/>
        <w:b/>
      </w:rPr>
      <w:t>3</w:t>
    </w:r>
    <w:r w:rsidRPr="00E0682A">
      <w:rPr>
        <w:rStyle w:val="Nmerodepgina"/>
        <w:rFonts w:ascii="Arial" w:hAnsi="Arial" w:cs="Arial"/>
        <w:b/>
      </w:rPr>
      <w:fldChar w:fldCharType="end"/>
    </w:r>
  </w:p>
  <w:p w14:paraId="59E4C101" w14:textId="77777777" w:rsidR="00530AF3" w:rsidRPr="00530AF3" w:rsidRDefault="00530AF3" w:rsidP="00822E65">
    <w:pPr>
      <w:spacing w:after="0"/>
      <w:jc w:val="center"/>
      <w:rPr>
        <w:rFonts w:ascii="Arial" w:hAnsi="Arial" w:cs="Arial"/>
        <w:sz w:val="8"/>
        <w:szCs w:val="8"/>
      </w:rPr>
    </w:pPr>
  </w:p>
  <w:p w14:paraId="5B670041" w14:textId="6D07A8D4" w:rsidR="00F100C3" w:rsidRDefault="009316C4" w:rsidP="00F100C3">
    <w:pPr>
      <w:spacing w:after="0"/>
      <w:jc w:val="both"/>
      <w:rPr>
        <w:rFonts w:ascii="Arial" w:hAnsi="Arial" w:cs="Arial"/>
        <w:i/>
        <w:color w:val="000000"/>
      </w:rPr>
    </w:pPr>
    <w:r w:rsidRPr="00F100C3">
      <w:rPr>
        <w:rFonts w:ascii="Arial" w:hAnsi="Arial" w:cs="Arial"/>
        <w:sz w:val="18"/>
        <w:szCs w:val="18"/>
      </w:rPr>
      <w:t xml:space="preserve">Continuación de la resolución: </w:t>
    </w:r>
    <w:r w:rsidRPr="00F100C3">
      <w:rPr>
        <w:rFonts w:ascii="Arial" w:hAnsi="Arial" w:cs="Arial"/>
        <w:i/>
        <w:sz w:val="18"/>
        <w:szCs w:val="18"/>
      </w:rPr>
      <w:t>“</w:t>
    </w:r>
    <w:r w:rsidR="00530AF3" w:rsidRPr="00F100C3">
      <w:rPr>
        <w:rFonts w:ascii="Arial" w:hAnsi="Arial" w:cs="Arial"/>
        <w:i/>
        <w:color w:val="000000"/>
        <w:sz w:val="18"/>
        <w:szCs w:val="18"/>
      </w:rPr>
      <w:t>Por la cual se modifica el artículo 12 de la Resolución 72587 de 2022, modificado por la Resolución 670 de 2023</w:t>
    </w:r>
    <w:r w:rsidR="00530AF3">
      <w:rPr>
        <w:rFonts w:ascii="Arial" w:hAnsi="Arial" w:cs="Arial"/>
        <w:i/>
        <w:color w:val="000000"/>
      </w:rPr>
      <w:t>”</w:t>
    </w:r>
  </w:p>
  <w:p w14:paraId="561E8CAD" w14:textId="77777777" w:rsidR="00530AF3" w:rsidRPr="008E6937" w:rsidRDefault="00530AF3" w:rsidP="00822E65">
    <w:pPr>
      <w:spacing w:after="0"/>
      <w:jc w:val="center"/>
      <w:rPr>
        <w:rFonts w:ascii="Arial" w:hAnsi="Arial" w:cs="Arial"/>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B1032B"/>
    <w:multiLevelType w:val="multilevel"/>
    <w:tmpl w:val="4BCC22DC"/>
    <w:lvl w:ilvl="0">
      <w:start w:val="1"/>
      <w:numFmt w:val="decimal"/>
      <w:lvlText w:val="%1"/>
      <w:lvlJc w:val="left"/>
      <w:pPr>
        <w:ind w:left="360" w:hanging="360"/>
      </w:pPr>
      <w:rPr>
        <w:rFonts w:eastAsia="Arial" w:hint="default"/>
        <w:b/>
        <w:color w:val="auto"/>
      </w:rPr>
    </w:lvl>
    <w:lvl w:ilvl="1">
      <w:start w:val="1"/>
      <w:numFmt w:val="decimal"/>
      <w:lvlText w:val="%1.%2"/>
      <w:lvlJc w:val="left"/>
      <w:pPr>
        <w:ind w:left="360" w:hanging="360"/>
      </w:pPr>
      <w:rPr>
        <w:rFonts w:eastAsia="Arial" w:hint="default"/>
        <w:b/>
        <w:color w:val="auto"/>
      </w:rPr>
    </w:lvl>
    <w:lvl w:ilvl="2">
      <w:start w:val="1"/>
      <w:numFmt w:val="decimal"/>
      <w:lvlText w:val="%1.%2.%3"/>
      <w:lvlJc w:val="left"/>
      <w:pPr>
        <w:ind w:left="720" w:hanging="720"/>
      </w:pPr>
      <w:rPr>
        <w:rFonts w:eastAsia="Arial" w:hint="default"/>
        <w:b/>
        <w:color w:val="auto"/>
      </w:rPr>
    </w:lvl>
    <w:lvl w:ilvl="3">
      <w:start w:val="1"/>
      <w:numFmt w:val="decimal"/>
      <w:lvlText w:val="%1.%2.%3.%4"/>
      <w:lvlJc w:val="left"/>
      <w:pPr>
        <w:ind w:left="720" w:hanging="720"/>
      </w:pPr>
      <w:rPr>
        <w:rFonts w:eastAsia="Arial" w:hint="default"/>
        <w:b/>
        <w:color w:val="auto"/>
      </w:rPr>
    </w:lvl>
    <w:lvl w:ilvl="4">
      <w:start w:val="1"/>
      <w:numFmt w:val="decimal"/>
      <w:lvlText w:val="%1.%2.%3.%4.%5"/>
      <w:lvlJc w:val="left"/>
      <w:pPr>
        <w:ind w:left="1080" w:hanging="1080"/>
      </w:pPr>
      <w:rPr>
        <w:rFonts w:eastAsia="Arial" w:hint="default"/>
        <w:b/>
        <w:color w:val="auto"/>
      </w:rPr>
    </w:lvl>
    <w:lvl w:ilvl="5">
      <w:start w:val="1"/>
      <w:numFmt w:val="decimal"/>
      <w:lvlText w:val="%1.%2.%3.%4.%5.%6"/>
      <w:lvlJc w:val="left"/>
      <w:pPr>
        <w:ind w:left="1080" w:hanging="1080"/>
      </w:pPr>
      <w:rPr>
        <w:rFonts w:eastAsia="Arial" w:hint="default"/>
        <w:b/>
        <w:color w:val="auto"/>
      </w:rPr>
    </w:lvl>
    <w:lvl w:ilvl="6">
      <w:start w:val="1"/>
      <w:numFmt w:val="decimal"/>
      <w:lvlText w:val="%1.%2.%3.%4.%5.%6.%7"/>
      <w:lvlJc w:val="left"/>
      <w:pPr>
        <w:ind w:left="1440" w:hanging="1440"/>
      </w:pPr>
      <w:rPr>
        <w:rFonts w:eastAsia="Arial" w:hint="default"/>
        <w:b/>
        <w:color w:val="auto"/>
      </w:rPr>
    </w:lvl>
    <w:lvl w:ilvl="7">
      <w:start w:val="1"/>
      <w:numFmt w:val="decimal"/>
      <w:lvlText w:val="%1.%2.%3.%4.%5.%6.%7.%8"/>
      <w:lvlJc w:val="left"/>
      <w:pPr>
        <w:ind w:left="1440" w:hanging="1440"/>
      </w:pPr>
      <w:rPr>
        <w:rFonts w:eastAsia="Arial" w:hint="default"/>
        <w:b/>
        <w:color w:val="auto"/>
      </w:rPr>
    </w:lvl>
    <w:lvl w:ilvl="8">
      <w:start w:val="1"/>
      <w:numFmt w:val="decimal"/>
      <w:lvlText w:val="%1.%2.%3.%4.%5.%6.%7.%8.%9"/>
      <w:lvlJc w:val="left"/>
      <w:pPr>
        <w:ind w:left="1440" w:hanging="1440"/>
      </w:pPr>
      <w:rPr>
        <w:rFonts w:eastAsia="Arial" w:hint="default"/>
        <w:b/>
        <w:color w:val="auto"/>
      </w:rPr>
    </w:lvl>
  </w:abstractNum>
  <w:abstractNum w:abstractNumId="1" w15:restartNumberingAfterBreak="1">
    <w:nsid w:val="2F2607C7"/>
    <w:multiLevelType w:val="multilevel"/>
    <w:tmpl w:val="3544F6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1">
    <w:nsid w:val="30242431"/>
    <w:multiLevelType w:val="hybridMultilevel"/>
    <w:tmpl w:val="D9CCEDA8"/>
    <w:lvl w:ilvl="0" w:tplc="DA08253A">
      <w:start w:val="1"/>
      <w:numFmt w:val="decimal"/>
      <w:lvlText w:val="%1."/>
      <w:lvlJc w:val="left"/>
      <w:pPr>
        <w:ind w:left="720" w:hanging="360"/>
      </w:pPr>
      <w:rPr>
        <w:rFonts w:ascii="Arial" w:hAnsi="Arial" w:cs="Arial"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A21679"/>
    <w:multiLevelType w:val="hybridMultilevel"/>
    <w:tmpl w:val="A726EA6C"/>
    <w:lvl w:ilvl="0" w:tplc="64AE05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3762026">
    <w:abstractNumId w:val="0"/>
  </w:num>
  <w:num w:numId="2" w16cid:durableId="718162249">
    <w:abstractNumId w:val="1"/>
  </w:num>
  <w:num w:numId="3" w16cid:durableId="1193766375">
    <w:abstractNumId w:val="2"/>
  </w:num>
  <w:num w:numId="4" w16cid:durableId="211694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F3"/>
    <w:rsid w:val="00104C6C"/>
    <w:rsid w:val="002444AB"/>
    <w:rsid w:val="004C4CE7"/>
    <w:rsid w:val="00530AF3"/>
    <w:rsid w:val="00791CCA"/>
    <w:rsid w:val="007A5E78"/>
    <w:rsid w:val="009316C4"/>
    <w:rsid w:val="00F100C3"/>
    <w:rsid w:val="00FE24D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A2A3"/>
  <w15:docId w15:val="{25B95F6F-1042-4467-AE51-645FA026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spacing w:after="0" w:line="240" w:lineRule="auto"/>
      <w:jc w:val="both"/>
    </w:pPr>
    <w:rPr>
      <w:rFonts w:ascii="Times New Roman" w:eastAsia="Times New Roman" w:hAnsi="Times New Roman" w:cs="Times New Roman"/>
      <w:kern w:val="0"/>
      <w:sz w:val="20"/>
      <w:szCs w:val="20"/>
      <w:lang w:val="es-ES_tradnl" w:eastAsia="es-ES"/>
      <w14:ligatures w14:val="none"/>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widowControl w:val="0"/>
      <w:overflowPunct w:val="0"/>
      <w:adjustRightInd w:val="0"/>
      <w:spacing w:after="0" w:line="240" w:lineRule="auto"/>
      <w:jc w:val="both"/>
    </w:pPr>
    <w:rPr>
      <w:rFonts w:ascii="Times New Roman" w:eastAsia="SimSun" w:hAnsi="Times New Roman" w:cs="Times New Roman"/>
      <w:kern w:val="28"/>
      <w:szCs w:val="20"/>
      <w:lang w:val="es-ES" w:eastAsia="es-ES"/>
      <w14:ligatures w14:val="none"/>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List Paragraph,Ha,Segundo nivel de viñetas,lp1"/>
    <w:basedOn w:val="Normal"/>
    <w:link w:val="PrrafodelistaCar"/>
    <w:qFormat/>
    <w:rsid w:val="00BD5FA4"/>
    <w:pPr>
      <w:spacing w:after="0" w:line="240" w:lineRule="auto"/>
      <w:ind w:left="720"/>
      <w:contextualSpacing/>
    </w:pPr>
    <w:rPr>
      <w:rFonts w:ascii="Arial" w:eastAsia="Times New Roman" w:hAnsi="Arial" w:cs="Times New Roman"/>
      <w:kern w:val="0"/>
      <w:sz w:val="24"/>
      <w:szCs w:val="20"/>
      <w:lang w:val="es-ES" w:eastAsia="es-ES"/>
      <w14:ligatures w14:val="none"/>
    </w:rPr>
  </w:style>
  <w:style w:type="paragraph" w:customStyle="1" w:styleId="Default">
    <w:name w:val="Default"/>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rsid w:val="00BD5FA4"/>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uiPriority w:val="99"/>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styleId="Ttulo">
    <w:name w:val="Title"/>
    <w:aliases w:val="Puesto"/>
    <w:basedOn w:val="Normal"/>
    <w:link w:val="TtuloCar"/>
    <w:uiPriority w:val="10"/>
    <w:qFormat/>
    <w:rsid w:val="00530AF3"/>
    <w:pPr>
      <w:spacing w:after="0" w:line="240" w:lineRule="auto"/>
      <w:jc w:val="center"/>
    </w:pPr>
    <w:rPr>
      <w:rFonts w:ascii="Arial" w:eastAsia="Times New Roman" w:hAnsi="Arial" w:cs="Times New Roman"/>
      <w:b/>
      <w:kern w:val="0"/>
      <w:sz w:val="24"/>
      <w:szCs w:val="20"/>
      <w:lang w:val="es-ES" w:eastAsia="es-ES"/>
    </w:rPr>
  </w:style>
  <w:style w:type="character" w:customStyle="1" w:styleId="TtuloCar">
    <w:name w:val="Título Car"/>
    <w:aliases w:val="Puesto Car"/>
    <w:basedOn w:val="Fuentedeprrafopredeter"/>
    <w:link w:val="Ttulo"/>
    <w:uiPriority w:val="10"/>
    <w:rsid w:val="00530AF3"/>
    <w:rPr>
      <w:rFonts w:ascii="Arial" w:eastAsia="Times New Roman" w:hAnsi="Arial" w:cs="Times New Roman"/>
      <w:b/>
      <w:kern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9D9611-3C8A-472F-8216-A5A033BDC04E}">
  <ds:schemaRefs>
    <ds:schemaRef ds:uri="http://schemas.openxmlformats.org/officeDocument/2006/bibliography"/>
  </ds:schemaRefs>
</ds:datastoreItem>
</file>

<file path=customXml/itemProps2.xml><?xml version="1.0" encoding="utf-8"?>
<ds:datastoreItem xmlns:ds="http://schemas.openxmlformats.org/officeDocument/2006/customXml" ds:itemID="{07E850C9-B19A-4857-B34D-A1EBF350BB37}"/>
</file>

<file path=customXml/itemProps3.xml><?xml version="1.0" encoding="utf-8"?>
<ds:datastoreItem xmlns:ds="http://schemas.openxmlformats.org/officeDocument/2006/customXml" ds:itemID="{58B004CF-B8E7-4D76-BB82-52B59E30D6A5}"/>
</file>

<file path=customXml/itemProps4.xml><?xml version="1.0" encoding="utf-8"?>
<ds:datastoreItem xmlns:ds="http://schemas.openxmlformats.org/officeDocument/2006/customXml" ds:itemID="{D4E890A5-CC18-41F3-A336-E172842CB8EE}"/>
</file>

<file path=docProps/app.xml><?xml version="1.0" encoding="utf-8"?>
<Properties xmlns="http://schemas.openxmlformats.org/officeDocument/2006/extended-properties" xmlns:vt="http://schemas.openxmlformats.org/officeDocument/2006/docPropsVTypes">
  <Template>Normal</Template>
  <TotalTime>10</TotalTime>
  <Pages>3</Pages>
  <Words>1223</Words>
  <Characters>6728</Characters>
  <Application>Microsoft Office Word</Application>
  <DocSecurity>4</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Vargas</dc:creator>
  <cp:keywords/>
  <dc:description/>
  <cp:lastModifiedBy>Claudia Pulido Buitrago</cp:lastModifiedBy>
  <cp:revision>2</cp:revision>
  <cp:lastPrinted>2023-06-20T03:32:00Z</cp:lastPrinted>
  <dcterms:created xsi:type="dcterms:W3CDTF">2023-09-07T17:06:00Z</dcterms:created>
  <dcterms:modified xsi:type="dcterms:W3CDTF">2023-09-07T17:06:00Z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