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B4F76" w14:textId="77777777" w:rsidR="00B51F39" w:rsidRDefault="00B51F39">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p>
    <w:p w14:paraId="7A9450E8" w14:textId="77777777" w:rsidR="00B51F39" w:rsidRDefault="00B51F39" w:rsidP="00404235">
      <w:pPr>
        <w:pBdr>
          <w:top w:val="single" w:sz="4" w:space="0"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Se publica para comentarios del público el siguiente:</w:t>
      </w:r>
    </w:p>
    <w:p w14:paraId="26F0DBD4"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szCs w:val="24"/>
        </w:rPr>
      </w:pPr>
    </w:p>
    <w:p w14:paraId="012E1E20"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61465763" w14:textId="69295074"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
          <w:bCs/>
          <w:sz w:val="24"/>
          <w:szCs w:val="24"/>
        </w:rPr>
        <w:t>PROYECTO D</w:t>
      </w:r>
      <w:r w:rsidR="00543C56">
        <w:rPr>
          <w:rFonts w:ascii="Arial" w:hAnsi="Arial" w:cs="Arial"/>
          <w:b/>
          <w:bCs/>
          <w:sz w:val="24"/>
          <w:szCs w:val="24"/>
        </w:rPr>
        <w:t>E CIRCULAR EXTERNA</w:t>
      </w:r>
      <w:r>
        <w:rPr>
          <w:rFonts w:ascii="Arial" w:hAnsi="Arial" w:cs="Arial"/>
          <w:b/>
          <w:bCs/>
          <w:sz w:val="24"/>
          <w:szCs w:val="24"/>
        </w:rPr>
        <w:t>:</w:t>
      </w:r>
      <w:r w:rsidRPr="006B29A5">
        <w:rPr>
          <w:rFonts w:ascii="Arial" w:hAnsi="Arial" w:cs="Arial"/>
          <w:b/>
          <w:bCs/>
          <w:sz w:val="24"/>
          <w:szCs w:val="24"/>
        </w:rPr>
        <w:t xml:space="preserve"> </w:t>
      </w:r>
      <w:r w:rsidR="006B29A5" w:rsidRPr="006B29A5">
        <w:rPr>
          <w:rFonts w:ascii="Arial" w:hAnsi="Arial" w:cs="Arial"/>
          <w:bCs/>
          <w:sz w:val="24"/>
          <w:szCs w:val="24"/>
        </w:rPr>
        <w:t xml:space="preserve">Por medio de la cual se </w:t>
      </w:r>
      <w:r w:rsidR="00543C56">
        <w:rPr>
          <w:rFonts w:ascii="Arial" w:hAnsi="Arial" w:cs="Arial"/>
          <w:bCs/>
          <w:sz w:val="24"/>
          <w:szCs w:val="24"/>
        </w:rPr>
        <w:t xml:space="preserve">imparten instrucciones </w:t>
      </w:r>
      <w:r w:rsidR="00543C56" w:rsidRPr="00543C56">
        <w:rPr>
          <w:rFonts w:ascii="Arial" w:hAnsi="Arial" w:cs="Arial"/>
          <w:bCs/>
          <w:sz w:val="24"/>
          <w:szCs w:val="24"/>
        </w:rPr>
        <w:t xml:space="preserve">relativas a </w:t>
      </w:r>
      <w:r w:rsidR="000E1779" w:rsidRPr="000E1779">
        <w:rPr>
          <w:rFonts w:ascii="Arial" w:hAnsi="Arial" w:cs="Arial"/>
          <w:bCs/>
          <w:sz w:val="24"/>
          <w:szCs w:val="24"/>
        </w:rPr>
        <w:t>la integración de factores ASG en los mecanismos de revelación de información para FIC</w:t>
      </w:r>
    </w:p>
    <w:p w14:paraId="62935FC8"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p>
    <w:p w14:paraId="4ACE79C3" w14:textId="77777777" w:rsidR="006F70A6"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6E21FC36" w14:textId="29289656" w:rsidR="00B51F39" w:rsidRPr="00E77E01"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
          <w:bCs/>
          <w:sz w:val="24"/>
          <w:szCs w:val="24"/>
        </w:rPr>
        <w:t xml:space="preserve">PROPÓSITO: </w:t>
      </w:r>
      <w:r w:rsidR="00601D58">
        <w:rPr>
          <w:rFonts w:ascii="Arial" w:hAnsi="Arial" w:cs="Arial"/>
          <w:bCs/>
          <w:sz w:val="24"/>
          <w:szCs w:val="24"/>
        </w:rPr>
        <w:t>I</w:t>
      </w:r>
      <w:r w:rsidR="006475D4" w:rsidRPr="006475D4">
        <w:rPr>
          <w:rFonts w:ascii="Arial" w:hAnsi="Arial" w:cs="Arial"/>
          <w:bCs/>
          <w:sz w:val="24"/>
          <w:szCs w:val="24"/>
        </w:rPr>
        <w:t>ncorporar en los mecanismos de revelación de información de los FIC las reglas de transparencia sobre la denominación sostenible e integración de los asuntos ASG en la política de inversión y en la gestión de riesgos, particularmente en el reglamento, el prospecto y el informe de rendición de cuentas.</w:t>
      </w:r>
    </w:p>
    <w:p w14:paraId="28D5A3AC"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26F4C14C" w14:textId="77777777" w:rsidR="00564B20" w:rsidRDefault="00564B20">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16A842D9" w14:textId="035611BD" w:rsidR="00B51F39" w:rsidRDefault="00B51F39" w:rsidP="00404235">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r>
        <w:rPr>
          <w:rFonts w:ascii="Arial" w:hAnsi="Arial" w:cs="Arial"/>
          <w:b/>
          <w:bCs/>
          <w:sz w:val="24"/>
          <w:szCs w:val="24"/>
        </w:rPr>
        <w:t xml:space="preserve">PLAZO PARA COMENTARIOS: </w:t>
      </w:r>
      <w:r w:rsidR="00543C56">
        <w:rPr>
          <w:rFonts w:ascii="Arial" w:hAnsi="Arial" w:cs="Arial"/>
          <w:bCs/>
          <w:sz w:val="24"/>
          <w:szCs w:val="24"/>
        </w:rPr>
        <w:t xml:space="preserve">Hasta las 5:00 p.m. del </w:t>
      </w:r>
      <w:r w:rsidR="00CE122D">
        <w:rPr>
          <w:rFonts w:ascii="Arial" w:hAnsi="Arial" w:cs="Arial"/>
          <w:bCs/>
          <w:sz w:val="24"/>
          <w:szCs w:val="24"/>
        </w:rPr>
        <w:t>lunes</w:t>
      </w:r>
      <w:r w:rsidR="00B35EF2">
        <w:rPr>
          <w:rFonts w:ascii="Arial" w:hAnsi="Arial" w:cs="Arial"/>
          <w:bCs/>
          <w:sz w:val="24"/>
          <w:szCs w:val="24"/>
        </w:rPr>
        <w:t xml:space="preserve"> 0</w:t>
      </w:r>
      <w:r w:rsidR="00CE122D">
        <w:rPr>
          <w:rFonts w:ascii="Arial" w:hAnsi="Arial" w:cs="Arial"/>
          <w:bCs/>
          <w:sz w:val="24"/>
          <w:szCs w:val="24"/>
        </w:rPr>
        <w:t>4</w:t>
      </w:r>
      <w:r w:rsidR="00543C56">
        <w:rPr>
          <w:rFonts w:ascii="Arial" w:hAnsi="Arial" w:cs="Arial"/>
          <w:bCs/>
          <w:sz w:val="24"/>
          <w:szCs w:val="24"/>
        </w:rPr>
        <w:t xml:space="preserve"> de marzo de 2024.</w:t>
      </w:r>
    </w:p>
    <w:p w14:paraId="50194830"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74F32C9B" w14:textId="77777777" w:rsidR="006F7746" w:rsidRDefault="006F7746" w:rsidP="006F774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00327FA"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
          <w:bCs/>
          <w:sz w:val="24"/>
          <w:szCs w:val="24"/>
        </w:rPr>
        <w:t xml:space="preserve">REMISIÓN DE COMENTARIOS: </w:t>
      </w:r>
      <w:r>
        <w:rPr>
          <w:rFonts w:ascii="Arial" w:hAnsi="Arial" w:cs="Arial"/>
          <w:bCs/>
          <w:sz w:val="24"/>
          <w:szCs w:val="24"/>
        </w:rPr>
        <w:t>Por favor diligenciar la proforma adjunta “</w:t>
      </w:r>
      <w:r w:rsidRPr="00903B73">
        <w:rPr>
          <w:rFonts w:ascii="Arial" w:hAnsi="Arial" w:cs="Arial"/>
          <w:bCs/>
          <w:sz w:val="24"/>
          <w:szCs w:val="24"/>
        </w:rPr>
        <w:t>MATRIZ PARA COMENTARIOS EXTERNOS - PUBLICACION WEB</w:t>
      </w:r>
      <w:r>
        <w:rPr>
          <w:rFonts w:ascii="Arial" w:hAnsi="Arial" w:cs="Arial"/>
          <w:bCs/>
          <w:sz w:val="24"/>
          <w:szCs w:val="24"/>
        </w:rPr>
        <w:t xml:space="preserve">”. </w:t>
      </w:r>
    </w:p>
    <w:p w14:paraId="04216A6E"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Cs/>
          <w:sz w:val="24"/>
          <w:szCs w:val="24"/>
        </w:rPr>
        <w:t xml:space="preserve"> </w:t>
      </w:r>
    </w:p>
    <w:p w14:paraId="10FCB1D1"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lang w:val="es-ES"/>
        </w:rPr>
      </w:pPr>
      <w:r>
        <w:rPr>
          <w:rFonts w:ascii="Arial" w:hAnsi="Arial" w:cs="Arial"/>
          <w:bCs/>
          <w:sz w:val="24"/>
          <w:szCs w:val="24"/>
        </w:rPr>
        <w:t xml:space="preserve">La proforma en formato Word puede ser radicada vía e-mail por medio del correo electrónico </w:t>
      </w:r>
      <w:hyperlink r:id="rId11" w:history="1">
        <w:r w:rsidRPr="00663E3A">
          <w:rPr>
            <w:rStyle w:val="Hipervnculo"/>
            <w:rFonts w:ascii="Arial" w:hAnsi="Arial" w:cs="Arial"/>
            <w:bCs/>
            <w:sz w:val="24"/>
            <w:szCs w:val="24"/>
            <w:lang w:val="es-ES"/>
          </w:rPr>
          <w:t>normativa@superfinanciera.gov.co</w:t>
        </w:r>
      </w:hyperlink>
      <w:r>
        <w:rPr>
          <w:rFonts w:ascii="Arial" w:hAnsi="Arial" w:cs="Arial"/>
          <w:bCs/>
          <w:sz w:val="24"/>
          <w:szCs w:val="24"/>
          <w:lang w:val="es-ES"/>
        </w:rPr>
        <w:t xml:space="preserve">. En el asunto </w:t>
      </w:r>
      <w:r w:rsidRPr="00BC13D7">
        <w:rPr>
          <w:rFonts w:ascii="Arial" w:hAnsi="Arial" w:cs="Arial"/>
          <w:b/>
          <w:bCs/>
          <w:sz w:val="24"/>
          <w:szCs w:val="24"/>
          <w:lang w:val="es-ES"/>
        </w:rPr>
        <w:t>únicamente</w:t>
      </w:r>
      <w:r>
        <w:rPr>
          <w:rFonts w:ascii="Arial" w:hAnsi="Arial" w:cs="Arial"/>
          <w:bCs/>
          <w:sz w:val="24"/>
          <w:szCs w:val="24"/>
          <w:lang w:val="es-ES"/>
        </w:rPr>
        <w:t xml:space="preserve"> incluir el siguiente número de radicación: </w:t>
      </w:r>
      <w:r w:rsidRPr="00E77E01">
        <w:rPr>
          <w:rFonts w:ascii="Arial" w:hAnsi="Arial" w:cs="Arial"/>
          <w:b/>
          <w:bCs/>
          <w:sz w:val="24"/>
          <w:szCs w:val="24"/>
          <w:lang w:val="es-ES"/>
        </w:rPr>
        <w:tab/>
        <w:t xml:space="preserve"> </w:t>
      </w:r>
    </w:p>
    <w:p w14:paraId="493E46B6"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r w:rsidRPr="00E77E01">
        <w:rPr>
          <w:rFonts w:ascii="Arial" w:hAnsi="Arial" w:cs="Arial"/>
          <w:b/>
          <w:bCs/>
          <w:sz w:val="24"/>
          <w:szCs w:val="24"/>
          <w:lang w:val="es-ES"/>
        </w:rPr>
        <w:tab/>
      </w:r>
      <w:r w:rsidR="0064423D" w:rsidRPr="00E77E01">
        <w:rPr>
          <w:rFonts w:ascii="Arial" w:hAnsi="Arial" w:cs="Arial"/>
          <w:b/>
          <w:bCs/>
          <w:sz w:val="24"/>
          <w:szCs w:val="24"/>
          <w:lang w:val="es-ES"/>
        </w:rPr>
        <w:t xml:space="preserve"> </w:t>
      </w:r>
    </w:p>
    <w:p w14:paraId="752B9F43" w14:textId="77777777" w:rsidR="006F70A6" w:rsidRPr="00A164B8"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36"/>
          <w:szCs w:val="24"/>
          <w:lang w:val="es-ES"/>
        </w:rPr>
      </w:pPr>
    </w:p>
    <w:p w14:paraId="2589C3CE" w14:textId="2CF03034" w:rsidR="00B51F39" w:rsidRPr="00E77E01" w:rsidRDefault="006F70A6" w:rsidP="006F70A6">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r>
        <w:rPr>
          <w:rFonts w:ascii="Arial" w:hAnsi="Arial" w:cs="Arial"/>
          <w:b/>
          <w:bCs/>
          <w:sz w:val="24"/>
          <w:szCs w:val="24"/>
          <w:lang w:val="es-ES"/>
        </w:rPr>
        <w:t>RADICADO No.</w:t>
      </w:r>
      <w:r w:rsidR="00543C56">
        <w:rPr>
          <w:rFonts w:ascii="Arial" w:hAnsi="Arial" w:cs="Arial"/>
          <w:b/>
          <w:bCs/>
          <w:sz w:val="24"/>
          <w:szCs w:val="24"/>
          <w:lang w:val="es-ES"/>
        </w:rPr>
        <w:t xml:space="preserve"> </w:t>
      </w:r>
      <w:r w:rsidR="00870B9A" w:rsidRPr="00870B9A">
        <w:rPr>
          <w:rFonts w:ascii="Arial" w:hAnsi="Arial" w:cs="Arial"/>
          <w:b/>
          <w:bCs/>
          <w:sz w:val="24"/>
          <w:szCs w:val="24"/>
          <w:lang w:val="es-ES"/>
        </w:rPr>
        <w:t>2024007343</w:t>
      </w:r>
    </w:p>
    <w:p w14:paraId="3129700E" w14:textId="77777777" w:rsidR="00B51F39" w:rsidRPr="00E77E01"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p>
    <w:p w14:paraId="1DBCA819" w14:textId="1C366304" w:rsidR="00B51F39" w:rsidRDefault="00E77E01"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r>
        <w:rPr>
          <w:rFonts w:ascii="Arial" w:hAnsi="Arial" w:cs="Arial"/>
          <w:b/>
          <w:bCs/>
          <w:sz w:val="24"/>
          <w:szCs w:val="24"/>
        </w:rPr>
        <w:t>POR ESCRITO A:</w:t>
      </w:r>
      <w:r>
        <w:rPr>
          <w:rFonts w:ascii="Arial" w:hAnsi="Arial" w:cs="Arial"/>
          <w:b/>
          <w:bCs/>
          <w:sz w:val="24"/>
          <w:szCs w:val="24"/>
        </w:rPr>
        <w:tab/>
      </w:r>
      <w:proofErr w:type="gramStart"/>
      <w:r w:rsidR="00824B7C">
        <w:rPr>
          <w:rFonts w:ascii="Arial" w:hAnsi="Arial" w:cs="Arial"/>
          <w:b/>
          <w:bCs/>
          <w:sz w:val="24"/>
          <w:szCs w:val="24"/>
        </w:rPr>
        <w:t>Subdirecto</w:t>
      </w:r>
      <w:r w:rsidR="00543C56">
        <w:rPr>
          <w:rFonts w:ascii="Arial" w:hAnsi="Arial" w:cs="Arial"/>
          <w:b/>
          <w:bCs/>
          <w:sz w:val="24"/>
          <w:szCs w:val="24"/>
        </w:rPr>
        <w:t>ra</w:t>
      </w:r>
      <w:proofErr w:type="gramEnd"/>
      <w:r w:rsidR="00824B7C">
        <w:rPr>
          <w:rFonts w:ascii="Arial" w:hAnsi="Arial" w:cs="Arial"/>
          <w:b/>
          <w:bCs/>
          <w:sz w:val="24"/>
          <w:szCs w:val="24"/>
        </w:rPr>
        <w:t xml:space="preserve"> de </w:t>
      </w:r>
      <w:r w:rsidR="00AC0FDE">
        <w:rPr>
          <w:rFonts w:ascii="Arial" w:hAnsi="Arial" w:cs="Arial"/>
          <w:b/>
          <w:bCs/>
          <w:sz w:val="24"/>
          <w:szCs w:val="24"/>
        </w:rPr>
        <w:t>Regulación</w:t>
      </w:r>
      <w:r w:rsidR="00A164B8">
        <w:rPr>
          <w:rFonts w:ascii="Arial" w:hAnsi="Arial" w:cs="Arial"/>
          <w:bCs/>
          <w:sz w:val="24"/>
          <w:szCs w:val="24"/>
        </w:rPr>
        <w:t>, con el número de radicación.</w:t>
      </w:r>
    </w:p>
    <w:p w14:paraId="698986D8" w14:textId="77777777" w:rsidR="00043B3D" w:rsidRPr="00E77E01" w:rsidRDefault="00043B3D"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p>
    <w:p w14:paraId="5C06FC69" w14:textId="77777777" w:rsidR="00B51F39" w:rsidRPr="00E77E01" w:rsidRDefault="00B51F39" w:rsidP="0037411F">
      <w:pPr>
        <w:pBdr>
          <w:top w:val="single" w:sz="4" w:space="0" w:color="auto"/>
          <w:left w:val="single" w:sz="4" w:space="4" w:color="auto"/>
          <w:bottom w:val="single" w:sz="4" w:space="1" w:color="auto"/>
          <w:right w:val="single" w:sz="4" w:space="4" w:color="auto"/>
        </w:pBdr>
        <w:tabs>
          <w:tab w:val="left" w:pos="2109"/>
        </w:tabs>
        <w:jc w:val="both"/>
        <w:outlineLvl w:val="0"/>
        <w:rPr>
          <w:rFonts w:ascii="Arial" w:hAnsi="Arial" w:cs="Arial"/>
          <w:bCs/>
          <w:sz w:val="24"/>
          <w:szCs w:val="24"/>
        </w:rPr>
      </w:pPr>
      <w:r w:rsidRPr="00E77E01">
        <w:rPr>
          <w:rFonts w:ascii="Arial" w:hAnsi="Arial" w:cs="Arial"/>
          <w:bCs/>
          <w:sz w:val="24"/>
          <w:szCs w:val="24"/>
        </w:rPr>
        <w:tab/>
      </w:r>
      <w:r w:rsidRPr="00E77E01">
        <w:rPr>
          <w:rFonts w:ascii="Arial" w:hAnsi="Arial" w:cs="Arial"/>
          <w:bCs/>
          <w:sz w:val="24"/>
          <w:szCs w:val="24"/>
        </w:rPr>
        <w:tab/>
        <w:t xml:space="preserve"> </w:t>
      </w:r>
    </w:p>
    <w:p w14:paraId="130E3039"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225CB9A6" w14:textId="77777777" w:rsidR="00564B20" w:rsidRPr="00043B3D" w:rsidRDefault="00043B3D">
      <w:pPr>
        <w:pBdr>
          <w:top w:val="single" w:sz="4" w:space="0" w:color="auto"/>
          <w:left w:val="single" w:sz="4" w:space="4" w:color="auto"/>
          <w:bottom w:val="single" w:sz="4" w:space="1" w:color="auto"/>
          <w:right w:val="single" w:sz="4" w:space="4" w:color="auto"/>
        </w:pBdr>
        <w:rPr>
          <w:rFonts w:ascii="Arial" w:hAnsi="Arial" w:cs="Arial"/>
          <w:bCs/>
          <w:sz w:val="24"/>
          <w:szCs w:val="24"/>
        </w:rPr>
      </w:pPr>
      <w:r w:rsidRPr="00043B3D">
        <w:rPr>
          <w:rFonts w:ascii="Arial" w:hAnsi="Arial" w:cs="Arial"/>
          <w:b/>
          <w:bCs/>
          <w:sz w:val="24"/>
          <w:szCs w:val="24"/>
        </w:rPr>
        <w:t xml:space="preserve">Nota: </w:t>
      </w:r>
      <w:r w:rsidRPr="00043B3D">
        <w:rPr>
          <w:rFonts w:ascii="Arial" w:hAnsi="Arial" w:cs="Arial"/>
          <w:bCs/>
          <w:sz w:val="24"/>
          <w:szCs w:val="24"/>
        </w:rPr>
        <w:t>Para la remisión de los comentarios por favor citar en el asunto del correo electrónico</w:t>
      </w:r>
      <w:r>
        <w:rPr>
          <w:rFonts w:ascii="Arial" w:hAnsi="Arial" w:cs="Arial"/>
          <w:bCs/>
          <w:sz w:val="24"/>
          <w:szCs w:val="24"/>
        </w:rPr>
        <w:t>,</w:t>
      </w:r>
      <w:r w:rsidRPr="00043B3D">
        <w:rPr>
          <w:rFonts w:ascii="Arial" w:hAnsi="Arial" w:cs="Arial"/>
          <w:bCs/>
          <w:sz w:val="24"/>
          <w:szCs w:val="24"/>
        </w:rPr>
        <w:t xml:space="preserve"> la referencia señalada, así como por escrito.</w:t>
      </w:r>
    </w:p>
    <w:p w14:paraId="5A4ADEF5"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05584C0D"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276A498B"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33942387"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5523B733"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56381277"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4029517F"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0C284F0E"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640466AF" w14:textId="12FE7E0D" w:rsidR="00E77E01" w:rsidRPr="00543C56" w:rsidRDefault="00B51F39" w:rsidP="00543C56">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 Consulte en este archivo el texto del proyecto de </w:t>
      </w:r>
      <w:r w:rsidR="00543C56">
        <w:rPr>
          <w:rFonts w:ascii="Arial" w:hAnsi="Arial" w:cs="Arial"/>
          <w:b/>
          <w:bCs/>
          <w:sz w:val="28"/>
          <w:szCs w:val="28"/>
        </w:rPr>
        <w:t>circular externa</w:t>
      </w:r>
    </w:p>
    <w:p w14:paraId="17E441A3"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05C27398" w14:textId="77777777" w:rsidR="00543C56" w:rsidRDefault="00543C56">
      <w:pPr>
        <w:jc w:val="center"/>
        <w:rPr>
          <w:rFonts w:cs="Arial"/>
          <w:b/>
          <w:bCs/>
          <w:sz w:val="22"/>
          <w:szCs w:val="22"/>
        </w:rPr>
        <w:sectPr w:rsidR="00543C56" w:rsidSect="00716483">
          <w:headerReference w:type="default" r:id="rId12"/>
          <w:footerReference w:type="default" r:id="rId13"/>
          <w:headerReference w:type="first" r:id="rId14"/>
          <w:footerReference w:type="first" r:id="rId15"/>
          <w:pgSz w:w="12242" w:h="18722" w:code="14"/>
          <w:pgMar w:top="2977" w:right="1701" w:bottom="1701" w:left="2268" w:header="709" w:footer="709" w:gutter="0"/>
          <w:paperSrc w:first="2" w:other="2"/>
          <w:cols w:space="708"/>
          <w:titlePg/>
          <w:docGrid w:linePitch="360"/>
        </w:sectPr>
      </w:pPr>
    </w:p>
    <w:p w14:paraId="37B02F42" w14:textId="77777777" w:rsidR="00427A3F" w:rsidRPr="00533115" w:rsidRDefault="00427A3F" w:rsidP="00427A3F">
      <w:pPr>
        <w:widowControl w:val="0"/>
        <w:autoSpaceDE w:val="0"/>
        <w:autoSpaceDN w:val="0"/>
        <w:adjustRightInd w:val="0"/>
        <w:ind w:left="708" w:hanging="708"/>
        <w:jc w:val="center"/>
        <w:rPr>
          <w:rFonts w:ascii="Arial" w:hAnsi="Arial" w:cs="Arial"/>
          <w:b/>
          <w:sz w:val="24"/>
          <w:szCs w:val="24"/>
        </w:rPr>
      </w:pPr>
      <w:r w:rsidRPr="00533115">
        <w:rPr>
          <w:rFonts w:ascii="Arial" w:hAnsi="Arial" w:cs="Arial"/>
          <w:b/>
          <w:sz w:val="24"/>
          <w:szCs w:val="24"/>
        </w:rPr>
        <w:t xml:space="preserve">CIRCULAR EXTERNA </w:t>
      </w:r>
      <w:r>
        <w:rPr>
          <w:rFonts w:ascii="Arial" w:hAnsi="Arial" w:cs="Arial"/>
          <w:b/>
          <w:sz w:val="24"/>
          <w:szCs w:val="24"/>
        </w:rPr>
        <w:t xml:space="preserve">  </w:t>
      </w:r>
      <w:r w:rsidRPr="00533115">
        <w:rPr>
          <w:rFonts w:ascii="Arial" w:hAnsi="Arial" w:cs="Arial"/>
          <w:b/>
          <w:sz w:val="24"/>
          <w:szCs w:val="24"/>
        </w:rPr>
        <w:t xml:space="preserve"> </w:t>
      </w:r>
      <w:r>
        <w:rPr>
          <w:rFonts w:ascii="Arial" w:hAnsi="Arial" w:cs="Arial"/>
          <w:b/>
          <w:color w:val="999999"/>
          <w:sz w:val="24"/>
          <w:szCs w:val="24"/>
        </w:rPr>
        <w:t xml:space="preserve">  </w:t>
      </w:r>
      <w:r w:rsidRPr="00533115">
        <w:rPr>
          <w:rFonts w:ascii="Arial" w:hAnsi="Arial" w:cs="Arial"/>
          <w:b/>
          <w:sz w:val="24"/>
          <w:szCs w:val="24"/>
        </w:rPr>
        <w:t xml:space="preserve">  DE </w:t>
      </w:r>
    </w:p>
    <w:p w14:paraId="7D11C13A" w14:textId="77777777" w:rsidR="00427A3F" w:rsidRPr="003C3021" w:rsidRDefault="00427A3F" w:rsidP="00427A3F">
      <w:pPr>
        <w:widowControl w:val="0"/>
        <w:autoSpaceDE w:val="0"/>
        <w:autoSpaceDN w:val="0"/>
        <w:adjustRightInd w:val="0"/>
        <w:jc w:val="center"/>
        <w:rPr>
          <w:rFonts w:ascii="Arial" w:hAnsi="Arial" w:cs="Arial"/>
          <w:b/>
          <w:sz w:val="24"/>
          <w:szCs w:val="24"/>
        </w:rPr>
      </w:pPr>
      <w:r w:rsidRPr="00533115">
        <w:rPr>
          <w:rFonts w:ascii="Arial" w:hAnsi="Arial" w:cs="Arial"/>
          <w:b/>
          <w:sz w:val="24"/>
          <w:szCs w:val="24"/>
        </w:rPr>
        <w:t>(                                        )</w:t>
      </w:r>
    </w:p>
    <w:p w14:paraId="2D2ECE80" w14:textId="77777777" w:rsidR="00427A3F" w:rsidRPr="002F2ED4" w:rsidRDefault="00427A3F" w:rsidP="00427A3F">
      <w:pPr>
        <w:widowControl w:val="0"/>
        <w:autoSpaceDE w:val="0"/>
        <w:autoSpaceDN w:val="0"/>
        <w:adjustRightInd w:val="0"/>
        <w:jc w:val="both"/>
        <w:rPr>
          <w:rFonts w:ascii="Arial" w:hAnsi="Arial" w:cs="Arial"/>
          <w:sz w:val="14"/>
          <w:szCs w:val="14"/>
        </w:rPr>
      </w:pPr>
    </w:p>
    <w:p w14:paraId="77B4C4DC" w14:textId="77777777" w:rsidR="00427A3F" w:rsidRPr="00533115" w:rsidRDefault="00427A3F" w:rsidP="00427A3F">
      <w:pPr>
        <w:widowControl w:val="0"/>
        <w:autoSpaceDE w:val="0"/>
        <w:autoSpaceDN w:val="0"/>
        <w:adjustRightInd w:val="0"/>
        <w:jc w:val="both"/>
        <w:rPr>
          <w:rFonts w:ascii="Arial" w:hAnsi="Arial" w:cs="Arial"/>
          <w:b/>
          <w:sz w:val="24"/>
          <w:szCs w:val="24"/>
        </w:rPr>
      </w:pPr>
      <w:r w:rsidRPr="00533115">
        <w:rPr>
          <w:rFonts w:ascii="Arial" w:hAnsi="Arial" w:cs="Arial"/>
          <w:b/>
          <w:sz w:val="24"/>
          <w:szCs w:val="24"/>
        </w:rPr>
        <w:t>Señores</w:t>
      </w:r>
    </w:p>
    <w:p w14:paraId="6CF12D3F" w14:textId="77777777" w:rsidR="00427A3F" w:rsidRPr="00533115" w:rsidRDefault="00427A3F" w:rsidP="00427A3F">
      <w:pPr>
        <w:widowControl w:val="0"/>
        <w:autoSpaceDE w:val="0"/>
        <w:autoSpaceDN w:val="0"/>
        <w:adjustRightInd w:val="0"/>
        <w:jc w:val="both"/>
        <w:rPr>
          <w:rFonts w:ascii="Arial" w:hAnsi="Arial" w:cs="Arial"/>
          <w:b/>
          <w:sz w:val="24"/>
          <w:szCs w:val="24"/>
        </w:rPr>
      </w:pPr>
      <w:r w:rsidRPr="00533115">
        <w:rPr>
          <w:rFonts w:ascii="Arial" w:hAnsi="Arial" w:cs="Arial"/>
          <w:sz w:val="24"/>
          <w:szCs w:val="24"/>
        </w:rPr>
        <w:t xml:space="preserve">REPRESENTANTES LEGALES </w:t>
      </w:r>
      <w:r>
        <w:rPr>
          <w:rFonts w:ascii="Arial" w:hAnsi="Arial" w:cs="Arial"/>
          <w:sz w:val="24"/>
          <w:szCs w:val="24"/>
        </w:rPr>
        <w:t xml:space="preserve">Y REVISORES FISCALES </w:t>
      </w:r>
      <w:r w:rsidRPr="00533115">
        <w:rPr>
          <w:rFonts w:ascii="Arial" w:hAnsi="Arial" w:cs="Arial"/>
          <w:sz w:val="24"/>
          <w:szCs w:val="24"/>
        </w:rPr>
        <w:t xml:space="preserve">DE LAS </w:t>
      </w:r>
      <w:r>
        <w:rPr>
          <w:rFonts w:ascii="Arial" w:hAnsi="Arial" w:cs="Arial"/>
          <w:sz w:val="24"/>
          <w:szCs w:val="24"/>
        </w:rPr>
        <w:t>SOCIEDADES ADMINISTRADORAS DE FONDOS DE INVERSIÓN COLECTIVA</w:t>
      </w:r>
    </w:p>
    <w:p w14:paraId="7B61B781" w14:textId="77777777" w:rsidR="00427A3F" w:rsidRDefault="00427A3F" w:rsidP="00427A3F">
      <w:pPr>
        <w:widowControl w:val="0"/>
        <w:autoSpaceDE w:val="0"/>
        <w:autoSpaceDN w:val="0"/>
        <w:adjustRightInd w:val="0"/>
        <w:jc w:val="both"/>
        <w:rPr>
          <w:rFonts w:ascii="Arial" w:hAnsi="Arial" w:cs="Arial"/>
          <w:b/>
          <w:sz w:val="24"/>
          <w:szCs w:val="24"/>
        </w:rPr>
      </w:pPr>
    </w:p>
    <w:p w14:paraId="6EC9C62C" w14:textId="77777777" w:rsidR="00427A3F" w:rsidRPr="00533115" w:rsidRDefault="00427A3F" w:rsidP="00427A3F">
      <w:pPr>
        <w:pStyle w:val="Piedepgina"/>
        <w:tabs>
          <w:tab w:val="right" w:pos="8789"/>
        </w:tabs>
        <w:jc w:val="both"/>
        <w:rPr>
          <w:rFonts w:ascii="Arial" w:hAnsi="Arial" w:cs="Arial"/>
          <w:b/>
          <w:bCs/>
          <w:sz w:val="24"/>
          <w:szCs w:val="24"/>
        </w:rPr>
      </w:pPr>
      <w:r w:rsidRPr="00533115">
        <w:rPr>
          <w:rFonts w:ascii="Arial" w:hAnsi="Arial" w:cs="Arial"/>
          <w:b/>
          <w:sz w:val="24"/>
          <w:szCs w:val="24"/>
        </w:rPr>
        <w:t xml:space="preserve">Referencia: </w:t>
      </w:r>
      <w:r w:rsidRPr="00533115">
        <w:rPr>
          <w:rFonts w:ascii="Arial" w:hAnsi="Arial" w:cs="Arial"/>
          <w:b/>
          <w:sz w:val="24"/>
          <w:szCs w:val="24"/>
        </w:rPr>
        <w:tab/>
      </w:r>
      <w:bookmarkStart w:id="0" w:name="_Hlk127527859"/>
      <w:r w:rsidRPr="00533115">
        <w:rPr>
          <w:rFonts w:ascii="Arial" w:hAnsi="Arial" w:cs="Arial"/>
          <w:b/>
          <w:bCs/>
          <w:sz w:val="24"/>
          <w:szCs w:val="24"/>
        </w:rPr>
        <w:t>Instrucciones</w:t>
      </w:r>
      <w:r>
        <w:rPr>
          <w:rFonts w:ascii="Arial" w:hAnsi="Arial" w:cs="Arial"/>
          <w:b/>
          <w:bCs/>
          <w:sz w:val="24"/>
          <w:szCs w:val="24"/>
        </w:rPr>
        <w:t xml:space="preserve"> para la integración de factores ASG en los</w:t>
      </w:r>
      <w:r w:rsidRPr="00533115">
        <w:rPr>
          <w:rFonts w:ascii="Arial" w:hAnsi="Arial" w:cs="Arial"/>
          <w:b/>
          <w:bCs/>
          <w:sz w:val="24"/>
          <w:szCs w:val="24"/>
        </w:rPr>
        <w:t xml:space="preserve"> </w:t>
      </w:r>
      <w:r>
        <w:rPr>
          <w:rFonts w:ascii="Arial" w:hAnsi="Arial" w:cs="Arial"/>
          <w:b/>
          <w:bCs/>
          <w:sz w:val="24"/>
          <w:szCs w:val="24"/>
        </w:rPr>
        <w:t>mecanismos de revelación de información para FIC</w:t>
      </w:r>
    </w:p>
    <w:bookmarkEnd w:id="0"/>
    <w:p w14:paraId="4DC47EFE" w14:textId="77777777" w:rsidR="00427A3F" w:rsidRPr="00533115" w:rsidRDefault="00427A3F" w:rsidP="00427A3F">
      <w:pPr>
        <w:widowControl w:val="0"/>
        <w:autoSpaceDE w:val="0"/>
        <w:autoSpaceDN w:val="0"/>
        <w:adjustRightInd w:val="0"/>
        <w:jc w:val="both"/>
        <w:rPr>
          <w:rFonts w:ascii="Arial" w:hAnsi="Arial" w:cs="Arial"/>
          <w:sz w:val="24"/>
          <w:szCs w:val="24"/>
        </w:rPr>
      </w:pPr>
    </w:p>
    <w:p w14:paraId="0648BD9A" w14:textId="77777777" w:rsidR="00427A3F" w:rsidRDefault="00427A3F" w:rsidP="00427A3F">
      <w:pPr>
        <w:widowControl w:val="0"/>
        <w:autoSpaceDE w:val="0"/>
        <w:autoSpaceDN w:val="0"/>
        <w:adjustRightInd w:val="0"/>
        <w:jc w:val="both"/>
        <w:rPr>
          <w:rFonts w:ascii="Arial" w:hAnsi="Arial" w:cs="Arial"/>
          <w:sz w:val="24"/>
          <w:szCs w:val="24"/>
        </w:rPr>
      </w:pPr>
      <w:r w:rsidRPr="00533115">
        <w:rPr>
          <w:rFonts w:ascii="Arial" w:hAnsi="Arial" w:cs="Arial"/>
          <w:sz w:val="24"/>
          <w:szCs w:val="24"/>
        </w:rPr>
        <w:t>Apreciados señores:</w:t>
      </w:r>
    </w:p>
    <w:p w14:paraId="2F9E82EE" w14:textId="77777777" w:rsidR="00427A3F" w:rsidRDefault="00427A3F" w:rsidP="00427A3F">
      <w:pPr>
        <w:widowControl w:val="0"/>
        <w:autoSpaceDE w:val="0"/>
        <w:autoSpaceDN w:val="0"/>
        <w:adjustRightInd w:val="0"/>
        <w:jc w:val="both"/>
        <w:rPr>
          <w:rFonts w:ascii="Arial" w:hAnsi="Arial" w:cs="Arial"/>
          <w:sz w:val="24"/>
          <w:szCs w:val="24"/>
        </w:rPr>
      </w:pPr>
    </w:p>
    <w:p w14:paraId="6F11B0F6" w14:textId="77777777" w:rsidR="00427A3F" w:rsidRDefault="00427A3F" w:rsidP="00427A3F">
      <w:pPr>
        <w:widowControl w:val="0"/>
        <w:autoSpaceDE w:val="0"/>
        <w:autoSpaceDN w:val="0"/>
        <w:adjustRightInd w:val="0"/>
        <w:jc w:val="both"/>
        <w:rPr>
          <w:rFonts w:ascii="Arial" w:hAnsi="Arial" w:cs="Arial"/>
          <w:sz w:val="24"/>
          <w:szCs w:val="24"/>
        </w:rPr>
      </w:pPr>
      <w:r>
        <w:rPr>
          <w:rFonts w:ascii="Arial" w:hAnsi="Arial" w:cs="Arial"/>
          <w:sz w:val="24"/>
          <w:szCs w:val="24"/>
        </w:rPr>
        <w:t xml:space="preserve">Los beneficios derivados del </w:t>
      </w:r>
      <w:r w:rsidRPr="00CD568F">
        <w:rPr>
          <w:rFonts w:ascii="Arial" w:hAnsi="Arial" w:cs="Arial"/>
          <w:sz w:val="24"/>
          <w:szCs w:val="24"/>
        </w:rPr>
        <w:t xml:space="preserve">análisis de los factores </w:t>
      </w:r>
      <w:r>
        <w:rPr>
          <w:rFonts w:ascii="Arial" w:hAnsi="Arial" w:cs="Arial"/>
          <w:sz w:val="24"/>
          <w:szCs w:val="24"/>
        </w:rPr>
        <w:t>ambientales, sociales y de gobierno corporativo, incluidos los climáticos (ASG)</w:t>
      </w:r>
      <w:r w:rsidRPr="00CD568F">
        <w:rPr>
          <w:rFonts w:ascii="Arial" w:hAnsi="Arial" w:cs="Arial"/>
          <w:sz w:val="24"/>
          <w:szCs w:val="24"/>
        </w:rPr>
        <w:t xml:space="preserve"> </w:t>
      </w:r>
      <w:r>
        <w:rPr>
          <w:rFonts w:ascii="Arial" w:hAnsi="Arial" w:cs="Arial"/>
          <w:sz w:val="24"/>
          <w:szCs w:val="24"/>
        </w:rPr>
        <w:t>en la</w:t>
      </w:r>
      <w:r w:rsidRPr="00CD568F">
        <w:rPr>
          <w:rFonts w:ascii="Arial" w:hAnsi="Arial" w:cs="Arial"/>
          <w:sz w:val="24"/>
          <w:szCs w:val="24"/>
        </w:rPr>
        <w:t xml:space="preserve"> toma de decisiones de inversión</w:t>
      </w:r>
      <w:r>
        <w:rPr>
          <w:rFonts w:ascii="Arial" w:hAnsi="Arial" w:cs="Arial"/>
          <w:sz w:val="24"/>
          <w:szCs w:val="24"/>
        </w:rPr>
        <w:t>,</w:t>
      </w:r>
      <w:r w:rsidRPr="00CD568F">
        <w:rPr>
          <w:rFonts w:ascii="Arial" w:hAnsi="Arial" w:cs="Arial"/>
          <w:sz w:val="24"/>
          <w:szCs w:val="24"/>
        </w:rPr>
        <w:t xml:space="preserve"> trascienden los mercados financieros toda vez que</w:t>
      </w:r>
      <w:r>
        <w:rPr>
          <w:rFonts w:ascii="Arial" w:hAnsi="Arial" w:cs="Arial"/>
          <w:sz w:val="24"/>
          <w:szCs w:val="24"/>
        </w:rPr>
        <w:t xml:space="preserve"> permiten </w:t>
      </w:r>
      <w:r w:rsidRPr="00CD568F">
        <w:rPr>
          <w:rFonts w:ascii="Arial" w:hAnsi="Arial" w:cs="Arial"/>
          <w:sz w:val="24"/>
          <w:szCs w:val="24"/>
        </w:rPr>
        <w:t>incrementar la resiliencia de la economía real y la estabilidad del sistema financiero.</w:t>
      </w:r>
      <w:r>
        <w:rPr>
          <w:rFonts w:ascii="Arial" w:hAnsi="Arial" w:cs="Arial"/>
          <w:sz w:val="24"/>
          <w:szCs w:val="24"/>
        </w:rPr>
        <w:t xml:space="preserve"> </w:t>
      </w:r>
      <w:r w:rsidRPr="001C5F69">
        <w:rPr>
          <w:rFonts w:ascii="Arial" w:hAnsi="Arial" w:cs="Arial"/>
          <w:sz w:val="24"/>
          <w:szCs w:val="24"/>
        </w:rPr>
        <w:t>Además, es necesario contar con reglas de transparencia que permitan a los inversionistas tomar decisiones informadas y mitigar el riesgo de engaño verde (</w:t>
      </w:r>
      <w:proofErr w:type="spellStart"/>
      <w:r w:rsidRPr="0027369A">
        <w:rPr>
          <w:rFonts w:ascii="Arial" w:hAnsi="Arial" w:cs="Arial"/>
          <w:i/>
          <w:iCs/>
          <w:sz w:val="24"/>
          <w:szCs w:val="24"/>
        </w:rPr>
        <w:t>greenwashing</w:t>
      </w:r>
      <w:proofErr w:type="spellEnd"/>
      <w:r w:rsidRPr="001C5F69">
        <w:rPr>
          <w:rFonts w:ascii="Arial" w:hAnsi="Arial" w:cs="Arial"/>
          <w:sz w:val="24"/>
          <w:szCs w:val="24"/>
        </w:rPr>
        <w:t>) o sostenible (</w:t>
      </w:r>
      <w:proofErr w:type="spellStart"/>
      <w:r w:rsidRPr="0027369A">
        <w:rPr>
          <w:rFonts w:ascii="Arial" w:hAnsi="Arial" w:cs="Arial"/>
          <w:i/>
          <w:iCs/>
          <w:sz w:val="24"/>
          <w:szCs w:val="24"/>
        </w:rPr>
        <w:t>sustainablewashing</w:t>
      </w:r>
      <w:proofErr w:type="spellEnd"/>
      <w:r w:rsidRPr="001C5F69">
        <w:rPr>
          <w:rFonts w:ascii="Arial" w:hAnsi="Arial" w:cs="Arial"/>
          <w:sz w:val="24"/>
          <w:szCs w:val="24"/>
        </w:rPr>
        <w:t>).</w:t>
      </w:r>
    </w:p>
    <w:p w14:paraId="14BEB8AB" w14:textId="77777777" w:rsidR="00427A3F" w:rsidRDefault="00427A3F" w:rsidP="00427A3F">
      <w:pPr>
        <w:widowControl w:val="0"/>
        <w:autoSpaceDE w:val="0"/>
        <w:autoSpaceDN w:val="0"/>
        <w:adjustRightInd w:val="0"/>
        <w:jc w:val="both"/>
        <w:rPr>
          <w:rFonts w:ascii="Arial" w:hAnsi="Arial" w:cs="Arial"/>
          <w:sz w:val="24"/>
          <w:szCs w:val="24"/>
        </w:rPr>
      </w:pPr>
    </w:p>
    <w:p w14:paraId="73BF2FCA" w14:textId="77777777" w:rsidR="00427A3F" w:rsidRDefault="00427A3F" w:rsidP="00427A3F">
      <w:pPr>
        <w:widowControl w:val="0"/>
        <w:autoSpaceDE w:val="0"/>
        <w:autoSpaceDN w:val="0"/>
        <w:adjustRightInd w:val="0"/>
        <w:jc w:val="both"/>
        <w:rPr>
          <w:rFonts w:ascii="Arial" w:hAnsi="Arial" w:cs="Arial"/>
          <w:sz w:val="24"/>
          <w:szCs w:val="24"/>
        </w:rPr>
      </w:pPr>
      <w:r>
        <w:rPr>
          <w:rFonts w:ascii="Arial" w:hAnsi="Arial" w:cs="Arial"/>
          <w:sz w:val="24"/>
          <w:szCs w:val="24"/>
        </w:rPr>
        <w:t>En esta línea</w:t>
      </w:r>
      <w:r w:rsidRPr="009D2F6B">
        <w:rPr>
          <w:rFonts w:ascii="Arial" w:hAnsi="Arial" w:cs="Arial"/>
          <w:sz w:val="24"/>
          <w:szCs w:val="24"/>
        </w:rPr>
        <w:t xml:space="preserve">, dentro de </w:t>
      </w:r>
      <w:r w:rsidRPr="002A1427">
        <w:rPr>
          <w:rFonts w:ascii="Arial" w:hAnsi="Arial" w:cs="Arial"/>
          <w:sz w:val="24"/>
          <w:szCs w:val="24"/>
        </w:rPr>
        <w:t xml:space="preserve">las iniciativas definidas </w:t>
      </w:r>
      <w:r w:rsidRPr="009D2F6B">
        <w:rPr>
          <w:rFonts w:ascii="Arial" w:hAnsi="Arial" w:cs="Arial"/>
          <w:sz w:val="24"/>
          <w:szCs w:val="24"/>
          <w:lang w:val="es-AR"/>
        </w:rPr>
        <w:t>por la Entidad a través de la hoja de ruta «</w:t>
      </w:r>
      <w:r w:rsidRPr="009D2F6B">
        <w:rPr>
          <w:rFonts w:ascii="Arial" w:hAnsi="Arial" w:cs="Arial"/>
          <w:i/>
          <w:iCs/>
          <w:sz w:val="24"/>
          <w:szCs w:val="24"/>
          <w:lang w:val="es-AR"/>
        </w:rPr>
        <w:t xml:space="preserve">Hacia el </w:t>
      </w:r>
      <w:proofErr w:type="spellStart"/>
      <w:r w:rsidRPr="009D2F6B">
        <w:rPr>
          <w:rFonts w:ascii="Arial" w:hAnsi="Arial" w:cs="Arial"/>
          <w:i/>
          <w:iCs/>
          <w:sz w:val="24"/>
          <w:szCs w:val="24"/>
          <w:lang w:val="es-AR"/>
        </w:rPr>
        <w:t>enverdecimiento</w:t>
      </w:r>
      <w:proofErr w:type="spellEnd"/>
      <w:r w:rsidRPr="009D2F6B">
        <w:rPr>
          <w:rFonts w:ascii="Arial" w:hAnsi="Arial" w:cs="Arial"/>
          <w:i/>
          <w:iCs/>
          <w:sz w:val="24"/>
          <w:szCs w:val="24"/>
          <w:lang w:val="es-AR"/>
        </w:rPr>
        <w:t xml:space="preserve"> del sistema financiero colombiano: Estrategia de Finanzas Verdes y Cambio Climático de la SFC</w:t>
      </w:r>
      <w:r w:rsidRPr="009D2F6B">
        <w:rPr>
          <w:rFonts w:ascii="Arial" w:hAnsi="Arial" w:cs="Arial"/>
          <w:sz w:val="24"/>
          <w:szCs w:val="24"/>
          <w:lang w:val="es-AR"/>
        </w:rPr>
        <w:t>» se estableció que:</w:t>
      </w:r>
      <w:r w:rsidRPr="009D2F6B">
        <w:rPr>
          <w:rFonts w:ascii="Arial" w:hAnsi="Arial" w:cs="Arial"/>
          <w:sz w:val="24"/>
          <w:szCs w:val="24"/>
        </w:rPr>
        <w:t xml:space="preserve"> </w:t>
      </w:r>
    </w:p>
    <w:p w14:paraId="08995704" w14:textId="77777777" w:rsidR="00427A3F" w:rsidRDefault="00427A3F" w:rsidP="00427A3F">
      <w:pPr>
        <w:widowControl w:val="0"/>
        <w:autoSpaceDE w:val="0"/>
        <w:autoSpaceDN w:val="0"/>
        <w:adjustRightInd w:val="0"/>
        <w:jc w:val="both"/>
        <w:rPr>
          <w:rFonts w:ascii="Arial" w:hAnsi="Arial" w:cs="Arial"/>
          <w:sz w:val="24"/>
          <w:szCs w:val="24"/>
        </w:rPr>
      </w:pPr>
    </w:p>
    <w:p w14:paraId="7DABE707" w14:textId="77777777" w:rsidR="00427A3F" w:rsidRPr="00721872" w:rsidRDefault="00427A3F" w:rsidP="00427A3F">
      <w:pPr>
        <w:widowControl w:val="0"/>
        <w:autoSpaceDE w:val="0"/>
        <w:autoSpaceDN w:val="0"/>
        <w:adjustRightInd w:val="0"/>
        <w:ind w:left="708" w:right="900"/>
        <w:jc w:val="both"/>
        <w:rPr>
          <w:rFonts w:ascii="Arial" w:hAnsi="Arial" w:cs="Arial"/>
          <w:sz w:val="22"/>
          <w:szCs w:val="22"/>
        </w:rPr>
      </w:pPr>
      <w:r w:rsidRPr="00427A3F">
        <w:rPr>
          <w:rFonts w:ascii="Arial" w:eastAsia="Calibri" w:hAnsi="Arial" w:cs="Arial"/>
          <w:color w:val="000000"/>
          <w:sz w:val="22"/>
          <w:szCs w:val="22"/>
          <w:lang w:val="es-CO" w:eastAsia="en-US"/>
        </w:rPr>
        <w:t xml:space="preserve">«(…) </w:t>
      </w:r>
      <w:r w:rsidRPr="00427A3F">
        <w:rPr>
          <w:rFonts w:ascii="Arial" w:eastAsia="Calibri" w:hAnsi="Arial" w:cs="Arial"/>
          <w:i/>
          <w:iCs/>
          <w:color w:val="000000"/>
          <w:sz w:val="22"/>
          <w:szCs w:val="22"/>
          <w:lang w:val="es-CO" w:eastAsia="en-US"/>
        </w:rPr>
        <w:t>se espera reglamentar los FICS temáticos, para que justifiquen su denominación y, en los casos específicos en los que la denominación sea “verde”, que se referencie la alineación con la Taxonomía Verde de Colombia. La reglamentación también propenderá por la revelación de las estrategias de inversión que emplearán las administradoras en la gestión de inversiones, y por la divulgación periódica de los impactos de estas estrategias en la composición del portafolio</w:t>
      </w:r>
      <w:r w:rsidRPr="00427A3F">
        <w:rPr>
          <w:rFonts w:ascii="Arial" w:eastAsia="Calibri" w:hAnsi="Arial" w:cs="Arial"/>
          <w:color w:val="000000"/>
          <w:sz w:val="22"/>
          <w:szCs w:val="22"/>
          <w:lang w:val="es-CO" w:eastAsia="en-US"/>
        </w:rPr>
        <w:t>».</w:t>
      </w:r>
    </w:p>
    <w:p w14:paraId="46CAE8AF" w14:textId="77777777" w:rsidR="00427A3F" w:rsidRPr="002E1F18" w:rsidRDefault="00427A3F" w:rsidP="00427A3F">
      <w:pPr>
        <w:widowControl w:val="0"/>
        <w:autoSpaceDE w:val="0"/>
        <w:autoSpaceDN w:val="0"/>
        <w:adjustRightInd w:val="0"/>
        <w:jc w:val="both"/>
        <w:rPr>
          <w:rFonts w:ascii="Arial" w:hAnsi="Arial" w:cs="Arial"/>
          <w:sz w:val="24"/>
          <w:szCs w:val="24"/>
          <w:lang w:val="es-CO"/>
        </w:rPr>
      </w:pPr>
    </w:p>
    <w:p w14:paraId="714D6633" w14:textId="77777777" w:rsidR="00427A3F" w:rsidRDefault="00427A3F" w:rsidP="00427A3F">
      <w:pPr>
        <w:widowControl w:val="0"/>
        <w:autoSpaceDE w:val="0"/>
        <w:autoSpaceDN w:val="0"/>
        <w:adjustRightInd w:val="0"/>
        <w:jc w:val="both"/>
        <w:rPr>
          <w:rFonts w:ascii="Arial" w:hAnsi="Arial" w:cs="Arial"/>
          <w:sz w:val="24"/>
          <w:szCs w:val="24"/>
        </w:rPr>
      </w:pPr>
      <w:r>
        <w:rPr>
          <w:rFonts w:ascii="Arial" w:hAnsi="Arial" w:cs="Arial"/>
          <w:sz w:val="24"/>
          <w:szCs w:val="24"/>
        </w:rPr>
        <w:t xml:space="preserve">En tal virtud, </w:t>
      </w:r>
      <w:r w:rsidRPr="009D2F6B">
        <w:rPr>
          <w:rFonts w:ascii="Arial" w:hAnsi="Arial" w:cs="Arial"/>
          <w:sz w:val="24"/>
          <w:szCs w:val="24"/>
        </w:rPr>
        <w:t xml:space="preserve">existe un compromiso de la Superintendencia Financiera para aportar al </w:t>
      </w:r>
      <w:proofErr w:type="spellStart"/>
      <w:r w:rsidRPr="009D2F6B">
        <w:rPr>
          <w:rFonts w:ascii="Arial" w:hAnsi="Arial" w:cs="Arial"/>
          <w:sz w:val="24"/>
          <w:szCs w:val="24"/>
        </w:rPr>
        <w:t>enverdecimiento</w:t>
      </w:r>
      <w:proofErr w:type="spellEnd"/>
      <w:r w:rsidRPr="009D2F6B">
        <w:rPr>
          <w:rFonts w:ascii="Arial" w:hAnsi="Arial" w:cs="Arial"/>
          <w:sz w:val="24"/>
          <w:szCs w:val="24"/>
        </w:rPr>
        <w:t xml:space="preserve"> del sistema financiero</w:t>
      </w:r>
      <w:r>
        <w:rPr>
          <w:rFonts w:ascii="Arial" w:hAnsi="Arial" w:cs="Arial"/>
          <w:sz w:val="24"/>
          <w:szCs w:val="24"/>
        </w:rPr>
        <w:t>,</w:t>
      </w:r>
      <w:r w:rsidRPr="009D2F6B">
        <w:rPr>
          <w:rFonts w:ascii="Arial" w:hAnsi="Arial" w:cs="Arial"/>
          <w:sz w:val="24"/>
          <w:szCs w:val="24"/>
        </w:rPr>
        <w:t xml:space="preserve"> así como para desarrollar y profundizar los mercados de capitales sostenibles. </w:t>
      </w:r>
    </w:p>
    <w:p w14:paraId="4156B08F" w14:textId="77777777" w:rsidR="00427A3F" w:rsidRDefault="00427A3F" w:rsidP="00427A3F">
      <w:pPr>
        <w:widowControl w:val="0"/>
        <w:autoSpaceDE w:val="0"/>
        <w:autoSpaceDN w:val="0"/>
        <w:adjustRightInd w:val="0"/>
        <w:jc w:val="both"/>
        <w:rPr>
          <w:rFonts w:ascii="Arial" w:hAnsi="Arial" w:cs="Arial"/>
          <w:sz w:val="24"/>
          <w:szCs w:val="24"/>
        </w:rPr>
      </w:pPr>
    </w:p>
    <w:p w14:paraId="35C02582" w14:textId="3CA189C3" w:rsidR="00427A3F" w:rsidRDefault="00427A3F" w:rsidP="00427A3F">
      <w:pPr>
        <w:widowControl w:val="0"/>
        <w:autoSpaceDE w:val="0"/>
        <w:autoSpaceDN w:val="0"/>
        <w:adjustRightInd w:val="0"/>
        <w:jc w:val="both"/>
        <w:rPr>
          <w:rFonts w:ascii="Arial" w:hAnsi="Arial" w:cs="Arial"/>
          <w:sz w:val="24"/>
          <w:szCs w:val="24"/>
        </w:rPr>
      </w:pPr>
      <w:r>
        <w:rPr>
          <w:rFonts w:ascii="Arial" w:hAnsi="Arial" w:cs="Arial"/>
          <w:sz w:val="24"/>
          <w:szCs w:val="24"/>
        </w:rPr>
        <w:t xml:space="preserve">Por tal motivo, resulta necesario impartir instrucciones para la integración de factores ASG en los mecanismos de revelación de información de los Fondos de Inversión Colectiva (FIC), particularmente, el reglamento, el prospecto y el informe de rendición de cuentas. Esto con el fin de, por un lado, generar mayor transparencia y evitar el “engaño verde </w:t>
      </w:r>
      <w:r w:rsidR="006D3C8F" w:rsidRPr="00616430">
        <w:rPr>
          <w:rFonts w:ascii="Arial" w:hAnsi="Arial" w:cs="Arial"/>
          <w:sz w:val="24"/>
          <w:szCs w:val="24"/>
        </w:rPr>
        <w:t xml:space="preserve">y </w:t>
      </w:r>
      <w:r>
        <w:rPr>
          <w:rFonts w:ascii="Arial" w:hAnsi="Arial" w:cs="Arial"/>
          <w:sz w:val="24"/>
          <w:szCs w:val="24"/>
        </w:rPr>
        <w:t>sostenible” en el marco de la administración de FIC, y del otro, fortalecer la gestión de inversiones y riesgos del FIC para considerar los riesgos y oportunidades que los factores ASG suponen para los portafolios de inversión.</w:t>
      </w:r>
    </w:p>
    <w:p w14:paraId="276BB19D" w14:textId="77777777" w:rsidR="00427A3F" w:rsidRPr="00382794" w:rsidRDefault="00427A3F" w:rsidP="00427A3F">
      <w:pPr>
        <w:jc w:val="both"/>
        <w:rPr>
          <w:rFonts w:ascii="Arial" w:hAnsi="Arial" w:cs="Arial"/>
          <w:lang w:val="es-BO"/>
        </w:rPr>
      </w:pPr>
    </w:p>
    <w:p w14:paraId="577F634A" w14:textId="77777777" w:rsidR="006D3C8F" w:rsidRPr="005F07A6" w:rsidRDefault="006D3C8F" w:rsidP="006D3C8F">
      <w:pPr>
        <w:jc w:val="both"/>
        <w:rPr>
          <w:rFonts w:ascii="Arial" w:hAnsi="Arial" w:cs="Arial"/>
          <w:sz w:val="24"/>
          <w:szCs w:val="24"/>
        </w:rPr>
      </w:pPr>
      <w:r w:rsidRPr="00533115">
        <w:rPr>
          <w:rFonts w:ascii="Arial" w:hAnsi="Arial" w:cs="Arial"/>
          <w:sz w:val="24"/>
          <w:szCs w:val="24"/>
          <w:lang w:val="es-BO"/>
        </w:rPr>
        <w:t>En desarrollo de lo anterior,</w:t>
      </w:r>
      <w:r>
        <w:rPr>
          <w:rFonts w:ascii="Arial" w:hAnsi="Arial" w:cs="Arial"/>
          <w:sz w:val="24"/>
          <w:szCs w:val="24"/>
          <w:lang w:val="es-BO"/>
        </w:rPr>
        <w:t xml:space="preserve"> </w:t>
      </w:r>
      <w:r w:rsidRPr="0074582A">
        <w:rPr>
          <w:rFonts w:ascii="Arial" w:hAnsi="Arial" w:cs="Arial"/>
          <w:sz w:val="24"/>
          <w:szCs w:val="24"/>
        </w:rPr>
        <w:t xml:space="preserve">este Despacho, en ejercicio de sus facultades legales y en particular las establecidas en el literal a) del numeral 3 del artículo 326 del </w:t>
      </w:r>
      <w:r>
        <w:rPr>
          <w:rFonts w:ascii="Arial" w:hAnsi="Arial" w:cs="Arial"/>
          <w:sz w:val="24"/>
          <w:szCs w:val="24"/>
        </w:rPr>
        <w:t>Decreto Ley 663 de 1993 (</w:t>
      </w:r>
      <w:r w:rsidRPr="0074582A">
        <w:rPr>
          <w:rFonts w:ascii="Arial" w:hAnsi="Arial" w:cs="Arial"/>
          <w:sz w:val="24"/>
          <w:szCs w:val="24"/>
        </w:rPr>
        <w:t>E</w:t>
      </w:r>
      <w:r>
        <w:rPr>
          <w:rFonts w:ascii="Arial" w:hAnsi="Arial" w:cs="Arial"/>
          <w:sz w:val="24"/>
          <w:szCs w:val="24"/>
        </w:rPr>
        <w:t>statuto Orgánico del Sistema Financiero)</w:t>
      </w:r>
      <w:r w:rsidRPr="0074582A">
        <w:rPr>
          <w:rFonts w:ascii="Arial" w:hAnsi="Arial" w:cs="Arial"/>
          <w:sz w:val="24"/>
          <w:szCs w:val="24"/>
        </w:rPr>
        <w:t xml:space="preserve">, el </w:t>
      </w:r>
      <w:r>
        <w:rPr>
          <w:rFonts w:ascii="Arial" w:hAnsi="Arial" w:cs="Arial"/>
          <w:sz w:val="24"/>
          <w:szCs w:val="24"/>
        </w:rPr>
        <w:t xml:space="preserve">numeral 6 del artículo 3.1.1.4.2, </w:t>
      </w:r>
      <w:r w:rsidRPr="0074582A">
        <w:rPr>
          <w:rFonts w:ascii="Arial" w:hAnsi="Arial" w:cs="Arial"/>
          <w:sz w:val="24"/>
          <w:szCs w:val="24"/>
        </w:rPr>
        <w:t xml:space="preserve">el artículo 3.1.1.9.5, el numeral 7 del </w:t>
      </w:r>
      <w:r w:rsidRPr="0074582A">
        <w:rPr>
          <w:rFonts w:ascii="Arial" w:hAnsi="Arial" w:cs="Arial"/>
          <w:sz w:val="24"/>
          <w:szCs w:val="24"/>
          <w:lang w:val="es-BO"/>
        </w:rPr>
        <w:t>artículo 3.1.1.9.7, el artículo 3.1.1.9.1</w:t>
      </w:r>
      <w:r>
        <w:rPr>
          <w:rFonts w:ascii="Arial" w:hAnsi="Arial" w:cs="Arial"/>
          <w:sz w:val="24"/>
          <w:szCs w:val="24"/>
          <w:lang w:val="es-BO"/>
        </w:rPr>
        <w:t>0,</w:t>
      </w:r>
      <w:r w:rsidRPr="0074582A">
        <w:rPr>
          <w:rFonts w:ascii="Arial" w:hAnsi="Arial" w:cs="Arial"/>
          <w:sz w:val="24"/>
          <w:szCs w:val="24"/>
          <w:lang w:val="es-BO"/>
        </w:rPr>
        <w:t xml:space="preserve"> y </w:t>
      </w:r>
      <w:r w:rsidRPr="0074582A">
        <w:rPr>
          <w:rFonts w:ascii="Arial" w:hAnsi="Arial" w:cs="Arial"/>
          <w:sz w:val="24"/>
          <w:szCs w:val="24"/>
          <w:lang w:val="es-AR"/>
        </w:rPr>
        <w:t xml:space="preserve">el numeral 4 del artículo 11.2.1.4.2 del Decreto 2555 de 2010, </w:t>
      </w:r>
      <w:r w:rsidRPr="0074582A">
        <w:rPr>
          <w:rFonts w:ascii="Arial" w:hAnsi="Arial" w:cs="Arial"/>
          <w:sz w:val="24"/>
          <w:szCs w:val="24"/>
        </w:rPr>
        <w:t>imparte las siguientes instrucciones:</w:t>
      </w:r>
    </w:p>
    <w:p w14:paraId="5D45B112" w14:textId="0CA9D1FF" w:rsidR="00427A3F" w:rsidRPr="00382794" w:rsidRDefault="00733D44" w:rsidP="00427A3F">
      <w:pPr>
        <w:jc w:val="both"/>
        <w:rPr>
          <w:rFonts w:ascii="Arial" w:hAnsi="Arial" w:cs="Arial"/>
          <w:lang w:val="es-BO"/>
        </w:rPr>
      </w:pPr>
      <w:r>
        <w:rPr>
          <w:rFonts w:ascii="Arial" w:hAnsi="Arial" w:cs="Arial"/>
          <w:lang w:val="es-BO"/>
        </w:rPr>
        <w:t>z</w:t>
      </w:r>
    </w:p>
    <w:p w14:paraId="1F007A13" w14:textId="77777777" w:rsidR="006D3C8F" w:rsidRPr="00533115" w:rsidRDefault="00427A3F" w:rsidP="006D3C8F">
      <w:pPr>
        <w:jc w:val="both"/>
        <w:rPr>
          <w:rFonts w:ascii="Arial" w:hAnsi="Arial" w:cs="Arial"/>
          <w:sz w:val="24"/>
          <w:szCs w:val="24"/>
          <w:lang w:val="es-BO"/>
        </w:rPr>
      </w:pPr>
      <w:r w:rsidRPr="03F865F5">
        <w:rPr>
          <w:rFonts w:ascii="Arial" w:hAnsi="Arial" w:cs="Arial"/>
          <w:b/>
          <w:bCs/>
          <w:sz w:val="24"/>
          <w:szCs w:val="24"/>
        </w:rPr>
        <w:t xml:space="preserve">PRIMERA: </w:t>
      </w:r>
      <w:r w:rsidRPr="00FC1DA6">
        <w:rPr>
          <w:rFonts w:ascii="Arial" w:hAnsi="Arial" w:cs="Arial"/>
          <w:sz w:val="24"/>
          <w:szCs w:val="24"/>
        </w:rPr>
        <w:t xml:space="preserve">Modificar </w:t>
      </w:r>
      <w:r>
        <w:rPr>
          <w:rFonts w:ascii="Arial" w:hAnsi="Arial" w:cs="Arial"/>
          <w:sz w:val="24"/>
          <w:szCs w:val="24"/>
        </w:rPr>
        <w:t xml:space="preserve">el </w:t>
      </w:r>
      <w:proofErr w:type="spellStart"/>
      <w:r>
        <w:rPr>
          <w:rFonts w:ascii="Arial" w:hAnsi="Arial" w:cs="Arial"/>
          <w:sz w:val="24"/>
          <w:szCs w:val="24"/>
        </w:rPr>
        <w:t>subnumeral</w:t>
      </w:r>
      <w:proofErr w:type="spellEnd"/>
      <w:r>
        <w:rPr>
          <w:rFonts w:ascii="Arial" w:hAnsi="Arial" w:cs="Arial"/>
          <w:sz w:val="24"/>
          <w:szCs w:val="24"/>
        </w:rPr>
        <w:t xml:space="preserve"> 2.2 del Capítulo III del Título VI de la Parte III de la Circular Básica Jurídica «</w:t>
      </w:r>
      <w:r w:rsidRPr="00C95EC5">
        <w:rPr>
          <w:rFonts w:ascii="Arial" w:hAnsi="Arial" w:cs="Arial"/>
          <w:i/>
          <w:iCs/>
          <w:sz w:val="24"/>
          <w:szCs w:val="24"/>
        </w:rPr>
        <w:t>Instrucciones relativas a la constitución y administración de fondos de inversión colectiva y familias de fondos de inversión colectiva</w:t>
      </w:r>
      <w:r>
        <w:rPr>
          <w:rFonts w:ascii="Arial" w:hAnsi="Arial" w:cs="Arial"/>
          <w:sz w:val="24"/>
          <w:szCs w:val="24"/>
        </w:rPr>
        <w:t xml:space="preserve">» para incluir la </w:t>
      </w:r>
      <w:r w:rsidRPr="00D10D74">
        <w:rPr>
          <w:rFonts w:ascii="Arial" w:hAnsi="Arial" w:cs="Arial"/>
          <w:sz w:val="24"/>
          <w:szCs w:val="24"/>
        </w:rPr>
        <w:t>integración de factores ASG</w:t>
      </w:r>
      <w:r>
        <w:rPr>
          <w:rFonts w:ascii="Arial" w:hAnsi="Arial" w:cs="Arial"/>
          <w:sz w:val="24"/>
          <w:szCs w:val="24"/>
        </w:rPr>
        <w:t xml:space="preserve"> en la política de inversión </w:t>
      </w:r>
      <w:r w:rsidR="006D3C8F">
        <w:rPr>
          <w:rFonts w:ascii="Arial" w:hAnsi="Arial" w:cs="Arial"/>
          <w:sz w:val="24"/>
          <w:szCs w:val="24"/>
        </w:rPr>
        <w:t>de los</w:t>
      </w:r>
      <w:r>
        <w:rPr>
          <w:rFonts w:ascii="Arial" w:hAnsi="Arial" w:cs="Arial"/>
          <w:sz w:val="24"/>
          <w:szCs w:val="24"/>
        </w:rPr>
        <w:t xml:space="preserve"> FIC. </w:t>
      </w:r>
    </w:p>
    <w:p w14:paraId="55A6DA93" w14:textId="1C2ED1B0" w:rsidR="00427A3F" w:rsidRPr="00382794" w:rsidRDefault="00427A3F" w:rsidP="00427A3F">
      <w:pPr>
        <w:jc w:val="both"/>
        <w:rPr>
          <w:rFonts w:ascii="Arial" w:hAnsi="Arial" w:cs="Arial"/>
          <w:lang w:val="es-BO"/>
        </w:rPr>
      </w:pPr>
    </w:p>
    <w:p w14:paraId="32B9739A" w14:textId="70B7010C" w:rsidR="00567157" w:rsidRPr="00533115" w:rsidRDefault="00567157" w:rsidP="00567157">
      <w:pPr>
        <w:jc w:val="both"/>
        <w:rPr>
          <w:rFonts w:ascii="Arial" w:hAnsi="Arial" w:cs="Arial"/>
          <w:sz w:val="24"/>
          <w:szCs w:val="24"/>
          <w:lang w:val="es-CO"/>
        </w:rPr>
      </w:pPr>
      <w:r w:rsidRPr="00533115">
        <w:rPr>
          <w:rFonts w:ascii="Arial" w:hAnsi="Arial" w:cs="Arial"/>
          <w:b/>
          <w:sz w:val="24"/>
          <w:szCs w:val="24"/>
        </w:rPr>
        <w:t xml:space="preserve">SEGUNDA: </w:t>
      </w:r>
      <w:r>
        <w:rPr>
          <w:rFonts w:ascii="Arial" w:hAnsi="Arial" w:cs="Arial"/>
          <w:sz w:val="24"/>
          <w:szCs w:val="24"/>
        </w:rPr>
        <w:t xml:space="preserve">Adicionar el </w:t>
      </w:r>
      <w:proofErr w:type="spellStart"/>
      <w:r>
        <w:rPr>
          <w:rFonts w:ascii="Arial" w:hAnsi="Arial" w:cs="Arial"/>
          <w:sz w:val="24"/>
          <w:szCs w:val="24"/>
        </w:rPr>
        <w:t>subnumeral</w:t>
      </w:r>
      <w:proofErr w:type="spellEnd"/>
      <w:r>
        <w:rPr>
          <w:rFonts w:ascii="Arial" w:hAnsi="Arial" w:cs="Arial"/>
          <w:sz w:val="24"/>
          <w:szCs w:val="24"/>
        </w:rPr>
        <w:t xml:space="preserve"> 4.8 al Capítulo III del Título VI de la Parte III de la Circular Básica Jurídica «</w:t>
      </w:r>
      <w:r w:rsidRPr="00C95EC5">
        <w:rPr>
          <w:rFonts w:ascii="Arial" w:hAnsi="Arial" w:cs="Arial"/>
          <w:i/>
          <w:iCs/>
          <w:sz w:val="24"/>
          <w:szCs w:val="24"/>
        </w:rPr>
        <w:t>Instrucciones relativas a la constitución y administración de fondos de inversión colectiva y familias de fondos de inversión colectiva</w:t>
      </w:r>
      <w:r>
        <w:rPr>
          <w:rFonts w:ascii="Arial" w:hAnsi="Arial" w:cs="Arial"/>
          <w:sz w:val="24"/>
          <w:szCs w:val="24"/>
        </w:rPr>
        <w:t>» para incluir, en el informe de rendición de cuentas, la revelación del impacto de la integración de los factores ASG.</w:t>
      </w:r>
    </w:p>
    <w:p w14:paraId="0F949BFD" w14:textId="77777777" w:rsidR="00567157" w:rsidRPr="00382794" w:rsidRDefault="00567157" w:rsidP="00567157">
      <w:pPr>
        <w:jc w:val="both"/>
        <w:rPr>
          <w:rFonts w:ascii="Arial" w:eastAsia="Arial" w:hAnsi="Arial" w:cs="Arial"/>
          <w:b/>
        </w:rPr>
      </w:pPr>
    </w:p>
    <w:p w14:paraId="5330DF7F" w14:textId="77777777" w:rsidR="00567157" w:rsidRPr="00184232" w:rsidRDefault="00567157" w:rsidP="00567157">
      <w:pPr>
        <w:jc w:val="both"/>
        <w:rPr>
          <w:rFonts w:ascii="Arial" w:hAnsi="Arial" w:cs="Arial"/>
          <w:sz w:val="24"/>
          <w:szCs w:val="24"/>
        </w:rPr>
      </w:pPr>
      <w:r w:rsidRPr="007B71F8">
        <w:rPr>
          <w:rFonts w:ascii="Arial" w:hAnsi="Arial" w:cs="Arial"/>
          <w:b/>
          <w:bCs/>
          <w:sz w:val="24"/>
          <w:szCs w:val="24"/>
          <w:lang w:eastAsia="es-CO"/>
        </w:rPr>
        <w:t>TERCERA</w:t>
      </w:r>
      <w:r w:rsidRPr="007B71F8">
        <w:rPr>
          <w:rFonts w:ascii="Arial" w:hAnsi="Arial" w:cs="Arial"/>
          <w:b/>
          <w:sz w:val="24"/>
          <w:szCs w:val="24"/>
          <w:lang w:eastAsia="es-CO"/>
        </w:rPr>
        <w:t xml:space="preserve">: </w:t>
      </w:r>
      <w:r w:rsidRPr="007B71F8">
        <w:rPr>
          <w:rFonts w:ascii="Arial" w:hAnsi="Arial" w:cs="Arial"/>
          <w:bCs/>
          <w:sz w:val="24"/>
          <w:szCs w:val="24"/>
          <w:lang w:eastAsia="es-CO"/>
        </w:rPr>
        <w:t>Modificar los Anexos</w:t>
      </w:r>
      <w:r>
        <w:rPr>
          <w:rFonts w:ascii="Arial" w:hAnsi="Arial" w:cs="Arial"/>
          <w:bCs/>
          <w:sz w:val="24"/>
          <w:szCs w:val="24"/>
          <w:lang w:eastAsia="es-CO"/>
        </w:rPr>
        <w:t xml:space="preserve"> 1, 2, 3 y 5 </w:t>
      </w:r>
      <w:r>
        <w:rPr>
          <w:rFonts w:ascii="Arial" w:hAnsi="Arial" w:cs="Arial"/>
          <w:sz w:val="24"/>
          <w:szCs w:val="24"/>
        </w:rPr>
        <w:t>del Título VI de la Parte III de la Circular Básica Jurídica «</w:t>
      </w:r>
      <w:r w:rsidRPr="00C95EC5">
        <w:rPr>
          <w:rFonts w:ascii="Arial" w:hAnsi="Arial" w:cs="Arial"/>
          <w:i/>
          <w:iCs/>
          <w:sz w:val="24"/>
          <w:szCs w:val="24"/>
        </w:rPr>
        <w:t>Instrucciones relativas a la constitución y administración de fondos de inversión colectiva y familias de fondos de inversión colectiva</w:t>
      </w:r>
      <w:r>
        <w:rPr>
          <w:rFonts w:ascii="Arial" w:hAnsi="Arial" w:cs="Arial"/>
          <w:sz w:val="24"/>
          <w:szCs w:val="24"/>
        </w:rPr>
        <w:t>» con el fin de incluir la integración de los factores ASG en el contenido mínimo del reglamento para FIC abiertos, FIC abierto sin pacto de permanencia, FIC cerrados y de los prospectos de los FIC.</w:t>
      </w:r>
    </w:p>
    <w:p w14:paraId="14FAF9E2" w14:textId="77777777" w:rsidR="00567157" w:rsidRPr="00533115" w:rsidRDefault="00567157" w:rsidP="00567157">
      <w:pPr>
        <w:jc w:val="both"/>
        <w:rPr>
          <w:rFonts w:ascii="Arial" w:hAnsi="Arial" w:cs="Arial"/>
          <w:sz w:val="24"/>
          <w:szCs w:val="24"/>
          <w:lang w:eastAsia="es-CO"/>
        </w:rPr>
      </w:pPr>
    </w:p>
    <w:p w14:paraId="7B511868" w14:textId="77777777" w:rsidR="00567157" w:rsidRPr="002F2ED4" w:rsidRDefault="00567157" w:rsidP="00567157">
      <w:pPr>
        <w:jc w:val="both"/>
        <w:rPr>
          <w:rFonts w:ascii="Arial" w:eastAsia="Arial" w:hAnsi="Arial" w:cs="Arial"/>
          <w:sz w:val="8"/>
          <w:szCs w:val="8"/>
        </w:rPr>
      </w:pPr>
    </w:p>
    <w:p w14:paraId="71224EA8" w14:textId="77777777" w:rsidR="00567157" w:rsidRDefault="00567157" w:rsidP="00567157">
      <w:pPr>
        <w:jc w:val="both"/>
        <w:rPr>
          <w:rFonts w:ascii="Arial" w:eastAsia="Arial" w:hAnsi="Arial" w:cs="Arial"/>
          <w:sz w:val="24"/>
          <w:szCs w:val="24"/>
        </w:rPr>
      </w:pPr>
      <w:r>
        <w:rPr>
          <w:rFonts w:ascii="Arial" w:eastAsia="Arial" w:hAnsi="Arial" w:cs="Arial"/>
          <w:b/>
          <w:bCs/>
          <w:sz w:val="24"/>
          <w:szCs w:val="24"/>
        </w:rPr>
        <w:t>CUARTA</w:t>
      </w:r>
      <w:r w:rsidRPr="00520DD4">
        <w:rPr>
          <w:rFonts w:ascii="Arial" w:eastAsia="Arial" w:hAnsi="Arial" w:cs="Arial"/>
          <w:b/>
          <w:bCs/>
          <w:sz w:val="24"/>
          <w:szCs w:val="24"/>
        </w:rPr>
        <w:t xml:space="preserve">: </w:t>
      </w:r>
      <w:r>
        <w:rPr>
          <w:rFonts w:ascii="Arial" w:eastAsia="Arial" w:hAnsi="Arial" w:cs="Arial"/>
          <w:b/>
          <w:bCs/>
          <w:sz w:val="24"/>
          <w:szCs w:val="24"/>
        </w:rPr>
        <w:t>RÉGIMEN DE TRANSICIÓN</w:t>
      </w:r>
      <w:r w:rsidRPr="00520DD4">
        <w:rPr>
          <w:rFonts w:ascii="Arial" w:eastAsia="Arial" w:hAnsi="Arial" w:cs="Arial"/>
          <w:sz w:val="24"/>
          <w:szCs w:val="24"/>
        </w:rPr>
        <w:t xml:space="preserve">. </w:t>
      </w:r>
      <w:r w:rsidRPr="000A499D">
        <w:rPr>
          <w:rFonts w:ascii="Arial" w:eastAsia="Arial" w:hAnsi="Arial" w:cs="Arial"/>
          <w:sz w:val="24"/>
          <w:szCs w:val="24"/>
        </w:rPr>
        <w:t xml:space="preserve">Las entidades destinatarias tendrán </w:t>
      </w:r>
      <w:r>
        <w:rPr>
          <w:rFonts w:ascii="Arial" w:eastAsia="Arial" w:hAnsi="Arial" w:cs="Arial"/>
          <w:sz w:val="24"/>
          <w:szCs w:val="24"/>
        </w:rPr>
        <w:t xml:space="preserve">6 </w:t>
      </w:r>
      <w:r w:rsidRPr="000A499D">
        <w:rPr>
          <w:rFonts w:ascii="Arial" w:eastAsia="Arial" w:hAnsi="Arial" w:cs="Arial"/>
          <w:sz w:val="24"/>
          <w:szCs w:val="24"/>
        </w:rPr>
        <w:t xml:space="preserve">meses contados a partir de la fecha de publicación de la presente Circular para </w:t>
      </w:r>
      <w:r>
        <w:rPr>
          <w:rFonts w:ascii="Arial" w:eastAsia="Arial" w:hAnsi="Arial" w:cs="Arial"/>
          <w:sz w:val="24"/>
          <w:szCs w:val="24"/>
        </w:rPr>
        <w:t xml:space="preserve">dar cumplimiento a las instrucciones aquí previstas. </w:t>
      </w:r>
    </w:p>
    <w:p w14:paraId="4C306D0E" w14:textId="77777777" w:rsidR="00567157" w:rsidRDefault="00567157" w:rsidP="00567157">
      <w:pPr>
        <w:jc w:val="both"/>
        <w:rPr>
          <w:rFonts w:ascii="Arial" w:eastAsia="Arial" w:hAnsi="Arial" w:cs="Arial"/>
          <w:sz w:val="24"/>
          <w:szCs w:val="24"/>
        </w:rPr>
      </w:pPr>
    </w:p>
    <w:p w14:paraId="78D48CD2" w14:textId="77777777" w:rsidR="00567157" w:rsidRPr="00533115" w:rsidRDefault="00567157" w:rsidP="00567157">
      <w:pPr>
        <w:jc w:val="both"/>
        <w:rPr>
          <w:rFonts w:ascii="Arial" w:eastAsia="Arial" w:hAnsi="Arial" w:cs="Arial"/>
          <w:sz w:val="24"/>
          <w:szCs w:val="24"/>
        </w:rPr>
      </w:pPr>
      <w:r w:rsidRPr="00520DD4">
        <w:rPr>
          <w:rFonts w:ascii="Arial" w:eastAsia="Arial" w:hAnsi="Arial" w:cs="Arial"/>
          <w:sz w:val="24"/>
          <w:szCs w:val="24"/>
        </w:rPr>
        <w:t>La presente Circular rige a partir de su publicación</w:t>
      </w:r>
      <w:r>
        <w:rPr>
          <w:rFonts w:ascii="Arial" w:eastAsia="Arial" w:hAnsi="Arial" w:cs="Arial"/>
          <w:sz w:val="24"/>
          <w:szCs w:val="24"/>
        </w:rPr>
        <w:t>.</w:t>
      </w:r>
    </w:p>
    <w:p w14:paraId="0D2B5339" w14:textId="77777777" w:rsidR="00567157" w:rsidRPr="002F2ED4" w:rsidRDefault="00567157" w:rsidP="00567157">
      <w:pPr>
        <w:jc w:val="both"/>
        <w:rPr>
          <w:rFonts w:ascii="Arial" w:hAnsi="Arial" w:cs="Arial"/>
          <w:sz w:val="16"/>
          <w:szCs w:val="16"/>
        </w:rPr>
      </w:pPr>
    </w:p>
    <w:p w14:paraId="522459CB" w14:textId="77777777" w:rsidR="00567157" w:rsidRPr="00533115" w:rsidRDefault="00567157" w:rsidP="00567157">
      <w:pPr>
        <w:jc w:val="both"/>
        <w:rPr>
          <w:rFonts w:ascii="Arial" w:hAnsi="Arial" w:cs="Arial"/>
          <w:sz w:val="24"/>
          <w:szCs w:val="24"/>
          <w:lang w:val="es-MX"/>
        </w:rPr>
      </w:pPr>
      <w:r w:rsidRPr="00533115">
        <w:rPr>
          <w:rFonts w:ascii="Arial" w:hAnsi="Arial" w:cs="Arial"/>
          <w:sz w:val="24"/>
          <w:szCs w:val="24"/>
          <w:lang w:val="es-MX"/>
        </w:rPr>
        <w:t xml:space="preserve">Se anexan las páginas objeto de modificación. </w:t>
      </w:r>
    </w:p>
    <w:p w14:paraId="5795A167" w14:textId="77777777" w:rsidR="00567157" w:rsidRPr="002F2ED4" w:rsidRDefault="00567157" w:rsidP="00567157">
      <w:pPr>
        <w:jc w:val="both"/>
        <w:rPr>
          <w:rFonts w:ascii="Arial" w:hAnsi="Arial" w:cs="Arial"/>
          <w:sz w:val="18"/>
          <w:szCs w:val="18"/>
          <w:lang w:val="es-MX"/>
        </w:rPr>
      </w:pPr>
    </w:p>
    <w:p w14:paraId="225DD266" w14:textId="77777777" w:rsidR="00567157" w:rsidRPr="00533115" w:rsidRDefault="00567157" w:rsidP="00567157">
      <w:pPr>
        <w:jc w:val="both"/>
        <w:textAlignment w:val="baseline"/>
        <w:rPr>
          <w:rFonts w:ascii="Arial" w:hAnsi="Arial" w:cs="Arial"/>
          <w:sz w:val="24"/>
          <w:szCs w:val="24"/>
          <w:lang w:eastAsia="es-CO"/>
        </w:rPr>
      </w:pPr>
      <w:r w:rsidRPr="00533115">
        <w:rPr>
          <w:rFonts w:ascii="Arial" w:hAnsi="Arial" w:cs="Arial"/>
          <w:sz w:val="24"/>
          <w:szCs w:val="24"/>
          <w:lang w:eastAsia="es-CO"/>
        </w:rPr>
        <w:t>Cordialmente,</w:t>
      </w:r>
    </w:p>
    <w:p w14:paraId="045D4EB4" w14:textId="77777777" w:rsidR="00567157" w:rsidRDefault="00567157" w:rsidP="00567157">
      <w:pPr>
        <w:jc w:val="both"/>
        <w:rPr>
          <w:rFonts w:ascii="Arial" w:eastAsia="Arial" w:hAnsi="Arial" w:cs="Arial"/>
          <w:sz w:val="24"/>
          <w:szCs w:val="24"/>
        </w:rPr>
      </w:pPr>
    </w:p>
    <w:p w14:paraId="0AA0F2FC" w14:textId="77777777" w:rsidR="00567157" w:rsidRPr="002F2ED4" w:rsidRDefault="00567157" w:rsidP="00567157">
      <w:pPr>
        <w:jc w:val="both"/>
        <w:rPr>
          <w:rFonts w:ascii="Arial" w:eastAsia="Arial" w:hAnsi="Arial" w:cs="Arial"/>
          <w:sz w:val="18"/>
          <w:szCs w:val="18"/>
        </w:rPr>
      </w:pPr>
    </w:p>
    <w:p w14:paraId="5B966BBC" w14:textId="77777777" w:rsidR="00567157" w:rsidRPr="00533115" w:rsidRDefault="00567157" w:rsidP="00567157">
      <w:pPr>
        <w:jc w:val="both"/>
        <w:rPr>
          <w:rFonts w:ascii="Arial" w:hAnsi="Arial" w:cs="Arial"/>
          <w:sz w:val="24"/>
          <w:szCs w:val="24"/>
        </w:rPr>
      </w:pPr>
    </w:p>
    <w:p w14:paraId="34B0025C" w14:textId="77777777" w:rsidR="00567157" w:rsidRPr="00533115" w:rsidRDefault="00567157" w:rsidP="00567157">
      <w:pPr>
        <w:widowControl w:val="0"/>
        <w:autoSpaceDE w:val="0"/>
        <w:autoSpaceDN w:val="0"/>
        <w:adjustRightInd w:val="0"/>
        <w:jc w:val="both"/>
        <w:rPr>
          <w:rFonts w:ascii="Arial" w:hAnsi="Arial" w:cs="Arial"/>
          <w:b/>
          <w:bCs/>
          <w:sz w:val="24"/>
          <w:szCs w:val="24"/>
        </w:rPr>
      </w:pPr>
      <w:r w:rsidRPr="00533115">
        <w:rPr>
          <w:rFonts w:ascii="Arial" w:hAnsi="Arial" w:cs="Arial"/>
          <w:b/>
          <w:bCs/>
          <w:sz w:val="24"/>
          <w:szCs w:val="24"/>
        </w:rPr>
        <w:t xml:space="preserve">CÉSAR FERRARI </w:t>
      </w:r>
      <w:proofErr w:type="spellStart"/>
      <w:r w:rsidRPr="00533115">
        <w:rPr>
          <w:rFonts w:ascii="Arial" w:hAnsi="Arial" w:cs="Arial"/>
          <w:b/>
          <w:bCs/>
          <w:sz w:val="24"/>
          <w:szCs w:val="24"/>
        </w:rPr>
        <w:t>Ph.D</w:t>
      </w:r>
      <w:proofErr w:type="spellEnd"/>
      <w:r w:rsidRPr="00533115">
        <w:rPr>
          <w:rFonts w:ascii="Arial" w:hAnsi="Arial" w:cs="Arial"/>
          <w:b/>
          <w:bCs/>
          <w:sz w:val="24"/>
          <w:szCs w:val="24"/>
        </w:rPr>
        <w:t>.</w:t>
      </w:r>
    </w:p>
    <w:p w14:paraId="5F574EF3" w14:textId="77777777" w:rsidR="00567157" w:rsidRPr="00533115" w:rsidRDefault="00567157" w:rsidP="00567157">
      <w:pPr>
        <w:widowControl w:val="0"/>
        <w:autoSpaceDE w:val="0"/>
        <w:autoSpaceDN w:val="0"/>
        <w:adjustRightInd w:val="0"/>
        <w:jc w:val="both"/>
        <w:rPr>
          <w:rFonts w:ascii="Arial" w:hAnsi="Arial" w:cs="Arial"/>
          <w:bCs/>
          <w:sz w:val="24"/>
          <w:szCs w:val="24"/>
        </w:rPr>
      </w:pPr>
      <w:r w:rsidRPr="00533115">
        <w:rPr>
          <w:rFonts w:ascii="Arial" w:hAnsi="Arial" w:cs="Arial"/>
          <w:bCs/>
          <w:sz w:val="24"/>
          <w:szCs w:val="24"/>
        </w:rPr>
        <w:t xml:space="preserve">Superintendente Financiero </w:t>
      </w:r>
    </w:p>
    <w:p w14:paraId="337C9DB7" w14:textId="77777777" w:rsidR="00567157" w:rsidRDefault="00567157" w:rsidP="00567157">
      <w:pPr>
        <w:widowControl w:val="0"/>
        <w:autoSpaceDE w:val="0"/>
        <w:autoSpaceDN w:val="0"/>
        <w:adjustRightInd w:val="0"/>
        <w:jc w:val="both"/>
        <w:rPr>
          <w:rFonts w:ascii="Arial" w:hAnsi="Arial" w:cs="Arial"/>
          <w:sz w:val="24"/>
          <w:szCs w:val="24"/>
        </w:rPr>
      </w:pPr>
      <w:r w:rsidRPr="00533115">
        <w:rPr>
          <w:rFonts w:ascii="Arial" w:hAnsi="Arial" w:cs="Arial"/>
          <w:sz w:val="24"/>
          <w:szCs w:val="24"/>
        </w:rPr>
        <w:t>50000</w:t>
      </w:r>
    </w:p>
    <w:p w14:paraId="4EBB3C5D" w14:textId="77777777" w:rsidR="00567157" w:rsidRPr="00533115" w:rsidRDefault="00567157" w:rsidP="00567157">
      <w:pPr>
        <w:widowControl w:val="0"/>
        <w:autoSpaceDE w:val="0"/>
        <w:autoSpaceDN w:val="0"/>
        <w:adjustRightInd w:val="0"/>
        <w:jc w:val="both"/>
        <w:rPr>
          <w:rFonts w:ascii="Arial" w:hAnsi="Arial" w:cs="Arial"/>
          <w:sz w:val="24"/>
          <w:szCs w:val="24"/>
        </w:rPr>
      </w:pPr>
    </w:p>
    <w:p w14:paraId="00078F2F" w14:textId="77777777" w:rsidR="00567157" w:rsidRPr="002F2ED4" w:rsidRDefault="00567157" w:rsidP="00567157">
      <w:pPr>
        <w:widowControl w:val="0"/>
        <w:autoSpaceDE w:val="0"/>
        <w:autoSpaceDN w:val="0"/>
        <w:adjustRightInd w:val="0"/>
        <w:jc w:val="both"/>
        <w:rPr>
          <w:rFonts w:ascii="Arial" w:hAnsi="Arial" w:cs="Arial"/>
          <w:sz w:val="2"/>
          <w:szCs w:val="2"/>
        </w:rPr>
      </w:pPr>
    </w:p>
    <w:p w14:paraId="3D0CB7EB" w14:textId="77777777" w:rsidR="00567157" w:rsidRPr="004924A9" w:rsidRDefault="00567157" w:rsidP="00567157">
      <w:pPr>
        <w:rPr>
          <w:rFonts w:ascii="Arial" w:hAnsi="Arial" w:cs="Arial"/>
          <w:i/>
          <w:iCs/>
          <w:sz w:val="16"/>
          <w:szCs w:val="16"/>
        </w:rPr>
      </w:pPr>
      <w:r w:rsidRPr="004924A9">
        <w:rPr>
          <w:rFonts w:ascii="Arial" w:hAnsi="Arial" w:cs="Arial"/>
          <w:i/>
          <w:iCs/>
          <w:sz w:val="16"/>
          <w:szCs w:val="16"/>
        </w:rPr>
        <w:t xml:space="preserve">Elaboró: </w:t>
      </w:r>
      <w:r>
        <w:rPr>
          <w:rFonts w:ascii="Arial" w:hAnsi="Arial" w:cs="Arial"/>
          <w:i/>
          <w:iCs/>
          <w:sz w:val="16"/>
          <w:szCs w:val="16"/>
        </w:rPr>
        <w:t>MAB, AMP, GFB</w:t>
      </w:r>
    </w:p>
    <w:p w14:paraId="2BF894E8" w14:textId="77777777" w:rsidR="00567157" w:rsidRPr="004924A9" w:rsidRDefault="00567157" w:rsidP="00567157">
      <w:pPr>
        <w:rPr>
          <w:rFonts w:ascii="Arial" w:hAnsi="Arial" w:cs="Arial"/>
          <w:i/>
          <w:iCs/>
          <w:sz w:val="16"/>
          <w:szCs w:val="16"/>
        </w:rPr>
      </w:pPr>
      <w:r w:rsidRPr="004924A9">
        <w:rPr>
          <w:rFonts w:ascii="Arial" w:hAnsi="Arial" w:cs="Arial"/>
          <w:i/>
          <w:iCs/>
          <w:sz w:val="16"/>
          <w:szCs w:val="16"/>
        </w:rPr>
        <w:t>Revisó: CGR</w:t>
      </w:r>
    </w:p>
    <w:p w14:paraId="7A7543EC" w14:textId="77777777" w:rsidR="00567157" w:rsidRPr="004924A9" w:rsidRDefault="00567157" w:rsidP="00567157">
      <w:pPr>
        <w:rPr>
          <w:rFonts w:ascii="Arial" w:hAnsi="Arial" w:cs="Arial"/>
          <w:i/>
          <w:iCs/>
          <w:sz w:val="16"/>
          <w:szCs w:val="16"/>
        </w:rPr>
      </w:pPr>
      <w:r w:rsidRPr="004924A9">
        <w:rPr>
          <w:rFonts w:ascii="Arial" w:hAnsi="Arial" w:cs="Arial"/>
          <w:i/>
          <w:iCs/>
          <w:sz w:val="16"/>
          <w:szCs w:val="16"/>
        </w:rPr>
        <w:t>Aprobó: JRH</w:t>
      </w:r>
    </w:p>
    <w:p w14:paraId="2AB6B992" w14:textId="77777777" w:rsidR="00B51F39" w:rsidRDefault="00B51F39" w:rsidP="006D3C8F">
      <w:pPr>
        <w:widowControl w:val="0"/>
        <w:autoSpaceDE w:val="0"/>
        <w:autoSpaceDN w:val="0"/>
        <w:adjustRightInd w:val="0"/>
        <w:ind w:left="708" w:hanging="708"/>
        <w:jc w:val="center"/>
        <w:rPr>
          <w:rFonts w:cs="Arial"/>
          <w:b/>
          <w:bCs/>
          <w:sz w:val="22"/>
          <w:szCs w:val="22"/>
        </w:rPr>
      </w:pPr>
    </w:p>
    <w:sectPr w:rsidR="00B51F39" w:rsidSect="00716483">
      <w:headerReference w:type="default" r:id="rId16"/>
      <w:footerReference w:type="default" r:id="rId17"/>
      <w:headerReference w:type="first" r:id="rId18"/>
      <w:footerReference w:type="first" r:id="rId19"/>
      <w:pgSz w:w="12240" w:h="18720" w:code="148"/>
      <w:pgMar w:top="212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EC6104" w14:textId="77777777" w:rsidR="00716483" w:rsidRDefault="00716483">
      <w:r>
        <w:separator/>
      </w:r>
    </w:p>
  </w:endnote>
  <w:endnote w:type="continuationSeparator" w:id="0">
    <w:p w14:paraId="6A6A689D" w14:textId="77777777" w:rsidR="00716483" w:rsidRDefault="00716483">
      <w:r>
        <w:continuationSeparator/>
      </w:r>
    </w:p>
  </w:endnote>
  <w:endnote w:type="continuationNotice" w:id="1">
    <w:p w14:paraId="17FAC5DC" w14:textId="77777777" w:rsidR="00716483" w:rsidRDefault="00716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D4837" w14:textId="77777777" w:rsidR="00564B20" w:rsidRDefault="00564B20">
    <w:pPr>
      <w:widowControl w:val="0"/>
      <w:autoSpaceDE w:val="0"/>
      <w:autoSpaceDN w:val="0"/>
      <w:adjustRightInd w:val="0"/>
      <w:jc w:val="both"/>
      <w:rPr>
        <w:rFonts w:ascii="Arial" w:hAnsi="Arial" w:cs="Arial"/>
        <w:sz w:val="22"/>
        <w:szCs w:val="22"/>
      </w:rPr>
    </w:pPr>
  </w:p>
  <w:p w14:paraId="3658430B" w14:textId="77777777" w:rsidR="00564B20" w:rsidRDefault="00564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330AD" w14:textId="77777777" w:rsidR="00564B20" w:rsidRDefault="00564B20">
    <w:pPr>
      <w:widowControl w:val="0"/>
      <w:autoSpaceDE w:val="0"/>
      <w:autoSpaceDN w:val="0"/>
      <w:adjustRightInd w:val="0"/>
      <w:jc w:val="both"/>
      <w:rPr>
        <w:rFonts w:ascii="Arial" w:hAnsi="Arial" w:cs="Arial"/>
        <w:sz w:val="22"/>
        <w:szCs w:val="22"/>
      </w:rPr>
    </w:pPr>
  </w:p>
  <w:p w14:paraId="649F247A" w14:textId="77777777" w:rsidR="00564B20" w:rsidRDefault="00564B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D1AB6" w14:textId="5212502F" w:rsidR="0051683B" w:rsidRPr="00160630" w:rsidRDefault="006D3C8F">
    <w:pPr>
      <w:pStyle w:val="Piedepgina"/>
      <w:jc w:val="right"/>
      <w:rPr>
        <w:rFonts w:ascii="Verdana" w:hAnsi="Verdana"/>
      </w:rPr>
    </w:pPr>
    <w:r>
      <w:rPr>
        <w:noProof/>
      </w:rPr>
      <w:pict w14:anchorId="51356C78">
        <v:shapetype id="_x0000_t202" coordsize="21600,21600" o:spt="202" path="m,l,21600r21600,l21600,xe">
          <v:stroke joinstyle="miter"/>
          <v:path gradientshapeok="t" o:connecttype="rect"/>
        </v:shapetype>
        <v:shape id="Cuadro de texto 191740222" o:spid="_x0000_s1045" type="#_x0000_t202" style="position:absolute;left:0;text-align:left;margin-left:-7.55pt;margin-top:-19.35pt;width:474pt;height:96.85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" filled="f" stroked="f" strokeweight=".5pt">
          <v:textbox>
            <w:txbxContent>
              <w:p w14:paraId="0CE22F4D" w14:textId="77777777" w:rsidR="005E00D7" w:rsidRPr="00256928" w:rsidRDefault="005E00D7">
                <w:pPr>
                  <w:spacing w:line="276" w:lineRule="auto"/>
                  <w:jc w:val="both"/>
                  <w:rPr>
                    <w:rFonts w:ascii="Helvetica" w:hAnsi="Helvetica"/>
                  </w:rPr>
                </w:pPr>
                <w:r w:rsidRPr="00256928">
                  <w:rPr>
                    <w:rFonts w:ascii="Helvetica" w:hAnsi="Helvetica"/>
                  </w:rPr>
                  <w:t>________________________________________________________________________</w:t>
                </w:r>
                <w:r>
                  <w:rPr>
                    <w:rFonts w:ascii="Helvetica" w:hAnsi="Helvetica"/>
                  </w:rPr>
                  <w:t>________</w:t>
                </w:r>
              </w:p>
              <w:p w14:paraId="5C3D4C67" w14:textId="77777777" w:rsidR="005E00D7" w:rsidRPr="00160630" w:rsidRDefault="005E00D7">
                <w:pPr>
                  <w:spacing w:line="276" w:lineRule="auto"/>
                  <w:jc w:val="both"/>
                  <w:rPr>
                    <w:rFonts w:ascii="Verdana" w:hAnsi="Verdana"/>
                    <w:sz w:val="4"/>
                    <w:szCs w:val="4"/>
                  </w:rPr>
                </w:pPr>
              </w:p>
              <w:p w14:paraId="36A8E46F" w14:textId="77777777" w:rsidR="005E00D7" w:rsidRPr="00284759" w:rsidRDefault="005E00D7">
                <w:pPr>
                  <w:spacing w:line="276" w:lineRule="auto"/>
                  <w:jc w:val="both"/>
                  <w:rPr>
                    <w:rFonts w:ascii="Verdana" w:hAnsi="Verdana"/>
                  </w:rPr>
                </w:pPr>
                <w:r w:rsidRPr="00284759">
                  <w:rPr>
                    <w:rFonts w:ascii="Verdana" w:hAnsi="Verdana"/>
                  </w:rPr>
                  <w:t xml:space="preserve">Dirección: </w:t>
                </w:r>
                <w:r w:rsidRPr="00AA1AA8">
                  <w:rPr>
                    <w:rFonts w:ascii="Verdana" w:hAnsi="Verdana" w:cs="Arial"/>
                    <w:bCs/>
                    <w:lang w:val="es-MX"/>
                  </w:rPr>
                  <w:t xml:space="preserve">Calle 7 No. 4 - </w:t>
                </w:r>
                <w:proofErr w:type="gramStart"/>
                <w:r w:rsidRPr="00AA1AA8">
                  <w:rPr>
                    <w:rFonts w:ascii="Verdana" w:hAnsi="Verdana" w:cs="Arial"/>
                    <w:bCs/>
                    <w:lang w:val="es-MX"/>
                  </w:rPr>
                  <w:t xml:space="preserve">49  </w:t>
                </w:r>
                <w:r w:rsidRPr="00284759">
                  <w:rPr>
                    <w:rFonts w:ascii="Verdana" w:hAnsi="Verdana"/>
                  </w:rPr>
                  <w:t>Bogotá</w:t>
                </w:r>
                <w:proofErr w:type="gramEnd"/>
                <w:r w:rsidRPr="00284759">
                  <w:rPr>
                    <w:rFonts w:ascii="Verdana" w:hAnsi="Verdana"/>
                  </w:rPr>
                  <w:t xml:space="preserve"> D.C., Colombia</w:t>
                </w:r>
              </w:p>
              <w:p w14:paraId="08504813" w14:textId="77777777" w:rsidR="005E00D7" w:rsidRPr="00284759" w:rsidRDefault="005E00D7">
                <w:pPr>
                  <w:spacing w:line="276" w:lineRule="auto"/>
                  <w:jc w:val="both"/>
                  <w:rPr>
                    <w:rFonts w:ascii="Verdana" w:hAnsi="Verdana"/>
                  </w:rPr>
                </w:pPr>
                <w:r w:rsidRPr="00284759">
                  <w:rPr>
                    <w:rFonts w:ascii="Verdana" w:hAnsi="Verdana"/>
                  </w:rPr>
                  <w:t>Conmutador: (+57) 601 5</w:t>
                </w:r>
                <w:r>
                  <w:rPr>
                    <w:rFonts w:ascii="Verdana" w:hAnsi="Verdana"/>
                  </w:rPr>
                  <w:t>94</w:t>
                </w:r>
                <w:r w:rsidRPr="00284759">
                  <w:rPr>
                    <w:rFonts w:ascii="Verdana" w:hAnsi="Verdana"/>
                  </w:rPr>
                  <w:t xml:space="preserve"> </w:t>
                </w:r>
                <w:r>
                  <w:rPr>
                    <w:rFonts w:ascii="Verdana" w:hAnsi="Verdana"/>
                  </w:rPr>
                  <w:t>02</w:t>
                </w:r>
                <w:r w:rsidRPr="00284759">
                  <w:rPr>
                    <w:rFonts w:ascii="Verdana" w:hAnsi="Verdana"/>
                  </w:rPr>
                  <w:t xml:space="preserve">00 - 601 </w:t>
                </w:r>
                <w:r>
                  <w:rPr>
                    <w:rFonts w:ascii="Verdana" w:hAnsi="Verdana"/>
                  </w:rPr>
                  <w:t>594</w:t>
                </w:r>
                <w:r w:rsidRPr="00284759">
                  <w:rPr>
                    <w:rFonts w:ascii="Verdana" w:hAnsi="Verdana"/>
                  </w:rPr>
                  <w:t xml:space="preserve"> </w:t>
                </w:r>
                <w:r>
                  <w:rPr>
                    <w:rFonts w:ascii="Verdana" w:hAnsi="Verdana"/>
                  </w:rPr>
                  <w:t>0201</w:t>
                </w:r>
              </w:p>
              <w:p w14:paraId="0AE9BAE7" w14:textId="77777777" w:rsidR="005E00D7" w:rsidRPr="00284759" w:rsidRDefault="005E00D7">
                <w:pPr>
                  <w:spacing w:line="276" w:lineRule="auto"/>
                  <w:jc w:val="both"/>
                  <w:rPr>
                    <w:rFonts w:ascii="Verdana" w:hAnsi="Verdana"/>
                  </w:rPr>
                </w:pPr>
                <w:r w:rsidRPr="00F8640E">
                  <w:rPr>
                    <w:rFonts w:ascii="Verdana" w:hAnsi="Verdana"/>
                  </w:rPr>
                  <w:t>www.superfinanciera.gov.co</w:t>
                </w:r>
              </w:p>
            </w:txbxContent>
          </v:textbox>
          <w10:wrap anchorx="margin"/>
        </v:shape>
      </w:pict>
    </w:r>
    <w:r w:rsidR="0051683B" w:rsidRPr="00160630">
      <w:rPr>
        <w:rFonts w:ascii="Verdana" w:hAnsi="Verdana"/>
        <w:lang w:val="es-ES"/>
      </w:rPr>
      <w:t xml:space="preserve">Página | </w:t>
    </w:r>
    <w:r w:rsidR="0051683B" w:rsidRPr="00160630">
      <w:rPr>
        <w:rFonts w:ascii="Verdana" w:hAnsi="Verdana"/>
      </w:rPr>
      <w:fldChar w:fldCharType="begin"/>
    </w:r>
    <w:r w:rsidR="0051683B" w:rsidRPr="00160630">
      <w:rPr>
        <w:rFonts w:ascii="Verdana" w:hAnsi="Verdana"/>
      </w:rPr>
      <w:instrText>PAGE   \* MERGEFORMAT</w:instrText>
    </w:r>
    <w:r w:rsidR="0051683B" w:rsidRPr="00160630">
      <w:rPr>
        <w:rFonts w:ascii="Verdana" w:hAnsi="Verdana"/>
      </w:rPr>
      <w:fldChar w:fldCharType="separate"/>
    </w:r>
    <w:r w:rsidR="0051683B" w:rsidRPr="00160630">
      <w:rPr>
        <w:rFonts w:ascii="Verdana" w:hAnsi="Verdana"/>
        <w:noProof/>
        <w:lang w:val="es-ES"/>
      </w:rPr>
      <w:t>1</w:t>
    </w:r>
    <w:r w:rsidR="0051683B" w:rsidRPr="00160630">
      <w:rPr>
        <w:rFonts w:ascii="Verdana" w:hAnsi="Verdana"/>
      </w:rPr>
      <w:fldChar w:fldCharType="end"/>
    </w:r>
    <w:r w:rsidR="0051683B" w:rsidRPr="00160630">
      <w:rPr>
        <w:rFonts w:ascii="Verdana" w:hAnsi="Verdana"/>
        <w:lang w:val="es-ES"/>
      </w:rPr>
      <w:t xml:space="preserve"> </w:t>
    </w:r>
  </w:p>
  <w:p w14:paraId="48669674" w14:textId="77777777" w:rsidR="0051683B" w:rsidRPr="00D34D20" w:rsidRDefault="0051683B">
    <w:pPr>
      <w:spacing w:line="276" w:lineRule="auto"/>
      <w:jc w:val="both"/>
      <w:rPr>
        <w:rFonts w:ascii="Helvetica" w:hAnsi="Helveti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D84DC" w14:textId="032F01CF" w:rsidR="0051683B" w:rsidRPr="00160630" w:rsidRDefault="006D3C8F">
    <w:pPr>
      <w:pStyle w:val="Piedepgina"/>
      <w:jc w:val="right"/>
      <w:rPr>
        <w:rFonts w:ascii="Verdana" w:hAnsi="Verdana"/>
      </w:rPr>
    </w:pPr>
    <w:r>
      <w:rPr>
        <w:noProof/>
      </w:rPr>
      <w:pict w14:anchorId="6F38EF9B">
        <v:shapetype id="_x0000_t202" coordsize="21600,21600" o:spt="202" path="m,l,21600r21600,l21600,xe">
          <v:stroke joinstyle="miter"/>
          <v:path gradientshapeok="t" o:connecttype="rect"/>
        </v:shapetype>
        <v:shape id="Cuadro de texto 2074607683" o:spid="_x0000_s1048" type="#_x0000_t202" style="position:absolute;left:0;text-align:left;margin-left:-7.55pt;margin-top:-19.35pt;width:494.9pt;height:96.85pt;z-index:251658245;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" filled="f" stroked="f" strokeweight=".5pt">
          <v:textbox>
            <w:txbxContent>
              <w:p w14:paraId="43B3D3A9" w14:textId="77777777" w:rsidR="005E00D7" w:rsidRPr="00256928" w:rsidRDefault="005E00D7">
                <w:pPr>
                  <w:spacing w:line="276" w:lineRule="auto"/>
                  <w:jc w:val="both"/>
                  <w:rPr>
                    <w:rFonts w:ascii="Helvetica" w:hAnsi="Helvetica"/>
                  </w:rPr>
                </w:pPr>
                <w:r w:rsidRPr="00256928">
                  <w:rPr>
                    <w:rFonts w:ascii="Helvetica" w:hAnsi="Helvetica"/>
                  </w:rPr>
                  <w:t>________________________________________________________________________</w:t>
                </w:r>
                <w:r>
                  <w:rPr>
                    <w:rFonts w:ascii="Helvetica" w:hAnsi="Helvetica"/>
                  </w:rPr>
                  <w:t>________</w:t>
                </w:r>
              </w:p>
              <w:p w14:paraId="64CBC685" w14:textId="77777777" w:rsidR="005E00D7" w:rsidRPr="00160630" w:rsidRDefault="005E00D7">
                <w:pPr>
                  <w:spacing w:line="276" w:lineRule="auto"/>
                  <w:jc w:val="both"/>
                  <w:rPr>
                    <w:rFonts w:ascii="Verdana" w:hAnsi="Verdana"/>
                    <w:sz w:val="4"/>
                    <w:szCs w:val="4"/>
                  </w:rPr>
                </w:pPr>
              </w:p>
              <w:p w14:paraId="788BCB22" w14:textId="77777777" w:rsidR="005E00D7" w:rsidRPr="00284759" w:rsidRDefault="005E00D7">
                <w:pPr>
                  <w:spacing w:line="276" w:lineRule="auto"/>
                  <w:jc w:val="both"/>
                  <w:rPr>
                    <w:rFonts w:ascii="Verdana" w:hAnsi="Verdana"/>
                  </w:rPr>
                </w:pPr>
                <w:r w:rsidRPr="00284759">
                  <w:rPr>
                    <w:rFonts w:ascii="Verdana" w:hAnsi="Verdana"/>
                  </w:rPr>
                  <w:t xml:space="preserve">Dirección: </w:t>
                </w:r>
                <w:r w:rsidRPr="00AA1AA8">
                  <w:rPr>
                    <w:rFonts w:ascii="Verdana" w:hAnsi="Verdana" w:cs="Arial"/>
                    <w:bCs/>
                    <w:lang w:val="es-MX"/>
                  </w:rPr>
                  <w:t xml:space="preserve">Calle 7 No. 4 - </w:t>
                </w:r>
                <w:proofErr w:type="gramStart"/>
                <w:r w:rsidRPr="00AA1AA8">
                  <w:rPr>
                    <w:rFonts w:ascii="Verdana" w:hAnsi="Verdana" w:cs="Arial"/>
                    <w:bCs/>
                    <w:lang w:val="es-MX"/>
                  </w:rPr>
                  <w:t xml:space="preserve">49  </w:t>
                </w:r>
                <w:r w:rsidRPr="00284759">
                  <w:rPr>
                    <w:rFonts w:ascii="Verdana" w:hAnsi="Verdana"/>
                  </w:rPr>
                  <w:t>Bogotá</w:t>
                </w:r>
                <w:proofErr w:type="gramEnd"/>
                <w:r w:rsidRPr="00284759">
                  <w:rPr>
                    <w:rFonts w:ascii="Verdana" w:hAnsi="Verdana"/>
                  </w:rPr>
                  <w:t xml:space="preserve"> D.C., Colombia</w:t>
                </w:r>
              </w:p>
              <w:p w14:paraId="25FCC9FE" w14:textId="77777777" w:rsidR="005E00D7" w:rsidRPr="00284759" w:rsidRDefault="005E00D7">
                <w:pPr>
                  <w:spacing w:line="276" w:lineRule="auto"/>
                  <w:jc w:val="both"/>
                  <w:rPr>
                    <w:rFonts w:ascii="Verdana" w:hAnsi="Verdana"/>
                  </w:rPr>
                </w:pPr>
                <w:r w:rsidRPr="00284759">
                  <w:rPr>
                    <w:rFonts w:ascii="Verdana" w:hAnsi="Verdana"/>
                  </w:rPr>
                  <w:t>Conmutador: (+57) 601 5</w:t>
                </w:r>
                <w:r>
                  <w:rPr>
                    <w:rFonts w:ascii="Verdana" w:hAnsi="Verdana"/>
                  </w:rPr>
                  <w:t>94</w:t>
                </w:r>
                <w:r w:rsidRPr="00284759">
                  <w:rPr>
                    <w:rFonts w:ascii="Verdana" w:hAnsi="Verdana"/>
                  </w:rPr>
                  <w:t xml:space="preserve"> </w:t>
                </w:r>
                <w:r>
                  <w:rPr>
                    <w:rFonts w:ascii="Verdana" w:hAnsi="Verdana"/>
                  </w:rPr>
                  <w:t>02</w:t>
                </w:r>
                <w:r w:rsidRPr="00284759">
                  <w:rPr>
                    <w:rFonts w:ascii="Verdana" w:hAnsi="Verdana"/>
                  </w:rPr>
                  <w:t xml:space="preserve">00 - 601 </w:t>
                </w:r>
                <w:r>
                  <w:rPr>
                    <w:rFonts w:ascii="Verdana" w:hAnsi="Verdana"/>
                  </w:rPr>
                  <w:t>594</w:t>
                </w:r>
                <w:r w:rsidRPr="00284759">
                  <w:rPr>
                    <w:rFonts w:ascii="Verdana" w:hAnsi="Verdana"/>
                  </w:rPr>
                  <w:t xml:space="preserve"> </w:t>
                </w:r>
                <w:r>
                  <w:rPr>
                    <w:rFonts w:ascii="Verdana" w:hAnsi="Verdana"/>
                  </w:rPr>
                  <w:t>0201</w:t>
                </w:r>
              </w:p>
              <w:p w14:paraId="6DDDEBD0" w14:textId="77777777" w:rsidR="005E00D7" w:rsidRPr="00284759" w:rsidRDefault="005E00D7">
                <w:pPr>
                  <w:spacing w:line="276" w:lineRule="auto"/>
                  <w:jc w:val="both"/>
                  <w:rPr>
                    <w:rFonts w:ascii="Verdana" w:hAnsi="Verdana"/>
                  </w:rPr>
                </w:pPr>
                <w:r w:rsidRPr="00F8640E">
                  <w:rPr>
                    <w:rFonts w:ascii="Verdana" w:hAnsi="Verdana"/>
                  </w:rPr>
                  <w:t>www.superfinanciera.gov.co</w:t>
                </w:r>
              </w:p>
            </w:txbxContent>
          </v:textbox>
          <w10:wrap anchorx="margin"/>
        </v:shape>
      </w:pict>
    </w:r>
    <w:r w:rsidR="0051683B" w:rsidRPr="00160630">
      <w:rPr>
        <w:rFonts w:ascii="Verdana" w:hAnsi="Verdana"/>
        <w:lang w:val="es-ES"/>
      </w:rPr>
      <w:t xml:space="preserve">Página | </w:t>
    </w:r>
    <w:r w:rsidR="0051683B" w:rsidRPr="00160630">
      <w:rPr>
        <w:rFonts w:ascii="Verdana" w:hAnsi="Verdana"/>
      </w:rPr>
      <w:fldChar w:fldCharType="begin"/>
    </w:r>
    <w:r w:rsidR="0051683B" w:rsidRPr="00160630">
      <w:rPr>
        <w:rFonts w:ascii="Verdana" w:hAnsi="Verdana"/>
      </w:rPr>
      <w:instrText>PAGE   \* MERGEFORMAT</w:instrText>
    </w:r>
    <w:r w:rsidR="0051683B" w:rsidRPr="00160630">
      <w:rPr>
        <w:rFonts w:ascii="Verdana" w:hAnsi="Verdana"/>
      </w:rPr>
      <w:fldChar w:fldCharType="separate"/>
    </w:r>
    <w:r w:rsidR="0051683B">
      <w:rPr>
        <w:rFonts w:ascii="Verdana" w:hAnsi="Verdana"/>
      </w:rPr>
      <w:t>2</w:t>
    </w:r>
    <w:r w:rsidR="0051683B" w:rsidRPr="00160630">
      <w:rPr>
        <w:rFonts w:ascii="Verdana" w:hAnsi="Verdana"/>
      </w:rPr>
      <w:fldChar w:fldCharType="end"/>
    </w:r>
    <w:r w:rsidR="0051683B" w:rsidRPr="00160630">
      <w:rPr>
        <w:rFonts w:ascii="Verdana" w:hAnsi="Verdana"/>
        <w:lang w:val="es-ES"/>
      </w:rPr>
      <w:t xml:space="preserve"> </w:t>
    </w:r>
  </w:p>
  <w:p w14:paraId="18FEAF49" w14:textId="77777777" w:rsidR="0051683B" w:rsidRDefault="005168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02A75" w14:textId="77777777" w:rsidR="00716483" w:rsidRDefault="00716483">
      <w:r>
        <w:separator/>
      </w:r>
    </w:p>
  </w:footnote>
  <w:footnote w:type="continuationSeparator" w:id="0">
    <w:p w14:paraId="4B11D8F2" w14:textId="77777777" w:rsidR="00716483" w:rsidRDefault="00716483">
      <w:r>
        <w:continuationSeparator/>
      </w:r>
    </w:p>
  </w:footnote>
  <w:footnote w:type="continuationNotice" w:id="1">
    <w:p w14:paraId="0D98A9F8" w14:textId="77777777" w:rsidR="00716483" w:rsidRDefault="007164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50665" w14:textId="77777777" w:rsidR="00564B20" w:rsidRDefault="00564B20">
    <w:pPr>
      <w:pStyle w:val="Encabezado"/>
      <w:jc w:val="center"/>
      <w:rPr>
        <w:rFonts w:ascii="Arial" w:hAnsi="Arial" w:cs="Arial"/>
        <w:b/>
        <w:sz w:val="24"/>
        <w:szCs w:val="24"/>
      </w:rPr>
    </w:pPr>
  </w:p>
  <w:p w14:paraId="5823176C" w14:textId="77777777" w:rsidR="00564B20" w:rsidRDefault="00564B20">
    <w:pPr>
      <w:pStyle w:val="Encabezado"/>
      <w:jc w:val="center"/>
      <w:rPr>
        <w:rFonts w:ascii="Arial" w:hAnsi="Arial" w:cs="Arial"/>
        <w:b/>
        <w:sz w:val="24"/>
        <w:szCs w:val="24"/>
      </w:rPr>
    </w:pPr>
  </w:p>
  <w:p w14:paraId="5546760E" w14:textId="77777777" w:rsidR="00564B20" w:rsidRDefault="00564B20">
    <w:pPr>
      <w:pStyle w:val="Encabezado"/>
      <w:jc w:val="center"/>
      <w:rPr>
        <w:rFonts w:ascii="Arial" w:hAnsi="Arial" w:cs="Arial"/>
        <w:b/>
        <w:sz w:val="24"/>
        <w:szCs w:val="24"/>
      </w:rPr>
    </w:pPr>
  </w:p>
  <w:p w14:paraId="0B2BDF8A" w14:textId="77777777" w:rsidR="00564B20" w:rsidRDefault="00564B20">
    <w:pPr>
      <w:pStyle w:val="Encabezado"/>
      <w:jc w:val="center"/>
      <w:rPr>
        <w:rFonts w:ascii="Arial" w:hAnsi="Arial" w:cs="Arial"/>
        <w:b/>
        <w:sz w:val="24"/>
        <w:szCs w:val="24"/>
      </w:rPr>
    </w:pPr>
    <w:r>
      <w:rPr>
        <w:rFonts w:ascii="Arial" w:hAnsi="Arial" w:cs="Arial"/>
        <w:b/>
        <w:sz w:val="24"/>
        <w:szCs w:val="24"/>
      </w:rPr>
      <w:t>SUPERINTENDENCIA FINANCIERA DE COLOMBIA</w:t>
    </w:r>
  </w:p>
  <w:p w14:paraId="2D2B6C8D" w14:textId="77777777" w:rsidR="00564B20" w:rsidRDefault="00564B20">
    <w:pPr>
      <w:pStyle w:val="Encabezado"/>
      <w:jc w:val="center"/>
      <w:rPr>
        <w:rFonts w:ascii="Arial" w:hAnsi="Arial" w:cs="Arial"/>
        <w:b/>
        <w:bCs/>
        <w:sz w:val="24"/>
        <w:szCs w:val="24"/>
        <w:lang w:val="es-CO"/>
      </w:rPr>
    </w:pPr>
  </w:p>
  <w:p w14:paraId="75F038A2" w14:textId="77777777" w:rsidR="00564B20" w:rsidRDefault="00564B20">
    <w:pPr>
      <w:pStyle w:val="Encabezado"/>
      <w:jc w:val="both"/>
      <w:rPr>
        <w:rFonts w:ascii="Arial" w:hAnsi="Arial" w:cs="Arial"/>
        <w:b/>
        <w:bCs/>
        <w:sz w:val="24"/>
        <w:szCs w:val="24"/>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50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2244"/>
      <w:gridCol w:w="4399"/>
      <w:gridCol w:w="2052"/>
    </w:tblGrid>
    <w:tr w:rsidR="00564B20" w14:paraId="008B86A9" w14:textId="77777777" w:rsidTr="0044428D">
      <w:trPr>
        <w:cantSplit/>
        <w:trHeight w:val="699"/>
      </w:trPr>
      <w:tc>
        <w:tcPr>
          <w:tcW w:w="2055" w:type="dxa"/>
          <w:vMerge w:val="restart"/>
          <w:noWrap/>
          <w:vAlign w:val="bottom"/>
        </w:tcPr>
        <w:p w14:paraId="65BE7C0E" w14:textId="77777777" w:rsidR="00564B20" w:rsidRDefault="00716483" w:rsidP="000F6CB5">
          <w:pPr>
            <w:rPr>
              <w:rFonts w:cs="Arial"/>
              <w:sz w:val="2"/>
              <w:szCs w:val="2"/>
              <w:lang w:val="es-CO"/>
            </w:rPr>
          </w:pPr>
          <w:r>
            <w:rPr>
              <w:rFonts w:ascii="Arial" w:hAnsi="Arial" w:cs="Arial"/>
              <w:color w:val="000000"/>
              <w:lang w:eastAsia="es-CO"/>
            </w:rPr>
            <w:pict w14:anchorId="38A45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15pt;height:38.85pt;mso-position-horizontal-relative:char;mso-position-vertical-relative:line">
                <v:imagedata r:id="rId1" o:title=""/>
              </v:shape>
            </w:pict>
          </w:r>
        </w:p>
        <w:p w14:paraId="57AA036B" w14:textId="77777777" w:rsidR="00564B20" w:rsidRDefault="00564B20" w:rsidP="000F6CB5">
          <w:pPr>
            <w:rPr>
              <w:rFonts w:cs="Arial"/>
              <w:sz w:val="2"/>
              <w:szCs w:val="2"/>
              <w:lang w:val="es-CO"/>
            </w:rPr>
          </w:pPr>
        </w:p>
        <w:p w14:paraId="30521403" w14:textId="77777777" w:rsidR="00564B20" w:rsidRDefault="00564B20" w:rsidP="000F6CB5">
          <w:pPr>
            <w:rPr>
              <w:rFonts w:cs="Arial"/>
              <w:sz w:val="2"/>
              <w:szCs w:val="2"/>
              <w:lang w:val="es-CO"/>
            </w:rPr>
          </w:pPr>
        </w:p>
        <w:p w14:paraId="57D67F65" w14:textId="77777777" w:rsidR="00564B20" w:rsidRDefault="00564B20" w:rsidP="000F6CB5">
          <w:pPr>
            <w:rPr>
              <w:rFonts w:cs="Arial"/>
              <w:sz w:val="2"/>
              <w:szCs w:val="2"/>
              <w:lang w:val="es-CO"/>
            </w:rPr>
          </w:pPr>
        </w:p>
        <w:p w14:paraId="5AE22A65" w14:textId="77777777" w:rsidR="00564B20" w:rsidRDefault="00564B20" w:rsidP="000F6CB5">
          <w:pPr>
            <w:rPr>
              <w:rFonts w:cs="Arial"/>
              <w:sz w:val="2"/>
              <w:szCs w:val="2"/>
              <w:lang w:val="es-CO"/>
            </w:rPr>
          </w:pPr>
        </w:p>
      </w:tc>
      <w:tc>
        <w:tcPr>
          <w:tcW w:w="4399" w:type="dxa"/>
          <w:shd w:val="clear" w:color="auto" w:fill="FFFFFF"/>
          <w:noWrap/>
          <w:vAlign w:val="center"/>
        </w:tcPr>
        <w:p w14:paraId="31814354" w14:textId="77777777" w:rsidR="00564B20" w:rsidRDefault="00564B20" w:rsidP="000F6CB5">
          <w:pPr>
            <w:jc w:val="center"/>
            <w:rPr>
              <w:rFonts w:ascii="Arial" w:hAnsi="Arial" w:cs="Arial"/>
              <w:b/>
              <w:sz w:val="32"/>
              <w:szCs w:val="32"/>
              <w:lang w:val="es-CO"/>
            </w:rPr>
          </w:pPr>
          <w:r>
            <w:rPr>
              <w:rFonts w:ascii="Arial" w:hAnsi="Arial" w:cs="Arial"/>
              <w:b/>
              <w:sz w:val="32"/>
              <w:szCs w:val="32"/>
              <w:lang w:val="es-CO"/>
            </w:rPr>
            <w:t>PROFORMA INTERNA</w:t>
          </w:r>
        </w:p>
      </w:tc>
      <w:tc>
        <w:tcPr>
          <w:tcW w:w="2052" w:type="dxa"/>
          <w:shd w:val="clear" w:color="auto" w:fill="FFFFFF"/>
          <w:noWrap/>
          <w:vAlign w:val="center"/>
        </w:tcPr>
        <w:p w14:paraId="4700B0CD" w14:textId="77777777" w:rsidR="00564B20" w:rsidRDefault="00564B20" w:rsidP="000F6CB5">
          <w:pPr>
            <w:jc w:val="center"/>
            <w:rPr>
              <w:rFonts w:ascii="Arial" w:hAnsi="Arial" w:cs="Arial"/>
              <w:lang w:val="es-CO"/>
            </w:rPr>
          </w:pPr>
          <w:r>
            <w:rPr>
              <w:rFonts w:ascii="Arial" w:hAnsi="Arial" w:cs="Arial"/>
              <w:bCs/>
            </w:rPr>
            <w:t>E-PI-DDS-002</w:t>
          </w:r>
        </w:p>
      </w:tc>
    </w:tr>
    <w:tr w:rsidR="00564B20" w14:paraId="27D1BB93" w14:textId="77777777" w:rsidTr="00043B3D">
      <w:trPr>
        <w:cantSplit/>
        <w:trHeight w:val="378"/>
      </w:trPr>
      <w:tc>
        <w:tcPr>
          <w:tcW w:w="2055" w:type="dxa"/>
          <w:vMerge/>
          <w:noWrap/>
          <w:vAlign w:val="bottom"/>
        </w:tcPr>
        <w:p w14:paraId="03B9C13D" w14:textId="77777777" w:rsidR="00564B20" w:rsidRDefault="00564B20" w:rsidP="000F6CB5">
          <w:pPr>
            <w:rPr>
              <w:rFonts w:cs="Arial"/>
              <w:color w:val="FFFFFF"/>
              <w:lang w:val="es-CO"/>
            </w:rPr>
          </w:pPr>
        </w:p>
      </w:tc>
      <w:tc>
        <w:tcPr>
          <w:tcW w:w="4399" w:type="dxa"/>
          <w:vAlign w:val="center"/>
        </w:tcPr>
        <w:p w14:paraId="0836EB5A" w14:textId="77777777" w:rsidR="00564B20" w:rsidRDefault="00564B20" w:rsidP="00564B20">
          <w:pPr>
            <w:pStyle w:val="Ttulo2"/>
            <w:jc w:val="center"/>
            <w:rPr>
              <w:rFonts w:cs="Arial"/>
            </w:rPr>
          </w:pPr>
          <w:r>
            <w:rPr>
              <w:rFonts w:cs="Arial"/>
            </w:rPr>
            <w:t>PUBLICACIÓN PARA COMENTARIOS</w:t>
          </w:r>
          <w:r w:rsidR="002B6E99">
            <w:rPr>
              <w:rFonts w:cs="Arial"/>
            </w:rPr>
            <w:t xml:space="preserve"> NORMA</w:t>
          </w:r>
        </w:p>
      </w:tc>
      <w:tc>
        <w:tcPr>
          <w:tcW w:w="2052" w:type="dxa"/>
          <w:shd w:val="clear" w:color="auto" w:fill="FFFFFF"/>
          <w:noWrap/>
          <w:vAlign w:val="center"/>
        </w:tcPr>
        <w:p w14:paraId="3DEF7E6C" w14:textId="77777777" w:rsidR="00564B20" w:rsidRDefault="00564B20" w:rsidP="000F6CB5">
          <w:pPr>
            <w:jc w:val="center"/>
            <w:rPr>
              <w:rFonts w:ascii="Arial" w:hAnsi="Arial" w:cs="Arial"/>
              <w:lang w:val="es-CO"/>
            </w:rPr>
          </w:pPr>
          <w:r>
            <w:rPr>
              <w:rFonts w:ascii="Arial" w:hAnsi="Arial" w:cs="Arial"/>
              <w:bCs/>
            </w:rPr>
            <w:t xml:space="preserve">Versión </w:t>
          </w:r>
          <w:r w:rsidR="001922C8">
            <w:rPr>
              <w:rFonts w:ascii="Arial" w:hAnsi="Arial" w:cs="Arial"/>
              <w:bCs/>
            </w:rPr>
            <w:t>5</w:t>
          </w:r>
        </w:p>
      </w:tc>
    </w:tr>
  </w:tbl>
  <w:p w14:paraId="3415C740" w14:textId="77777777" w:rsidR="00564B20" w:rsidRDefault="00564B20" w:rsidP="00564B20">
    <w:pPr>
      <w:pStyle w:val="Encabezado"/>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615DA" w14:textId="28305FA9" w:rsidR="0051683B" w:rsidRDefault="006D3C8F">
    <w:pPr>
      <w:pStyle w:val="Encabezado"/>
    </w:pPr>
    <w:r>
      <w:rPr>
        <w:noProof/>
      </w:rPr>
      <w:pict w14:anchorId="5A138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43" type="#_x0000_t75" alt="Imagen que contiene Icono&#10;&#10;Descripción generada automáticamente" style="position:absolute;margin-left:-43.05pt;margin-top:-7.65pt;width:136.25pt;height:42.7pt;z-index:251658241;visibility:visible;mso-position-vertical-relative:line">
          <v:imagedata r:id="rId1" o:title="Imagen que contiene Icono&#10;&#10;Descripción generada automáticamente"/>
          <w10:wrap type="square" anchory="line"/>
        </v:shape>
      </w:pict>
    </w:r>
    <w:r>
      <w:rPr>
        <w:noProof/>
      </w:rPr>
      <w:pict w14:anchorId="0AF695AF">
        <v:shape id="Imagen 14" o:spid="_x0000_s1044" type="#_x0000_t75" alt="Icono&#10;&#10;Descripción generada automáticamente" style="position:absolute;margin-left:345.45pt;margin-top:-6.9pt;width:150.75pt;height:40.1pt;z-index:251658242;visibility:visible;mso-position-horizontal-relative:margin;mso-position-vertical-relative:line">
          <v:imagedata r:id="rId2" o:title="Icono&#10;&#10;Descripción generada automáticamente"/>
          <w10:wrap type="square" anchorx="margin" anchory="line"/>
        </v:shape>
      </w:pict>
    </w:r>
  </w:p>
  <w:p w14:paraId="661115EC" w14:textId="77777777" w:rsidR="0051683B" w:rsidRDefault="0051683B">
    <w:pPr>
      <w:pStyle w:val="Encabezado"/>
    </w:pPr>
  </w:p>
  <w:p w14:paraId="3882F4BF" w14:textId="77777777" w:rsidR="0051683B" w:rsidRDefault="0051683B">
    <w:pPr>
      <w:pStyle w:val="Encabezado"/>
    </w:pPr>
  </w:p>
  <w:p w14:paraId="12F42073" w14:textId="36745C29" w:rsidR="0051683B" w:rsidRPr="00971FCD" w:rsidRDefault="0051683B">
    <w:pPr>
      <w:pStyle w:val="Encabezado"/>
      <w:ind w:left="-426"/>
      <w:rPr>
        <w:rFonts w:ascii="Arial" w:hAnsi="Arial" w:cs="Arial"/>
      </w:rPr>
    </w:pPr>
    <w:r>
      <w:rPr>
        <w:rFonts w:ascii="Arial" w:hAnsi="Arial" w:cs="Arial"/>
      </w:rPr>
      <w:t>C</w:t>
    </w:r>
    <w:r w:rsidRPr="00AE7A92">
      <w:rPr>
        <w:rFonts w:ascii="Arial" w:hAnsi="Arial" w:cs="Arial"/>
      </w:rPr>
      <w:t>ircular</w:t>
    </w:r>
    <w:r>
      <w:rPr>
        <w:rFonts w:ascii="Arial" w:hAnsi="Arial" w:cs="Arial"/>
      </w:rPr>
      <w:t xml:space="preserve"> Externa</w:t>
    </w:r>
    <w:r w:rsidRPr="00AE7A92">
      <w:rPr>
        <w:rFonts w:ascii="Arial" w:hAnsi="Arial" w:cs="Arial"/>
      </w:rPr>
      <w:t xml:space="preserve"> </w:t>
    </w:r>
    <w:r>
      <w:rPr>
        <w:rFonts w:ascii="Arial" w:hAnsi="Arial" w:cs="Arial"/>
      </w:rPr>
      <w:t xml:space="preserve">   </w:t>
    </w:r>
    <w:r w:rsidRPr="00AE7A92">
      <w:rPr>
        <w:rFonts w:ascii="Arial" w:hAnsi="Arial" w:cs="Arial"/>
      </w:rPr>
      <w:t xml:space="preserve"> </w:t>
    </w:r>
    <w:r>
      <w:rPr>
        <w:rFonts w:ascii="Arial" w:hAnsi="Arial" w:cs="Arial"/>
      </w:rPr>
      <w:t xml:space="preserve">  </w:t>
    </w:r>
    <w:r w:rsidRPr="00AE7A92">
      <w:rPr>
        <w:rFonts w:ascii="Arial" w:hAnsi="Arial" w:cs="Arial"/>
      </w:rPr>
      <w:t xml:space="preserve">de </w:t>
    </w:r>
    <w:r>
      <w:rPr>
        <w:rFonts w:ascii="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AD8AD" w14:textId="53EE116F" w:rsidR="0051683B" w:rsidRDefault="006D3C8F">
    <w:pPr>
      <w:pStyle w:val="Encabezado"/>
    </w:pPr>
    <w:r>
      <w:rPr>
        <w:noProof/>
      </w:rPr>
      <w:pict w14:anchorId="23818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46" type="#_x0000_t75" alt="Imagen que contiene Icono&#10;&#10;Descripción generada automáticamente" style="position:absolute;margin-left:-48.75pt;margin-top:-4.55pt;width:136.25pt;height:42.65pt;z-index:251658243;visibility:visible;mso-position-vertical-relative:line">
          <v:imagedata r:id="rId1" o:title="Imagen que contiene Icono&#10;&#10;Descripción generada automáticamente"/>
          <w10:wrap type="square" anchory="line"/>
        </v:shape>
      </w:pict>
    </w:r>
    <w:r>
      <w:rPr>
        <w:noProof/>
      </w:rPr>
      <w:pict w14:anchorId="092FCD98">
        <v:shape id="Imagen 11" o:spid="_x0000_s1047" type="#_x0000_t75" alt="Icono&#10;&#10;Descripción generada automáticamente" style="position:absolute;margin-left:339.75pt;margin-top:-3.8pt;width:150.75pt;height:40.1pt;z-index:251658244;visibility:visible;mso-position-horizontal-relative:margin;mso-position-vertical-relative:line">
          <v:imagedata r:id="rId2" o:title="Icono&#10;&#10;Descripción generada automáticamente"/>
          <w10:wrap type="square" anchorx="margin" anchory="lin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DF2FD7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8C2D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8E663A"/>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DF4013"/>
    <w:multiLevelType w:val="multilevel"/>
    <w:tmpl w:val="8A0E9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5"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3"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16cid:durableId="411008465">
    <w:abstractNumId w:val="10"/>
  </w:num>
  <w:num w:numId="2" w16cid:durableId="113836347">
    <w:abstractNumId w:val="42"/>
  </w:num>
  <w:num w:numId="3" w16cid:durableId="1483036013">
    <w:abstractNumId w:val="27"/>
  </w:num>
  <w:num w:numId="4" w16cid:durableId="230777572">
    <w:abstractNumId w:val="2"/>
  </w:num>
  <w:num w:numId="5" w16cid:durableId="207953660">
    <w:abstractNumId w:val="1"/>
  </w:num>
  <w:num w:numId="6" w16cid:durableId="1591237086">
    <w:abstractNumId w:val="0"/>
  </w:num>
  <w:num w:numId="7" w16cid:durableId="1865627041">
    <w:abstractNumId w:val="43"/>
  </w:num>
  <w:num w:numId="8" w16cid:durableId="443888562">
    <w:abstractNumId w:val="12"/>
  </w:num>
  <w:num w:numId="9" w16cid:durableId="1873179596">
    <w:abstractNumId w:val="36"/>
  </w:num>
  <w:num w:numId="10" w16cid:durableId="967247002">
    <w:abstractNumId w:val="14"/>
  </w:num>
  <w:num w:numId="11" w16cid:durableId="968169493">
    <w:abstractNumId w:val="26"/>
  </w:num>
  <w:num w:numId="12" w16cid:durableId="191847000">
    <w:abstractNumId w:val="5"/>
  </w:num>
  <w:num w:numId="13" w16cid:durableId="681014886">
    <w:abstractNumId w:val="18"/>
  </w:num>
  <w:num w:numId="14" w16cid:durableId="64842434">
    <w:abstractNumId w:val="25"/>
  </w:num>
  <w:num w:numId="15" w16cid:durableId="1372613316">
    <w:abstractNumId w:val="11"/>
  </w:num>
  <w:num w:numId="16" w16cid:durableId="1028261240">
    <w:abstractNumId w:val="13"/>
  </w:num>
  <w:num w:numId="17" w16cid:durableId="220799406">
    <w:abstractNumId w:val="8"/>
  </w:num>
  <w:num w:numId="18" w16cid:durableId="1012881867">
    <w:abstractNumId w:val="45"/>
  </w:num>
  <w:num w:numId="19" w16cid:durableId="157427065">
    <w:abstractNumId w:val="38"/>
  </w:num>
  <w:num w:numId="20" w16cid:durableId="1345091928">
    <w:abstractNumId w:val="20"/>
  </w:num>
  <w:num w:numId="21" w16cid:durableId="1710757985">
    <w:abstractNumId w:val="15"/>
  </w:num>
  <w:num w:numId="22" w16cid:durableId="143284096">
    <w:abstractNumId w:val="16"/>
  </w:num>
  <w:num w:numId="23" w16cid:durableId="465510432">
    <w:abstractNumId w:val="7"/>
  </w:num>
  <w:num w:numId="24" w16cid:durableId="532421086">
    <w:abstractNumId w:val="24"/>
  </w:num>
  <w:num w:numId="25" w16cid:durableId="312108198">
    <w:abstractNumId w:val="37"/>
  </w:num>
  <w:num w:numId="26" w16cid:durableId="1993950309">
    <w:abstractNumId w:val="23"/>
  </w:num>
  <w:num w:numId="27" w16cid:durableId="566965278">
    <w:abstractNumId w:val="44"/>
  </w:num>
  <w:num w:numId="28" w16cid:durableId="751005524">
    <w:abstractNumId w:val="6"/>
  </w:num>
  <w:num w:numId="29" w16cid:durableId="636839563">
    <w:abstractNumId w:val="21"/>
  </w:num>
  <w:num w:numId="30" w16cid:durableId="575669984">
    <w:abstractNumId w:val="19"/>
  </w:num>
  <w:num w:numId="31" w16cid:durableId="1829707278">
    <w:abstractNumId w:val="39"/>
  </w:num>
  <w:num w:numId="32" w16cid:durableId="648020526">
    <w:abstractNumId w:val="32"/>
  </w:num>
  <w:num w:numId="33" w16cid:durableId="1265654537">
    <w:abstractNumId w:val="4"/>
  </w:num>
  <w:num w:numId="34" w16cid:durableId="667827584">
    <w:abstractNumId w:val="29"/>
  </w:num>
  <w:num w:numId="35" w16cid:durableId="472064603">
    <w:abstractNumId w:val="9"/>
  </w:num>
  <w:num w:numId="36" w16cid:durableId="729764534">
    <w:abstractNumId w:val="28"/>
  </w:num>
  <w:num w:numId="37" w16cid:durableId="1772965153">
    <w:abstractNumId w:val="34"/>
  </w:num>
  <w:num w:numId="38" w16cid:durableId="1009136967">
    <w:abstractNumId w:val="22"/>
  </w:num>
  <w:num w:numId="39" w16cid:durableId="783767277">
    <w:abstractNumId w:val="31"/>
  </w:num>
  <w:num w:numId="40" w16cid:durableId="301738471">
    <w:abstractNumId w:val="41"/>
  </w:num>
  <w:num w:numId="41" w16cid:durableId="1346903690">
    <w:abstractNumId w:val="17"/>
  </w:num>
  <w:num w:numId="42" w16cid:durableId="1151092829">
    <w:abstractNumId w:val="30"/>
  </w:num>
  <w:num w:numId="43" w16cid:durableId="1364403405">
    <w:abstractNumId w:val="3"/>
  </w:num>
  <w:num w:numId="44" w16cid:durableId="1954245317">
    <w:abstractNumId w:val="35"/>
  </w:num>
  <w:num w:numId="45" w16cid:durableId="1620258436">
    <w:abstractNumId w:val="40"/>
  </w:num>
  <w:num w:numId="46" w16cid:durableId="113954191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57"/>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26EA7"/>
    <w:rsid w:val="00043B3D"/>
    <w:rsid w:val="00047316"/>
    <w:rsid w:val="000779CA"/>
    <w:rsid w:val="000D147B"/>
    <w:rsid w:val="000E1779"/>
    <w:rsid w:val="000F6CB5"/>
    <w:rsid w:val="00120DA4"/>
    <w:rsid w:val="001258E1"/>
    <w:rsid w:val="00131A1F"/>
    <w:rsid w:val="001543F0"/>
    <w:rsid w:val="00190EE7"/>
    <w:rsid w:val="001922C8"/>
    <w:rsid w:val="001A6B7D"/>
    <w:rsid w:val="002B6E99"/>
    <w:rsid w:val="002C2ED2"/>
    <w:rsid w:val="002F4A2A"/>
    <w:rsid w:val="00316E05"/>
    <w:rsid w:val="0037411F"/>
    <w:rsid w:val="00374F5A"/>
    <w:rsid w:val="003760B7"/>
    <w:rsid w:val="003918C3"/>
    <w:rsid w:val="003E3CC3"/>
    <w:rsid w:val="003F7BBD"/>
    <w:rsid w:val="00404235"/>
    <w:rsid w:val="004043B0"/>
    <w:rsid w:val="0040661C"/>
    <w:rsid w:val="00410CAB"/>
    <w:rsid w:val="00427A3F"/>
    <w:rsid w:val="0044428D"/>
    <w:rsid w:val="00451E47"/>
    <w:rsid w:val="004C2087"/>
    <w:rsid w:val="004D5BBF"/>
    <w:rsid w:val="004F111A"/>
    <w:rsid w:val="00513233"/>
    <w:rsid w:val="0051683B"/>
    <w:rsid w:val="00543C56"/>
    <w:rsid w:val="00564B20"/>
    <w:rsid w:val="00567157"/>
    <w:rsid w:val="00581497"/>
    <w:rsid w:val="005933EE"/>
    <w:rsid w:val="005B5E29"/>
    <w:rsid w:val="005D51F0"/>
    <w:rsid w:val="005E00D7"/>
    <w:rsid w:val="005E13F4"/>
    <w:rsid w:val="00601D58"/>
    <w:rsid w:val="00621A24"/>
    <w:rsid w:val="0064423D"/>
    <w:rsid w:val="006475D4"/>
    <w:rsid w:val="00655C9D"/>
    <w:rsid w:val="00664B83"/>
    <w:rsid w:val="006A45A3"/>
    <w:rsid w:val="006B29A5"/>
    <w:rsid w:val="006B56BB"/>
    <w:rsid w:val="006C2208"/>
    <w:rsid w:val="006D2615"/>
    <w:rsid w:val="006D3C8F"/>
    <w:rsid w:val="006F70A6"/>
    <w:rsid w:val="006F7746"/>
    <w:rsid w:val="007003E9"/>
    <w:rsid w:val="00716483"/>
    <w:rsid w:val="00733D44"/>
    <w:rsid w:val="0075215C"/>
    <w:rsid w:val="007A55C7"/>
    <w:rsid w:val="007C0F8A"/>
    <w:rsid w:val="007E4209"/>
    <w:rsid w:val="008078CF"/>
    <w:rsid w:val="00824B7C"/>
    <w:rsid w:val="008269C4"/>
    <w:rsid w:val="00836A72"/>
    <w:rsid w:val="0084010C"/>
    <w:rsid w:val="00870B9A"/>
    <w:rsid w:val="008B697F"/>
    <w:rsid w:val="008C78C6"/>
    <w:rsid w:val="008D1DF6"/>
    <w:rsid w:val="008E4990"/>
    <w:rsid w:val="00903F36"/>
    <w:rsid w:val="00904A52"/>
    <w:rsid w:val="00997CB7"/>
    <w:rsid w:val="009A55F6"/>
    <w:rsid w:val="00A164B8"/>
    <w:rsid w:val="00A57330"/>
    <w:rsid w:val="00A61CAF"/>
    <w:rsid w:val="00AC0FDE"/>
    <w:rsid w:val="00B05C8F"/>
    <w:rsid w:val="00B33088"/>
    <w:rsid w:val="00B35EF2"/>
    <w:rsid w:val="00B47E40"/>
    <w:rsid w:val="00B51F39"/>
    <w:rsid w:val="00BB3603"/>
    <w:rsid w:val="00BB37DA"/>
    <w:rsid w:val="00BC13D7"/>
    <w:rsid w:val="00C340E1"/>
    <w:rsid w:val="00C8742D"/>
    <w:rsid w:val="00CD33D4"/>
    <w:rsid w:val="00CE122D"/>
    <w:rsid w:val="00D071C4"/>
    <w:rsid w:val="00D42D4C"/>
    <w:rsid w:val="00D84D73"/>
    <w:rsid w:val="00DF3624"/>
    <w:rsid w:val="00E416CF"/>
    <w:rsid w:val="00E435E8"/>
    <w:rsid w:val="00E47C9B"/>
    <w:rsid w:val="00E530A0"/>
    <w:rsid w:val="00E66DC8"/>
    <w:rsid w:val="00E77E01"/>
    <w:rsid w:val="00E93C1D"/>
    <w:rsid w:val="00E979D9"/>
    <w:rsid w:val="00EA1049"/>
    <w:rsid w:val="00EB26B9"/>
    <w:rsid w:val="00EC6395"/>
    <w:rsid w:val="00ED37AC"/>
    <w:rsid w:val="00EE3537"/>
    <w:rsid w:val="00F32DEC"/>
    <w:rsid w:val="00F6044F"/>
    <w:rsid w:val="00F70A31"/>
    <w:rsid w:val="00F822C8"/>
    <w:rsid w:val="00F9082E"/>
    <w:rsid w:val="00FC3F04"/>
    <w:rsid w:val="00FE2B60"/>
    <w:rsid w:val="00FF76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263CB"/>
  <w15:chartTrackingRefBased/>
  <w15:docId w15:val="{31091155-B6CA-41B3-A69A-44360845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customStyle="1" w:styleId="Puesto">
    <w:name w:val="Puesto"/>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Textoindependiente21">
    <w:name w:val="Texto independiente 21"/>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character" w:customStyle="1" w:styleId="EncabezadoCar">
    <w:name w:val="Encabezado Car"/>
    <w:link w:val="Encabezado"/>
    <w:rsid w:val="00543C56"/>
    <w:rPr>
      <w:lang w:val="es-ES_tradnl" w:eastAsia="es-ES"/>
    </w:rPr>
  </w:style>
  <w:style w:type="character" w:customStyle="1" w:styleId="PiedepginaCar">
    <w:name w:val="Pie de página Car"/>
    <w:link w:val="Piedepgina"/>
    <w:rsid w:val="00543C56"/>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0284760">
      <w:bodyDiv w:val="1"/>
      <w:marLeft w:val="0"/>
      <w:marRight w:val="0"/>
      <w:marTop w:val="0"/>
      <w:marBottom w:val="0"/>
      <w:divBdr>
        <w:top w:val="none" w:sz="0" w:space="0" w:color="auto"/>
        <w:left w:val="none" w:sz="0" w:space="0" w:color="auto"/>
        <w:bottom w:val="none" w:sz="0" w:space="0" w:color="auto"/>
        <w:right w:val="none" w:sz="0" w:space="0" w:color="auto"/>
      </w:divBdr>
    </w:div>
    <w:div w:id="21265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mativa@superfinanciera.gov.c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2A5AD3F22D54C80E3F274A92E9921" ma:contentTypeVersion="4" ma:contentTypeDescription="Create a new document." ma:contentTypeScope="" ma:versionID="6a7ab0cd7943c4742aa9a6263526024c">
  <xsd:schema xmlns:xsd="http://www.w3.org/2001/XMLSchema" xmlns:xs="http://www.w3.org/2001/XMLSchema" xmlns:p="http://schemas.microsoft.com/office/2006/metadata/properties" xmlns:ns2="e38561c8-1162-4183-b646-9d87c6f0daf7" targetNamespace="http://schemas.microsoft.com/office/2006/metadata/properties" ma:root="true" ma:fieldsID="43f24a38431a1cfabc672f0ec3e59a30" ns2:_="">
    <xsd:import namespace="e38561c8-1162-4183-b646-9d87c6f0daf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561c8-1162-4183-b646-9d87c6f0d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7B3EC-021B-43F7-A21C-40F66E788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561c8-1162-4183-b646-9d87c6f0d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F8447-8338-4C5E-8357-54365872B6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5AAFEF-B398-4266-926E-666D94084873}">
  <ds:schemaRefs>
    <ds:schemaRef ds:uri="http://schemas.microsoft.com/sharepoint/v3/contenttype/forms"/>
  </ds:schemaRefs>
</ds:datastoreItem>
</file>

<file path=customXml/itemProps4.xml><?xml version="1.0" encoding="utf-8"?>
<ds:datastoreItem xmlns:ds="http://schemas.openxmlformats.org/officeDocument/2006/customXml" ds:itemID="{2CD5414C-89CB-4143-B811-E238229A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881</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Proy CE</vt:lpstr>
    </vt:vector>
  </TitlesOfParts>
  <Company>superfinanciera</Company>
  <LinksUpToDate>false</LinksUpToDate>
  <CharactersWithSpaces>5721</CharactersWithSpaces>
  <SharedDoc>false</SharedDoc>
  <HLinks>
    <vt:vector size="6" baseType="variant">
      <vt:variant>
        <vt:i4>8060936</vt:i4>
      </vt:variant>
      <vt:variant>
        <vt:i4>0</vt:i4>
      </vt:variant>
      <vt:variant>
        <vt:i4>0</vt:i4>
      </vt:variant>
      <vt:variant>
        <vt:i4>5</vt:i4>
      </vt:variant>
      <vt:variant>
        <vt:lpwstr>mailto:normativa@superfinanciera.gov.co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Geraldine Fandino Bustos</cp:lastModifiedBy>
  <cp:revision>13</cp:revision>
  <cp:lastPrinted>2016-09-26T16:13:00Z</cp:lastPrinted>
  <dcterms:created xsi:type="dcterms:W3CDTF">2024-02-23T14:44:00Z</dcterms:created>
  <dcterms:modified xsi:type="dcterms:W3CDTF">2024-02-26T15:47:00Z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0x010100AD42A5AD3F22D54C80E3F274A92E9921</vt:lpwstr>
  </property>
</Properties>
</file>