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DCA7" w14:textId="77777777" w:rsidR="002264FE" w:rsidRPr="00DE086A" w:rsidRDefault="002264FE" w:rsidP="002264FE">
      <w:pPr>
        <w:jc w:val="center"/>
        <w:rPr>
          <w:rFonts w:ascii="Arial Narrow" w:hAnsi="Arial Narrow" w:cs="Arial"/>
          <w:b/>
        </w:rPr>
      </w:pPr>
      <w:r w:rsidRPr="00DE086A">
        <w:rPr>
          <w:rFonts w:ascii="Arial Narrow" w:hAnsi="Arial Narrow" w:cs="Arial"/>
          <w:b/>
        </w:rPr>
        <w:t>ANEXO TÉCNICO No 2</w:t>
      </w:r>
    </w:p>
    <w:p w14:paraId="2BA4CAC9" w14:textId="77777777" w:rsidR="002264FE" w:rsidRPr="00DE086A" w:rsidRDefault="002264FE" w:rsidP="002264FE">
      <w:pPr>
        <w:jc w:val="center"/>
        <w:rPr>
          <w:rFonts w:ascii="Arial Narrow" w:hAnsi="Arial Narrow" w:cs="Arial"/>
          <w:sz w:val="18"/>
        </w:rPr>
      </w:pPr>
    </w:p>
    <w:p w14:paraId="6C044BDF" w14:textId="77777777" w:rsidR="002264FE" w:rsidRPr="00DE086A" w:rsidRDefault="002264FE" w:rsidP="002264FE">
      <w:pPr>
        <w:jc w:val="center"/>
        <w:rPr>
          <w:rFonts w:ascii="Arial Narrow" w:hAnsi="Arial Narrow" w:cs="Arial"/>
          <w:sz w:val="18"/>
        </w:rPr>
      </w:pPr>
      <w:r w:rsidRPr="00DE086A">
        <w:rPr>
          <w:rFonts w:ascii="Arial Narrow" w:hAnsi="Arial Narrow" w:cs="Arial"/>
          <w:sz w:val="18"/>
        </w:rPr>
        <w:t xml:space="preserve">Elaborado con base en el Anexo No.1 “MANUAL PARA LA ELABORACIÓN DE TEXTOS NORMATIVOS-PROYECTOS DE DECRETO Y RESOLUCIÓN”, adoptado mediante Decreto 1081 de 2015, modificado por Decreto 1609 del mismo año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3"/>
      </w:tblGrid>
      <w:tr w:rsidR="002264FE" w:rsidRPr="00DE086A" w14:paraId="4B7595A0" w14:textId="77777777" w:rsidTr="00E32220">
        <w:trPr>
          <w:trHeight w:val="334"/>
        </w:trPr>
        <w:tc>
          <w:tcPr>
            <w:tcW w:w="9073" w:type="dxa"/>
          </w:tcPr>
          <w:p w14:paraId="7BDF9575" w14:textId="77777777" w:rsidR="002264FE" w:rsidRPr="00DE086A" w:rsidRDefault="002264FE" w:rsidP="00E32220">
            <w:pPr>
              <w:jc w:val="center"/>
              <w:rPr>
                <w:rFonts w:ascii="Arial Narrow" w:hAnsi="Arial Narrow" w:cs="Arial"/>
                <w:b/>
                <w:szCs w:val="24"/>
              </w:rPr>
            </w:pPr>
            <w:r w:rsidRPr="00DE086A">
              <w:rPr>
                <w:rFonts w:ascii="Arial Narrow" w:hAnsi="Arial Narrow" w:cs="Arial"/>
                <w:b/>
                <w:sz w:val="20"/>
              </w:rPr>
              <w:t>FORMATO ÚNICO DE MEMORIA JUSTIFICATIVA</w:t>
            </w:r>
          </w:p>
        </w:tc>
      </w:tr>
      <w:tr w:rsidR="002264FE" w:rsidRPr="00DE086A" w14:paraId="0E87FDB7" w14:textId="77777777" w:rsidTr="00E32220">
        <w:trPr>
          <w:trHeight w:val="12600"/>
        </w:trPr>
        <w:tc>
          <w:tcPr>
            <w:tcW w:w="9073" w:type="dxa"/>
          </w:tcPr>
          <w:p w14:paraId="78F9F928" w14:textId="77777777" w:rsidR="002264FE" w:rsidRPr="00DE086A" w:rsidRDefault="002264FE" w:rsidP="00E32220">
            <w:pPr>
              <w:jc w:val="center"/>
              <w:rPr>
                <w:rFonts w:ascii="Arial Narrow" w:hAnsi="Arial Narrow" w:cs="Arial"/>
                <w:b/>
                <w:szCs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50"/>
            </w:tblGrid>
            <w:tr w:rsidR="002264FE" w:rsidRPr="00DE086A" w14:paraId="12A067D6" w14:textId="77777777" w:rsidTr="00E32220">
              <w:trPr>
                <w:trHeight w:val="645"/>
              </w:trPr>
              <w:tc>
                <w:tcPr>
                  <w:tcW w:w="8550" w:type="dxa"/>
                </w:tcPr>
                <w:p w14:paraId="28D87229" w14:textId="77777777" w:rsidR="002264FE" w:rsidRPr="00DE086A" w:rsidRDefault="002264FE" w:rsidP="00E32220">
                  <w:pPr>
                    <w:pStyle w:val="Prrafodelista"/>
                    <w:numPr>
                      <w:ilvl w:val="0"/>
                      <w:numId w:val="1"/>
                    </w:numPr>
                    <w:ind w:left="358" w:hanging="284"/>
                    <w:rPr>
                      <w:rFonts w:ascii="Arial Narrow" w:hAnsi="Arial Narrow" w:cs="Arial"/>
                      <w:b/>
                      <w:sz w:val="22"/>
                      <w:szCs w:val="22"/>
                    </w:rPr>
                  </w:pPr>
                  <w:r w:rsidRPr="00DE086A">
                    <w:rPr>
                      <w:rFonts w:ascii="Arial Narrow" w:hAnsi="Arial Narrow" w:cs="Arial"/>
                      <w:b/>
                      <w:sz w:val="22"/>
                      <w:szCs w:val="22"/>
                    </w:rPr>
                    <w:t xml:space="preserve">ANTECEDENTES Y RAZONES DE OPORTUNIDAD QUE JUSTIFICAN SU EXPEDICIÓN. – OBLIGATORIAMENTE DEBE SER DILIGENCIADO POR EL ÁREA TÉCNICA  </w:t>
                  </w:r>
                </w:p>
              </w:tc>
            </w:tr>
          </w:tbl>
          <w:p w14:paraId="2EBC4786" w14:textId="77777777" w:rsidR="002264FE" w:rsidRPr="00DE086A" w:rsidRDefault="002264FE" w:rsidP="00E32220">
            <w:pPr>
              <w:rPr>
                <w:rFonts w:ascii="Arial Narrow" w:hAnsi="Arial Narrow" w:cs="Arial"/>
                <w:b/>
                <w:szCs w:val="24"/>
              </w:rPr>
            </w:pPr>
            <w:r w:rsidRPr="00DE086A">
              <w:rPr>
                <w:rFonts w:ascii="Arial Narrow" w:hAnsi="Arial Narrow" w:cs="Arial"/>
                <w:b/>
                <w:szCs w:val="24"/>
              </w:rPr>
              <w:t xml:space="preserve"> </w:t>
            </w:r>
          </w:p>
          <w:p w14:paraId="08109DCD" w14:textId="77777777" w:rsidR="002264FE" w:rsidRDefault="002264FE" w:rsidP="00E32220">
            <w:pPr>
              <w:ind w:left="214" w:right="214"/>
              <w:jc w:val="both"/>
              <w:rPr>
                <w:rFonts w:ascii="Arial Narrow" w:hAnsi="Arial Narrow" w:cs="Arial"/>
                <w:b/>
                <w:szCs w:val="24"/>
              </w:rPr>
            </w:pPr>
            <w:r w:rsidRPr="00DE086A">
              <w:rPr>
                <w:rFonts w:ascii="Arial Narrow" w:hAnsi="Arial Narrow" w:cs="Arial"/>
                <w:b/>
                <w:szCs w:val="24"/>
              </w:rPr>
              <w:t>(Este campo deberá diligenciarse explicando en síntesis y de manera clara y concreta por qué se requiere la regulación de determinada materia por parte de la autoridad (es) administrativa (s), a través de la expedición del proyecto de acto administrativo según corresponda).</w:t>
            </w:r>
          </w:p>
          <w:p w14:paraId="008264D8" w14:textId="77777777" w:rsidR="002264FE" w:rsidRDefault="002264FE" w:rsidP="00E32220">
            <w:pPr>
              <w:autoSpaceDE w:val="0"/>
              <w:autoSpaceDN w:val="0"/>
              <w:adjustRightInd w:val="0"/>
              <w:rPr>
                <w:rFonts w:ascii="Arial Narrow" w:hAnsi="Arial Narrow" w:cs="Arial"/>
                <w:bCs/>
                <w:szCs w:val="24"/>
              </w:rPr>
            </w:pPr>
          </w:p>
          <w:tbl>
            <w:tblPr>
              <w:tblStyle w:val="Tablaconcuadrcula"/>
              <w:tblW w:w="0" w:type="auto"/>
              <w:tblInd w:w="137" w:type="dxa"/>
              <w:tblLayout w:type="fixed"/>
              <w:tblLook w:val="04A0" w:firstRow="1" w:lastRow="0" w:firstColumn="1" w:lastColumn="0" w:noHBand="0" w:noVBand="1"/>
            </w:tblPr>
            <w:tblGrid>
              <w:gridCol w:w="8647"/>
            </w:tblGrid>
            <w:tr w:rsidR="002264FE" w14:paraId="657BBBE8" w14:textId="77777777" w:rsidTr="00E32220">
              <w:tc>
                <w:tcPr>
                  <w:tcW w:w="8647" w:type="dxa"/>
                </w:tcPr>
                <w:p w14:paraId="25635BC2" w14:textId="2802A655" w:rsidR="00E76E57" w:rsidRDefault="00E76E57" w:rsidP="00E76E57">
                  <w:pPr>
                    <w:pStyle w:val="Textoindependiente"/>
                    <w:rPr>
                      <w:rFonts w:ascii="Arial Narrow" w:hAnsi="Arial Narrow" w:cs="Arial"/>
                      <w:sz w:val="22"/>
                      <w:szCs w:val="22"/>
                      <w:lang w:val="es-CO" w:eastAsia="es-CO"/>
                    </w:rPr>
                  </w:pPr>
                  <w:r>
                    <w:rPr>
                      <w:rFonts w:ascii="Arial Narrow" w:hAnsi="Arial Narrow" w:cs="Arial"/>
                      <w:sz w:val="22"/>
                      <w:szCs w:val="22"/>
                      <w:lang w:eastAsia="es-CO"/>
                    </w:rPr>
                    <w:t>La CIE</w:t>
                  </w:r>
                  <w:r w:rsidR="007007FF">
                    <w:rPr>
                      <w:rFonts w:ascii="Arial Narrow" w:hAnsi="Arial Narrow" w:cs="Arial"/>
                      <w:sz w:val="22"/>
                      <w:szCs w:val="22"/>
                      <w:lang w:eastAsia="es-CO"/>
                    </w:rPr>
                    <w:t xml:space="preserve"> (</w:t>
                  </w:r>
                  <w:r w:rsidR="007007FF" w:rsidRPr="0060555B">
                    <w:rPr>
                      <w:rFonts w:ascii="Arial Narrow" w:hAnsi="Arial Narrow" w:cs="Arial"/>
                      <w:sz w:val="22"/>
                      <w:szCs w:val="22"/>
                    </w:rPr>
                    <w:t>Clasificación Estadística Internacional de Enfermedades</w:t>
                  </w:r>
                  <w:r w:rsidR="007007FF">
                    <w:rPr>
                      <w:rFonts w:ascii="Arial Narrow" w:hAnsi="Arial Narrow" w:cs="Arial"/>
                      <w:sz w:val="22"/>
                      <w:szCs w:val="22"/>
                    </w:rPr>
                    <w:t>)</w:t>
                  </w:r>
                  <w:r>
                    <w:rPr>
                      <w:rFonts w:ascii="Arial Narrow" w:hAnsi="Arial Narrow" w:cs="Arial"/>
                      <w:sz w:val="22"/>
                      <w:szCs w:val="22"/>
                      <w:lang w:eastAsia="es-CO"/>
                    </w:rPr>
                    <w:t xml:space="preserve"> es el estándar internacional elaborado por la Organización Mundial de la Salud -OMS para clasificación de diagnósticos con propósitos clínicos, estadísticos, epidemiológicos o de investigación. La CIE permite la conversión de los términos diagnósticos y de otros problemas de salud que se encuentran en forma alfabética, a códigos alfanuméricos que facilitan su almacenamiento y posterior recuperación para el análisis de la información.</w:t>
                  </w:r>
                </w:p>
                <w:p w14:paraId="6FC3D82C" w14:textId="77777777" w:rsidR="00E76E57" w:rsidRDefault="00E76E57" w:rsidP="00E76E57">
                  <w:pPr>
                    <w:pStyle w:val="Textoindependiente"/>
                    <w:rPr>
                      <w:rFonts w:ascii="Arial Narrow" w:hAnsi="Arial Narrow" w:cs="Arial"/>
                      <w:sz w:val="22"/>
                      <w:szCs w:val="22"/>
                      <w:lang w:eastAsia="es-CO"/>
                    </w:rPr>
                  </w:pPr>
                  <w:r>
                    <w:rPr>
                      <w:rFonts w:ascii="Arial Narrow" w:hAnsi="Arial Narrow" w:cs="Arial"/>
                      <w:sz w:val="22"/>
                      <w:szCs w:val="22"/>
                      <w:lang w:eastAsia="es-CO"/>
                    </w:rPr>
                    <w:t> </w:t>
                  </w:r>
                </w:p>
                <w:p w14:paraId="47490C41" w14:textId="77777777" w:rsidR="00E76E57" w:rsidRDefault="00E76E57" w:rsidP="00E76E57">
                  <w:pPr>
                    <w:pStyle w:val="Textoindependiente"/>
                    <w:rPr>
                      <w:rFonts w:ascii="Arial Narrow" w:hAnsi="Arial Narrow" w:cs="Arial"/>
                      <w:sz w:val="22"/>
                      <w:szCs w:val="22"/>
                      <w:lang w:eastAsia="es-CO"/>
                    </w:rPr>
                  </w:pPr>
                  <w:r>
                    <w:rPr>
                      <w:rFonts w:ascii="Arial Narrow" w:hAnsi="Arial Narrow" w:cs="Arial"/>
                      <w:sz w:val="22"/>
                      <w:szCs w:val="22"/>
                      <w:lang w:eastAsia="es-CO"/>
                    </w:rPr>
                    <w:t xml:space="preserve">Desde 1993 la décima revisión de la CIE con sus actualizaciones se encuentra vigente, sin embargo, desde 2009 la OMS inició oficialmente el proceso de revisión exhaustiva de la CIE-10, adoptando la undécima revisión mediante resolución WHA72.15 de la 72ª Asamblea Mundial de la Salud del 28 de mayo de 2019, la cual entró en vigor para los Estados miembros a partir del 01 de enero de 2022. </w:t>
                  </w:r>
                </w:p>
                <w:p w14:paraId="5867EA03" w14:textId="77777777" w:rsidR="00E76E57" w:rsidRDefault="00E76E57" w:rsidP="00E76E57">
                  <w:pPr>
                    <w:pStyle w:val="Textoindependiente"/>
                    <w:rPr>
                      <w:rFonts w:ascii="Arial Narrow" w:hAnsi="Arial Narrow" w:cs="Arial"/>
                      <w:sz w:val="22"/>
                      <w:szCs w:val="22"/>
                      <w:lang w:eastAsia="es-CO"/>
                    </w:rPr>
                  </w:pPr>
                </w:p>
                <w:p w14:paraId="25894B1C" w14:textId="77777777" w:rsidR="00E76E57" w:rsidRDefault="00E76E57" w:rsidP="00E76E57">
                  <w:pPr>
                    <w:pStyle w:val="Textoindependiente"/>
                    <w:rPr>
                      <w:rFonts w:ascii="Arial Narrow" w:hAnsi="Arial Narrow" w:cs="Arial"/>
                      <w:sz w:val="22"/>
                      <w:szCs w:val="22"/>
                      <w:lang w:eastAsia="es-CO"/>
                    </w:rPr>
                  </w:pPr>
                  <w:r>
                    <w:rPr>
                      <w:rFonts w:ascii="Arial Narrow" w:hAnsi="Arial Narrow" w:cs="Arial"/>
                      <w:sz w:val="22"/>
                      <w:szCs w:val="22"/>
                      <w:lang w:eastAsia="es-CO"/>
                    </w:rPr>
                    <w:t xml:space="preserve">Colombia a través de la Resolución número 1895 de 2001, adoptó para la codificación de morbilidad en el país, la Clasificación Estadística Internacional de Enfermedades y Problemas Relacionados con la Salud - Décima revisión. Ante la adopción de la undécima revisión por parte de la Asamblea Mundial de la Salud, el Ministerio de Salud y Protección Social inició a la planeación del proceso de transición hacia el uso de la CIE 11. </w:t>
                  </w:r>
                </w:p>
                <w:p w14:paraId="1F1338BB" w14:textId="77777777" w:rsidR="00E76E57" w:rsidRDefault="00E76E57" w:rsidP="00E76E57">
                  <w:pPr>
                    <w:pStyle w:val="Textoindependiente"/>
                    <w:rPr>
                      <w:rFonts w:ascii="Arial Narrow" w:hAnsi="Arial Narrow" w:cs="Arial"/>
                      <w:sz w:val="22"/>
                      <w:szCs w:val="22"/>
                      <w:lang w:eastAsia="es-CO"/>
                    </w:rPr>
                  </w:pPr>
                </w:p>
                <w:p w14:paraId="3F742351" w14:textId="77777777" w:rsidR="002264FE" w:rsidRPr="00163FB8" w:rsidRDefault="00E76E57" w:rsidP="001E49FB">
                  <w:pPr>
                    <w:pStyle w:val="Textoindependiente"/>
                    <w:rPr>
                      <w:rFonts w:ascii="Arial Narrow" w:hAnsi="Arial Narrow" w:cs="Arial"/>
                      <w:bCs/>
                      <w:szCs w:val="24"/>
                    </w:rPr>
                  </w:pPr>
                  <w:r>
                    <w:rPr>
                      <w:rFonts w:ascii="Arial Narrow" w:hAnsi="Arial Narrow" w:cs="Arial"/>
                      <w:sz w:val="22"/>
                      <w:szCs w:val="22"/>
                      <w:lang w:eastAsia="es-CO"/>
                    </w:rPr>
                    <w:t>Por lo anterior, se requiere realizar la actualización normativa que adopte en Colombia la undécima revisión de la Clasificación Internacional de Enfermedades y Problemas Relacionados con la Salud -CIE, y establezca un periodo de transición</w:t>
                  </w:r>
                  <w:r w:rsidR="001E49FB">
                    <w:rPr>
                      <w:rFonts w:ascii="Arial Narrow" w:hAnsi="Arial Narrow" w:cs="Arial"/>
                      <w:sz w:val="22"/>
                      <w:szCs w:val="22"/>
                      <w:lang w:eastAsia="es-CO"/>
                    </w:rPr>
                    <w:t xml:space="preserve">. </w:t>
                  </w:r>
                </w:p>
              </w:tc>
            </w:tr>
          </w:tbl>
          <w:p w14:paraId="56E4992F" w14:textId="77777777" w:rsidR="002264FE" w:rsidRPr="00163FB8" w:rsidRDefault="002264FE" w:rsidP="00E32220">
            <w:pPr>
              <w:rPr>
                <w:rFonts w:ascii="Arial Narrow" w:hAnsi="Arial Narrow" w:cs="Arial"/>
                <w:b/>
                <w:szCs w:val="24"/>
              </w:rPr>
            </w:pPr>
          </w:p>
          <w:p w14:paraId="1AD57B1D" w14:textId="77777777" w:rsidR="002264FE" w:rsidRPr="00DE086A" w:rsidRDefault="002264FE" w:rsidP="00E32220">
            <w:pPr>
              <w:rPr>
                <w:rFonts w:ascii="Arial Narrow" w:hAnsi="Arial Narrow" w:cs="Arial"/>
                <w:b/>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10"/>
            </w:tblGrid>
            <w:tr w:rsidR="002264FE" w:rsidRPr="00DE086A" w14:paraId="6E6FA5D9" w14:textId="77777777" w:rsidTr="00E32220">
              <w:trPr>
                <w:trHeight w:val="792"/>
              </w:trPr>
              <w:tc>
                <w:tcPr>
                  <w:tcW w:w="8610" w:type="dxa"/>
                </w:tcPr>
                <w:p w14:paraId="0AE0D59D" w14:textId="77777777" w:rsidR="002264FE" w:rsidRPr="00DE086A" w:rsidRDefault="002264FE" w:rsidP="00E32220">
                  <w:pPr>
                    <w:pStyle w:val="Prrafodelista"/>
                    <w:numPr>
                      <w:ilvl w:val="0"/>
                      <w:numId w:val="1"/>
                    </w:numPr>
                    <w:ind w:left="388" w:hanging="284"/>
                    <w:rPr>
                      <w:rFonts w:ascii="Arial Narrow" w:hAnsi="Arial Narrow" w:cs="Arial"/>
                      <w:b/>
                      <w:sz w:val="22"/>
                      <w:szCs w:val="22"/>
                    </w:rPr>
                  </w:pPr>
                  <w:r w:rsidRPr="00DE086A">
                    <w:rPr>
                      <w:rFonts w:ascii="Arial Narrow" w:hAnsi="Arial Narrow" w:cs="Arial"/>
                      <w:b/>
                      <w:sz w:val="22"/>
                      <w:szCs w:val="22"/>
                    </w:rPr>
                    <w:t xml:space="preserve">ÁMBITO DE APLICACIÓN DEL RESPECTIVO ACTO Y LOS SUJETOS A QUIENES VA DIRIGIDO. OBLIGATORIAMENTE DEBE SER DILIGENCIADO POR EL ÁREA TÉCNICA  </w:t>
                  </w:r>
                </w:p>
              </w:tc>
            </w:tr>
          </w:tbl>
          <w:p w14:paraId="4C3A706A" w14:textId="77777777" w:rsidR="002264FE" w:rsidRPr="00DE086A" w:rsidRDefault="002264FE" w:rsidP="00E32220">
            <w:pPr>
              <w:rPr>
                <w:rFonts w:ascii="Arial Narrow" w:hAnsi="Arial Narrow" w:cs="Arial"/>
                <w:b/>
                <w:szCs w:val="24"/>
              </w:rPr>
            </w:pPr>
          </w:p>
          <w:p w14:paraId="78F772A3" w14:textId="77777777" w:rsidR="002264FE" w:rsidRPr="00DE086A" w:rsidRDefault="002264FE" w:rsidP="00E32220">
            <w:pPr>
              <w:ind w:left="214"/>
              <w:rPr>
                <w:rFonts w:ascii="Arial Narrow" w:hAnsi="Arial Narrow" w:cs="Arial"/>
                <w:b/>
                <w:szCs w:val="24"/>
              </w:rPr>
            </w:pPr>
            <w:r w:rsidRPr="00DE086A">
              <w:rPr>
                <w:rFonts w:ascii="Arial Narrow" w:hAnsi="Arial Narrow" w:cs="Arial"/>
                <w:b/>
                <w:szCs w:val="24"/>
              </w:rPr>
              <w:t>(</w:t>
            </w:r>
            <w:r w:rsidRPr="00DE086A">
              <w:rPr>
                <w:rFonts w:ascii="Arial Narrow" w:hAnsi="Arial Narrow" w:cs="Arial"/>
                <w:b/>
                <w:sz w:val="22"/>
                <w:szCs w:val="22"/>
              </w:rPr>
              <w:t>Diligenciar este campo, enunciando las situaciones de hecho o derecho y las personas a las que va dirigido el acto</w:t>
            </w:r>
            <w:r w:rsidRPr="00DE086A">
              <w:rPr>
                <w:rFonts w:ascii="Arial Narrow" w:hAnsi="Arial Narrow" w:cs="Arial"/>
                <w:b/>
                <w:szCs w:val="24"/>
              </w:rPr>
              <w:t>)</w:t>
            </w:r>
          </w:p>
          <w:p w14:paraId="47F5D924" w14:textId="77777777" w:rsidR="002264FE" w:rsidRPr="00DE086A" w:rsidRDefault="002264FE" w:rsidP="00E32220">
            <w:pPr>
              <w:ind w:left="214"/>
              <w:rPr>
                <w:rFonts w:ascii="Arial Narrow" w:hAnsi="Arial Narrow" w:cs="Arial"/>
                <w:b/>
                <w:szCs w:val="24"/>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63"/>
            </w:tblGrid>
            <w:tr w:rsidR="002264FE" w:rsidRPr="00DE086A" w14:paraId="07DF1124" w14:textId="77777777" w:rsidTr="00E32220">
              <w:trPr>
                <w:trHeight w:val="960"/>
              </w:trPr>
              <w:tc>
                <w:tcPr>
                  <w:tcW w:w="8363" w:type="dxa"/>
                </w:tcPr>
                <w:p w14:paraId="3D9812B8" w14:textId="4B096D0E" w:rsidR="00E76E57" w:rsidRDefault="00E76E57" w:rsidP="00E76E57">
                  <w:pPr>
                    <w:pStyle w:val="Textoindependiente"/>
                    <w:rPr>
                      <w:rFonts w:ascii="Arial Narrow" w:hAnsi="Arial Narrow" w:cs="Arial"/>
                      <w:sz w:val="22"/>
                      <w:szCs w:val="22"/>
                      <w:lang w:val="es-CO"/>
                    </w:rPr>
                  </w:pPr>
                  <w:r>
                    <w:rPr>
                      <w:rFonts w:ascii="Arial Narrow" w:hAnsi="Arial Narrow" w:cs="Arial"/>
                      <w:sz w:val="22"/>
                      <w:szCs w:val="22"/>
                    </w:rPr>
                    <w:t xml:space="preserve">La Undécima revisión de la Clasificación Estadística Internacional de Enfermedades y Problemas de Salud Conexos CIE-11 debe ser implementada por: Organismos de Dirección, Vigilancia y Control del Sistema General de Seguridad Social en Salud, Entidades Promotoras del Régimen Contributivo y Subsidiado y demás Entidades Obligadas a Compensar - EOC; Entidades pertenecientes a los Regímenes Especial y de Excepción de salud, Secretarías de Salud de orden departamental, distrital, local o las entidades que hagan sus veces, Prestadores de servicios de salud incluyendo profesionales independientes, Compañías de Seguros para accidentes de tránsito, pólizas de hospitalización y cirugía o cualquier otra de protección en salud, La Administradora de los Recursos del Sistema General de Seguridad Social en Salud – ADRES, Administradoras de riesgos laborales, El Instituto Nacional de Medicina Legal y Ciencias Forenses, El Instituto Nacional Penitenciario y Carcelario, Todas las entidades y organizaciones del sector salud que tengan parte en la elaboración y consolidación de los Registros Individuales de Prestación de Servicios de Salud (RIPS), las fichas de notificación del Sistema de Vigilancia Epidemiológica (SIVIGILA), que generan y reportan registros de mortalidad </w:t>
                  </w:r>
                  <w:r w:rsidR="002227A9">
                    <w:rPr>
                      <w:rFonts w:ascii="Arial Narrow" w:hAnsi="Arial Narrow" w:cs="Arial"/>
                      <w:sz w:val="22"/>
                      <w:szCs w:val="22"/>
                    </w:rPr>
                    <w:t>e</w:t>
                  </w:r>
                  <w:r>
                    <w:rPr>
                      <w:rFonts w:ascii="Arial Narrow" w:hAnsi="Arial Narrow" w:cs="Arial"/>
                      <w:sz w:val="22"/>
                      <w:szCs w:val="22"/>
                    </w:rPr>
                    <w:t xml:space="preserve"> incluyendo el módulo de Nacimientos y Defunciones adscrito a la plataforma de Registro Único de Afiliados al Sistema de la Protección Social (RUAF-ND), el registro de prescripciones (MIPRES), las historias </w:t>
                  </w:r>
                  <w:r>
                    <w:rPr>
                      <w:rFonts w:ascii="Arial Narrow" w:hAnsi="Arial Narrow" w:cs="Arial"/>
                      <w:sz w:val="22"/>
                      <w:szCs w:val="22"/>
                    </w:rPr>
                    <w:lastRenderedPageBreak/>
                    <w:t>clínicas, epicrisis y otros registros de morbimortalidad, Los demás agentes del sistema que utilicen como codificador la Clasificación Estadística Internacional de Enfermedades -CIE-.</w:t>
                  </w:r>
                </w:p>
                <w:p w14:paraId="0E12F21E" w14:textId="77777777" w:rsidR="002264FE" w:rsidRPr="00DE086A" w:rsidRDefault="002264FE" w:rsidP="00E32220">
                  <w:pPr>
                    <w:jc w:val="both"/>
                    <w:rPr>
                      <w:rFonts w:ascii="Arial Narrow" w:hAnsi="Arial Narrow" w:cs="Arial"/>
                      <w:sz w:val="20"/>
                    </w:rPr>
                  </w:pPr>
                </w:p>
              </w:tc>
            </w:tr>
          </w:tbl>
          <w:p w14:paraId="13A133F3" w14:textId="77777777" w:rsidR="002264FE" w:rsidRPr="00DE086A" w:rsidRDefault="002264FE" w:rsidP="00E32220">
            <w:pPr>
              <w:ind w:left="214"/>
              <w:rPr>
                <w:rFonts w:ascii="Arial Narrow" w:hAnsi="Arial Narrow" w:cs="Arial"/>
                <w:b/>
                <w:szCs w:val="24"/>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15"/>
            </w:tblGrid>
            <w:tr w:rsidR="002264FE" w:rsidRPr="00DE086A" w14:paraId="2BA6E7BA" w14:textId="77777777" w:rsidTr="00E32220">
              <w:trPr>
                <w:trHeight w:val="540"/>
              </w:trPr>
              <w:tc>
                <w:tcPr>
                  <w:tcW w:w="8415" w:type="dxa"/>
                </w:tcPr>
                <w:p w14:paraId="2A52A8A7" w14:textId="77777777" w:rsidR="002264FE" w:rsidRPr="00BB077D" w:rsidRDefault="002264FE" w:rsidP="00E32220">
                  <w:pPr>
                    <w:pStyle w:val="Prrafodelista"/>
                    <w:numPr>
                      <w:ilvl w:val="0"/>
                      <w:numId w:val="1"/>
                    </w:numPr>
                    <w:ind w:left="556" w:hanging="425"/>
                    <w:jc w:val="both"/>
                    <w:rPr>
                      <w:rFonts w:ascii="Arial Narrow" w:hAnsi="Arial Narrow" w:cs="Arial"/>
                      <w:b/>
                      <w:szCs w:val="24"/>
                    </w:rPr>
                  </w:pPr>
                  <w:r w:rsidRPr="00DE086A">
                    <w:rPr>
                      <w:rFonts w:ascii="Arial Narrow" w:hAnsi="Arial Narrow" w:cs="Arial"/>
                      <w:b/>
                      <w:szCs w:val="24"/>
                    </w:rPr>
                    <w:t>IMPACTO ECONÓMICO, SI FUERE EL CASO, EL CUAL DEBERÁ SEÑALAR EL COSTO O AHORRO, DE LA IMPLEMENTACIÓN DEL RESPECTIVO ACTO.</w:t>
                  </w:r>
                  <w:r w:rsidRPr="00DE086A">
                    <w:rPr>
                      <w:rFonts w:ascii="Arial Narrow" w:hAnsi="Arial Narrow" w:cs="Arial"/>
                      <w:b/>
                      <w:sz w:val="22"/>
                      <w:szCs w:val="22"/>
                    </w:rPr>
                    <w:t xml:space="preserve"> OBLIGATORIAMENTE DEBE SER DILIGENCIADO POR EL ÁREA TÉCNICA </w:t>
                  </w:r>
                </w:p>
                <w:p w14:paraId="401CCB0F" w14:textId="77777777" w:rsidR="002264FE" w:rsidRPr="00DE086A" w:rsidRDefault="002264FE" w:rsidP="00E32220">
                  <w:pPr>
                    <w:pStyle w:val="Prrafodelista"/>
                    <w:ind w:left="556"/>
                    <w:jc w:val="both"/>
                    <w:rPr>
                      <w:rFonts w:ascii="Arial Narrow" w:hAnsi="Arial Narrow" w:cs="Arial"/>
                      <w:b/>
                      <w:szCs w:val="24"/>
                    </w:rPr>
                  </w:pPr>
                  <w:r w:rsidRPr="00DE086A">
                    <w:rPr>
                      <w:rFonts w:ascii="Arial Narrow" w:hAnsi="Arial Narrow" w:cs="Arial"/>
                      <w:b/>
                      <w:sz w:val="22"/>
                      <w:szCs w:val="22"/>
                    </w:rPr>
                    <w:t xml:space="preserve"> </w:t>
                  </w:r>
                </w:p>
              </w:tc>
            </w:tr>
          </w:tbl>
          <w:p w14:paraId="3D1485EA" w14:textId="77777777" w:rsidR="002264FE" w:rsidRPr="00DE086A" w:rsidRDefault="002264FE" w:rsidP="00E32220">
            <w:pPr>
              <w:ind w:left="214"/>
              <w:rPr>
                <w:rFonts w:ascii="Arial Narrow" w:hAnsi="Arial Narrow" w:cs="Arial"/>
                <w:b/>
                <w:szCs w:val="24"/>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63"/>
            </w:tblGrid>
            <w:tr w:rsidR="002264FE" w:rsidRPr="00DE086A" w14:paraId="6DCFCED0" w14:textId="77777777" w:rsidTr="00E32220">
              <w:trPr>
                <w:trHeight w:val="569"/>
              </w:trPr>
              <w:tc>
                <w:tcPr>
                  <w:tcW w:w="8363" w:type="dxa"/>
                </w:tcPr>
                <w:p w14:paraId="57623673" w14:textId="77777777" w:rsidR="002264FE" w:rsidRPr="00E76E57" w:rsidRDefault="00E76E57" w:rsidP="00E32220">
                  <w:pPr>
                    <w:pStyle w:val="Textoindependiente2"/>
                    <w:widowControl w:val="0"/>
                    <w:tabs>
                      <w:tab w:val="left" w:pos="-3261"/>
                      <w:tab w:val="left" w:pos="0"/>
                      <w:tab w:val="left" w:pos="567"/>
                      <w:tab w:val="left" w:pos="2832"/>
                      <w:tab w:val="left" w:pos="3540"/>
                      <w:tab w:val="left" w:pos="4248"/>
                      <w:tab w:val="left" w:pos="4956"/>
                      <w:tab w:val="left" w:pos="5664"/>
                      <w:tab w:val="left" w:pos="6372"/>
                      <w:tab w:val="left" w:pos="7080"/>
                      <w:tab w:val="left" w:pos="7788"/>
                      <w:tab w:val="left" w:pos="8076"/>
                    </w:tabs>
                    <w:spacing w:before="240" w:after="0" w:line="240" w:lineRule="auto"/>
                    <w:ind w:right="139"/>
                    <w:jc w:val="both"/>
                    <w:rPr>
                      <w:rFonts w:ascii="Arial Narrow" w:hAnsi="Arial Narrow" w:cs="Arial"/>
                      <w:sz w:val="24"/>
                      <w:szCs w:val="24"/>
                    </w:rPr>
                  </w:pPr>
                  <w:r w:rsidRPr="00E76E57">
                    <w:rPr>
                      <w:rFonts w:ascii="Arial Narrow" w:hAnsi="Arial Narrow" w:cs="Arial"/>
                      <w:sz w:val="24"/>
                      <w:szCs w:val="24"/>
                    </w:rPr>
                    <w:t>Se considera de b</w:t>
                  </w:r>
                  <w:r w:rsidR="002264FE" w:rsidRPr="00E76E57">
                    <w:rPr>
                      <w:rFonts w:ascii="Arial Narrow" w:hAnsi="Arial Narrow" w:cs="Arial"/>
                      <w:sz w:val="24"/>
                      <w:szCs w:val="24"/>
                    </w:rPr>
                    <w:t>ajo impacto económico para las entidades</w:t>
                  </w:r>
                </w:p>
              </w:tc>
            </w:tr>
          </w:tbl>
          <w:p w14:paraId="583DF720" w14:textId="77777777" w:rsidR="002264FE" w:rsidRPr="00DE086A" w:rsidRDefault="002264FE" w:rsidP="00E32220">
            <w:pPr>
              <w:ind w:left="214"/>
              <w:rPr>
                <w:rFonts w:ascii="Arial Narrow" w:hAnsi="Arial Narrow" w:cs="Arial"/>
                <w:b/>
                <w:szCs w:val="24"/>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01"/>
            </w:tblGrid>
            <w:tr w:rsidR="002264FE" w:rsidRPr="00DE086A" w14:paraId="45E1C5C3" w14:textId="77777777" w:rsidTr="00E32220">
              <w:trPr>
                <w:trHeight w:val="4097"/>
              </w:trPr>
              <w:tc>
                <w:tcPr>
                  <w:tcW w:w="8401" w:type="dxa"/>
                </w:tcPr>
                <w:tbl>
                  <w:tblPr>
                    <w:tblpPr w:leftFromText="141" w:rightFromText="141" w:horzAnchor="margin" w:tblpY="2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84"/>
                  </w:tblGrid>
                  <w:tr w:rsidR="002264FE" w:rsidRPr="00DE086A" w14:paraId="6001C729" w14:textId="77777777" w:rsidTr="00E32220">
                    <w:trPr>
                      <w:trHeight w:val="585"/>
                    </w:trPr>
                    <w:tc>
                      <w:tcPr>
                        <w:tcW w:w="8184" w:type="dxa"/>
                      </w:tcPr>
                      <w:p w14:paraId="5C3E6050" w14:textId="77777777" w:rsidR="002264FE" w:rsidRPr="00DE086A" w:rsidRDefault="002264FE" w:rsidP="00E32220">
                        <w:pPr>
                          <w:pStyle w:val="Prrafodelista"/>
                          <w:numPr>
                            <w:ilvl w:val="0"/>
                            <w:numId w:val="1"/>
                          </w:numPr>
                          <w:ind w:left="406" w:hanging="406"/>
                          <w:rPr>
                            <w:rFonts w:ascii="Arial Narrow" w:hAnsi="Arial Narrow" w:cs="Arial"/>
                            <w:b/>
                            <w:szCs w:val="24"/>
                          </w:rPr>
                        </w:pPr>
                        <w:r w:rsidRPr="00DE086A">
                          <w:rPr>
                            <w:rFonts w:ascii="Arial Narrow" w:hAnsi="Arial Narrow" w:cs="Arial"/>
                            <w:b/>
                            <w:szCs w:val="24"/>
                          </w:rPr>
                          <w:t xml:space="preserve">DISPONIBILIDAD PRESUPUESTAL. </w:t>
                        </w:r>
                        <w:r w:rsidRPr="00DE086A">
                          <w:rPr>
                            <w:rFonts w:ascii="Arial Narrow" w:hAnsi="Arial Narrow" w:cs="Arial"/>
                            <w:b/>
                            <w:sz w:val="22"/>
                            <w:szCs w:val="22"/>
                          </w:rPr>
                          <w:t xml:space="preserve">OBLIGATORIAMENTE DEBE SER DILIGENCIADO POR EL ÁREA TÉCNICA  </w:t>
                        </w:r>
                      </w:p>
                    </w:tc>
                  </w:tr>
                </w:tbl>
                <w:p w14:paraId="3F425187" w14:textId="77777777" w:rsidR="002264FE" w:rsidRPr="00DE086A" w:rsidRDefault="002264FE" w:rsidP="00E32220">
                  <w:pPr>
                    <w:pStyle w:val="Prrafodelista"/>
                    <w:ind w:left="1080"/>
                    <w:rPr>
                      <w:rFonts w:ascii="Arial Narrow" w:hAnsi="Arial Narrow" w:cs="Arial"/>
                      <w:b/>
                      <w:szCs w:val="24"/>
                    </w:rPr>
                  </w:pPr>
                </w:p>
                <w:p w14:paraId="6E3E7584" w14:textId="77777777" w:rsidR="002264FE" w:rsidRPr="00DE086A" w:rsidRDefault="002264FE" w:rsidP="00E32220">
                  <w:pPr>
                    <w:pStyle w:val="Prrafodelista"/>
                    <w:ind w:left="72" w:right="214"/>
                    <w:jc w:val="both"/>
                    <w:rPr>
                      <w:rFonts w:ascii="Arial Narrow" w:hAnsi="Arial Narrow" w:cs="Arial"/>
                      <w:b/>
                      <w:szCs w:val="24"/>
                    </w:rPr>
                  </w:pPr>
                  <w:r w:rsidRPr="00DE086A">
                    <w:rPr>
                      <w:rFonts w:ascii="Arial Narrow" w:hAnsi="Arial Narrow" w:cs="Arial"/>
                      <w:b/>
                      <w:szCs w:val="24"/>
                    </w:rPr>
                    <w:t>(Diligenciar este campo enunciando los costos fiscales del proyecto normativo y la fuente para financiación de dicho costo. En caso de que el acto administrativo no involucre ningún aspecto presupuestal deberá dejar constancia de ello en este campo).</w:t>
                  </w:r>
                </w:p>
                <w:p w14:paraId="6D2F421C" w14:textId="77777777" w:rsidR="002264FE" w:rsidRPr="00DE086A" w:rsidRDefault="002264FE" w:rsidP="00E32220">
                  <w:pPr>
                    <w:pStyle w:val="Prrafodelista"/>
                    <w:ind w:left="1080"/>
                    <w:rPr>
                      <w:rFonts w:ascii="Arial Narrow" w:hAnsi="Arial Narrow" w:cs="Arial"/>
                      <w:b/>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5"/>
                  </w:tblGrid>
                  <w:tr w:rsidR="002264FE" w:rsidRPr="00DE086A" w14:paraId="57F78381" w14:textId="77777777" w:rsidTr="00E32220">
                    <w:trPr>
                      <w:trHeight w:val="1199"/>
                    </w:trPr>
                    <w:tc>
                      <w:tcPr>
                        <w:tcW w:w="8505" w:type="dxa"/>
                      </w:tcPr>
                      <w:p w14:paraId="4908216F" w14:textId="77777777" w:rsidR="002264FE" w:rsidRPr="00DE086A" w:rsidRDefault="002264FE" w:rsidP="00E32220">
                        <w:pPr>
                          <w:pStyle w:val="Textoindependiente2"/>
                          <w:widowControl w:val="0"/>
                          <w:tabs>
                            <w:tab w:val="left" w:pos="-3261"/>
                            <w:tab w:val="left" w:pos="0"/>
                            <w:tab w:val="left" w:pos="216"/>
                            <w:tab w:val="left" w:pos="2832"/>
                            <w:tab w:val="left" w:pos="3540"/>
                            <w:tab w:val="left" w:pos="4248"/>
                            <w:tab w:val="left" w:pos="4956"/>
                            <w:tab w:val="left" w:pos="5664"/>
                            <w:tab w:val="left" w:pos="6372"/>
                            <w:tab w:val="left" w:pos="7080"/>
                            <w:tab w:val="left" w:pos="7788"/>
                            <w:tab w:val="left" w:pos="8078"/>
                          </w:tabs>
                          <w:spacing w:after="0" w:line="240" w:lineRule="auto"/>
                          <w:ind w:right="286"/>
                          <w:jc w:val="both"/>
                          <w:rPr>
                            <w:rFonts w:ascii="Arial Narrow" w:hAnsi="Arial Narrow" w:cs="Arial"/>
                            <w:b/>
                            <w:szCs w:val="24"/>
                          </w:rPr>
                        </w:pPr>
                        <w:r w:rsidRPr="00722F4F">
                          <w:rPr>
                            <w:rFonts w:ascii="Arial Narrow" w:hAnsi="Arial Narrow" w:cs="Arial"/>
                            <w:bCs/>
                            <w:sz w:val="24"/>
                            <w:szCs w:val="24"/>
                          </w:rPr>
                          <w:t xml:space="preserve">El proyecto de resolución no contempla </w:t>
                        </w:r>
                        <w:r w:rsidR="00E76E57">
                          <w:rPr>
                            <w:rFonts w:ascii="Arial Narrow" w:hAnsi="Arial Narrow" w:cs="Arial"/>
                            <w:bCs/>
                            <w:sz w:val="24"/>
                            <w:szCs w:val="24"/>
                          </w:rPr>
                          <w:t>asignación</w:t>
                        </w:r>
                        <w:r w:rsidRPr="00722F4F">
                          <w:rPr>
                            <w:rFonts w:ascii="Arial Narrow" w:hAnsi="Arial Narrow" w:cs="Arial"/>
                            <w:bCs/>
                            <w:sz w:val="24"/>
                            <w:szCs w:val="24"/>
                          </w:rPr>
                          <w:t xml:space="preserve"> presupuestal</w:t>
                        </w:r>
                        <w:r w:rsidR="00E76E57">
                          <w:rPr>
                            <w:rFonts w:ascii="Arial Narrow" w:hAnsi="Arial Narrow" w:cs="Arial"/>
                            <w:bCs/>
                            <w:sz w:val="24"/>
                            <w:szCs w:val="24"/>
                          </w:rPr>
                          <w:t xml:space="preserve">, </w:t>
                        </w:r>
                        <w:r w:rsidRPr="00722F4F">
                          <w:rPr>
                            <w:rFonts w:ascii="Arial Narrow" w:hAnsi="Arial Narrow" w:cs="Arial"/>
                            <w:bCs/>
                            <w:sz w:val="24"/>
                            <w:szCs w:val="24"/>
                          </w:rPr>
                          <w:t>este</w:t>
                        </w:r>
                        <w:r w:rsidR="00E76E57">
                          <w:rPr>
                            <w:rFonts w:ascii="Arial Narrow" w:hAnsi="Arial Narrow" w:cs="Arial"/>
                            <w:bCs/>
                            <w:sz w:val="24"/>
                            <w:szCs w:val="24"/>
                          </w:rPr>
                          <w:t xml:space="preserve"> tiene como objeto</w:t>
                        </w:r>
                        <w:r w:rsidRPr="00722F4F">
                          <w:rPr>
                            <w:rFonts w:ascii="Arial Narrow" w:hAnsi="Arial Narrow" w:cs="Arial"/>
                            <w:bCs/>
                            <w:sz w:val="24"/>
                            <w:szCs w:val="24"/>
                          </w:rPr>
                          <w:t xml:space="preserve"> </w:t>
                        </w:r>
                        <w:r>
                          <w:rPr>
                            <w:rFonts w:ascii="Arial Narrow" w:hAnsi="Arial Narrow" w:cs="Arial"/>
                            <w:bCs/>
                            <w:sz w:val="24"/>
                            <w:szCs w:val="24"/>
                          </w:rPr>
                          <w:t xml:space="preserve">la actualización normativa frente al uso de un estándar internacional para el registro de la morbilidad. </w:t>
                        </w:r>
                      </w:p>
                    </w:tc>
                  </w:tr>
                </w:tbl>
                <w:p w14:paraId="4D7CC015" w14:textId="77777777" w:rsidR="002264FE" w:rsidRPr="00DE086A" w:rsidRDefault="002264FE" w:rsidP="00E32220">
                  <w:pPr>
                    <w:pStyle w:val="Prrafodelista"/>
                    <w:ind w:left="0"/>
                    <w:rPr>
                      <w:rFonts w:ascii="Arial Narrow" w:hAnsi="Arial Narrow" w:cs="Arial"/>
                      <w:b/>
                      <w:szCs w:val="24"/>
                    </w:rPr>
                  </w:pPr>
                </w:p>
              </w:tc>
            </w:tr>
          </w:tbl>
          <w:p w14:paraId="016CA568" w14:textId="77777777" w:rsidR="002264FE" w:rsidRPr="00DE086A" w:rsidRDefault="002264FE" w:rsidP="00E32220">
            <w:pPr>
              <w:rPr>
                <w:rFonts w:ascii="Arial Narrow" w:hAnsi="Arial Narrow" w:cs="Arial"/>
                <w:b/>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43"/>
            </w:tblGrid>
            <w:tr w:rsidR="002264FE" w:rsidRPr="00DE086A" w14:paraId="161E09FB" w14:textId="77777777" w:rsidTr="00E32220">
              <w:trPr>
                <w:trHeight w:val="510"/>
              </w:trPr>
              <w:tc>
                <w:tcPr>
                  <w:tcW w:w="8543" w:type="dxa"/>
                </w:tcPr>
                <w:p w14:paraId="401238E9" w14:textId="77777777" w:rsidR="002264FE" w:rsidRPr="00C241F5" w:rsidRDefault="002264FE" w:rsidP="00E32220">
                  <w:pPr>
                    <w:pStyle w:val="Prrafodelista"/>
                    <w:numPr>
                      <w:ilvl w:val="0"/>
                      <w:numId w:val="1"/>
                    </w:numPr>
                    <w:ind w:left="406" w:hanging="334"/>
                    <w:jc w:val="both"/>
                    <w:rPr>
                      <w:rFonts w:ascii="Arial Narrow" w:hAnsi="Arial Narrow" w:cs="Arial"/>
                      <w:b/>
                      <w:szCs w:val="24"/>
                    </w:rPr>
                  </w:pPr>
                  <w:r w:rsidRPr="00DE086A">
                    <w:rPr>
                      <w:rFonts w:ascii="Arial Narrow" w:hAnsi="Arial Narrow" w:cs="Arial"/>
                      <w:b/>
                      <w:szCs w:val="24"/>
                    </w:rPr>
                    <w:t>DE SER NECESARIO, IMPACTO MEDIOAMBIENTAL O SOBRE EL PATRIMONIO CULTURAL DE LA NACIÓN.</w:t>
                  </w:r>
                  <w:r w:rsidRPr="00DE086A">
                    <w:rPr>
                      <w:rFonts w:ascii="Arial Narrow" w:hAnsi="Arial Narrow" w:cs="Arial"/>
                      <w:b/>
                      <w:sz w:val="22"/>
                      <w:szCs w:val="22"/>
                    </w:rPr>
                    <w:t xml:space="preserve"> OBLIGATORIAMENTE DEBE SER DILIGENCIADO POR EL ÁREA TÉCNICA</w:t>
                  </w:r>
                  <w:r w:rsidR="00C241F5">
                    <w:rPr>
                      <w:rFonts w:ascii="Arial Narrow" w:hAnsi="Arial Narrow" w:cs="Arial"/>
                      <w:b/>
                      <w:sz w:val="22"/>
                      <w:szCs w:val="22"/>
                    </w:rPr>
                    <w:t>.</w:t>
                  </w:r>
                  <w:r w:rsidRPr="00DE086A">
                    <w:rPr>
                      <w:rFonts w:ascii="Arial Narrow" w:hAnsi="Arial Narrow" w:cs="Arial"/>
                      <w:b/>
                      <w:sz w:val="22"/>
                      <w:szCs w:val="22"/>
                    </w:rPr>
                    <w:t xml:space="preserve">  </w:t>
                  </w:r>
                </w:p>
              </w:tc>
            </w:tr>
          </w:tbl>
          <w:p w14:paraId="19719E21" w14:textId="77777777" w:rsidR="002264FE" w:rsidRPr="00DE086A" w:rsidRDefault="002264FE" w:rsidP="00E32220">
            <w:pPr>
              <w:pStyle w:val="Prrafodelista"/>
              <w:ind w:left="1080"/>
              <w:rPr>
                <w:rFonts w:ascii="Arial Narrow" w:hAnsi="Arial Narrow" w:cs="Arial"/>
                <w:b/>
                <w:szCs w:val="24"/>
              </w:rPr>
            </w:pPr>
          </w:p>
          <w:p w14:paraId="36CC1774" w14:textId="77777777" w:rsidR="002264FE" w:rsidRPr="00DE086A" w:rsidRDefault="002264FE" w:rsidP="00E32220">
            <w:pPr>
              <w:pStyle w:val="Prrafodelista"/>
              <w:ind w:left="72" w:right="214"/>
              <w:jc w:val="both"/>
              <w:rPr>
                <w:rFonts w:ascii="Arial Narrow" w:hAnsi="Arial Narrow" w:cs="Arial"/>
                <w:b/>
                <w:szCs w:val="24"/>
              </w:rPr>
            </w:pPr>
            <w:r w:rsidRPr="00DE086A">
              <w:rPr>
                <w:rFonts w:ascii="Arial Narrow" w:hAnsi="Arial Narrow" w:cs="Arial"/>
                <w:b/>
                <w:szCs w:val="24"/>
              </w:rPr>
              <w:t>(Este campo se deberá diligenciar si el proyecto normativo tiene impacto en las áreas enunciadas, de lo contrario deberá señalarse que el proyecto normativo no tiene impacto en este ítem, con la debida justificación sobre el particular).</w:t>
            </w:r>
          </w:p>
          <w:p w14:paraId="4EAC9136" w14:textId="77777777" w:rsidR="002264FE" w:rsidRPr="00DE086A" w:rsidRDefault="002264FE" w:rsidP="00E32220">
            <w:pPr>
              <w:pStyle w:val="Prrafodelista"/>
              <w:ind w:left="1080"/>
              <w:rPr>
                <w:rFonts w:ascii="Arial Narrow" w:hAnsi="Arial Narrow" w:cs="Arial"/>
                <w:b/>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8"/>
            </w:tblGrid>
            <w:tr w:rsidR="002264FE" w:rsidRPr="00DE086A" w14:paraId="67E58D5D" w14:textId="77777777" w:rsidTr="00E32220">
              <w:trPr>
                <w:trHeight w:val="728"/>
              </w:trPr>
              <w:tc>
                <w:tcPr>
                  <w:tcW w:w="8468" w:type="dxa"/>
                </w:tcPr>
                <w:p w14:paraId="4D4B96D0" w14:textId="77777777" w:rsidR="002264FE" w:rsidRPr="00DE086A" w:rsidRDefault="00C241F5" w:rsidP="00E32220">
                  <w:pPr>
                    <w:ind w:left="72"/>
                    <w:jc w:val="both"/>
                    <w:rPr>
                      <w:rFonts w:ascii="Arial Narrow" w:hAnsi="Arial Narrow" w:cs="Arial"/>
                      <w:b/>
                      <w:szCs w:val="24"/>
                    </w:rPr>
                  </w:pPr>
                  <w:r w:rsidRPr="00853B61">
                    <w:rPr>
                      <w:rFonts w:ascii="Arial Narrow" w:hAnsi="Arial Narrow" w:cs="Arial"/>
                      <w:sz w:val="22"/>
                      <w:szCs w:val="22"/>
                    </w:rPr>
                    <w:t xml:space="preserve">El proyecto de </w:t>
                  </w:r>
                  <w:r w:rsidRPr="00853B61">
                    <w:rPr>
                      <w:rFonts w:ascii="Arial Narrow" w:eastAsiaTheme="minorHAnsi" w:hAnsi="Arial Narrow" w:cs="Arial"/>
                      <w:bCs/>
                      <w:sz w:val="22"/>
                      <w:szCs w:val="22"/>
                      <w:lang w:val="es-CO" w:eastAsia="en-US"/>
                    </w:rPr>
                    <w:t>resolución no genera impactos medioambientales o sobre el patrimonio cultural de la naci</w:t>
                  </w:r>
                  <w:r>
                    <w:rPr>
                      <w:rFonts w:ascii="Arial Narrow" w:eastAsiaTheme="minorHAnsi" w:hAnsi="Arial Narrow" w:cs="Arial"/>
                      <w:bCs/>
                      <w:sz w:val="22"/>
                      <w:szCs w:val="22"/>
                      <w:lang w:val="es-CO" w:eastAsia="en-US"/>
                    </w:rPr>
                    <w:t>ón</w:t>
                  </w:r>
                  <w:r w:rsidRPr="00853B61">
                    <w:rPr>
                      <w:rFonts w:ascii="Arial Narrow" w:eastAsiaTheme="minorHAnsi" w:hAnsi="Arial Narrow" w:cs="Arial"/>
                      <w:bCs/>
                      <w:sz w:val="22"/>
                      <w:szCs w:val="22"/>
                      <w:lang w:val="es-CO" w:eastAsia="en-US"/>
                    </w:rPr>
                    <w:t>.</w:t>
                  </w:r>
                </w:p>
              </w:tc>
            </w:tr>
          </w:tbl>
          <w:p w14:paraId="6C6D26E3" w14:textId="77777777" w:rsidR="002264FE" w:rsidRPr="00DE086A" w:rsidRDefault="002264FE" w:rsidP="00E32220">
            <w:pPr>
              <w:rPr>
                <w:rFonts w:ascii="Arial Narrow" w:hAnsi="Arial Narrow"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95"/>
            </w:tblGrid>
            <w:tr w:rsidR="002264FE" w:rsidRPr="00DE086A" w14:paraId="0488AA9C" w14:textId="77777777" w:rsidTr="00E32220">
              <w:trPr>
                <w:trHeight w:val="945"/>
              </w:trPr>
              <w:tc>
                <w:tcPr>
                  <w:tcW w:w="8895" w:type="dxa"/>
                </w:tcPr>
                <w:p w14:paraId="3279C734" w14:textId="77777777" w:rsidR="002264FE" w:rsidRPr="00DE086A" w:rsidRDefault="002264FE" w:rsidP="00E32220">
                  <w:pPr>
                    <w:pStyle w:val="Prrafodelista"/>
                    <w:ind w:left="1105"/>
                    <w:rPr>
                      <w:rFonts w:ascii="Arial Narrow" w:hAnsi="Arial Narrow" w:cs="Arial"/>
                      <w:b/>
                      <w:szCs w:val="24"/>
                    </w:rPr>
                  </w:pPr>
                </w:p>
                <w:p w14:paraId="04DBEFBC" w14:textId="77777777" w:rsidR="002264FE" w:rsidRPr="00DE086A" w:rsidRDefault="002264FE" w:rsidP="00E32220">
                  <w:pPr>
                    <w:pStyle w:val="Prrafodelista"/>
                    <w:numPr>
                      <w:ilvl w:val="0"/>
                      <w:numId w:val="1"/>
                    </w:numPr>
                    <w:ind w:left="640" w:hanging="615"/>
                    <w:rPr>
                      <w:rFonts w:ascii="Arial Narrow" w:hAnsi="Arial Narrow" w:cs="Arial"/>
                      <w:b/>
                      <w:szCs w:val="24"/>
                    </w:rPr>
                  </w:pPr>
                  <w:r w:rsidRPr="00DE086A">
                    <w:rPr>
                      <w:rFonts w:ascii="Arial Narrow" w:hAnsi="Arial Narrow" w:cs="Arial"/>
                      <w:b/>
                      <w:szCs w:val="24"/>
                    </w:rPr>
                    <w:t xml:space="preserve">CUMPLIMIENTO DE LOS REQUISITOS DE CONSULTA Y PUBLICIDAD PREVISTOS EN LOS ARTÍCULOS 2.1.2.1.13 y 2.1.2.1.14 DEL DECRETO 1081 DE 2015, MODIFICADO POR EL DECRETO 1609 DEL MISMO AÑO. </w:t>
                  </w:r>
                  <w:r w:rsidRPr="00DE086A">
                    <w:rPr>
                      <w:rFonts w:ascii="Arial Narrow" w:hAnsi="Arial Narrow" w:cs="Arial"/>
                      <w:b/>
                      <w:sz w:val="22"/>
                      <w:szCs w:val="22"/>
                    </w:rPr>
                    <w:t xml:space="preserve">OBLIGATORIAMENTE DEBE SER DILIGENCIADO POR EL ÁREA TÉCNICA  </w:t>
                  </w:r>
                </w:p>
              </w:tc>
            </w:tr>
          </w:tbl>
          <w:p w14:paraId="0A05D5B4" w14:textId="77777777" w:rsidR="002264FE" w:rsidRDefault="002264FE" w:rsidP="00E32220">
            <w:pPr>
              <w:pStyle w:val="Prrafodelista"/>
              <w:ind w:left="0"/>
              <w:rPr>
                <w:rFonts w:ascii="Arial Narrow" w:hAnsi="Arial Narrow" w:cs="Arial"/>
                <w:b/>
                <w:szCs w:val="24"/>
              </w:rPr>
            </w:pPr>
          </w:p>
          <w:tbl>
            <w:tblPr>
              <w:tblStyle w:val="Tablaconcuadrcula"/>
              <w:tblW w:w="0" w:type="auto"/>
              <w:tblInd w:w="137" w:type="dxa"/>
              <w:tblLayout w:type="fixed"/>
              <w:tblLook w:val="04A0" w:firstRow="1" w:lastRow="0" w:firstColumn="1" w:lastColumn="0" w:noHBand="0" w:noVBand="1"/>
            </w:tblPr>
            <w:tblGrid>
              <w:gridCol w:w="8647"/>
            </w:tblGrid>
            <w:tr w:rsidR="002264FE" w14:paraId="7237435D" w14:textId="77777777" w:rsidTr="00CA0FE7">
              <w:tc>
                <w:tcPr>
                  <w:tcW w:w="8647" w:type="dxa"/>
                  <w:shd w:val="clear" w:color="auto" w:fill="auto"/>
                </w:tcPr>
                <w:p w14:paraId="1CE40241" w14:textId="77777777" w:rsidR="002264FE" w:rsidRPr="000F1D80" w:rsidRDefault="002264FE" w:rsidP="00E32220">
                  <w:pPr>
                    <w:pStyle w:val="Prrafodelista"/>
                    <w:ind w:left="0"/>
                    <w:rPr>
                      <w:rFonts w:ascii="Arial Narrow" w:hAnsi="Arial Narrow" w:cs="Arial"/>
                      <w:sz w:val="22"/>
                      <w:szCs w:val="22"/>
                      <w:highlight w:val="yellow"/>
                    </w:rPr>
                  </w:pPr>
                  <w:r w:rsidRPr="00CA0FE7">
                    <w:rPr>
                      <w:rFonts w:ascii="Arial Narrow" w:hAnsi="Arial Narrow" w:cs="Arial"/>
                      <w:sz w:val="22"/>
                      <w:szCs w:val="22"/>
                    </w:rPr>
                    <w:t>Registrar cuando se surta el periodo de publicación, indicando el tiempo establecido y publicación de los resultados del análisis a las observaciones recibidas.</w:t>
                  </w:r>
                </w:p>
              </w:tc>
            </w:tr>
          </w:tbl>
          <w:p w14:paraId="4D203920" w14:textId="77777777" w:rsidR="002264FE" w:rsidRPr="00DE086A" w:rsidRDefault="002264FE" w:rsidP="00E32220">
            <w:pPr>
              <w:pStyle w:val="Prrafodelista"/>
              <w:ind w:left="0"/>
              <w:rPr>
                <w:rFonts w:ascii="Arial Narrow" w:hAnsi="Arial Narrow" w:cs="Arial"/>
                <w:b/>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5"/>
            </w:tblGrid>
            <w:tr w:rsidR="002264FE" w:rsidRPr="00DE086A" w14:paraId="6F7B4C7C" w14:textId="77777777" w:rsidTr="00E32220">
              <w:trPr>
                <w:trHeight w:val="450"/>
              </w:trPr>
              <w:tc>
                <w:tcPr>
                  <w:tcW w:w="8505" w:type="dxa"/>
                </w:tcPr>
                <w:p w14:paraId="683C61A8" w14:textId="77777777" w:rsidR="002264FE" w:rsidRPr="00DE086A" w:rsidRDefault="002264FE" w:rsidP="00E32220">
                  <w:pPr>
                    <w:pStyle w:val="Prrafodelista"/>
                    <w:numPr>
                      <w:ilvl w:val="0"/>
                      <w:numId w:val="1"/>
                    </w:numPr>
                    <w:ind w:left="481" w:hanging="425"/>
                    <w:rPr>
                      <w:rFonts w:ascii="Arial Narrow" w:hAnsi="Arial Narrow" w:cs="Arial"/>
                      <w:b/>
                      <w:szCs w:val="24"/>
                    </w:rPr>
                  </w:pPr>
                  <w:r w:rsidRPr="00DE086A">
                    <w:rPr>
                      <w:rFonts w:ascii="Arial Narrow" w:hAnsi="Arial Narrow" w:cs="Arial"/>
                      <w:b/>
                      <w:szCs w:val="24"/>
                    </w:rPr>
                    <w:t>VIABILIDAD JURÍDICA.</w:t>
                  </w:r>
                </w:p>
              </w:tc>
            </w:tr>
          </w:tbl>
          <w:tbl>
            <w:tblPr>
              <w:tblpPr w:leftFromText="141" w:rightFromText="141" w:vertAnchor="text" w:horzAnchor="page" w:tblpX="218"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9"/>
            </w:tblGrid>
            <w:tr w:rsidR="002264FE" w:rsidRPr="00DE086A" w14:paraId="30B3AE25" w14:textId="77777777" w:rsidTr="00E32220">
              <w:trPr>
                <w:trHeight w:val="315"/>
              </w:trPr>
              <w:tc>
                <w:tcPr>
                  <w:tcW w:w="8359" w:type="dxa"/>
                </w:tcPr>
                <w:p w14:paraId="683224CF" w14:textId="77777777" w:rsidR="002264FE" w:rsidRPr="00DE086A" w:rsidRDefault="002264FE" w:rsidP="00E32220">
                  <w:pPr>
                    <w:pStyle w:val="Prrafodelista"/>
                    <w:ind w:left="0"/>
                    <w:rPr>
                      <w:rFonts w:ascii="Arial Narrow" w:hAnsi="Arial Narrow" w:cs="Arial"/>
                      <w:b/>
                      <w:sz w:val="22"/>
                      <w:szCs w:val="22"/>
                    </w:rPr>
                  </w:pPr>
                  <w:r w:rsidRPr="00DE086A">
                    <w:rPr>
                      <w:rFonts w:ascii="Arial Narrow" w:hAnsi="Arial Narrow" w:cs="Arial"/>
                      <w:b/>
                      <w:sz w:val="22"/>
                      <w:szCs w:val="22"/>
                    </w:rPr>
                    <w:t>Análisis expreso y detallado de las normas que otorgan la competencia para la expedición del correspondiente acto.</w:t>
                  </w:r>
                </w:p>
                <w:p w14:paraId="66BB0B76" w14:textId="77777777" w:rsidR="002264FE" w:rsidRPr="00DE086A" w:rsidRDefault="002264FE" w:rsidP="00E32220">
                  <w:pPr>
                    <w:pStyle w:val="Prrafodelista"/>
                    <w:ind w:left="0"/>
                    <w:rPr>
                      <w:rFonts w:ascii="Arial Narrow" w:hAnsi="Arial Narrow" w:cs="Arial"/>
                      <w:b/>
                      <w:sz w:val="22"/>
                      <w:szCs w:val="22"/>
                    </w:rPr>
                  </w:pPr>
                </w:p>
              </w:tc>
            </w:tr>
          </w:tbl>
          <w:p w14:paraId="782C9A14" w14:textId="77777777" w:rsidR="002264FE" w:rsidRPr="00DE086A" w:rsidRDefault="002264FE" w:rsidP="00E32220">
            <w:pPr>
              <w:rPr>
                <w:rFonts w:ascii="Arial Narrow" w:hAnsi="Arial Narrow" w:cs="Arial"/>
                <w:b/>
                <w:szCs w:val="24"/>
              </w:rPr>
            </w:pPr>
          </w:p>
          <w:p w14:paraId="621FECE5" w14:textId="77777777" w:rsidR="002264FE" w:rsidRDefault="002264FE" w:rsidP="00E32220">
            <w:pPr>
              <w:ind w:left="214" w:right="356"/>
              <w:jc w:val="both"/>
              <w:rPr>
                <w:rFonts w:ascii="Arial Narrow" w:hAnsi="Arial Narrow" w:cs="Arial"/>
                <w:b/>
                <w:sz w:val="22"/>
                <w:szCs w:val="22"/>
              </w:rPr>
            </w:pPr>
            <w:r w:rsidRPr="00DE086A">
              <w:rPr>
                <w:rFonts w:ascii="Arial Narrow" w:hAnsi="Arial Narrow" w:cs="Arial"/>
                <w:b/>
                <w:sz w:val="22"/>
                <w:szCs w:val="22"/>
              </w:rPr>
              <w:t xml:space="preserve"> (Se deberá señalar en este ítem, las disposiciones de orden constitucional, legal o reglamentario que asignan la competencia para expedir la resolución. Cuando se citen normas de distinta </w:t>
            </w:r>
            <w:r w:rsidRPr="00DE086A">
              <w:rPr>
                <w:rFonts w:ascii="Arial Narrow" w:hAnsi="Arial Narrow" w:cs="Arial"/>
                <w:b/>
                <w:sz w:val="22"/>
                <w:szCs w:val="22"/>
              </w:rPr>
              <w:lastRenderedPageBreak/>
              <w:t>jerarquía, deberán mencionarse en primer lugar las constitucionales y luego las legales y reglamentarias, citando cronológicamente de la más antigua a la más nueva. Tratándose de actos administrativos referidos a reforma organizacional, se requiere además concepto técnico favorable del Departamento Administrativo de la Función Pública.</w:t>
            </w:r>
          </w:p>
          <w:p w14:paraId="7DD0024D" w14:textId="77777777" w:rsidR="002264FE" w:rsidRPr="00DE086A" w:rsidRDefault="002264FE" w:rsidP="00E32220">
            <w:pPr>
              <w:ind w:left="214" w:right="356"/>
              <w:jc w:val="both"/>
              <w:rPr>
                <w:rFonts w:ascii="Arial Narrow" w:hAnsi="Arial Narrow" w:cs="Arial"/>
                <w:b/>
                <w:sz w:val="22"/>
                <w:szCs w:val="22"/>
              </w:rPr>
            </w:pPr>
          </w:p>
          <w:tbl>
            <w:tblPr>
              <w:tblStyle w:val="Tablaconcuadrcula"/>
              <w:tblW w:w="0" w:type="auto"/>
              <w:tblInd w:w="137" w:type="dxa"/>
              <w:tblLayout w:type="fixed"/>
              <w:tblLook w:val="04A0" w:firstRow="1" w:lastRow="0" w:firstColumn="1" w:lastColumn="0" w:noHBand="0" w:noVBand="1"/>
            </w:tblPr>
            <w:tblGrid>
              <w:gridCol w:w="8505"/>
            </w:tblGrid>
            <w:tr w:rsidR="002264FE" w14:paraId="334ED2EB" w14:textId="77777777" w:rsidTr="00E32220">
              <w:tc>
                <w:tcPr>
                  <w:tcW w:w="8505" w:type="dxa"/>
                </w:tcPr>
                <w:p w14:paraId="2FF54081" w14:textId="77777777" w:rsidR="00605F5D" w:rsidRDefault="00605F5D" w:rsidP="00605F5D">
                  <w:pPr>
                    <w:pStyle w:val="Textoindependiente"/>
                    <w:rPr>
                      <w:rFonts w:ascii="Arial Narrow" w:hAnsi="Arial Narrow" w:cs="Arial"/>
                      <w:sz w:val="22"/>
                      <w:szCs w:val="22"/>
                      <w:lang w:val="es-CO" w:eastAsia="es-CO"/>
                    </w:rPr>
                  </w:pPr>
                  <w:r>
                    <w:rPr>
                      <w:rFonts w:ascii="Arial Narrow" w:hAnsi="Arial Narrow" w:cs="Arial"/>
                      <w:sz w:val="22"/>
                      <w:szCs w:val="22"/>
                      <w:lang w:eastAsia="es-CO"/>
                    </w:rPr>
                    <w:t>Que Colombia como Estado miembro de la Organización Mundial de la Salud – OMS-, adquirió el compromiso de adoptar la Resolución WHA72.15 de la 72ª Asamblea Mundial de la Salud del 28 de mayo de 2019, “1. ADOPTA la undécima revisión de la Clasificación Estadística Internacional de Enfermedades y Problemas de Salud Conexos (CIE-11) para que entre en vigor el 1 de enero de 2022, con sujeción a las disposiciones transitorias.”</w:t>
                  </w:r>
                </w:p>
                <w:p w14:paraId="6EB86A81" w14:textId="77777777" w:rsidR="00605F5D" w:rsidRDefault="00605F5D" w:rsidP="00605F5D">
                  <w:pPr>
                    <w:pStyle w:val="Textoindependiente"/>
                    <w:rPr>
                      <w:rFonts w:ascii="Arial Narrow" w:hAnsi="Arial Narrow" w:cs="Arial"/>
                      <w:sz w:val="22"/>
                      <w:szCs w:val="22"/>
                      <w:lang w:eastAsia="es-CO"/>
                    </w:rPr>
                  </w:pPr>
                </w:p>
                <w:p w14:paraId="33DAC84E" w14:textId="77777777" w:rsidR="00605F5D" w:rsidRDefault="00605F5D" w:rsidP="00605F5D">
                  <w:pPr>
                    <w:pStyle w:val="Textoindependiente"/>
                    <w:rPr>
                      <w:rFonts w:ascii="Arial Narrow" w:hAnsi="Arial Narrow" w:cs="Arial"/>
                      <w:sz w:val="22"/>
                      <w:szCs w:val="22"/>
                      <w:lang w:eastAsia="es-CO"/>
                    </w:rPr>
                  </w:pPr>
                  <w:r>
                    <w:rPr>
                      <w:rFonts w:ascii="Arial Narrow" w:hAnsi="Arial Narrow" w:cs="Arial"/>
                      <w:sz w:val="22"/>
                      <w:szCs w:val="22"/>
                      <w:lang w:eastAsia="es-CO"/>
                    </w:rPr>
                    <w:t>Que la Ley 100 de 1993 en su artículo 173 otorga al Ministerio de Salud y Protección Social dentro de sus funciones, expedir las normas administrativas de obligatorio cumplimiento para las Entidades Promotoras de Salud, por las Instituciones Prestadoras de Servicios de Salud del Sistema General de Seguridad Social en Salud y por las direcciones seccionales, distritales y locales de salud y reglamentar la recolección, transferencia y difusión de la información en el subsistema al que concurren obligatoriamente todos los integrantes del Sistema General de Seguridad Social en Salud.</w:t>
                  </w:r>
                </w:p>
                <w:p w14:paraId="6B433279" w14:textId="77777777" w:rsidR="00605F5D" w:rsidRDefault="00605F5D" w:rsidP="00605F5D">
                  <w:pPr>
                    <w:pStyle w:val="Textoindependiente"/>
                    <w:rPr>
                      <w:rFonts w:ascii="Arial Narrow" w:hAnsi="Arial Narrow" w:cs="Arial"/>
                      <w:sz w:val="22"/>
                      <w:szCs w:val="22"/>
                      <w:lang w:eastAsia="es-CO"/>
                    </w:rPr>
                  </w:pPr>
                </w:p>
                <w:p w14:paraId="0BF43981" w14:textId="77777777" w:rsidR="002264FE" w:rsidRDefault="00605F5D" w:rsidP="00605F5D">
                  <w:pPr>
                    <w:jc w:val="both"/>
                    <w:rPr>
                      <w:rFonts w:ascii="Arial Narrow" w:hAnsi="Arial Narrow" w:cs="Arial"/>
                      <w:sz w:val="20"/>
                      <w:szCs w:val="24"/>
                    </w:rPr>
                  </w:pPr>
                  <w:r>
                    <w:rPr>
                      <w:rFonts w:ascii="Arial Narrow" w:hAnsi="Arial Narrow" w:cs="Arial"/>
                      <w:sz w:val="22"/>
                      <w:szCs w:val="22"/>
                      <w:lang w:val="es-CO" w:eastAsia="es-CO"/>
                    </w:rPr>
                    <w:t>Que la Ley 1751 de 2015 en su artículo 5° establece que el Estado es responsable de respetar, proteger y garantizar el goce efectivo del derecho fundamental a la salud, para lo cual se dispone de herramientas tecnológicas o fuentes de información que hacen uso de la CIE, dentro de ellas la historia clínica interoperable regulada por la Ley 2015 de 2020, los Registros Individuales de Prestaciones de Servicios – RIPS y el Registro de Nacimientos y Defunciones RUAFND v2.</w:t>
                  </w:r>
                </w:p>
              </w:tc>
            </w:tr>
          </w:tbl>
          <w:p w14:paraId="71FE5F07" w14:textId="77777777" w:rsidR="002264FE" w:rsidRPr="00DE086A" w:rsidRDefault="002264FE" w:rsidP="00E32220">
            <w:pPr>
              <w:jc w:val="both"/>
              <w:rPr>
                <w:rFonts w:ascii="Arial Narrow" w:hAnsi="Arial Narrow" w:cs="Arial"/>
                <w:sz w:val="20"/>
                <w:szCs w:val="24"/>
              </w:rPr>
            </w:pPr>
          </w:p>
          <w:tbl>
            <w:tblPr>
              <w:tblpPr w:leftFromText="141" w:rightFromText="141" w:vertAnchor="text" w:horzAnchor="margin" w:tblpXSpec="center" w:tblpY="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6"/>
            </w:tblGrid>
            <w:tr w:rsidR="002264FE" w:rsidRPr="00DE086A" w14:paraId="333220C6" w14:textId="77777777" w:rsidTr="00E32220">
              <w:trPr>
                <w:trHeight w:val="480"/>
              </w:trPr>
              <w:tc>
                <w:tcPr>
                  <w:tcW w:w="8356" w:type="dxa"/>
                </w:tcPr>
                <w:p w14:paraId="469091B1" w14:textId="77777777" w:rsidR="002264FE" w:rsidRPr="00DE086A" w:rsidRDefault="002264FE" w:rsidP="00E32220">
                  <w:pPr>
                    <w:pStyle w:val="Prrafodelista"/>
                    <w:ind w:left="0"/>
                    <w:rPr>
                      <w:rFonts w:ascii="Arial Narrow" w:hAnsi="Arial Narrow" w:cs="Arial"/>
                      <w:b/>
                      <w:sz w:val="22"/>
                      <w:szCs w:val="22"/>
                    </w:rPr>
                  </w:pPr>
                  <w:r w:rsidRPr="00DE086A">
                    <w:rPr>
                      <w:rFonts w:ascii="Arial Narrow" w:hAnsi="Arial Narrow" w:cs="Arial"/>
                      <w:b/>
                      <w:sz w:val="22"/>
                      <w:szCs w:val="22"/>
                    </w:rPr>
                    <w:t>La vigencia de la ley o norma reglamentada o desarrollada.</w:t>
                  </w:r>
                </w:p>
              </w:tc>
            </w:tr>
          </w:tbl>
          <w:p w14:paraId="25200DDE" w14:textId="77777777" w:rsidR="002264FE" w:rsidRDefault="002264FE" w:rsidP="00E32220">
            <w:pPr>
              <w:pStyle w:val="Prrafodelista"/>
              <w:ind w:left="214" w:right="356"/>
              <w:jc w:val="both"/>
              <w:rPr>
                <w:rFonts w:ascii="Arial Narrow" w:hAnsi="Arial Narrow" w:cs="Arial"/>
                <w:b/>
                <w:szCs w:val="24"/>
              </w:rPr>
            </w:pPr>
          </w:p>
          <w:p w14:paraId="59C0D17E" w14:textId="77777777" w:rsidR="002264FE" w:rsidRDefault="002264FE" w:rsidP="00E32220">
            <w:pPr>
              <w:pStyle w:val="Prrafodelista"/>
              <w:ind w:left="214" w:right="356"/>
              <w:jc w:val="both"/>
              <w:rPr>
                <w:rFonts w:ascii="Arial Narrow" w:hAnsi="Arial Narrow" w:cs="Arial"/>
                <w:b/>
                <w:sz w:val="22"/>
                <w:szCs w:val="22"/>
              </w:rPr>
            </w:pPr>
            <w:r w:rsidRPr="00DE086A">
              <w:rPr>
                <w:rFonts w:ascii="Arial Narrow" w:hAnsi="Arial Narrow" w:cs="Arial"/>
                <w:b/>
                <w:szCs w:val="24"/>
              </w:rPr>
              <w:t>(Describir en este campo lo correspondiente a la norma que se buscar desarrollar en el proyecto de resolución</w:t>
            </w:r>
            <w:r w:rsidRPr="00DE086A">
              <w:rPr>
                <w:rFonts w:ascii="Arial Narrow" w:hAnsi="Arial Narrow" w:cs="Arial"/>
                <w:b/>
                <w:sz w:val="22"/>
                <w:szCs w:val="22"/>
              </w:rPr>
              <w:t xml:space="preserve">, su fecha de expedición y vigencia. </w:t>
            </w:r>
          </w:p>
          <w:p w14:paraId="5531B26D" w14:textId="77777777" w:rsidR="002264FE" w:rsidRPr="00DE086A" w:rsidRDefault="002264FE" w:rsidP="00E32220">
            <w:pPr>
              <w:pStyle w:val="Prrafodelista"/>
              <w:ind w:left="214" w:right="356"/>
              <w:jc w:val="both"/>
              <w:rPr>
                <w:rFonts w:ascii="Arial Narrow" w:hAnsi="Arial Narrow" w:cs="Arial"/>
                <w:b/>
                <w:szCs w:val="24"/>
              </w:rPr>
            </w:pPr>
          </w:p>
          <w:tbl>
            <w:tblPr>
              <w:tblStyle w:val="Tablaconcuadrcula"/>
              <w:tblW w:w="0" w:type="auto"/>
              <w:tblInd w:w="336" w:type="dxa"/>
              <w:tblLayout w:type="fixed"/>
              <w:tblLook w:val="04A0" w:firstRow="1" w:lastRow="0" w:firstColumn="1" w:lastColumn="0" w:noHBand="0" w:noVBand="1"/>
            </w:tblPr>
            <w:tblGrid>
              <w:gridCol w:w="8450"/>
            </w:tblGrid>
            <w:tr w:rsidR="002264FE" w14:paraId="2F7908D2" w14:textId="77777777" w:rsidTr="00E32220">
              <w:trPr>
                <w:trHeight w:val="258"/>
              </w:trPr>
              <w:tc>
                <w:tcPr>
                  <w:tcW w:w="8450" w:type="dxa"/>
                </w:tcPr>
                <w:p w14:paraId="6E96EFC3" w14:textId="77777777" w:rsidR="002264FE" w:rsidRDefault="002264FE" w:rsidP="00E32220">
                  <w:pPr>
                    <w:jc w:val="both"/>
                    <w:rPr>
                      <w:rFonts w:ascii="Arial Narrow" w:hAnsi="Arial Narrow" w:cs="Arial"/>
                      <w:color w:val="92D050"/>
                      <w:szCs w:val="24"/>
                    </w:rPr>
                  </w:pPr>
                  <w:r w:rsidRPr="00722F4F">
                    <w:rPr>
                      <w:rFonts w:ascii="Arial Narrow" w:hAnsi="Arial Narrow" w:cs="Arial"/>
                      <w:szCs w:val="24"/>
                    </w:rPr>
                    <w:t xml:space="preserve">Esta Resolución entrará </w:t>
                  </w:r>
                  <w:r w:rsidR="00605F5D">
                    <w:rPr>
                      <w:rFonts w:ascii="Arial Narrow" w:hAnsi="Arial Narrow" w:cs="Arial"/>
                      <w:szCs w:val="24"/>
                    </w:rPr>
                    <w:t>en vigencia a partir de la fecha de expedición</w:t>
                  </w:r>
                  <w:r w:rsidRPr="00722F4F">
                    <w:rPr>
                      <w:rFonts w:ascii="Arial Narrow" w:hAnsi="Arial Narrow" w:cs="Arial"/>
                      <w:szCs w:val="24"/>
                    </w:rPr>
                    <w:t xml:space="preserve"> </w:t>
                  </w:r>
                  <w:r>
                    <w:rPr>
                      <w:rFonts w:ascii="Arial Narrow" w:hAnsi="Arial Narrow" w:cs="Arial"/>
                      <w:szCs w:val="24"/>
                    </w:rPr>
                    <w:t>otorgando</w:t>
                  </w:r>
                  <w:r w:rsidRPr="00637FEC">
                    <w:rPr>
                      <w:rFonts w:ascii="Arial Narrow" w:hAnsi="Arial Narrow" w:cs="Arial"/>
                      <w:szCs w:val="24"/>
                    </w:rPr>
                    <w:t xml:space="preserve"> un plazo de </w:t>
                  </w:r>
                  <w:r w:rsidR="00605F5D">
                    <w:rPr>
                      <w:rFonts w:ascii="Arial Narrow" w:hAnsi="Arial Narrow" w:cs="Arial"/>
                      <w:szCs w:val="24"/>
                    </w:rPr>
                    <w:t>un</w:t>
                  </w:r>
                  <w:r>
                    <w:rPr>
                      <w:rFonts w:ascii="Arial Narrow" w:hAnsi="Arial Narrow" w:cs="Arial"/>
                      <w:szCs w:val="24"/>
                    </w:rPr>
                    <w:t xml:space="preserve"> año</w:t>
                  </w:r>
                  <w:r w:rsidRPr="00637FEC">
                    <w:rPr>
                      <w:rFonts w:ascii="Arial Narrow" w:hAnsi="Arial Narrow" w:cs="Arial"/>
                      <w:szCs w:val="24"/>
                    </w:rPr>
                    <w:t>, para dar</w:t>
                  </w:r>
                  <w:r>
                    <w:rPr>
                      <w:rFonts w:ascii="Arial Narrow" w:hAnsi="Arial Narrow" w:cs="Arial"/>
                      <w:szCs w:val="24"/>
                    </w:rPr>
                    <w:t xml:space="preserve"> </w:t>
                  </w:r>
                  <w:r w:rsidRPr="00637FEC">
                    <w:rPr>
                      <w:rFonts w:ascii="Arial Narrow" w:hAnsi="Arial Narrow" w:cs="Arial"/>
                      <w:szCs w:val="24"/>
                    </w:rPr>
                    <w:t>cumplimiento a</w:t>
                  </w:r>
                  <w:r>
                    <w:rPr>
                      <w:rFonts w:ascii="Arial Narrow" w:hAnsi="Arial Narrow" w:cs="Arial"/>
                      <w:szCs w:val="24"/>
                    </w:rPr>
                    <w:t>l plan de transición</w:t>
                  </w:r>
                  <w:r w:rsidRPr="00637FEC">
                    <w:rPr>
                      <w:rFonts w:ascii="Arial Narrow" w:hAnsi="Arial Narrow" w:cs="Arial"/>
                      <w:szCs w:val="24"/>
                    </w:rPr>
                    <w:t>. Mientras tanto</w:t>
                  </w:r>
                  <w:r>
                    <w:rPr>
                      <w:rFonts w:ascii="Arial Narrow" w:hAnsi="Arial Narrow" w:cs="Arial"/>
                      <w:szCs w:val="24"/>
                    </w:rPr>
                    <w:t xml:space="preserve">, se deberá </w:t>
                  </w:r>
                  <w:r w:rsidRPr="00637FEC">
                    <w:rPr>
                      <w:rFonts w:ascii="Arial Narrow" w:hAnsi="Arial Narrow" w:cs="Arial"/>
                      <w:szCs w:val="24"/>
                    </w:rPr>
                    <w:t>continuar</w:t>
                  </w:r>
                  <w:r>
                    <w:rPr>
                      <w:rFonts w:ascii="Arial Narrow" w:hAnsi="Arial Narrow" w:cs="Arial"/>
                      <w:szCs w:val="24"/>
                    </w:rPr>
                    <w:t xml:space="preserve"> usando de manera paralela,</w:t>
                  </w:r>
                  <w:r w:rsidRPr="00637FEC">
                    <w:rPr>
                      <w:rFonts w:ascii="Arial Narrow" w:hAnsi="Arial Narrow" w:cs="Arial"/>
                      <w:szCs w:val="24"/>
                    </w:rPr>
                    <w:t xml:space="preserve"> la</w:t>
                  </w:r>
                  <w:r>
                    <w:rPr>
                      <w:rFonts w:ascii="Arial Narrow" w:hAnsi="Arial Narrow" w:cs="Arial"/>
                      <w:szCs w:val="24"/>
                    </w:rPr>
                    <w:t xml:space="preserve"> CIE -10 adoptada por</w:t>
                  </w:r>
                  <w:r w:rsidRPr="00637FEC">
                    <w:rPr>
                      <w:rFonts w:ascii="Arial Narrow" w:hAnsi="Arial Narrow" w:cs="Arial"/>
                      <w:szCs w:val="24"/>
                    </w:rPr>
                    <w:t xml:space="preserve"> la Resolución </w:t>
                  </w:r>
                  <w:r>
                    <w:rPr>
                      <w:rFonts w:ascii="Arial Narrow" w:hAnsi="Arial Narrow" w:cs="Arial"/>
                      <w:szCs w:val="24"/>
                    </w:rPr>
                    <w:t>1895 de 2011</w:t>
                  </w:r>
                  <w:r w:rsidRPr="00637FEC">
                    <w:rPr>
                      <w:rFonts w:ascii="Arial Narrow" w:hAnsi="Arial Narrow" w:cs="Arial"/>
                      <w:szCs w:val="24"/>
                    </w:rPr>
                    <w:t>.</w:t>
                  </w:r>
                </w:p>
              </w:tc>
            </w:tr>
          </w:tbl>
          <w:p w14:paraId="5154393A" w14:textId="77777777" w:rsidR="002264FE" w:rsidRPr="00722F4F" w:rsidRDefault="002264FE" w:rsidP="00E32220">
            <w:pPr>
              <w:ind w:left="336"/>
              <w:jc w:val="both"/>
              <w:rPr>
                <w:rFonts w:ascii="Arial Narrow" w:hAnsi="Arial Narrow" w:cs="Arial"/>
                <w:szCs w:val="24"/>
              </w:rPr>
            </w:pPr>
          </w:p>
          <w:p w14:paraId="27245737" w14:textId="77777777" w:rsidR="002264FE" w:rsidRPr="00DE086A" w:rsidRDefault="002264FE" w:rsidP="00E32220">
            <w:pPr>
              <w:ind w:right="356"/>
              <w:jc w:val="both"/>
              <w:rPr>
                <w:rFonts w:ascii="Arial Narrow" w:hAnsi="Arial Narrow" w:cs="Arial"/>
                <w:sz w:val="20"/>
                <w:lang w:val="es-CO"/>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56"/>
            </w:tblGrid>
            <w:tr w:rsidR="002264FE" w:rsidRPr="00DE086A" w14:paraId="07DB63D1" w14:textId="77777777" w:rsidTr="00E32220">
              <w:trPr>
                <w:trHeight w:val="586"/>
              </w:trPr>
              <w:tc>
                <w:tcPr>
                  <w:tcW w:w="8256" w:type="dxa"/>
                </w:tcPr>
                <w:p w14:paraId="38329719" w14:textId="77777777" w:rsidR="002264FE" w:rsidRPr="00DE086A" w:rsidRDefault="002264FE" w:rsidP="00E32220">
                  <w:pPr>
                    <w:pStyle w:val="Prrafodelista"/>
                    <w:ind w:left="72"/>
                    <w:jc w:val="both"/>
                    <w:rPr>
                      <w:rFonts w:ascii="Arial Narrow" w:hAnsi="Arial Narrow"/>
                    </w:rPr>
                  </w:pPr>
                  <w:r w:rsidRPr="00DE086A">
                    <w:rPr>
                      <w:rFonts w:ascii="Arial Narrow" w:hAnsi="Arial Narrow" w:cs="Arial"/>
                      <w:b/>
                      <w:sz w:val="22"/>
                      <w:szCs w:val="22"/>
                    </w:rPr>
                    <w:t xml:space="preserve">Las disposiciones derogadas, subrogadas, modificadas, adicionadas o sustituidas, si alguno de estos efectos se produce con la expedición del respectivo acto.  </w:t>
                  </w:r>
                </w:p>
              </w:tc>
            </w:tr>
          </w:tbl>
          <w:p w14:paraId="0690F237" w14:textId="77777777" w:rsidR="002264FE" w:rsidRDefault="002264FE" w:rsidP="00E32220">
            <w:pPr>
              <w:ind w:left="214" w:right="356"/>
              <w:jc w:val="both"/>
              <w:rPr>
                <w:rFonts w:ascii="Arial Narrow" w:hAnsi="Arial Narrow" w:cs="Arial"/>
                <w:szCs w:val="24"/>
              </w:rPr>
            </w:pPr>
          </w:p>
          <w:tbl>
            <w:tblPr>
              <w:tblStyle w:val="Tablaconcuadrcula"/>
              <w:tblW w:w="0" w:type="auto"/>
              <w:tblInd w:w="214" w:type="dxa"/>
              <w:tblLayout w:type="fixed"/>
              <w:tblLook w:val="04A0" w:firstRow="1" w:lastRow="0" w:firstColumn="1" w:lastColumn="0" w:noHBand="0" w:noVBand="1"/>
            </w:tblPr>
            <w:tblGrid>
              <w:gridCol w:w="8439"/>
            </w:tblGrid>
            <w:tr w:rsidR="002264FE" w14:paraId="588D0609" w14:textId="77777777" w:rsidTr="00E32220">
              <w:trPr>
                <w:trHeight w:val="269"/>
              </w:trPr>
              <w:tc>
                <w:tcPr>
                  <w:tcW w:w="8439" w:type="dxa"/>
                </w:tcPr>
                <w:p w14:paraId="01A8DEAF" w14:textId="77777777" w:rsidR="002264FE" w:rsidRPr="00722F4F" w:rsidRDefault="002264FE" w:rsidP="00E32220">
                  <w:pPr>
                    <w:tabs>
                      <w:tab w:val="left" w:pos="7875"/>
                    </w:tabs>
                    <w:ind w:right="356"/>
                    <w:jc w:val="both"/>
                    <w:rPr>
                      <w:rFonts w:ascii="Arial Narrow" w:hAnsi="Arial Narrow" w:cs="Arial"/>
                      <w:szCs w:val="24"/>
                    </w:rPr>
                  </w:pPr>
                  <w:r w:rsidRPr="00722F4F">
                    <w:rPr>
                      <w:rFonts w:ascii="Arial Narrow" w:hAnsi="Arial Narrow" w:cs="Arial"/>
                      <w:szCs w:val="24"/>
                    </w:rPr>
                    <w:t xml:space="preserve">El presente acto administrativo </w:t>
                  </w:r>
                  <w:r>
                    <w:rPr>
                      <w:rFonts w:ascii="Arial Narrow" w:hAnsi="Arial Narrow" w:cs="Arial"/>
                      <w:szCs w:val="24"/>
                    </w:rPr>
                    <w:t>deroga la</w:t>
                  </w:r>
                  <w:r w:rsidRPr="00722F4F">
                    <w:rPr>
                      <w:rFonts w:ascii="Arial Narrow" w:hAnsi="Arial Narrow" w:cs="Arial"/>
                      <w:szCs w:val="24"/>
                    </w:rPr>
                    <w:t xml:space="preserve"> Resolución</w:t>
                  </w:r>
                  <w:r>
                    <w:rPr>
                      <w:rFonts w:ascii="Arial Narrow" w:hAnsi="Arial Narrow" w:cs="Arial"/>
                      <w:szCs w:val="24"/>
                    </w:rPr>
                    <w:t xml:space="preserve"> 1895 de 2011</w:t>
                  </w:r>
                  <w:r w:rsidRPr="00722F4F">
                    <w:rPr>
                      <w:rFonts w:ascii="Arial Narrow" w:hAnsi="Arial Narrow" w:cs="Arial"/>
                      <w:szCs w:val="24"/>
                    </w:rPr>
                    <w:t>.</w:t>
                  </w:r>
                </w:p>
                <w:p w14:paraId="4673839D" w14:textId="77777777" w:rsidR="002264FE" w:rsidRDefault="002264FE" w:rsidP="00E32220">
                  <w:pPr>
                    <w:ind w:right="356"/>
                    <w:jc w:val="both"/>
                    <w:rPr>
                      <w:rFonts w:ascii="Arial Narrow" w:hAnsi="Arial Narrow" w:cs="Arial"/>
                      <w:szCs w:val="24"/>
                    </w:rPr>
                  </w:pPr>
                </w:p>
              </w:tc>
            </w:tr>
          </w:tbl>
          <w:tbl>
            <w:tblPr>
              <w:tblpPr w:leftFromText="141" w:rightFromText="141" w:vertAnchor="text" w:horzAnchor="margin" w:tblpXSpec="center" w:tblpY="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6"/>
            </w:tblGrid>
            <w:tr w:rsidR="002264FE" w:rsidRPr="00DE086A" w14:paraId="57A19291" w14:textId="77777777" w:rsidTr="00E32220">
              <w:trPr>
                <w:trHeight w:val="480"/>
              </w:trPr>
              <w:tc>
                <w:tcPr>
                  <w:tcW w:w="8356" w:type="dxa"/>
                </w:tcPr>
                <w:p w14:paraId="2B57854D" w14:textId="77777777" w:rsidR="002264FE" w:rsidRPr="00DE086A" w:rsidRDefault="002264FE" w:rsidP="00E32220">
                  <w:pPr>
                    <w:pStyle w:val="Prrafodelista"/>
                    <w:ind w:left="0"/>
                    <w:jc w:val="both"/>
                    <w:rPr>
                      <w:rFonts w:ascii="Arial Narrow" w:hAnsi="Arial Narrow" w:cs="Arial"/>
                      <w:b/>
                      <w:sz w:val="22"/>
                      <w:szCs w:val="22"/>
                    </w:rPr>
                  </w:pPr>
                  <w:r w:rsidRPr="00DE086A">
                    <w:rPr>
                      <w:rFonts w:ascii="Arial Narrow" w:hAnsi="Arial Narrow" w:cs="Arial"/>
                      <w:b/>
                      <w:sz w:val="22"/>
                      <w:szCs w:val="22"/>
                    </w:rPr>
                    <w:t xml:space="preserve">Revisión y análisis de las decisiones judiciales de los órganos de cierre de cada jurisdicción que pudieren tener impacto o ser relevantes para la expedición del acto </w:t>
                  </w:r>
                </w:p>
              </w:tc>
            </w:tr>
          </w:tbl>
          <w:p w14:paraId="6C80BC55" w14:textId="77777777" w:rsidR="002264FE" w:rsidRPr="00DE086A" w:rsidRDefault="002264FE" w:rsidP="00E32220">
            <w:pPr>
              <w:pStyle w:val="Prrafodelista"/>
              <w:ind w:left="214" w:right="356"/>
              <w:jc w:val="both"/>
              <w:rPr>
                <w:rFonts w:ascii="Arial Narrow" w:hAnsi="Arial Narrow" w:cs="Arial"/>
                <w:b/>
                <w:szCs w:val="24"/>
              </w:rPr>
            </w:pPr>
          </w:p>
          <w:p w14:paraId="21C60C28" w14:textId="77777777" w:rsidR="002264FE" w:rsidRDefault="002264FE" w:rsidP="00E32220">
            <w:pPr>
              <w:pStyle w:val="Prrafodelista"/>
              <w:ind w:left="214" w:right="356"/>
              <w:jc w:val="both"/>
              <w:rPr>
                <w:rFonts w:ascii="Arial Narrow" w:hAnsi="Arial Narrow" w:cs="Arial"/>
                <w:b/>
                <w:szCs w:val="24"/>
              </w:rPr>
            </w:pPr>
            <w:r w:rsidRPr="00DE086A">
              <w:rPr>
                <w:rFonts w:ascii="Arial Narrow" w:hAnsi="Arial Narrow" w:cs="Arial"/>
                <w:b/>
                <w:szCs w:val="24"/>
              </w:rPr>
              <w:t xml:space="preserve">Se deben relacionar en este campo las decisiones judiciales proferidas por los órganos de cierre de la respectiva jurisdicción que se tornen relevantes para la expedición del acto. Cuando el área técnica tenga conocimiento de decisiones judiciales sobre el particular, deberá relacionarlas, con una breve descripción de lo que haya resuelto el órgano judicial.    </w:t>
            </w:r>
          </w:p>
          <w:p w14:paraId="45CD1700" w14:textId="77777777" w:rsidR="002264FE" w:rsidRPr="00722F4F" w:rsidRDefault="002264FE" w:rsidP="00E32220">
            <w:pPr>
              <w:pStyle w:val="Prrafodelista"/>
              <w:ind w:left="67"/>
              <w:rPr>
                <w:rFonts w:ascii="Arial Narrow" w:hAnsi="Arial Narrow" w:cs="Arial"/>
                <w:szCs w:val="24"/>
                <w:lang w:val="es-CO"/>
              </w:rPr>
            </w:pPr>
          </w:p>
          <w:tbl>
            <w:tblPr>
              <w:tblStyle w:val="Tablaconcuadrcula"/>
              <w:tblW w:w="0" w:type="auto"/>
              <w:tblInd w:w="279" w:type="dxa"/>
              <w:tblLayout w:type="fixed"/>
              <w:tblLook w:val="04A0" w:firstRow="1" w:lastRow="0" w:firstColumn="1" w:lastColumn="0" w:noHBand="0" w:noVBand="1"/>
            </w:tblPr>
            <w:tblGrid>
              <w:gridCol w:w="8363"/>
            </w:tblGrid>
            <w:tr w:rsidR="002264FE" w14:paraId="35ABA953" w14:textId="77777777" w:rsidTr="00E32220">
              <w:trPr>
                <w:trHeight w:val="331"/>
              </w:trPr>
              <w:tc>
                <w:tcPr>
                  <w:tcW w:w="8363" w:type="dxa"/>
                </w:tcPr>
                <w:p w14:paraId="67F824E1" w14:textId="77777777" w:rsidR="002264FE" w:rsidRPr="00853B61" w:rsidRDefault="002264FE" w:rsidP="00E32220">
                  <w:pPr>
                    <w:pStyle w:val="Prrafodelista"/>
                    <w:ind w:left="0"/>
                    <w:rPr>
                      <w:rFonts w:ascii="Arial Narrow" w:hAnsi="Arial Narrow" w:cs="Arial"/>
                      <w:sz w:val="22"/>
                      <w:szCs w:val="22"/>
                      <w:lang w:val="es-CO"/>
                    </w:rPr>
                  </w:pPr>
                  <w:r w:rsidRPr="00853B61">
                    <w:rPr>
                      <w:rFonts w:ascii="Arial Narrow" w:hAnsi="Arial Narrow" w:cs="Arial"/>
                      <w:sz w:val="22"/>
                      <w:szCs w:val="22"/>
                      <w:lang w:val="es-CO"/>
                    </w:rPr>
                    <w:t>No se tiene conocimiento de algún tipo de decisión judicial sobre el tema particular.</w:t>
                  </w:r>
                </w:p>
              </w:tc>
            </w:tr>
          </w:tbl>
          <w:p w14:paraId="158BA9F9" w14:textId="77777777" w:rsidR="002264FE" w:rsidRPr="007007FF" w:rsidRDefault="002264FE" w:rsidP="007007FF">
            <w:pPr>
              <w:rPr>
                <w:rFonts w:ascii="Arial Narrow" w:hAnsi="Arial Narrow" w:cs="Arial"/>
                <w:szCs w:val="24"/>
                <w:lang w:val="es-CO"/>
              </w:rPr>
            </w:pPr>
          </w:p>
          <w:tbl>
            <w:tblPr>
              <w:tblpPr w:leftFromText="141" w:rightFromText="141" w:vertAnchor="text" w:horzAnchor="margin" w:tblpXSpec="center" w:tblpY="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6"/>
            </w:tblGrid>
            <w:tr w:rsidR="002264FE" w:rsidRPr="00DE086A" w14:paraId="09C6C1A2" w14:textId="77777777" w:rsidTr="00E32220">
              <w:trPr>
                <w:trHeight w:val="480"/>
              </w:trPr>
              <w:tc>
                <w:tcPr>
                  <w:tcW w:w="8356" w:type="dxa"/>
                </w:tcPr>
                <w:p w14:paraId="2A04809D" w14:textId="77777777" w:rsidR="002264FE" w:rsidRPr="00DE086A" w:rsidRDefault="002264FE" w:rsidP="00E32220">
                  <w:pPr>
                    <w:pStyle w:val="Prrafodelista"/>
                    <w:ind w:left="0"/>
                    <w:jc w:val="both"/>
                    <w:rPr>
                      <w:rFonts w:ascii="Arial Narrow" w:hAnsi="Arial Narrow" w:cs="Arial"/>
                      <w:b/>
                      <w:sz w:val="22"/>
                      <w:szCs w:val="22"/>
                    </w:rPr>
                  </w:pPr>
                  <w:r w:rsidRPr="00DE086A">
                    <w:rPr>
                      <w:rFonts w:ascii="Arial Narrow" w:hAnsi="Arial Narrow" w:cs="Arial"/>
                      <w:b/>
                      <w:sz w:val="22"/>
                      <w:szCs w:val="22"/>
                    </w:rPr>
                    <w:t xml:space="preserve">Advertencia de cualquier otra circunstancia jurídica que pueda ser relevante para la expedición del acto </w:t>
                  </w:r>
                </w:p>
              </w:tc>
            </w:tr>
          </w:tbl>
          <w:p w14:paraId="28FF18FA" w14:textId="77777777" w:rsidR="002264FE" w:rsidRDefault="002264FE" w:rsidP="00E32220">
            <w:pPr>
              <w:rPr>
                <w:rFonts w:ascii="Arial Narrow" w:hAnsi="Arial Narrow" w:cs="Arial"/>
                <w:b/>
                <w:sz w:val="22"/>
                <w:szCs w:val="22"/>
              </w:rPr>
            </w:pPr>
          </w:p>
          <w:tbl>
            <w:tblPr>
              <w:tblStyle w:val="Tablaconcuadrcula"/>
              <w:tblW w:w="0" w:type="auto"/>
              <w:tblInd w:w="279" w:type="dxa"/>
              <w:tblLayout w:type="fixed"/>
              <w:tblLook w:val="04A0" w:firstRow="1" w:lastRow="0" w:firstColumn="1" w:lastColumn="0" w:noHBand="0" w:noVBand="1"/>
            </w:tblPr>
            <w:tblGrid>
              <w:gridCol w:w="8505"/>
            </w:tblGrid>
            <w:tr w:rsidR="002264FE" w14:paraId="600FFB6B" w14:textId="77777777" w:rsidTr="00E32220">
              <w:tc>
                <w:tcPr>
                  <w:tcW w:w="8505" w:type="dxa"/>
                </w:tcPr>
                <w:p w14:paraId="5D6E0057" w14:textId="77777777" w:rsidR="002264FE" w:rsidRDefault="002264FE" w:rsidP="00E32220">
                  <w:pPr>
                    <w:rPr>
                      <w:rFonts w:ascii="Arial Narrow" w:hAnsi="Arial Narrow" w:cs="Arial"/>
                      <w:b/>
                      <w:sz w:val="22"/>
                      <w:szCs w:val="22"/>
                    </w:rPr>
                  </w:pPr>
                  <w:r w:rsidRPr="00853B61">
                    <w:rPr>
                      <w:rFonts w:ascii="Arial Narrow" w:hAnsi="Arial Narrow" w:cs="Arial"/>
                      <w:sz w:val="22"/>
                      <w:szCs w:val="22"/>
                      <w:lang w:val="es-CO"/>
                    </w:rPr>
                    <w:t xml:space="preserve">No se tiene conocimiento </w:t>
                  </w:r>
                  <w:r w:rsidR="00605F5D">
                    <w:rPr>
                      <w:rFonts w:ascii="Arial Narrow" w:hAnsi="Arial Narrow" w:cs="Arial"/>
                      <w:sz w:val="22"/>
                      <w:szCs w:val="22"/>
                      <w:lang w:val="es-CO"/>
                    </w:rPr>
                    <w:t>de alguna</w:t>
                  </w:r>
                  <w:r>
                    <w:rPr>
                      <w:rFonts w:ascii="Arial Narrow" w:hAnsi="Arial Narrow" w:cs="Arial"/>
                      <w:sz w:val="22"/>
                      <w:szCs w:val="22"/>
                      <w:lang w:val="es-CO"/>
                    </w:rPr>
                    <w:t>.</w:t>
                  </w:r>
                </w:p>
              </w:tc>
            </w:tr>
          </w:tbl>
          <w:p w14:paraId="602D34B3" w14:textId="77777777" w:rsidR="002264FE" w:rsidRPr="00853B61" w:rsidRDefault="002264FE" w:rsidP="00E32220">
            <w:pPr>
              <w:rPr>
                <w:rFonts w:ascii="Arial Narrow" w:hAnsi="Arial Narrow" w:cs="Arial"/>
                <w:b/>
                <w:sz w:val="22"/>
                <w:szCs w:val="22"/>
              </w:rPr>
            </w:pPr>
          </w:p>
          <w:p w14:paraId="414BA865" w14:textId="08B3C434" w:rsidR="002264FE" w:rsidRPr="00DE086A" w:rsidRDefault="002264FE" w:rsidP="00E32220">
            <w:pPr>
              <w:rPr>
                <w:rFonts w:ascii="Arial Narrow" w:hAnsi="Arial Narrow"/>
              </w:rPr>
            </w:pPr>
          </w:p>
        </w:tc>
      </w:tr>
    </w:tbl>
    <w:p w14:paraId="0068DF9C" w14:textId="77777777" w:rsidR="004D7977" w:rsidRDefault="004D7977"/>
    <w:sectPr w:rsidR="004D7977" w:rsidSect="000951B7">
      <w:headerReference w:type="default" r:id="rId10"/>
      <w:headerReference w:type="first" r:id="rId11"/>
      <w:footerReference w:type="first" r:id="rId12"/>
      <w:pgSz w:w="12242" w:h="18705" w:code="122"/>
      <w:pgMar w:top="1558" w:right="1610" w:bottom="1276" w:left="1701" w:header="72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A3FD" w14:textId="77777777" w:rsidR="00D67CEF" w:rsidRDefault="00D67CEF">
      <w:r>
        <w:separator/>
      </w:r>
    </w:p>
  </w:endnote>
  <w:endnote w:type="continuationSeparator" w:id="0">
    <w:p w14:paraId="3354EC1F" w14:textId="77777777" w:rsidR="00D67CEF" w:rsidRDefault="00D6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C9D8" w14:textId="77777777" w:rsidR="00C34CE2" w:rsidRDefault="00605F5D">
    <w:pPr>
      <w:pStyle w:val="Piedepgina"/>
    </w:pPr>
    <w:r>
      <w:rPr>
        <w:noProof/>
        <w:lang w:val="es-CO" w:eastAsia="es-CO"/>
      </w:rPr>
      <mc:AlternateContent>
        <mc:Choice Requires="wps">
          <w:drawing>
            <wp:anchor distT="0" distB="0" distL="114300" distR="114300" simplePos="0" relativeHeight="251661312" behindDoc="0" locked="0" layoutInCell="0" allowOverlap="1" wp14:anchorId="2743947F" wp14:editId="66A4938B">
              <wp:simplePos x="0" y="0"/>
              <wp:positionH relativeFrom="column">
                <wp:posOffset>-167005</wp:posOffset>
              </wp:positionH>
              <wp:positionV relativeFrom="paragraph">
                <wp:posOffset>-126365</wp:posOffset>
              </wp:positionV>
              <wp:extent cx="6035675" cy="635"/>
              <wp:effectExtent l="0" t="0" r="34925" b="501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0B3FE"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9.95pt" to="462.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" o:allowincell="f"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4673E" w14:textId="77777777" w:rsidR="00D67CEF" w:rsidRDefault="00D67CEF">
      <w:r>
        <w:separator/>
      </w:r>
    </w:p>
  </w:footnote>
  <w:footnote w:type="continuationSeparator" w:id="0">
    <w:p w14:paraId="44213C37" w14:textId="77777777" w:rsidR="00D67CEF" w:rsidRDefault="00D67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3DD4" w14:textId="77777777" w:rsidR="00C34CE2" w:rsidRDefault="00605F5D" w:rsidP="000951B7">
    <w:pPr>
      <w:pStyle w:val="Encabezado"/>
      <w:rPr>
        <w:sz w:val="16"/>
      </w:rPr>
    </w:pPr>
    <w:r>
      <w:rPr>
        <w:noProof/>
        <w:lang w:val="es-CO" w:eastAsia="es-CO"/>
      </w:rPr>
      <mc:AlternateContent>
        <mc:Choice Requires="wps">
          <w:drawing>
            <wp:anchor distT="0" distB="0" distL="114300" distR="114300" simplePos="0" relativeHeight="251659264" behindDoc="0" locked="0" layoutInCell="0" allowOverlap="1" wp14:anchorId="3D683F75" wp14:editId="63574005">
              <wp:simplePos x="0" y="0"/>
              <wp:positionH relativeFrom="page">
                <wp:posOffset>904875</wp:posOffset>
              </wp:positionH>
              <wp:positionV relativeFrom="page">
                <wp:posOffset>796290</wp:posOffset>
              </wp:positionV>
              <wp:extent cx="6009005" cy="10376535"/>
              <wp:effectExtent l="0" t="0" r="36195" b="3746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37653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54F46" id="Rectangle 1" o:spid="_x0000_s1026" style="position:absolute;margin-left:71.25pt;margin-top:62.7pt;width:473.15pt;height:81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" o:allowincell="f" fill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1DE2" w14:textId="77777777" w:rsidR="00C34CE2" w:rsidRDefault="00605F5D">
    <w:pPr>
      <w:pStyle w:val="Encabezado"/>
      <w:jc w:val="center"/>
      <w:rPr>
        <w:rFonts w:ascii="Albertus Extra Bold" w:hAnsi="Albertus Extra Bold"/>
        <w:sz w:val="14"/>
      </w:rPr>
    </w:pPr>
    <w:r>
      <w:rPr>
        <w:noProof/>
        <w:lang w:val="es-CO" w:eastAsia="es-CO"/>
      </w:rPr>
      <mc:AlternateContent>
        <mc:Choice Requires="wps">
          <w:drawing>
            <wp:anchor distT="0" distB="0" distL="114300" distR="114300" simplePos="0" relativeHeight="251664384" behindDoc="0" locked="0" layoutInCell="0" allowOverlap="1" wp14:anchorId="253FFBD3" wp14:editId="22AC98BC">
              <wp:simplePos x="0" y="0"/>
              <wp:positionH relativeFrom="column">
                <wp:posOffset>3765550</wp:posOffset>
              </wp:positionH>
              <wp:positionV relativeFrom="paragraph">
                <wp:posOffset>374015</wp:posOffset>
              </wp:positionV>
              <wp:extent cx="2103755" cy="635"/>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88674"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" o:allowincell="f" strokeweight="1pt">
              <v:stroke startarrowwidth="narrow" startarrowlength="short" endarrowwidth="narrow" endarrowlength="short"/>
            </v:line>
          </w:pict>
        </mc:Fallback>
      </mc:AlternateContent>
    </w:r>
    <w:r>
      <w:rPr>
        <w:noProof/>
        <w:lang w:val="es-CO" w:eastAsia="es-CO"/>
      </w:rPr>
      <mc:AlternateContent>
        <mc:Choice Requires="wps">
          <w:drawing>
            <wp:anchor distT="0" distB="0" distL="114300" distR="114300" simplePos="0" relativeHeight="251663360" behindDoc="0" locked="0" layoutInCell="0" allowOverlap="1" wp14:anchorId="526C17EC" wp14:editId="17DE9858">
              <wp:simplePos x="0" y="0"/>
              <wp:positionH relativeFrom="column">
                <wp:posOffset>-166370</wp:posOffset>
              </wp:positionH>
              <wp:positionV relativeFrom="paragraph">
                <wp:posOffset>374015</wp:posOffset>
              </wp:positionV>
              <wp:extent cx="2103755" cy="635"/>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3D7D5"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" o:allowincell="f" strokeweight="1pt">
              <v:stroke startarrowwidth="narrow" startarrowlength="short" endarrowwidth="narrow" endarrowlength="short"/>
            </v:line>
          </w:pict>
        </mc:Fallback>
      </mc:AlternateContent>
    </w:r>
    <w:r>
      <w:rPr>
        <w:rFonts w:ascii="Albertus Extra Bold" w:hAnsi="Albertus Extra Bold"/>
        <w:sz w:val="14"/>
      </w:rPr>
      <w:t>REPUBLICA DE COLOMBIA</w:t>
    </w:r>
  </w:p>
  <w:p w14:paraId="31AE1A0E" w14:textId="77777777" w:rsidR="00C34CE2" w:rsidRDefault="00605F5D">
    <w:pPr>
      <w:pStyle w:val="Encabezado"/>
      <w:jc w:val="center"/>
    </w:pPr>
    <w:r>
      <w:rPr>
        <w:noProof/>
        <w:lang w:val="es-CO" w:eastAsia="es-CO"/>
      </w:rPr>
      <mc:AlternateContent>
        <mc:Choice Requires="wps">
          <w:drawing>
            <wp:anchor distT="0" distB="0" distL="114293" distR="114293" simplePos="0" relativeHeight="251660288" behindDoc="0" locked="0" layoutInCell="0" allowOverlap="1" wp14:anchorId="5187391E" wp14:editId="4BA702DF">
              <wp:simplePos x="0" y="0"/>
              <wp:positionH relativeFrom="column">
                <wp:posOffset>-166371</wp:posOffset>
              </wp:positionH>
              <wp:positionV relativeFrom="paragraph">
                <wp:posOffset>265430</wp:posOffset>
              </wp:positionV>
              <wp:extent cx="0" cy="10350500"/>
              <wp:effectExtent l="0" t="0" r="25400" b="127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D879E" id="Line 2" o:spid="_x0000_s1026" style="position:absolute;z-index:25166028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1pt,20.9pt" to="-13.1pt,8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" o:allowincell="f" strokeweight="1pt">
              <v:stroke startarrowwidth="narrow" startarrowlength="short" endarrowwidth="narrow" endarrowlength="short"/>
            </v:line>
          </w:pict>
        </mc:Fallback>
      </mc:AlternateContent>
    </w:r>
    <w:r>
      <w:rPr>
        <w:noProof/>
        <w:lang w:val="es-CO" w:eastAsia="es-CO"/>
      </w:rPr>
      <mc:AlternateContent>
        <mc:Choice Requires="wps">
          <w:drawing>
            <wp:anchor distT="0" distB="0" distL="114300" distR="114300" simplePos="0" relativeHeight="251662336" behindDoc="0" locked="0" layoutInCell="0" allowOverlap="1" wp14:anchorId="61261015" wp14:editId="0C43E520">
              <wp:simplePos x="0" y="0"/>
              <wp:positionH relativeFrom="column">
                <wp:posOffset>5868670</wp:posOffset>
              </wp:positionH>
              <wp:positionV relativeFrom="paragraph">
                <wp:posOffset>265430</wp:posOffset>
              </wp:positionV>
              <wp:extent cx="635" cy="10351135"/>
              <wp:effectExtent l="0" t="0" r="50165" b="374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3511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60549"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1pt,20.9pt" to="462.15pt,8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" o:allowincell="f" strokeweight="1pt">
              <v:stroke startarrowwidth="narrow" startarrowlength="short" endarrowwidth="narrow" endarrowlength="short"/>
            </v:line>
          </w:pict>
        </mc:Fallback>
      </mc:AlternateContent>
    </w:r>
    <w:r>
      <w:object w:dxaOrig="2496" w:dyaOrig="2556" w14:anchorId="23B9B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5.75pt">
          <v:imagedata r:id="rId1" o:title=""/>
        </v:shape>
        <o:OLEObject Type="Embed" ProgID="PBrush" ShapeID="_x0000_i1025" DrawAspect="Content" ObjectID="_177493978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44069"/>
    <w:multiLevelType w:val="hybridMultilevel"/>
    <w:tmpl w:val="87264308"/>
    <w:lvl w:ilvl="0" w:tplc="FD2E7B02">
      <w:start w:val="1"/>
      <w:numFmt w:val="upperRoman"/>
      <w:lvlText w:val="%1."/>
      <w:lvlJc w:val="left"/>
      <w:pPr>
        <w:ind w:left="862" w:hanging="72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6587AFC"/>
    <w:multiLevelType w:val="hybridMultilevel"/>
    <w:tmpl w:val="C5ACF3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32215614">
    <w:abstractNumId w:val="0"/>
  </w:num>
  <w:num w:numId="2" w16cid:durableId="372195597">
    <w:abstractNumId w:val="1"/>
  </w:num>
  <w:num w:numId="3" w16cid:durableId="1290818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FE"/>
    <w:rsid w:val="001E49FB"/>
    <w:rsid w:val="002227A9"/>
    <w:rsid w:val="002264FE"/>
    <w:rsid w:val="002600EF"/>
    <w:rsid w:val="004D7977"/>
    <w:rsid w:val="00605F5D"/>
    <w:rsid w:val="007007FF"/>
    <w:rsid w:val="00987846"/>
    <w:rsid w:val="00AC0D1A"/>
    <w:rsid w:val="00C241F5"/>
    <w:rsid w:val="00C34CE2"/>
    <w:rsid w:val="00CA0FE7"/>
    <w:rsid w:val="00D67CEF"/>
    <w:rsid w:val="00E76E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B80AF0F"/>
  <w15:chartTrackingRefBased/>
  <w15:docId w15:val="{E24DB98A-B6FA-4B3B-8F0C-9B3FAE97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FE"/>
    <w:pPr>
      <w:spacing w:after="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rsid w:val="002264FE"/>
    <w:pPr>
      <w:jc w:val="both"/>
    </w:pPr>
    <w:rPr>
      <w:rFonts w:ascii="Arial" w:hAnsi="Arial"/>
    </w:rPr>
  </w:style>
  <w:style w:type="character" w:customStyle="1" w:styleId="TextoindependienteCar">
    <w:name w:val="Texto independiente Car"/>
    <w:basedOn w:val="Fuentedeprrafopredeter"/>
    <w:link w:val="Textoindependiente"/>
    <w:uiPriority w:val="99"/>
    <w:semiHidden/>
    <w:rsid w:val="002264FE"/>
    <w:rPr>
      <w:rFonts w:ascii="Arial" w:eastAsia="Times New Roman" w:hAnsi="Arial" w:cs="Times New Roman"/>
      <w:sz w:val="24"/>
      <w:szCs w:val="20"/>
      <w:lang w:val="es-ES_tradnl" w:eastAsia="es-ES"/>
    </w:rPr>
  </w:style>
  <w:style w:type="paragraph" w:styleId="Encabezado">
    <w:name w:val="header"/>
    <w:basedOn w:val="Normal"/>
    <w:link w:val="EncabezadoCar"/>
    <w:uiPriority w:val="99"/>
    <w:rsid w:val="002264FE"/>
    <w:pPr>
      <w:tabs>
        <w:tab w:val="center" w:pos="4252"/>
        <w:tab w:val="right" w:pos="8504"/>
      </w:tabs>
    </w:pPr>
    <w:rPr>
      <w:sz w:val="20"/>
    </w:rPr>
  </w:style>
  <w:style w:type="character" w:customStyle="1" w:styleId="EncabezadoCar">
    <w:name w:val="Encabezado Car"/>
    <w:basedOn w:val="Fuentedeprrafopredeter"/>
    <w:link w:val="Encabezado"/>
    <w:uiPriority w:val="99"/>
    <w:rsid w:val="002264FE"/>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semiHidden/>
    <w:rsid w:val="002264FE"/>
    <w:pPr>
      <w:tabs>
        <w:tab w:val="center" w:pos="4252"/>
        <w:tab w:val="right" w:pos="8504"/>
      </w:tabs>
    </w:pPr>
    <w:rPr>
      <w:sz w:val="20"/>
    </w:rPr>
  </w:style>
  <w:style w:type="character" w:customStyle="1" w:styleId="PiedepginaCar">
    <w:name w:val="Pie de página Car"/>
    <w:basedOn w:val="Fuentedeprrafopredeter"/>
    <w:link w:val="Piedepgina"/>
    <w:uiPriority w:val="99"/>
    <w:semiHidden/>
    <w:rsid w:val="002264FE"/>
    <w:rPr>
      <w:rFonts w:ascii="Times New Roman" w:eastAsia="Times New Roman" w:hAnsi="Times New Roman" w:cs="Times New Roman"/>
      <w:sz w:val="20"/>
      <w:szCs w:val="20"/>
      <w:lang w:val="es-ES_tradnl" w:eastAsia="es-ES"/>
    </w:rPr>
  </w:style>
  <w:style w:type="paragraph" w:styleId="Prrafodelista">
    <w:name w:val="List Paragraph"/>
    <w:aliases w:val="Párrafo,Colorful List Accent 1,Colorful List - Accent 11,Bullet List,Ha,titulo 3,HOJA,Bolita,Párrafo de lista4,BOLADEF,Párrafo de lista3,Párrafo de lista21,BOLA,Nivel 1 OS,Normal_viñetas_ICONTEC,Bullets,List,Fluvial1,Normal. Viñetas"/>
    <w:basedOn w:val="Normal"/>
    <w:link w:val="PrrafodelistaCar"/>
    <w:uiPriority w:val="34"/>
    <w:qFormat/>
    <w:rsid w:val="002264FE"/>
    <w:pPr>
      <w:ind w:left="720"/>
      <w:contextualSpacing/>
    </w:pPr>
  </w:style>
  <w:style w:type="character" w:customStyle="1" w:styleId="PrrafodelistaCar">
    <w:name w:val="Párrafo de lista Car"/>
    <w:aliases w:val="Párrafo Car,Colorful List Accent 1 Car,Colorful List - Accent 11 Car,Bullet List Car,Ha Car,titulo 3 Car,HOJA Car,Bolita Car,Párrafo de lista4 Car,BOLADEF Car,Párrafo de lista3 Car,Párrafo de lista21 Car,BOLA Car,Nivel 1 OS Car"/>
    <w:link w:val="Prrafodelista"/>
    <w:uiPriority w:val="34"/>
    <w:rsid w:val="002264FE"/>
    <w:rPr>
      <w:rFonts w:ascii="Times New Roman" w:eastAsia="Times New Roman" w:hAnsi="Times New Roman" w:cs="Times New Roman"/>
      <w:sz w:val="24"/>
      <w:szCs w:val="20"/>
      <w:lang w:val="es-ES_tradnl" w:eastAsia="es-ES"/>
    </w:rPr>
  </w:style>
  <w:style w:type="table" w:styleId="Tablaconcuadrcula">
    <w:name w:val="Table Grid"/>
    <w:basedOn w:val="Tablanormal"/>
    <w:uiPriority w:val="59"/>
    <w:rsid w:val="002264FE"/>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2264FE"/>
    <w:pPr>
      <w:spacing w:after="120" w:line="480" w:lineRule="auto"/>
    </w:pPr>
    <w:rPr>
      <w:rFonts w:asciiTheme="minorHAnsi" w:eastAsiaTheme="minorHAnsi" w:hAnsiTheme="minorHAnsi" w:cstheme="minorBidi"/>
      <w:sz w:val="22"/>
      <w:szCs w:val="22"/>
      <w:lang w:val="es-CO" w:eastAsia="en-US"/>
    </w:rPr>
  </w:style>
  <w:style w:type="character" w:customStyle="1" w:styleId="Textoindependiente2Car">
    <w:name w:val="Texto independiente 2 Car"/>
    <w:basedOn w:val="Fuentedeprrafopredeter"/>
    <w:link w:val="Textoindependiente2"/>
    <w:uiPriority w:val="99"/>
    <w:rsid w:val="002264FE"/>
  </w:style>
  <w:style w:type="character" w:styleId="Refdecomentario">
    <w:name w:val="annotation reference"/>
    <w:basedOn w:val="Fuentedeprrafopredeter"/>
    <w:uiPriority w:val="99"/>
    <w:semiHidden/>
    <w:unhideWhenUsed/>
    <w:rsid w:val="002600EF"/>
    <w:rPr>
      <w:sz w:val="16"/>
      <w:szCs w:val="16"/>
    </w:rPr>
  </w:style>
  <w:style w:type="paragraph" w:styleId="Textocomentario">
    <w:name w:val="annotation text"/>
    <w:basedOn w:val="Normal"/>
    <w:link w:val="TextocomentarioCar"/>
    <w:uiPriority w:val="99"/>
    <w:semiHidden/>
    <w:unhideWhenUsed/>
    <w:rsid w:val="002600EF"/>
    <w:rPr>
      <w:sz w:val="20"/>
    </w:rPr>
  </w:style>
  <w:style w:type="character" w:customStyle="1" w:styleId="TextocomentarioCar">
    <w:name w:val="Texto comentario Car"/>
    <w:basedOn w:val="Fuentedeprrafopredeter"/>
    <w:link w:val="Textocomentario"/>
    <w:uiPriority w:val="99"/>
    <w:semiHidden/>
    <w:rsid w:val="002600E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2600EF"/>
    <w:rPr>
      <w:b/>
      <w:bCs/>
    </w:rPr>
  </w:style>
  <w:style w:type="character" w:customStyle="1" w:styleId="AsuntodelcomentarioCar">
    <w:name w:val="Asunto del comentario Car"/>
    <w:basedOn w:val="TextocomentarioCar"/>
    <w:link w:val="Asuntodelcomentario"/>
    <w:uiPriority w:val="99"/>
    <w:semiHidden/>
    <w:rsid w:val="002600EF"/>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2600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0EF"/>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90874">
      <w:bodyDiv w:val="1"/>
      <w:marLeft w:val="0"/>
      <w:marRight w:val="0"/>
      <w:marTop w:val="0"/>
      <w:marBottom w:val="0"/>
      <w:divBdr>
        <w:top w:val="none" w:sz="0" w:space="0" w:color="auto"/>
        <w:left w:val="none" w:sz="0" w:space="0" w:color="auto"/>
        <w:bottom w:val="none" w:sz="0" w:space="0" w:color="auto"/>
        <w:right w:val="none" w:sz="0" w:space="0" w:color="auto"/>
      </w:divBdr>
    </w:div>
    <w:div w:id="484250500">
      <w:bodyDiv w:val="1"/>
      <w:marLeft w:val="0"/>
      <w:marRight w:val="0"/>
      <w:marTop w:val="0"/>
      <w:marBottom w:val="0"/>
      <w:divBdr>
        <w:top w:val="none" w:sz="0" w:space="0" w:color="auto"/>
        <w:left w:val="none" w:sz="0" w:space="0" w:color="auto"/>
        <w:bottom w:val="none" w:sz="0" w:space="0" w:color="auto"/>
        <w:right w:val="none" w:sz="0" w:space="0" w:color="auto"/>
      </w:divBdr>
    </w:div>
    <w:div w:id="18082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7DFAB718FF44848B67536ACD193E98D" ma:contentTypeVersion="0" ma:contentTypeDescription="Crear nuevo documento." ma:contentTypeScope="" ma:versionID="18375fb5598c4f23a8c6776e580164f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38817-3272-4325-8DB5-630FC774B5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9C3F0B-9264-424D-9639-86F6A5C6FBF0}">
  <ds:schemaRefs>
    <ds:schemaRef ds:uri="http://schemas.microsoft.com/sharepoint/v3/contenttype/forms"/>
  </ds:schemaRefs>
</ds:datastoreItem>
</file>

<file path=customXml/itemProps3.xml><?xml version="1.0" encoding="utf-8"?>
<ds:datastoreItem xmlns:ds="http://schemas.openxmlformats.org/officeDocument/2006/customXml" ds:itemID="{717F4A93-C578-4039-85FB-B621FB381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8044</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 Guavita Cuta</dc:creator>
  <cp:keywords/>
  <dc:description/>
  <cp:lastModifiedBy>Oscar Andres Alvarez Torres</cp:lastModifiedBy>
  <cp:revision>2</cp:revision>
  <dcterms:created xsi:type="dcterms:W3CDTF">2024-04-18T15:03:00Z</dcterms:created>
  <dcterms:modified xsi:type="dcterms:W3CDTF">2024-04-18T15:03:00Z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0x010100E7DFAB718FF44848B67536ACD193E98D</vt:lpwstr>
  </property>
</Properties>
</file>