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BDD0B" w14:textId="77777777" w:rsidR="002A61D5" w:rsidRPr="002A61D5" w:rsidRDefault="003D7EC4" w:rsidP="002A61D5">
      <w:pPr>
        <w:autoSpaceDE w:val="0"/>
        <w:autoSpaceDN w:val="0"/>
        <w:adjustRightInd w:val="0"/>
        <w:spacing w:after="0"/>
        <w:ind w:left="-283" w:right="-283"/>
        <w:jc w:val="center"/>
        <w:rPr>
          <w:rFonts w:ascii="Arial" w:hAnsi="Arial" w:cs="Arial"/>
          <w:color w:val="000000"/>
          <w:sz w:val="24"/>
          <w:szCs w:val="24"/>
        </w:rPr>
      </w:pPr>
      <w:bookmarkStart w:id="0" w:name="_Hlk139440387"/>
      <w:r w:rsidRPr="002A61D5">
        <w:rPr>
          <w:rFonts w:ascii="Arial" w:hAnsi="Arial" w:cs="Arial"/>
          <w:noProof/>
          <w:sz w:val="24"/>
          <w:szCs w:val="24"/>
          <w:lang w:eastAsia="es-CO"/>
        </w:rPr>
        <w:drawing>
          <wp:anchor distT="0" distB="0" distL="114300" distR="114300" simplePos="0" relativeHeight="251665408" behindDoc="1" locked="0" layoutInCell="1" allowOverlap="1" wp14:anchorId="180C10C1" wp14:editId="7B51012E">
            <wp:simplePos x="0" y="0"/>
            <wp:positionH relativeFrom="page">
              <wp:posOffset>41910</wp:posOffset>
            </wp:positionH>
            <wp:positionV relativeFrom="paragraph">
              <wp:posOffset>-2410460</wp:posOffset>
            </wp:positionV>
            <wp:extent cx="7768590" cy="12820650"/>
            <wp:effectExtent l="0" t="0" r="0" b="0"/>
            <wp:wrapNone/>
            <wp:docPr id="4" name="Imagen 4"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Rectángul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768590" cy="1282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EBF" w:rsidRPr="002A61D5">
        <w:rPr>
          <w:rFonts w:ascii="Arial" w:hAnsi="Arial" w:cs="Arial"/>
          <w:i/>
          <w:iCs/>
          <w:sz w:val="24"/>
          <w:szCs w:val="24"/>
        </w:rPr>
        <w:t>“</w:t>
      </w:r>
      <w:bookmarkEnd w:id="0"/>
      <w:r w:rsidR="002A61D5" w:rsidRPr="002A61D5">
        <w:rPr>
          <w:rFonts w:ascii="Arial" w:hAnsi="Arial" w:cs="Arial"/>
          <w:color w:val="000000"/>
          <w:sz w:val="24"/>
          <w:szCs w:val="24"/>
        </w:rPr>
        <w:t xml:space="preserve">(        </w:t>
      </w:r>
      <w:r w:rsidR="002A61D5" w:rsidRPr="002A61D5">
        <w:rPr>
          <w:rFonts w:ascii="Arial" w:hAnsi="Arial" w:cs="Arial"/>
          <w:b/>
          <w:color w:val="000000"/>
          <w:sz w:val="24"/>
          <w:szCs w:val="24"/>
        </w:rPr>
        <w:t xml:space="preserve">                           </w:t>
      </w:r>
      <w:r w:rsidR="002A61D5" w:rsidRPr="002A61D5">
        <w:rPr>
          <w:rFonts w:ascii="Arial" w:hAnsi="Arial" w:cs="Arial"/>
          <w:color w:val="000000"/>
          <w:sz w:val="24"/>
          <w:szCs w:val="24"/>
        </w:rPr>
        <w:t>)</w:t>
      </w:r>
    </w:p>
    <w:p w14:paraId="393BB3EE" w14:textId="77777777" w:rsidR="002A61D5" w:rsidRPr="002A61D5" w:rsidRDefault="002A61D5" w:rsidP="002A61D5">
      <w:pPr>
        <w:autoSpaceDE w:val="0"/>
        <w:autoSpaceDN w:val="0"/>
        <w:adjustRightInd w:val="0"/>
        <w:spacing w:after="0"/>
        <w:ind w:left="-283" w:right="-283"/>
        <w:jc w:val="center"/>
        <w:rPr>
          <w:rFonts w:ascii="Arial" w:hAnsi="Arial" w:cs="Arial"/>
          <w:color w:val="000000"/>
          <w:sz w:val="24"/>
          <w:szCs w:val="24"/>
        </w:rPr>
      </w:pPr>
    </w:p>
    <w:p w14:paraId="42728F7F" w14:textId="77777777" w:rsidR="002A61D5" w:rsidRPr="002A61D5" w:rsidRDefault="002A61D5" w:rsidP="002A61D5">
      <w:pPr>
        <w:autoSpaceDE w:val="0"/>
        <w:autoSpaceDN w:val="0"/>
        <w:adjustRightInd w:val="0"/>
        <w:spacing w:after="0"/>
        <w:ind w:left="-283" w:right="-283"/>
        <w:jc w:val="center"/>
        <w:rPr>
          <w:rFonts w:ascii="Arial" w:hAnsi="Arial" w:cs="Arial"/>
          <w:color w:val="000000"/>
          <w:sz w:val="24"/>
          <w:szCs w:val="24"/>
        </w:rPr>
      </w:pPr>
    </w:p>
    <w:p w14:paraId="3FF7D367" w14:textId="77777777" w:rsidR="002A61D5" w:rsidRPr="002A61D5" w:rsidRDefault="002A61D5" w:rsidP="002A61D5">
      <w:pPr>
        <w:autoSpaceDE w:val="0"/>
        <w:autoSpaceDN w:val="0"/>
        <w:adjustRightInd w:val="0"/>
        <w:spacing w:after="0"/>
        <w:ind w:left="-283" w:right="-283"/>
        <w:jc w:val="center"/>
        <w:rPr>
          <w:rFonts w:ascii="Arial" w:hAnsi="Arial" w:cs="Arial"/>
          <w:i/>
          <w:iCs/>
          <w:color w:val="000000"/>
          <w:sz w:val="24"/>
          <w:szCs w:val="24"/>
        </w:rPr>
      </w:pPr>
      <w:r w:rsidRPr="002A61D5">
        <w:rPr>
          <w:rFonts w:ascii="Arial" w:hAnsi="Arial" w:cs="Arial"/>
          <w:i/>
          <w:iCs/>
          <w:sz w:val="24"/>
          <w:szCs w:val="24"/>
        </w:rPr>
        <w:t>Por la cual se establecen las condiciones operativas para concluir la gestión, reconocimiento y giro del mecanismo de la Compensación Económica Temporal - CET, establecido en el artículo 14 del Decreto Legislativo 538 de 2020</w:t>
      </w:r>
    </w:p>
    <w:p w14:paraId="2175EF36" w14:textId="77777777" w:rsidR="002A61D5" w:rsidRPr="002A61D5" w:rsidRDefault="002A61D5" w:rsidP="002A61D5">
      <w:pPr>
        <w:autoSpaceDE w:val="0"/>
        <w:autoSpaceDN w:val="0"/>
        <w:adjustRightInd w:val="0"/>
        <w:spacing w:after="0"/>
        <w:ind w:left="-283" w:right="-283"/>
        <w:jc w:val="center"/>
        <w:rPr>
          <w:rFonts w:ascii="Arial" w:hAnsi="Arial" w:cs="Arial"/>
          <w:sz w:val="24"/>
          <w:szCs w:val="24"/>
        </w:rPr>
      </w:pPr>
    </w:p>
    <w:p w14:paraId="4466A776" w14:textId="77777777" w:rsidR="002A61D5" w:rsidRPr="002A61D5" w:rsidRDefault="002A61D5" w:rsidP="002A61D5">
      <w:pPr>
        <w:autoSpaceDE w:val="0"/>
        <w:autoSpaceDN w:val="0"/>
        <w:adjustRightInd w:val="0"/>
        <w:spacing w:after="0"/>
        <w:ind w:left="-283" w:right="-283"/>
        <w:jc w:val="center"/>
        <w:rPr>
          <w:rFonts w:ascii="Arial" w:hAnsi="Arial" w:cs="Arial"/>
          <w:sz w:val="24"/>
          <w:szCs w:val="24"/>
        </w:rPr>
      </w:pPr>
    </w:p>
    <w:p w14:paraId="3133203A" w14:textId="77777777" w:rsidR="002A61D5" w:rsidRPr="002A61D5" w:rsidRDefault="002A61D5" w:rsidP="002A61D5">
      <w:pPr>
        <w:autoSpaceDE w:val="0"/>
        <w:autoSpaceDN w:val="0"/>
        <w:adjustRightInd w:val="0"/>
        <w:spacing w:after="0"/>
        <w:ind w:left="-283" w:right="-283"/>
        <w:jc w:val="center"/>
        <w:rPr>
          <w:rFonts w:ascii="Arial" w:hAnsi="Arial" w:cs="Arial"/>
          <w:b/>
          <w:bCs/>
          <w:color w:val="000000"/>
          <w:sz w:val="24"/>
          <w:szCs w:val="24"/>
        </w:rPr>
      </w:pPr>
      <w:r w:rsidRPr="002A61D5">
        <w:rPr>
          <w:rFonts w:ascii="Arial" w:hAnsi="Arial" w:cs="Arial"/>
          <w:b/>
          <w:bCs/>
          <w:sz w:val="24"/>
          <w:szCs w:val="24"/>
        </w:rPr>
        <w:t xml:space="preserve">EL DIRECTOR </w:t>
      </w:r>
      <w:r w:rsidRPr="002A61D5">
        <w:rPr>
          <w:rFonts w:ascii="Arial" w:hAnsi="Arial" w:cs="Arial"/>
          <w:b/>
          <w:bCs/>
          <w:color w:val="000000"/>
          <w:sz w:val="24"/>
          <w:szCs w:val="24"/>
        </w:rPr>
        <w:t>DE LA ADMINISTRADORA DE LOS RECURSOS DEL SISTEMA GENERAL DE SEGURIDAD SOCIAL EN SALUD – ADRES</w:t>
      </w:r>
    </w:p>
    <w:p w14:paraId="11681A0E" w14:textId="77777777" w:rsidR="002A61D5" w:rsidRPr="002A61D5" w:rsidRDefault="002A61D5" w:rsidP="002A61D5">
      <w:pPr>
        <w:autoSpaceDE w:val="0"/>
        <w:autoSpaceDN w:val="0"/>
        <w:adjustRightInd w:val="0"/>
        <w:spacing w:after="0"/>
        <w:ind w:left="-283" w:right="-283"/>
        <w:jc w:val="center"/>
        <w:rPr>
          <w:rFonts w:ascii="Arial" w:hAnsi="Arial" w:cs="Arial"/>
          <w:color w:val="000000"/>
          <w:sz w:val="24"/>
          <w:szCs w:val="24"/>
        </w:rPr>
      </w:pPr>
    </w:p>
    <w:p w14:paraId="61BC3B6A" w14:textId="77777777" w:rsidR="002A61D5" w:rsidRPr="002A61D5" w:rsidRDefault="002A61D5" w:rsidP="002A61D5">
      <w:pPr>
        <w:autoSpaceDE w:val="0"/>
        <w:autoSpaceDN w:val="0"/>
        <w:adjustRightInd w:val="0"/>
        <w:spacing w:after="0"/>
        <w:ind w:left="-283" w:right="-283"/>
        <w:jc w:val="center"/>
        <w:rPr>
          <w:rFonts w:ascii="Arial" w:hAnsi="Arial" w:cs="Arial"/>
          <w:color w:val="000000"/>
          <w:sz w:val="24"/>
          <w:szCs w:val="24"/>
        </w:rPr>
      </w:pPr>
    </w:p>
    <w:p w14:paraId="0D40316B" w14:textId="77777777" w:rsidR="002A61D5" w:rsidRPr="002A61D5" w:rsidRDefault="002A61D5" w:rsidP="002A61D5">
      <w:pPr>
        <w:autoSpaceDE w:val="0"/>
        <w:autoSpaceDN w:val="0"/>
        <w:adjustRightInd w:val="0"/>
        <w:spacing w:after="0"/>
        <w:ind w:left="-283" w:right="-283"/>
        <w:jc w:val="center"/>
        <w:rPr>
          <w:rFonts w:ascii="Arial" w:hAnsi="Arial" w:cs="Arial"/>
          <w:sz w:val="24"/>
          <w:szCs w:val="24"/>
        </w:rPr>
      </w:pPr>
      <w:r w:rsidRPr="002A61D5">
        <w:rPr>
          <w:rFonts w:ascii="Arial" w:hAnsi="Arial" w:cs="Arial"/>
          <w:sz w:val="24"/>
          <w:szCs w:val="24"/>
        </w:rPr>
        <w:t>En ejercicio de sus facultades, en especial, de las conferidas en el numeral 12 del artículo 9 del Decreto 1429 de 2016 y en los artículos 2.6.4.7.2 y 2.6.4.7.3 del Decreto 780 de 2016, en concordancia con el artículo 14 del Decreto Legislativo 538 de 2020 y el Decreto 1705 de 2023</w:t>
      </w:r>
    </w:p>
    <w:p w14:paraId="72B49C87" w14:textId="77777777" w:rsidR="002A61D5" w:rsidRPr="002A61D5" w:rsidRDefault="002A61D5" w:rsidP="002A61D5">
      <w:pPr>
        <w:spacing w:after="0"/>
        <w:ind w:left="-283" w:right="-283"/>
        <w:jc w:val="center"/>
        <w:rPr>
          <w:rFonts w:ascii="Arial" w:hAnsi="Arial" w:cs="Arial"/>
          <w:sz w:val="24"/>
          <w:szCs w:val="24"/>
        </w:rPr>
      </w:pPr>
    </w:p>
    <w:p w14:paraId="15E5CBE6" w14:textId="77777777" w:rsidR="002A61D5" w:rsidRPr="002A61D5" w:rsidRDefault="002A61D5" w:rsidP="002A61D5">
      <w:pPr>
        <w:spacing w:after="0"/>
        <w:ind w:left="-283" w:right="-283"/>
        <w:jc w:val="center"/>
        <w:rPr>
          <w:rFonts w:ascii="Arial" w:hAnsi="Arial" w:cs="Arial"/>
          <w:sz w:val="24"/>
          <w:szCs w:val="24"/>
        </w:rPr>
      </w:pPr>
    </w:p>
    <w:p w14:paraId="2BCBFCEA" w14:textId="77777777" w:rsidR="002A61D5" w:rsidRPr="002A61D5" w:rsidRDefault="002A61D5" w:rsidP="002A61D5">
      <w:pPr>
        <w:autoSpaceDE w:val="0"/>
        <w:autoSpaceDN w:val="0"/>
        <w:adjustRightInd w:val="0"/>
        <w:spacing w:after="0"/>
        <w:ind w:left="-283" w:right="-283"/>
        <w:jc w:val="center"/>
        <w:rPr>
          <w:rFonts w:ascii="Arial" w:hAnsi="Arial" w:cs="Arial"/>
          <w:b/>
          <w:color w:val="000000"/>
          <w:sz w:val="24"/>
          <w:szCs w:val="24"/>
        </w:rPr>
      </w:pPr>
      <w:r w:rsidRPr="002A61D5">
        <w:rPr>
          <w:rFonts w:ascii="Arial" w:hAnsi="Arial" w:cs="Arial"/>
          <w:b/>
          <w:color w:val="000000"/>
          <w:sz w:val="24"/>
          <w:szCs w:val="24"/>
        </w:rPr>
        <w:t>CONSIDERANDO:</w:t>
      </w:r>
    </w:p>
    <w:p w14:paraId="4BB265FD" w14:textId="77777777" w:rsidR="002A61D5" w:rsidRDefault="002A61D5" w:rsidP="002A61D5">
      <w:pPr>
        <w:spacing w:after="0"/>
        <w:ind w:left="-283" w:right="-283"/>
        <w:jc w:val="both"/>
        <w:rPr>
          <w:rFonts w:ascii="Arial" w:hAnsi="Arial" w:cs="Arial"/>
          <w:sz w:val="24"/>
          <w:szCs w:val="24"/>
          <w:lang w:eastAsia="es-CO"/>
        </w:rPr>
      </w:pPr>
    </w:p>
    <w:p w14:paraId="65FFE214" w14:textId="77777777" w:rsidR="00A43E12" w:rsidRPr="002A61D5" w:rsidRDefault="00A43E12" w:rsidP="002A61D5">
      <w:pPr>
        <w:spacing w:after="0"/>
        <w:ind w:left="-283" w:right="-283"/>
        <w:jc w:val="both"/>
        <w:rPr>
          <w:rFonts w:ascii="Arial" w:hAnsi="Arial" w:cs="Arial"/>
          <w:sz w:val="24"/>
          <w:szCs w:val="24"/>
          <w:lang w:eastAsia="es-CO"/>
        </w:rPr>
      </w:pPr>
    </w:p>
    <w:p w14:paraId="15FF719B" w14:textId="77777777" w:rsidR="002A61D5" w:rsidRPr="002A61D5" w:rsidRDefault="002A61D5" w:rsidP="002A61D5">
      <w:pPr>
        <w:spacing w:after="0"/>
        <w:ind w:left="-283" w:right="-283"/>
        <w:jc w:val="both"/>
        <w:rPr>
          <w:rFonts w:ascii="Arial" w:hAnsi="Arial" w:cs="Arial"/>
          <w:sz w:val="24"/>
          <w:szCs w:val="24"/>
          <w:lang w:eastAsia="es-CO"/>
        </w:rPr>
      </w:pPr>
      <w:r w:rsidRPr="002A61D5">
        <w:rPr>
          <w:rFonts w:ascii="Arial" w:hAnsi="Arial" w:cs="Arial"/>
          <w:sz w:val="24"/>
          <w:szCs w:val="24"/>
          <w:lang w:eastAsia="es-CO"/>
        </w:rPr>
        <w:t>Que de conformidad con el artículo 66 de la Ley 1753 de 2015 y atendiendo lo establecido en el artículo 21 del Decreto 1429 de 2016, modificado por el artículo 1 del Decreto 546 de 2017, a partir del 1 de agosto de 2017, entró en operación la Administradora de los Recursos del Sistema General de Seguridad Social en Salud – ADRES, como una entidad adscrita al Ministerio de Salud y Protección Social, con personería jurídica, autonomía administrativa y financiera y patrimonio independiente, encargada de administrar entre otros, los recursos que hacen parte del FOSYGA y de efectuar el reconocimiento y pago de los recursos del aseguramiento obligatorio en salud.</w:t>
      </w:r>
    </w:p>
    <w:p w14:paraId="03B600DC" w14:textId="77777777" w:rsidR="002A61D5" w:rsidRPr="002A61D5" w:rsidRDefault="002A61D5" w:rsidP="002A61D5">
      <w:pPr>
        <w:spacing w:after="0"/>
        <w:ind w:left="-283" w:right="-283"/>
        <w:jc w:val="both"/>
        <w:rPr>
          <w:rFonts w:ascii="Arial" w:hAnsi="Arial" w:cs="Arial"/>
          <w:sz w:val="24"/>
          <w:szCs w:val="24"/>
          <w:lang w:val="es-ES"/>
        </w:rPr>
      </w:pPr>
    </w:p>
    <w:p w14:paraId="784B9836" w14:textId="6C433102" w:rsidR="002A61D5" w:rsidRPr="002A61D5" w:rsidRDefault="002A61D5" w:rsidP="002A61D5">
      <w:pPr>
        <w:spacing w:after="0"/>
        <w:ind w:left="-283" w:right="-283"/>
        <w:jc w:val="both"/>
        <w:rPr>
          <w:rFonts w:ascii="Arial" w:hAnsi="Arial" w:cs="Arial"/>
          <w:sz w:val="24"/>
          <w:szCs w:val="24"/>
          <w:lang w:val="es-ES"/>
        </w:rPr>
      </w:pPr>
      <w:r w:rsidRPr="002A61D5">
        <w:rPr>
          <w:rFonts w:ascii="Arial" w:hAnsi="Arial" w:cs="Arial"/>
          <w:sz w:val="24"/>
          <w:szCs w:val="24"/>
          <w:lang w:val="es-ES"/>
        </w:rPr>
        <w:t>Que, en virtud de la declaración de pandemia por el COVID-19 por parte de la Organización Mundial de la Salud - OMS, el Ministerio de Salud y Protección Social emitió la Resolución 385 del 12 de marzo de 2020, declarando la emergencia sanitaria, la cual fue prorrogada mediante las Resoluciones 844, 1462 y 2230 del mismo año, las Resoluciones 222, 738, 1315, 1913 de 2021 y</w:t>
      </w:r>
      <w:r w:rsidR="00A43E12">
        <w:rPr>
          <w:rFonts w:ascii="Arial" w:hAnsi="Arial" w:cs="Arial"/>
          <w:sz w:val="24"/>
          <w:szCs w:val="24"/>
          <w:lang w:val="es-ES"/>
        </w:rPr>
        <w:t>,</w:t>
      </w:r>
      <w:r w:rsidRPr="002A61D5">
        <w:rPr>
          <w:rFonts w:ascii="Arial" w:hAnsi="Arial" w:cs="Arial"/>
          <w:sz w:val="24"/>
          <w:szCs w:val="24"/>
          <w:lang w:val="es-ES"/>
        </w:rPr>
        <w:t xml:space="preserve"> las Resoluciones 304 y 666 de 2022, esta última vigente hasta el 30 de junio de 2022.</w:t>
      </w:r>
    </w:p>
    <w:p w14:paraId="071B5AD6" w14:textId="77777777" w:rsidR="002A61D5" w:rsidRPr="002A61D5" w:rsidRDefault="002A61D5" w:rsidP="002A61D5">
      <w:pPr>
        <w:spacing w:after="0"/>
        <w:ind w:left="-283" w:right="-283"/>
        <w:jc w:val="both"/>
        <w:rPr>
          <w:rFonts w:ascii="Arial" w:hAnsi="Arial" w:cs="Arial"/>
          <w:sz w:val="24"/>
          <w:szCs w:val="24"/>
          <w:lang w:eastAsia="es-CO"/>
        </w:rPr>
      </w:pPr>
    </w:p>
    <w:p w14:paraId="3F788A1A" w14:textId="2066F4B3" w:rsidR="002A61D5" w:rsidRPr="002A61D5" w:rsidRDefault="002A61D5" w:rsidP="002A61D5">
      <w:pPr>
        <w:spacing w:after="0"/>
        <w:ind w:left="-283" w:right="-283"/>
        <w:jc w:val="both"/>
        <w:rPr>
          <w:rFonts w:ascii="Arial" w:hAnsi="Arial" w:cs="Arial"/>
          <w:sz w:val="24"/>
          <w:szCs w:val="24"/>
          <w:lang w:val="es-ES"/>
        </w:rPr>
      </w:pPr>
      <w:r w:rsidRPr="002A61D5">
        <w:rPr>
          <w:rFonts w:ascii="Arial" w:hAnsi="Arial" w:cs="Arial"/>
          <w:sz w:val="24"/>
          <w:szCs w:val="24"/>
          <w:lang w:val="es-ES"/>
        </w:rPr>
        <w:t>Que, en consecuencia, el Gobierno Nacional expidió el Decreto Legislativo 417 del</w:t>
      </w:r>
      <w:r w:rsidRPr="002A61D5">
        <w:rPr>
          <w:rFonts w:ascii="Arial" w:hAnsi="Arial" w:cs="Arial"/>
          <w:sz w:val="24"/>
          <w:szCs w:val="24"/>
        </w:rPr>
        <w:t xml:space="preserve"> </w:t>
      </w:r>
      <w:r w:rsidRPr="002A61D5">
        <w:rPr>
          <w:rFonts w:ascii="Arial" w:hAnsi="Arial" w:cs="Arial"/>
          <w:sz w:val="24"/>
          <w:szCs w:val="24"/>
          <w:lang w:val="es-ES"/>
        </w:rPr>
        <w:t>17 de marzo 2020, mediante el cual declaró el Estado de Emergencia Económica, Social y Ecológica en todo el territorio Nacional, habilitando la adopción y expedición de nuevos decretos legislativos y todas las medidas adicionales necesarias para conjurar la crisis e impedir la extensión de sus efectos.</w:t>
      </w:r>
    </w:p>
    <w:p w14:paraId="0E56D06E" w14:textId="77777777" w:rsidR="002A61D5" w:rsidRPr="002A61D5" w:rsidRDefault="002A61D5" w:rsidP="002A61D5">
      <w:pPr>
        <w:spacing w:after="0"/>
        <w:ind w:left="-283" w:right="-283"/>
        <w:jc w:val="both"/>
        <w:rPr>
          <w:rFonts w:ascii="Arial" w:hAnsi="Arial" w:cs="Arial"/>
          <w:sz w:val="24"/>
          <w:szCs w:val="24"/>
          <w:lang w:val="es-ES"/>
        </w:rPr>
      </w:pPr>
    </w:p>
    <w:p w14:paraId="3386BC4A" w14:textId="77777777" w:rsidR="002A61D5" w:rsidRPr="002A61D5" w:rsidRDefault="002A61D5" w:rsidP="002A61D5">
      <w:pPr>
        <w:spacing w:after="0"/>
        <w:ind w:left="-283" w:right="-283"/>
        <w:jc w:val="both"/>
        <w:rPr>
          <w:rFonts w:ascii="Arial" w:hAnsi="Arial" w:cs="Arial"/>
          <w:sz w:val="24"/>
          <w:szCs w:val="24"/>
          <w:lang w:val="es-ES"/>
        </w:rPr>
      </w:pPr>
      <w:r w:rsidRPr="002A61D5">
        <w:rPr>
          <w:rFonts w:ascii="Arial" w:hAnsi="Arial" w:cs="Arial"/>
          <w:sz w:val="24"/>
          <w:szCs w:val="24"/>
          <w:lang w:val="es-ES"/>
        </w:rPr>
        <w:t>Que, en el marco del Decreto Legislativo 444 del 21 de marzo de 2020 se creó el Fondo de Mitigación de Emergencias - FOME, con el objeto de atender las necesidades de recursos para la atención en salud, los efectos adversos generados a la actividad productiva y la necesidad de que la economía continúe brindando condiciones que mantengan el empleo y el crecimiento.</w:t>
      </w:r>
    </w:p>
    <w:p w14:paraId="52F242CA" w14:textId="77777777" w:rsidR="002A61D5" w:rsidRPr="002A61D5" w:rsidRDefault="002A61D5" w:rsidP="002A61D5">
      <w:pPr>
        <w:spacing w:after="0"/>
        <w:ind w:left="-283" w:right="-283"/>
        <w:jc w:val="both"/>
        <w:rPr>
          <w:rFonts w:ascii="Arial" w:hAnsi="Arial" w:cs="Arial"/>
          <w:sz w:val="24"/>
          <w:szCs w:val="24"/>
          <w:lang w:val="es-ES"/>
        </w:rPr>
      </w:pPr>
    </w:p>
    <w:p w14:paraId="32F92C68" w14:textId="2C88F6D9" w:rsidR="002A61D5" w:rsidRPr="002A61D5" w:rsidRDefault="002A61D5" w:rsidP="002A61D5">
      <w:pPr>
        <w:spacing w:after="0"/>
        <w:ind w:left="-283" w:right="-283"/>
        <w:jc w:val="both"/>
        <w:rPr>
          <w:rFonts w:ascii="Arial" w:hAnsi="Arial" w:cs="Arial"/>
          <w:sz w:val="24"/>
          <w:szCs w:val="24"/>
          <w:lang w:val="es-ES"/>
        </w:rPr>
      </w:pPr>
      <w:r w:rsidRPr="002A61D5">
        <w:rPr>
          <w:rFonts w:ascii="Arial" w:hAnsi="Arial" w:cs="Arial"/>
          <w:sz w:val="24"/>
          <w:szCs w:val="24"/>
          <w:lang w:val="es-ES"/>
        </w:rPr>
        <w:t xml:space="preserve">Que, el Decreto Legislativo 538 del 12 de abril de 2020 modificado por los Decretos Legislativos 607 y 800 de 2020, en el cual se adoptaron medidas en el sector salud para contener y mitigar la pandemia del COVID-19 y garantizar la prestación de los servicios </w:t>
      </w:r>
      <w:r w:rsidRPr="002A61D5">
        <w:rPr>
          <w:rFonts w:ascii="Arial" w:hAnsi="Arial" w:cs="Arial"/>
          <w:sz w:val="24"/>
          <w:szCs w:val="24"/>
          <w:lang w:val="es-ES"/>
        </w:rPr>
        <w:lastRenderedPageBreak/>
        <w:t>de salud, en el marco del Estado de Emergencia Económica, Social y Ecológica, estableci</w:t>
      </w:r>
      <w:r w:rsidR="00A43E12">
        <w:rPr>
          <w:rFonts w:ascii="Arial" w:hAnsi="Arial" w:cs="Arial"/>
          <w:sz w:val="24"/>
          <w:szCs w:val="24"/>
          <w:lang w:val="es-ES"/>
        </w:rPr>
        <w:t>ó</w:t>
      </w:r>
      <w:r w:rsidRPr="002A61D5">
        <w:rPr>
          <w:rFonts w:ascii="Arial" w:hAnsi="Arial" w:cs="Arial"/>
          <w:sz w:val="24"/>
          <w:szCs w:val="24"/>
          <w:lang w:val="es-ES"/>
        </w:rPr>
        <w:t xml:space="preserve"> en </w:t>
      </w:r>
      <w:r w:rsidR="00A43E12">
        <w:rPr>
          <w:rFonts w:ascii="Arial" w:hAnsi="Arial" w:cs="Arial"/>
          <w:sz w:val="24"/>
          <w:szCs w:val="24"/>
          <w:lang w:val="es-ES"/>
        </w:rPr>
        <w:t>el</w:t>
      </w:r>
      <w:r w:rsidRPr="002A61D5">
        <w:rPr>
          <w:rFonts w:ascii="Arial" w:hAnsi="Arial" w:cs="Arial"/>
          <w:sz w:val="24"/>
          <w:szCs w:val="24"/>
          <w:lang w:val="es-ES"/>
        </w:rPr>
        <w:t xml:space="preserve"> artículo 14 un auxilio financiero, denominado, Compensación Económica Temporal - CET, para los afiliados adscritos al Régimen Subsidiado de salud con diagnóstico confirmado de Coronavirus COVID-19, equivalente a siete (7) días de Salario Mínimo Legal Diario Vigente - SMLDV, por única vez y por núcleo familiar, sujeta al cumplimiento de las medidas de aislamiento.</w:t>
      </w:r>
    </w:p>
    <w:p w14:paraId="1C295046" w14:textId="77777777" w:rsidR="002A61D5" w:rsidRPr="002A61D5" w:rsidRDefault="002A61D5" w:rsidP="002A61D5">
      <w:pPr>
        <w:spacing w:after="0"/>
        <w:ind w:left="-283" w:right="-283"/>
        <w:jc w:val="both"/>
        <w:rPr>
          <w:rFonts w:ascii="Arial" w:hAnsi="Arial" w:cs="Arial"/>
          <w:sz w:val="24"/>
          <w:szCs w:val="24"/>
          <w:lang w:eastAsia="es-CO"/>
        </w:rPr>
      </w:pPr>
    </w:p>
    <w:p w14:paraId="77F953A2" w14:textId="77777777" w:rsidR="002A61D5" w:rsidRPr="002A61D5" w:rsidRDefault="002A61D5" w:rsidP="002A61D5">
      <w:pPr>
        <w:spacing w:after="0"/>
        <w:ind w:left="-283" w:right="-283"/>
        <w:jc w:val="both"/>
        <w:rPr>
          <w:rFonts w:ascii="Arial" w:hAnsi="Arial" w:cs="Arial"/>
          <w:sz w:val="24"/>
          <w:szCs w:val="24"/>
          <w:lang w:val="es-ES" w:eastAsia="es-CO"/>
        </w:rPr>
      </w:pPr>
      <w:r w:rsidRPr="002A61D5">
        <w:rPr>
          <w:rFonts w:ascii="Arial" w:hAnsi="Arial" w:cs="Arial"/>
          <w:sz w:val="24"/>
          <w:szCs w:val="24"/>
          <w:lang w:val="es-ES" w:eastAsia="es-CO"/>
        </w:rPr>
        <w:t>Que, el Gobierno nacional expidió el Decreto 1109 del 10 de agosto de 2020, mediante el cual creó el Programa de Pruebas, Rastreo y Aislamiento Selectivo Sostenible (PRASS) para el seguimiento de casos y contactos del nuevo Coronavirus - COVID-19.</w:t>
      </w:r>
    </w:p>
    <w:p w14:paraId="330A759F" w14:textId="77777777" w:rsidR="002A61D5" w:rsidRPr="002A61D5" w:rsidRDefault="002A61D5" w:rsidP="002A61D5">
      <w:pPr>
        <w:spacing w:after="0"/>
        <w:ind w:left="-283" w:right="-283"/>
        <w:jc w:val="both"/>
        <w:rPr>
          <w:rFonts w:ascii="Arial" w:hAnsi="Arial" w:cs="Arial"/>
          <w:sz w:val="24"/>
          <w:szCs w:val="24"/>
          <w:lang w:val="es-ES" w:eastAsia="es-CO"/>
        </w:rPr>
      </w:pPr>
    </w:p>
    <w:p w14:paraId="334F33B2" w14:textId="54D905C9" w:rsidR="002A61D5" w:rsidRPr="002A61D5" w:rsidRDefault="002A61D5" w:rsidP="002A61D5">
      <w:pPr>
        <w:spacing w:after="0"/>
        <w:ind w:left="-283" w:right="-283"/>
        <w:jc w:val="both"/>
        <w:rPr>
          <w:rFonts w:ascii="Arial" w:hAnsi="Arial" w:cs="Arial"/>
          <w:sz w:val="24"/>
          <w:szCs w:val="24"/>
          <w:lang w:val="es-ES" w:eastAsia="es-CO"/>
        </w:rPr>
      </w:pPr>
      <w:r w:rsidRPr="002A61D5">
        <w:rPr>
          <w:rFonts w:ascii="Arial" w:hAnsi="Arial" w:cs="Arial"/>
          <w:sz w:val="24"/>
          <w:szCs w:val="24"/>
          <w:lang w:val="es-ES" w:eastAsia="es-CO"/>
        </w:rPr>
        <w:t>Que el</w:t>
      </w:r>
      <w:r>
        <w:rPr>
          <w:rFonts w:ascii="Arial" w:hAnsi="Arial" w:cs="Arial"/>
          <w:sz w:val="24"/>
          <w:szCs w:val="24"/>
          <w:lang w:val="es-ES" w:eastAsia="es-CO"/>
        </w:rPr>
        <w:t xml:space="preserve"> Decreto antes referido</w:t>
      </w:r>
      <w:r w:rsidRPr="002A61D5">
        <w:rPr>
          <w:rFonts w:ascii="Arial" w:hAnsi="Arial" w:cs="Arial"/>
          <w:sz w:val="24"/>
          <w:szCs w:val="24"/>
          <w:lang w:val="es-ES" w:eastAsia="es-CO"/>
        </w:rPr>
        <w:t xml:space="preserve"> fue derogado y optimizado mediante el Decreto 1374 de la misma anualidad, con el propósito de realizar un monitoreo y seguimiento masivo y sistemático de casos y contactos de COVID-19.</w:t>
      </w:r>
    </w:p>
    <w:p w14:paraId="007F12D4" w14:textId="77777777" w:rsidR="002A61D5" w:rsidRPr="002A61D5" w:rsidRDefault="002A61D5" w:rsidP="002A61D5">
      <w:pPr>
        <w:spacing w:after="0"/>
        <w:ind w:left="-283" w:right="-283"/>
        <w:jc w:val="both"/>
        <w:rPr>
          <w:rFonts w:ascii="Arial" w:hAnsi="Arial" w:cs="Arial"/>
          <w:sz w:val="24"/>
          <w:szCs w:val="24"/>
          <w:lang w:val="es-ES" w:eastAsia="es-CO"/>
        </w:rPr>
      </w:pPr>
    </w:p>
    <w:p w14:paraId="2601F65B" w14:textId="77777777" w:rsidR="002A61D5" w:rsidRPr="002A61D5" w:rsidRDefault="002A61D5" w:rsidP="002A61D5">
      <w:pPr>
        <w:spacing w:after="0"/>
        <w:ind w:left="-283" w:right="-283"/>
        <w:jc w:val="both"/>
        <w:rPr>
          <w:rFonts w:ascii="Arial" w:hAnsi="Arial" w:cs="Arial"/>
          <w:sz w:val="24"/>
          <w:szCs w:val="24"/>
          <w:lang w:val="es-ES" w:eastAsia="es-CO"/>
        </w:rPr>
      </w:pPr>
      <w:r w:rsidRPr="002A61D5">
        <w:rPr>
          <w:rFonts w:ascii="Arial" w:hAnsi="Arial" w:cs="Arial"/>
          <w:sz w:val="24"/>
          <w:szCs w:val="24"/>
          <w:lang w:val="es-ES" w:eastAsia="es-CO"/>
        </w:rPr>
        <w:t>Que, en el contexto de la creación del Programa PRASS, el Ministerio de Salud y Protección Social generó la base de datos denominada SegCovid19, consolidando la información relativa al rastreo de contactos de casos confirmados y sospechosos, al aislamiento de los casos confirmados y sus contactos, a la toma de muestras, así como a la realización de pruebas diagnósticas de laboratorio.</w:t>
      </w:r>
    </w:p>
    <w:p w14:paraId="3454C266" w14:textId="77777777" w:rsidR="002A61D5" w:rsidRPr="002A61D5" w:rsidRDefault="002A61D5" w:rsidP="002A61D5">
      <w:pPr>
        <w:spacing w:after="0"/>
        <w:ind w:left="-283" w:right="-283"/>
        <w:jc w:val="both"/>
        <w:rPr>
          <w:rFonts w:ascii="Arial" w:hAnsi="Arial" w:cs="Arial"/>
          <w:sz w:val="24"/>
          <w:szCs w:val="24"/>
          <w:lang w:eastAsia="es-CO"/>
        </w:rPr>
      </w:pPr>
    </w:p>
    <w:p w14:paraId="32B29105" w14:textId="77777777" w:rsidR="002A61D5" w:rsidRPr="002A61D5" w:rsidRDefault="002A61D5" w:rsidP="002A61D5">
      <w:pPr>
        <w:spacing w:after="0"/>
        <w:ind w:left="-283" w:right="-283"/>
        <w:jc w:val="both"/>
        <w:rPr>
          <w:rFonts w:ascii="Arial" w:hAnsi="Arial" w:cs="Arial"/>
          <w:sz w:val="24"/>
          <w:szCs w:val="24"/>
          <w:lang w:val="es-ES" w:eastAsia="es-CO"/>
        </w:rPr>
      </w:pPr>
      <w:r w:rsidRPr="002A61D5">
        <w:rPr>
          <w:rFonts w:ascii="Arial" w:hAnsi="Arial" w:cs="Arial"/>
          <w:sz w:val="24"/>
          <w:szCs w:val="24"/>
          <w:lang w:val="es-ES" w:eastAsia="es-CO"/>
        </w:rPr>
        <w:t>Que, en el ejercicio de las funciones atribuidas a la ADRES en el artículo 14 del Decreto Legislativo 538 de 2020, orientadas al reconocimiento de un auxilio económico para los afiliados al Régimen Subsidiado de salud, esta Entidad, una vez recibió la información operativa de la base de datos SegCovid19 del Ministerio de Salud y Protección Social, expidió el 8 de septiembre de 2020 la Circular 041 de 2020, posteriormente sustituida por la Circular 015 de 2021, estableciendo el procedimiento para el reporte de la información por parte de las Entidades Promotoras de Salud - EPS de los beneficiarios de la Compensación Económica Temporal CET.</w:t>
      </w:r>
    </w:p>
    <w:p w14:paraId="0772335D" w14:textId="77777777" w:rsidR="002A61D5" w:rsidRPr="002A61D5" w:rsidRDefault="002A61D5" w:rsidP="002A61D5">
      <w:pPr>
        <w:spacing w:after="0"/>
        <w:ind w:left="-283" w:right="-283"/>
        <w:jc w:val="both"/>
        <w:rPr>
          <w:rFonts w:ascii="Arial" w:hAnsi="Arial" w:cs="Arial"/>
          <w:sz w:val="24"/>
          <w:szCs w:val="24"/>
          <w:lang w:val="es-ES" w:eastAsia="es-CO"/>
        </w:rPr>
      </w:pPr>
    </w:p>
    <w:p w14:paraId="43293E01" w14:textId="58836C72" w:rsidR="002A61D5" w:rsidRPr="002A61D5" w:rsidRDefault="002A61D5" w:rsidP="002A61D5">
      <w:pPr>
        <w:spacing w:after="0"/>
        <w:ind w:left="-283" w:right="-283"/>
        <w:jc w:val="both"/>
        <w:rPr>
          <w:rFonts w:ascii="Arial" w:hAnsi="Arial" w:cs="Arial"/>
          <w:sz w:val="24"/>
          <w:szCs w:val="24"/>
          <w:lang w:val="es-ES" w:eastAsia="es-CO"/>
        </w:rPr>
      </w:pPr>
      <w:r w:rsidRPr="002A61D5">
        <w:rPr>
          <w:rFonts w:ascii="Arial" w:hAnsi="Arial" w:cs="Arial"/>
          <w:sz w:val="24"/>
          <w:szCs w:val="24"/>
          <w:lang w:val="es-ES" w:eastAsia="es-CO"/>
        </w:rPr>
        <w:t>Que</w:t>
      </w:r>
      <w:r w:rsidR="00BA222F">
        <w:rPr>
          <w:rFonts w:ascii="Arial" w:hAnsi="Arial" w:cs="Arial"/>
          <w:sz w:val="24"/>
          <w:szCs w:val="24"/>
          <w:lang w:val="es-ES" w:eastAsia="es-CO"/>
        </w:rPr>
        <w:t xml:space="preserve"> las condiciones del reconocimiento de la Compensación Económica Temporal se encuentran supeditadas a lo reglamentado por el Decreto 1374 de 2020, sin el cual no resulta viable continuar con esta gestión, puesto que las Circulares emitidas por la ADRES se ajustan a su contenido. </w:t>
      </w:r>
    </w:p>
    <w:p w14:paraId="203C8BF0" w14:textId="77777777" w:rsidR="002A61D5" w:rsidRPr="002A61D5" w:rsidRDefault="002A61D5" w:rsidP="002A61D5">
      <w:pPr>
        <w:spacing w:after="0"/>
        <w:ind w:left="-283" w:right="-283"/>
        <w:jc w:val="both"/>
        <w:rPr>
          <w:rFonts w:ascii="Arial" w:hAnsi="Arial" w:cs="Arial"/>
          <w:sz w:val="24"/>
          <w:szCs w:val="24"/>
          <w:lang w:val="es-ES" w:eastAsia="es-CO"/>
        </w:rPr>
      </w:pPr>
    </w:p>
    <w:p w14:paraId="4DD130A2" w14:textId="77777777" w:rsidR="002A61D5" w:rsidRPr="002A61D5" w:rsidRDefault="002A61D5" w:rsidP="002A61D5">
      <w:pPr>
        <w:spacing w:after="0"/>
        <w:ind w:left="-283" w:right="-283"/>
        <w:jc w:val="both"/>
        <w:rPr>
          <w:rFonts w:ascii="Arial" w:hAnsi="Arial" w:cs="Arial"/>
          <w:sz w:val="24"/>
          <w:szCs w:val="24"/>
          <w:lang w:val="es-ES" w:eastAsia="es-CO"/>
        </w:rPr>
      </w:pPr>
      <w:r w:rsidRPr="002A61D5">
        <w:rPr>
          <w:rFonts w:ascii="Arial" w:hAnsi="Arial" w:cs="Arial"/>
          <w:sz w:val="24"/>
          <w:szCs w:val="24"/>
          <w:lang w:val="es-ES" w:eastAsia="es-CO"/>
        </w:rPr>
        <w:t xml:space="preserve">Que, el Ministerio de Salud y Protección Social expidió la Resolución 1623 del 14 de septiembre de 2020, modificada por la Resolución 2483 del 24 de diciembre de 2020, en la cual ordenó el giro de los recursos del presupuesto de Gastos de Funcionamiento del Ministerio de Salud y Protección Social, del rubro A- 03-03-04-052 Aseguramiento en Salud (Leyes 100 de 1993, 1122 de 2007, 1393 de 2010,1438 de 2011 y 1607 de 2012), Recurso 54, provenientes del </w:t>
      </w:r>
      <w:r w:rsidRPr="002A61D5">
        <w:rPr>
          <w:rFonts w:ascii="Arial" w:hAnsi="Arial" w:cs="Arial"/>
          <w:sz w:val="24"/>
          <w:szCs w:val="24"/>
          <w:lang w:val="es-ES"/>
        </w:rPr>
        <w:t xml:space="preserve">Fondo de Mitigación de Emergencias (FOME), </w:t>
      </w:r>
      <w:r w:rsidRPr="002A61D5">
        <w:rPr>
          <w:rFonts w:ascii="Arial" w:hAnsi="Arial" w:cs="Arial"/>
          <w:sz w:val="24"/>
          <w:szCs w:val="24"/>
          <w:lang w:val="es-ES" w:eastAsia="es-CO"/>
        </w:rPr>
        <w:t>a la Administradora de los Recursos del Sistema General de Seguridad Social en Salud- ADRES, por valor de $125.045.792.798,00, para la financiación del mecanismo de la Compensación Económica Temporal - CET por aislamiento para afiliados al régimen subsidiado con diagnóstico confirmado de Coronavirus COVID-19.</w:t>
      </w:r>
    </w:p>
    <w:p w14:paraId="6D438466" w14:textId="77777777" w:rsidR="002A61D5" w:rsidRPr="002A61D5" w:rsidRDefault="002A61D5" w:rsidP="002A61D5">
      <w:pPr>
        <w:spacing w:after="0"/>
        <w:ind w:left="-283" w:right="-283"/>
        <w:jc w:val="both"/>
        <w:rPr>
          <w:rFonts w:ascii="Arial" w:hAnsi="Arial" w:cs="Arial"/>
          <w:sz w:val="24"/>
          <w:szCs w:val="24"/>
          <w:lang w:val="es-ES" w:eastAsia="es-CO"/>
        </w:rPr>
      </w:pPr>
    </w:p>
    <w:p w14:paraId="523B3D2E" w14:textId="2DA74BD0" w:rsidR="002A61D5" w:rsidRPr="002A61D5" w:rsidRDefault="002A61D5" w:rsidP="002A61D5">
      <w:pPr>
        <w:spacing w:after="0"/>
        <w:ind w:left="-283" w:right="-283"/>
        <w:jc w:val="both"/>
        <w:rPr>
          <w:rFonts w:ascii="Arial" w:hAnsi="Arial" w:cs="Arial"/>
          <w:sz w:val="24"/>
          <w:szCs w:val="24"/>
          <w:lang w:val="es-ES" w:eastAsia="es-CO"/>
        </w:rPr>
      </w:pPr>
      <w:r w:rsidRPr="002A61D5">
        <w:rPr>
          <w:rFonts w:ascii="Arial" w:hAnsi="Arial" w:cs="Arial"/>
          <w:sz w:val="24"/>
          <w:szCs w:val="24"/>
          <w:lang w:val="es-ES" w:eastAsia="es-CO"/>
        </w:rPr>
        <w:t xml:space="preserve">Que, con fundamento en el reporte de la información de los beneficiarios de la Compensación Económica Temporal </w:t>
      </w:r>
      <w:r>
        <w:rPr>
          <w:rFonts w:ascii="Arial" w:hAnsi="Arial" w:cs="Arial"/>
          <w:sz w:val="24"/>
          <w:szCs w:val="24"/>
          <w:lang w:val="es-ES" w:eastAsia="es-CO"/>
        </w:rPr>
        <w:t xml:space="preserve">- </w:t>
      </w:r>
      <w:r w:rsidRPr="002A61D5">
        <w:rPr>
          <w:rFonts w:ascii="Arial" w:hAnsi="Arial" w:cs="Arial"/>
          <w:sz w:val="24"/>
          <w:szCs w:val="24"/>
          <w:lang w:val="es-ES" w:eastAsia="es-CO"/>
        </w:rPr>
        <w:t xml:space="preserve">CET por parte de las Entidades Promotoras de Salud </w:t>
      </w:r>
      <w:r>
        <w:rPr>
          <w:rFonts w:ascii="Arial" w:hAnsi="Arial" w:cs="Arial"/>
          <w:sz w:val="24"/>
          <w:szCs w:val="24"/>
          <w:lang w:val="es-ES" w:eastAsia="es-CO"/>
        </w:rPr>
        <w:t xml:space="preserve">- </w:t>
      </w:r>
      <w:r w:rsidRPr="002A61D5">
        <w:rPr>
          <w:rFonts w:ascii="Arial" w:hAnsi="Arial" w:cs="Arial"/>
          <w:sz w:val="24"/>
          <w:szCs w:val="24"/>
          <w:lang w:val="es-ES" w:eastAsia="es-CO"/>
        </w:rPr>
        <w:t xml:space="preserve">EPS, establecido en las Circulares 041 de 2020 y 015 de 2021, entre el 14 de octubre de 2020 y el 19 de octubre de 2023 la ADRES generó 79 ordenaciones de gasto, por valor </w:t>
      </w:r>
      <w:r w:rsidRPr="000043F8">
        <w:rPr>
          <w:rFonts w:ascii="Arial" w:hAnsi="Arial" w:cs="Arial"/>
          <w:sz w:val="24"/>
          <w:szCs w:val="24"/>
          <w:lang w:val="es-ES" w:eastAsia="es-CO"/>
        </w:rPr>
        <w:t>de $107.122.906.476,29, correspondiente a una ejecución del 85,67% de los recursos por valor de $125.045.792.798,00 provenientes del Fondo de Mitigación</w:t>
      </w:r>
      <w:r w:rsidRPr="002A61D5">
        <w:rPr>
          <w:rFonts w:ascii="Arial" w:hAnsi="Arial" w:cs="Arial"/>
          <w:sz w:val="24"/>
          <w:szCs w:val="24"/>
          <w:lang w:val="es-ES" w:eastAsia="es-CO"/>
        </w:rPr>
        <w:t xml:space="preserve"> de Emergencias </w:t>
      </w:r>
      <w:r>
        <w:rPr>
          <w:rFonts w:ascii="Arial" w:hAnsi="Arial" w:cs="Arial"/>
          <w:sz w:val="24"/>
          <w:szCs w:val="24"/>
          <w:lang w:val="es-ES" w:eastAsia="es-CO"/>
        </w:rPr>
        <w:t xml:space="preserve">- </w:t>
      </w:r>
      <w:r w:rsidRPr="002A61D5">
        <w:rPr>
          <w:rFonts w:ascii="Arial" w:hAnsi="Arial" w:cs="Arial"/>
          <w:sz w:val="24"/>
          <w:szCs w:val="24"/>
          <w:lang w:val="es-ES" w:eastAsia="es-CO"/>
        </w:rPr>
        <w:t>FOME.</w:t>
      </w:r>
    </w:p>
    <w:p w14:paraId="45A6FEED" w14:textId="77777777" w:rsidR="002A61D5" w:rsidRPr="002A61D5" w:rsidRDefault="002A61D5" w:rsidP="002A61D5">
      <w:pPr>
        <w:spacing w:after="0"/>
        <w:ind w:left="-283" w:right="-283"/>
        <w:jc w:val="both"/>
        <w:rPr>
          <w:rFonts w:ascii="Arial" w:hAnsi="Arial" w:cs="Arial"/>
          <w:sz w:val="24"/>
          <w:szCs w:val="24"/>
          <w:lang w:val="es-ES" w:eastAsia="es-CO"/>
        </w:rPr>
      </w:pPr>
    </w:p>
    <w:p w14:paraId="328EB58C" w14:textId="77777777" w:rsidR="002A61D5" w:rsidRPr="002A61D5" w:rsidRDefault="002A61D5" w:rsidP="002A61D5">
      <w:pPr>
        <w:spacing w:after="0"/>
        <w:ind w:left="-283" w:right="-283"/>
        <w:jc w:val="both"/>
        <w:rPr>
          <w:rFonts w:ascii="Arial" w:hAnsi="Arial" w:cs="Arial"/>
          <w:sz w:val="24"/>
          <w:szCs w:val="24"/>
          <w:lang w:eastAsia="es-CO"/>
        </w:rPr>
      </w:pPr>
      <w:r w:rsidRPr="002A61D5">
        <w:rPr>
          <w:rFonts w:ascii="Arial" w:hAnsi="Arial" w:cs="Arial"/>
          <w:sz w:val="24"/>
          <w:szCs w:val="24"/>
          <w:lang w:val="es-ES"/>
        </w:rPr>
        <w:t xml:space="preserve">Que, la Resolución 666 de 2022 expedida por el Ministerio de Salud y Protección Social, la cual extendió la declaración de la emergencia sanitaria ocasionada por el coronavirus COVID-19 -originalmente establecida en la Resolución 385 de 2020- </w:t>
      </w:r>
      <w:r w:rsidRPr="002A61D5">
        <w:rPr>
          <w:rFonts w:ascii="Arial" w:hAnsi="Arial" w:cs="Arial"/>
          <w:sz w:val="24"/>
          <w:szCs w:val="24"/>
          <w:lang w:val="es-ES" w:eastAsia="es-CO"/>
        </w:rPr>
        <w:t>finalizó su período de vigencia el 30 de junio de 2022.</w:t>
      </w:r>
    </w:p>
    <w:p w14:paraId="27D78178" w14:textId="77777777" w:rsidR="002A61D5" w:rsidRPr="002A61D5" w:rsidRDefault="002A61D5" w:rsidP="002A61D5">
      <w:pPr>
        <w:spacing w:after="0"/>
        <w:ind w:left="-283" w:right="-283"/>
        <w:jc w:val="both"/>
        <w:rPr>
          <w:rFonts w:ascii="Arial" w:hAnsi="Arial" w:cs="Arial"/>
          <w:sz w:val="24"/>
          <w:szCs w:val="24"/>
          <w:lang w:val="es-ES"/>
        </w:rPr>
      </w:pPr>
    </w:p>
    <w:p w14:paraId="118EA89F" w14:textId="6FAC9AD0" w:rsidR="002A61D5" w:rsidRPr="002A61D5" w:rsidRDefault="002A61D5" w:rsidP="002A61D5">
      <w:pPr>
        <w:spacing w:after="0"/>
        <w:ind w:left="-283" w:right="-283"/>
        <w:jc w:val="both"/>
        <w:rPr>
          <w:rFonts w:ascii="Arial" w:hAnsi="Arial" w:cs="Arial"/>
          <w:sz w:val="24"/>
          <w:szCs w:val="24"/>
        </w:rPr>
      </w:pPr>
      <w:r w:rsidRPr="002A61D5">
        <w:rPr>
          <w:rFonts w:ascii="Arial" w:hAnsi="Arial" w:cs="Arial"/>
          <w:sz w:val="24"/>
          <w:szCs w:val="24"/>
        </w:rPr>
        <w:t xml:space="preserve">Que, mediante la Resolución 2079 del 6 de agosto de 2022 del Ministerio de Hacienda y Crédito Público y la Ley 2294 del 19 de mayo de 2023 -artículo 332-, se ordenó la Liquidación del Fondo de Mitigación de Emergencias </w:t>
      </w:r>
      <w:r>
        <w:rPr>
          <w:rFonts w:ascii="Arial" w:hAnsi="Arial" w:cs="Arial"/>
          <w:sz w:val="24"/>
          <w:szCs w:val="24"/>
        </w:rPr>
        <w:t xml:space="preserve">- </w:t>
      </w:r>
      <w:r w:rsidRPr="002A61D5">
        <w:rPr>
          <w:rFonts w:ascii="Arial" w:hAnsi="Arial" w:cs="Arial"/>
          <w:sz w:val="24"/>
          <w:szCs w:val="24"/>
        </w:rPr>
        <w:t>FOME creado mediante el Decreto Legislativo 444 de 2020.</w:t>
      </w:r>
    </w:p>
    <w:p w14:paraId="28E78EF1" w14:textId="77777777" w:rsidR="002A61D5" w:rsidRPr="002A61D5" w:rsidRDefault="002A61D5" w:rsidP="002A61D5">
      <w:pPr>
        <w:spacing w:after="0"/>
        <w:ind w:left="-283" w:right="-283"/>
        <w:jc w:val="both"/>
        <w:rPr>
          <w:rFonts w:ascii="Arial" w:hAnsi="Arial" w:cs="Arial"/>
          <w:sz w:val="24"/>
          <w:szCs w:val="24"/>
          <w:lang w:val="es-ES" w:eastAsia="es-CO"/>
        </w:rPr>
      </w:pPr>
    </w:p>
    <w:p w14:paraId="56636959" w14:textId="77777777" w:rsidR="002A61D5" w:rsidRPr="002A61D5" w:rsidRDefault="002A61D5" w:rsidP="002A61D5">
      <w:pPr>
        <w:spacing w:after="0"/>
        <w:ind w:left="-283" w:right="-283"/>
        <w:jc w:val="both"/>
        <w:rPr>
          <w:rFonts w:ascii="Arial" w:hAnsi="Arial" w:cs="Arial"/>
          <w:sz w:val="24"/>
          <w:szCs w:val="24"/>
        </w:rPr>
      </w:pPr>
      <w:r w:rsidRPr="002A61D5">
        <w:rPr>
          <w:rFonts w:ascii="Arial" w:hAnsi="Arial" w:cs="Arial"/>
          <w:sz w:val="24"/>
          <w:szCs w:val="24"/>
        </w:rPr>
        <w:t>Que, el Decreto 1705 del 19 de octubre de 2023 derogó en su totalidad el Decreto 1374 de 2020, el cual había sustituido el Decreto 1109 de 2020, por medio del cual se creó el Programa de Pruebas, Rastreo y Aislamiento Selectivo Sostenible - PRASS para el seguimiento de casos y contactos del nuevo Coronavirus - COVID-19; en consecuencia, finalizó la consolidación y actualización de información de monitoreo y seguimiento masivo y sistemático de casos y contactos en la base de datos SegCovid19 del Ministerio de Salud y Protección Social.</w:t>
      </w:r>
    </w:p>
    <w:p w14:paraId="3ECD6535" w14:textId="77777777" w:rsidR="002A61D5" w:rsidRPr="002A61D5" w:rsidRDefault="002A61D5" w:rsidP="002A61D5">
      <w:pPr>
        <w:spacing w:after="0"/>
        <w:ind w:left="-283" w:right="-283"/>
        <w:jc w:val="both"/>
        <w:rPr>
          <w:rFonts w:ascii="Arial" w:hAnsi="Arial" w:cs="Arial"/>
          <w:sz w:val="24"/>
          <w:szCs w:val="24"/>
          <w:lang w:eastAsia="es-CO"/>
        </w:rPr>
      </w:pPr>
    </w:p>
    <w:p w14:paraId="68B06EFA" w14:textId="77777777" w:rsidR="002A61D5" w:rsidRPr="002A61D5" w:rsidRDefault="002A61D5" w:rsidP="002A61D5">
      <w:pPr>
        <w:spacing w:after="0"/>
        <w:ind w:left="-283" w:right="-283"/>
        <w:jc w:val="both"/>
        <w:rPr>
          <w:rFonts w:ascii="Arial" w:hAnsi="Arial" w:cs="Arial"/>
          <w:i/>
          <w:iCs/>
          <w:sz w:val="24"/>
          <w:szCs w:val="24"/>
          <w:lang w:eastAsia="es-CO"/>
        </w:rPr>
      </w:pPr>
      <w:r w:rsidRPr="002A61D5">
        <w:rPr>
          <w:rFonts w:ascii="Arial" w:hAnsi="Arial" w:cs="Arial"/>
          <w:sz w:val="24"/>
          <w:szCs w:val="24"/>
          <w:lang w:eastAsia="es-CO"/>
        </w:rPr>
        <w:t xml:space="preserve">Que el Ministerio de Salud y Protección Social en concepto 202411200166971 de 31 de enero de 2024, precisó que </w:t>
      </w:r>
      <w:r w:rsidRPr="002A61D5">
        <w:rPr>
          <w:rFonts w:ascii="Arial" w:hAnsi="Arial" w:cs="Arial"/>
          <w:i/>
          <w:iCs/>
          <w:sz w:val="24"/>
          <w:szCs w:val="24"/>
          <w:lang w:eastAsia="es-CO"/>
        </w:rPr>
        <w:t>“en la normativa que regula lo concerniente a la Compensación Económica Temporal – CET (…), no se evidenció un pronunciamiento expreso respecto al término para el pago de estos, no obstante, sobre la base de los artículos 11 y 14 del Decreto Legislativo 538 de 2020 de 2023, artículo 25 del Decreto 1374 de 2020 (…) y artículo 66 de la Ley 1753 de 2015 y artículo 2.6.4.1.3 del Decreto 780 de 2016, la Administradora de los Recursos del Sistema General de Seguridad Social en Salud ADRES, está facultada para definir los términos y condiciones para el pago de [ese] mecanismo, lo cual incluye la definición de los términos para el pago (…)”.</w:t>
      </w:r>
    </w:p>
    <w:p w14:paraId="539E6D06" w14:textId="77777777" w:rsidR="002A61D5" w:rsidRPr="002A61D5" w:rsidRDefault="002A61D5" w:rsidP="002A61D5">
      <w:pPr>
        <w:spacing w:after="0"/>
        <w:ind w:left="-283" w:right="-283"/>
        <w:jc w:val="both"/>
        <w:rPr>
          <w:rFonts w:ascii="Arial" w:hAnsi="Arial" w:cs="Arial"/>
          <w:sz w:val="24"/>
          <w:szCs w:val="24"/>
          <w:lang w:eastAsia="es-CO"/>
        </w:rPr>
      </w:pPr>
    </w:p>
    <w:p w14:paraId="7FC950D9" w14:textId="4FB954B8" w:rsidR="002A61D5" w:rsidRPr="002A61D5" w:rsidRDefault="002A61D5" w:rsidP="002A61D5">
      <w:pPr>
        <w:spacing w:after="0"/>
        <w:ind w:left="-283" w:right="-283"/>
        <w:jc w:val="both"/>
        <w:rPr>
          <w:rFonts w:ascii="Arial" w:hAnsi="Arial" w:cs="Arial"/>
          <w:sz w:val="24"/>
          <w:szCs w:val="24"/>
          <w:lang w:eastAsia="es-CO"/>
        </w:rPr>
      </w:pPr>
      <w:r w:rsidRPr="002A61D5">
        <w:rPr>
          <w:rFonts w:ascii="Arial" w:hAnsi="Arial" w:cs="Arial"/>
          <w:sz w:val="24"/>
          <w:szCs w:val="24"/>
          <w:lang w:eastAsia="es-CO"/>
        </w:rPr>
        <w:t>Que, teniendo en cuenta la extinción del PRASS al derogarse el Decreto 1374 de 2020 y en consecuencia la p</w:t>
      </w:r>
      <w:r w:rsidR="00404DCC">
        <w:rPr>
          <w:rFonts w:ascii="Arial" w:hAnsi="Arial" w:cs="Arial"/>
          <w:sz w:val="24"/>
          <w:szCs w:val="24"/>
          <w:lang w:eastAsia="es-CO"/>
        </w:rPr>
        <w:t>é</w:t>
      </w:r>
      <w:r w:rsidRPr="002A61D5">
        <w:rPr>
          <w:rFonts w:ascii="Arial" w:hAnsi="Arial" w:cs="Arial"/>
          <w:sz w:val="24"/>
          <w:szCs w:val="24"/>
          <w:lang w:eastAsia="es-CO"/>
        </w:rPr>
        <w:t xml:space="preserve">rdida de ejecutoria de parte de lo previsto en la Circular 015 de 2021, en cuanto al mecanismo de validación y pago de la Compensación Económica Temporal, así como la facultad señalada en la Ley 1753 de 2015 y los artículos 2.6.4.1.3, 2.6.4.7.2 y 2.6.4.7.3 del Decreto 780 de 2016, resulta necesario que esta Entidad Administradora, establezca las condiciones para el cierre de </w:t>
      </w:r>
      <w:r w:rsidRPr="002A61D5">
        <w:rPr>
          <w:rFonts w:ascii="Arial" w:hAnsi="Arial" w:cs="Arial"/>
          <w:sz w:val="24"/>
          <w:szCs w:val="24"/>
        </w:rPr>
        <w:t>la gestión, reconocimiento y giro de este mecanismo.</w:t>
      </w:r>
    </w:p>
    <w:p w14:paraId="692F9495" w14:textId="77777777" w:rsidR="002A61D5" w:rsidRPr="002A61D5" w:rsidRDefault="002A61D5" w:rsidP="002A61D5">
      <w:pPr>
        <w:spacing w:after="0"/>
        <w:ind w:left="-283" w:right="-283"/>
        <w:jc w:val="both"/>
        <w:rPr>
          <w:rFonts w:ascii="Arial" w:hAnsi="Arial" w:cs="Arial"/>
          <w:sz w:val="24"/>
          <w:szCs w:val="24"/>
          <w:lang w:val="es-ES" w:eastAsia="es-CO"/>
        </w:rPr>
      </w:pPr>
    </w:p>
    <w:p w14:paraId="61640CCA" w14:textId="77777777" w:rsidR="002A61D5" w:rsidRPr="002A61D5" w:rsidRDefault="002A61D5" w:rsidP="002A61D5">
      <w:pPr>
        <w:spacing w:after="0"/>
        <w:ind w:left="-283" w:right="-283"/>
        <w:jc w:val="both"/>
        <w:rPr>
          <w:rFonts w:ascii="Arial" w:hAnsi="Arial" w:cs="Arial"/>
          <w:sz w:val="24"/>
          <w:szCs w:val="24"/>
        </w:rPr>
      </w:pPr>
      <w:r w:rsidRPr="002A61D5">
        <w:rPr>
          <w:rFonts w:ascii="Arial" w:hAnsi="Arial" w:cs="Arial"/>
          <w:sz w:val="24"/>
          <w:szCs w:val="24"/>
        </w:rPr>
        <w:t xml:space="preserve">En mérito de lo expuesto, </w:t>
      </w:r>
    </w:p>
    <w:p w14:paraId="564B9A77" w14:textId="77777777" w:rsidR="002A61D5" w:rsidRDefault="002A61D5" w:rsidP="002A61D5">
      <w:pPr>
        <w:spacing w:after="0"/>
        <w:ind w:left="-283" w:right="-283"/>
        <w:jc w:val="both"/>
        <w:rPr>
          <w:rFonts w:ascii="Arial" w:hAnsi="Arial" w:cs="Arial"/>
          <w:sz w:val="24"/>
          <w:szCs w:val="24"/>
        </w:rPr>
      </w:pPr>
    </w:p>
    <w:p w14:paraId="2DB4A45C" w14:textId="77777777" w:rsidR="002A61D5" w:rsidRPr="002A61D5" w:rsidRDefault="002A61D5" w:rsidP="002A61D5">
      <w:pPr>
        <w:spacing w:after="0"/>
        <w:ind w:left="-283" w:right="-283"/>
        <w:jc w:val="both"/>
        <w:rPr>
          <w:rFonts w:ascii="Arial" w:hAnsi="Arial" w:cs="Arial"/>
          <w:sz w:val="24"/>
          <w:szCs w:val="24"/>
        </w:rPr>
      </w:pPr>
    </w:p>
    <w:p w14:paraId="2D71B574" w14:textId="77777777" w:rsidR="002A61D5" w:rsidRPr="002A61D5" w:rsidRDefault="002A61D5" w:rsidP="002A61D5">
      <w:pPr>
        <w:spacing w:after="0"/>
        <w:ind w:left="-283" w:right="-283"/>
        <w:jc w:val="center"/>
        <w:rPr>
          <w:rFonts w:ascii="Arial" w:hAnsi="Arial" w:cs="Arial"/>
          <w:b/>
          <w:bCs/>
          <w:sz w:val="24"/>
          <w:szCs w:val="24"/>
        </w:rPr>
      </w:pPr>
      <w:r w:rsidRPr="002A61D5">
        <w:rPr>
          <w:rFonts w:ascii="Arial" w:hAnsi="Arial" w:cs="Arial"/>
          <w:b/>
          <w:bCs/>
          <w:sz w:val="24"/>
          <w:szCs w:val="24"/>
        </w:rPr>
        <w:t>RESUELVE</w:t>
      </w:r>
    </w:p>
    <w:p w14:paraId="7E4ADE08" w14:textId="77777777" w:rsidR="002A61D5" w:rsidRDefault="002A61D5" w:rsidP="002A61D5">
      <w:pPr>
        <w:spacing w:after="0"/>
        <w:ind w:left="-283" w:right="-283"/>
        <w:jc w:val="both"/>
        <w:rPr>
          <w:rFonts w:ascii="Arial" w:hAnsi="Arial" w:cs="Arial"/>
          <w:sz w:val="24"/>
          <w:szCs w:val="24"/>
        </w:rPr>
      </w:pPr>
    </w:p>
    <w:p w14:paraId="53294E3C" w14:textId="77777777" w:rsidR="002A61D5" w:rsidRPr="002A61D5" w:rsidRDefault="002A61D5" w:rsidP="002A61D5">
      <w:pPr>
        <w:spacing w:after="0"/>
        <w:ind w:left="-283" w:right="-283"/>
        <w:jc w:val="both"/>
        <w:rPr>
          <w:rFonts w:ascii="Arial" w:hAnsi="Arial" w:cs="Arial"/>
          <w:sz w:val="24"/>
          <w:szCs w:val="24"/>
        </w:rPr>
      </w:pPr>
    </w:p>
    <w:p w14:paraId="1934D045" w14:textId="77777777" w:rsidR="002A61D5" w:rsidRPr="002A61D5" w:rsidRDefault="002A61D5" w:rsidP="002A61D5">
      <w:pPr>
        <w:pStyle w:val="Textoindependiente"/>
        <w:ind w:left="-283" w:right="-283"/>
        <w:rPr>
          <w:rFonts w:ascii="Arial" w:hAnsi="Arial" w:cs="Arial"/>
          <w:b/>
          <w:sz w:val="24"/>
          <w:szCs w:val="24"/>
        </w:rPr>
      </w:pPr>
      <w:r w:rsidRPr="002A61D5">
        <w:rPr>
          <w:rFonts w:ascii="Arial" w:hAnsi="Arial" w:cs="Arial"/>
          <w:b/>
          <w:sz w:val="24"/>
          <w:szCs w:val="24"/>
        </w:rPr>
        <w:t>Artículo</w:t>
      </w:r>
      <w:r w:rsidRPr="002A61D5">
        <w:rPr>
          <w:rFonts w:ascii="Arial" w:hAnsi="Arial" w:cs="Arial"/>
          <w:b/>
          <w:spacing w:val="-13"/>
          <w:sz w:val="24"/>
          <w:szCs w:val="24"/>
        </w:rPr>
        <w:t xml:space="preserve"> </w:t>
      </w:r>
      <w:r w:rsidRPr="002A61D5">
        <w:rPr>
          <w:rFonts w:ascii="Arial" w:hAnsi="Arial" w:cs="Arial"/>
          <w:b/>
          <w:sz w:val="24"/>
          <w:szCs w:val="24"/>
        </w:rPr>
        <w:t xml:space="preserve">1. </w:t>
      </w:r>
      <w:r w:rsidRPr="002A61D5">
        <w:rPr>
          <w:rFonts w:ascii="Arial" w:hAnsi="Arial" w:cs="Arial"/>
          <w:bCs/>
          <w:i/>
          <w:iCs/>
          <w:sz w:val="24"/>
          <w:szCs w:val="24"/>
        </w:rPr>
        <w:t>Objeto</w:t>
      </w:r>
      <w:r w:rsidRPr="002A61D5">
        <w:rPr>
          <w:rFonts w:ascii="Arial" w:hAnsi="Arial" w:cs="Arial"/>
          <w:bCs/>
          <w:sz w:val="24"/>
          <w:szCs w:val="24"/>
        </w:rPr>
        <w:t>.</w:t>
      </w:r>
      <w:r w:rsidRPr="002A61D5">
        <w:rPr>
          <w:rFonts w:ascii="Arial" w:hAnsi="Arial" w:cs="Arial"/>
          <w:b/>
          <w:sz w:val="24"/>
          <w:szCs w:val="24"/>
        </w:rPr>
        <w:t xml:space="preserve"> </w:t>
      </w:r>
      <w:r w:rsidRPr="002A61D5">
        <w:rPr>
          <w:rFonts w:ascii="Arial" w:hAnsi="Arial" w:cs="Arial"/>
          <w:bCs/>
          <w:sz w:val="24"/>
          <w:szCs w:val="24"/>
        </w:rPr>
        <w:t>La presente Resolución tiene por objeto establecer las condiciones operativas para concluir la gestión, reconocimiento y giro del mecanismo de la Compensación Económica Temporal - CET, establecido en el artículo 14 del Decreto Legislativo 538 de 2020.</w:t>
      </w:r>
    </w:p>
    <w:p w14:paraId="1A26A82F" w14:textId="77777777" w:rsidR="002A61D5" w:rsidRPr="002A61D5" w:rsidRDefault="002A61D5" w:rsidP="002A61D5">
      <w:pPr>
        <w:pStyle w:val="Textoindependiente"/>
        <w:ind w:left="-283" w:right="-283"/>
        <w:rPr>
          <w:rFonts w:ascii="Arial" w:hAnsi="Arial" w:cs="Arial"/>
          <w:b/>
          <w:sz w:val="24"/>
          <w:szCs w:val="24"/>
        </w:rPr>
      </w:pPr>
    </w:p>
    <w:p w14:paraId="580EC0A1" w14:textId="77777777" w:rsidR="002A61D5" w:rsidRPr="002A61D5" w:rsidRDefault="002A61D5" w:rsidP="002A61D5">
      <w:pPr>
        <w:pStyle w:val="Textoindependiente"/>
        <w:ind w:left="-283" w:right="-283"/>
        <w:rPr>
          <w:rFonts w:ascii="Arial" w:hAnsi="Arial" w:cs="Arial"/>
          <w:bCs/>
          <w:sz w:val="24"/>
          <w:szCs w:val="24"/>
        </w:rPr>
      </w:pPr>
      <w:r w:rsidRPr="002A61D5">
        <w:rPr>
          <w:rFonts w:ascii="Arial" w:hAnsi="Arial" w:cs="Arial"/>
          <w:b/>
          <w:sz w:val="24"/>
          <w:szCs w:val="24"/>
        </w:rPr>
        <w:t xml:space="preserve">Artículo 2. </w:t>
      </w:r>
      <w:r w:rsidRPr="002A61D5">
        <w:rPr>
          <w:rFonts w:ascii="Arial" w:hAnsi="Arial" w:cs="Arial"/>
          <w:bCs/>
          <w:i/>
          <w:iCs/>
          <w:sz w:val="24"/>
          <w:szCs w:val="24"/>
        </w:rPr>
        <w:t>Ámbito de aplicación.</w:t>
      </w:r>
      <w:r w:rsidRPr="002A61D5">
        <w:rPr>
          <w:rFonts w:ascii="Arial" w:hAnsi="Arial" w:cs="Arial"/>
          <w:b/>
          <w:sz w:val="24"/>
          <w:szCs w:val="24"/>
        </w:rPr>
        <w:t xml:space="preserve"> </w:t>
      </w:r>
      <w:r w:rsidRPr="002A61D5">
        <w:rPr>
          <w:rFonts w:ascii="Arial" w:hAnsi="Arial" w:cs="Arial"/>
          <w:bCs/>
          <w:sz w:val="24"/>
          <w:szCs w:val="24"/>
        </w:rPr>
        <w:t>Las disposiciones previstas en la presente Resolución aplican a las Entidades Promotoras de Salud – EPS, a los afiliados al régimen subsidiado en salud y a la Administradora de los Recursos del Sistema General de Seguridad Social en Salud – ADRES.</w:t>
      </w:r>
    </w:p>
    <w:p w14:paraId="4900CB1C" w14:textId="77777777" w:rsidR="002A61D5" w:rsidRPr="002A61D5" w:rsidRDefault="002A61D5" w:rsidP="002A61D5">
      <w:pPr>
        <w:pStyle w:val="Textoindependiente"/>
        <w:ind w:left="-283" w:right="-283"/>
        <w:rPr>
          <w:rFonts w:ascii="Arial" w:hAnsi="Arial" w:cs="Arial"/>
          <w:b/>
          <w:sz w:val="24"/>
          <w:szCs w:val="24"/>
        </w:rPr>
      </w:pPr>
    </w:p>
    <w:p w14:paraId="3E7CDD38" w14:textId="77777777" w:rsidR="002A61D5" w:rsidRPr="002A61D5" w:rsidRDefault="002A61D5" w:rsidP="002A61D5">
      <w:pPr>
        <w:pStyle w:val="Textoindependiente"/>
        <w:ind w:left="-283" w:right="-283"/>
        <w:rPr>
          <w:rFonts w:ascii="Arial" w:hAnsi="Arial" w:cs="Arial"/>
          <w:bCs/>
          <w:sz w:val="24"/>
          <w:szCs w:val="24"/>
        </w:rPr>
      </w:pPr>
      <w:r w:rsidRPr="002A61D5">
        <w:rPr>
          <w:rFonts w:ascii="Arial" w:hAnsi="Arial" w:cs="Arial"/>
          <w:b/>
          <w:sz w:val="24"/>
          <w:szCs w:val="24"/>
        </w:rPr>
        <w:lastRenderedPageBreak/>
        <w:t>Artículo 3.</w:t>
      </w:r>
      <w:r w:rsidRPr="002A61D5">
        <w:rPr>
          <w:rFonts w:ascii="Arial" w:hAnsi="Arial" w:cs="Arial"/>
          <w:b/>
          <w:i/>
          <w:iCs/>
          <w:sz w:val="24"/>
          <w:szCs w:val="24"/>
        </w:rPr>
        <w:t xml:space="preserve"> </w:t>
      </w:r>
      <w:r w:rsidRPr="002A61D5">
        <w:rPr>
          <w:rFonts w:ascii="Arial" w:hAnsi="Arial" w:cs="Arial"/>
          <w:bCs/>
          <w:i/>
          <w:iCs/>
          <w:sz w:val="24"/>
          <w:szCs w:val="24"/>
        </w:rPr>
        <w:t>Reporte de Información para la Compensación Económica Temporal</w:t>
      </w:r>
      <w:r w:rsidRPr="002A61D5">
        <w:rPr>
          <w:rFonts w:ascii="Arial" w:hAnsi="Arial" w:cs="Arial"/>
          <w:b/>
          <w:sz w:val="24"/>
          <w:szCs w:val="24"/>
        </w:rPr>
        <w:t xml:space="preserve">. </w:t>
      </w:r>
      <w:r w:rsidRPr="002A61D5">
        <w:rPr>
          <w:rFonts w:ascii="Arial" w:hAnsi="Arial" w:cs="Arial"/>
          <w:bCs/>
          <w:sz w:val="24"/>
          <w:szCs w:val="24"/>
        </w:rPr>
        <w:t xml:space="preserve">La ADRES no adelantará el reporte de información de posibles beneficiarios de la Compensación Económica Temporal a las EPS. </w:t>
      </w:r>
    </w:p>
    <w:p w14:paraId="573F8456" w14:textId="77777777" w:rsidR="002A61D5" w:rsidRPr="002A61D5" w:rsidRDefault="002A61D5" w:rsidP="002A61D5">
      <w:pPr>
        <w:pStyle w:val="Textoindependiente"/>
        <w:ind w:left="-283" w:right="-283"/>
        <w:rPr>
          <w:rFonts w:ascii="Arial" w:hAnsi="Arial" w:cs="Arial"/>
          <w:bCs/>
          <w:sz w:val="24"/>
          <w:szCs w:val="24"/>
        </w:rPr>
      </w:pPr>
    </w:p>
    <w:p w14:paraId="3AC4ACA9" w14:textId="77777777" w:rsidR="002A61D5" w:rsidRDefault="002A61D5" w:rsidP="002A61D5">
      <w:pPr>
        <w:pStyle w:val="Textoindependiente"/>
        <w:ind w:left="-283" w:right="-283"/>
        <w:rPr>
          <w:rFonts w:ascii="Arial" w:hAnsi="Arial" w:cs="Arial"/>
          <w:bCs/>
          <w:sz w:val="24"/>
          <w:szCs w:val="24"/>
        </w:rPr>
      </w:pPr>
      <w:r w:rsidRPr="002A61D5">
        <w:rPr>
          <w:rFonts w:ascii="Arial" w:hAnsi="Arial" w:cs="Arial"/>
          <w:bCs/>
          <w:sz w:val="24"/>
          <w:szCs w:val="24"/>
        </w:rPr>
        <w:t>Por su parte, las EPS deberán abstenerse de remitir a la ADRES información relativa a posibles beneficiarios de la Compensación Económica Temporal.</w:t>
      </w:r>
    </w:p>
    <w:p w14:paraId="3046DC3A" w14:textId="77777777" w:rsidR="002A61D5" w:rsidRDefault="002A61D5" w:rsidP="002A61D5">
      <w:pPr>
        <w:pStyle w:val="Textoindependiente"/>
        <w:ind w:left="-283" w:right="-283"/>
        <w:rPr>
          <w:rFonts w:ascii="Arial" w:hAnsi="Arial" w:cs="Arial"/>
          <w:bCs/>
          <w:sz w:val="24"/>
          <w:szCs w:val="24"/>
        </w:rPr>
      </w:pPr>
    </w:p>
    <w:p w14:paraId="7E461491" w14:textId="1B2E583F" w:rsidR="002A61D5" w:rsidRPr="002A61D5" w:rsidRDefault="002A61D5" w:rsidP="002A61D5">
      <w:pPr>
        <w:pStyle w:val="Textoindependiente"/>
        <w:ind w:left="-283" w:right="-283"/>
        <w:rPr>
          <w:rFonts w:ascii="Arial" w:hAnsi="Arial" w:cs="Arial"/>
          <w:bCs/>
          <w:sz w:val="24"/>
          <w:szCs w:val="24"/>
        </w:rPr>
      </w:pPr>
      <w:r w:rsidRPr="002A61D5">
        <w:rPr>
          <w:rFonts w:ascii="Arial" w:hAnsi="Arial" w:cs="Arial"/>
          <w:b/>
          <w:sz w:val="24"/>
          <w:szCs w:val="24"/>
        </w:rPr>
        <w:t>Artículo 4.</w:t>
      </w:r>
      <w:r>
        <w:rPr>
          <w:rFonts w:ascii="Arial" w:hAnsi="Arial" w:cs="Arial"/>
          <w:bCs/>
          <w:sz w:val="24"/>
          <w:szCs w:val="24"/>
        </w:rPr>
        <w:t xml:space="preserve"> </w:t>
      </w:r>
      <w:r w:rsidRPr="002A61D5">
        <w:rPr>
          <w:rFonts w:ascii="Arial" w:hAnsi="Arial" w:cs="Arial"/>
          <w:bCs/>
          <w:i/>
          <w:iCs/>
          <w:sz w:val="24"/>
          <w:szCs w:val="24"/>
        </w:rPr>
        <w:t>Integridad de la información.</w:t>
      </w:r>
      <w:r>
        <w:rPr>
          <w:rFonts w:ascii="Arial" w:hAnsi="Arial" w:cs="Arial"/>
          <w:bCs/>
          <w:sz w:val="24"/>
          <w:szCs w:val="24"/>
        </w:rPr>
        <w:t xml:space="preserve"> </w:t>
      </w:r>
      <w:r w:rsidRPr="002A61D5">
        <w:rPr>
          <w:rFonts w:ascii="Arial" w:hAnsi="Arial" w:cs="Arial"/>
          <w:bCs/>
          <w:sz w:val="24"/>
          <w:szCs w:val="24"/>
        </w:rPr>
        <w:t xml:space="preserve">Los grupos familiares que a la fecha se encuentran conformados y reconocidos, así como los pagos y beneficiarios de </w:t>
      </w:r>
      <w:r w:rsidR="00404DCC" w:rsidRPr="002A61D5">
        <w:rPr>
          <w:rFonts w:ascii="Arial" w:hAnsi="Arial" w:cs="Arial"/>
          <w:bCs/>
          <w:sz w:val="24"/>
          <w:szCs w:val="24"/>
        </w:rPr>
        <w:t>estos</w:t>
      </w:r>
      <w:r w:rsidRPr="002A61D5">
        <w:rPr>
          <w:rFonts w:ascii="Arial" w:hAnsi="Arial" w:cs="Arial"/>
          <w:bCs/>
          <w:sz w:val="24"/>
          <w:szCs w:val="24"/>
        </w:rPr>
        <w:t xml:space="preserve">, no podrán ser objeto de modificación una vez entre en vigencia la presente </w:t>
      </w:r>
      <w:r w:rsidR="00404DCC" w:rsidRPr="002A61D5">
        <w:rPr>
          <w:rFonts w:ascii="Arial" w:hAnsi="Arial" w:cs="Arial"/>
          <w:bCs/>
          <w:sz w:val="24"/>
          <w:szCs w:val="24"/>
        </w:rPr>
        <w:t>R</w:t>
      </w:r>
      <w:r w:rsidRPr="002A61D5">
        <w:rPr>
          <w:rFonts w:ascii="Arial" w:hAnsi="Arial" w:cs="Arial"/>
          <w:bCs/>
          <w:sz w:val="24"/>
          <w:szCs w:val="24"/>
        </w:rPr>
        <w:t>esolución.</w:t>
      </w:r>
    </w:p>
    <w:p w14:paraId="2620ABEF" w14:textId="77777777" w:rsidR="002A61D5" w:rsidRPr="002A61D5" w:rsidRDefault="002A61D5" w:rsidP="002A61D5">
      <w:pPr>
        <w:pStyle w:val="Textoindependiente"/>
        <w:ind w:left="-283" w:right="-283"/>
        <w:rPr>
          <w:rFonts w:ascii="Arial" w:hAnsi="Arial" w:cs="Arial"/>
          <w:b/>
          <w:sz w:val="24"/>
          <w:szCs w:val="24"/>
        </w:rPr>
      </w:pPr>
    </w:p>
    <w:p w14:paraId="4E70AFD0" w14:textId="38A67459" w:rsidR="002A61D5" w:rsidRPr="002A61D5" w:rsidRDefault="002A61D5" w:rsidP="002A61D5">
      <w:pPr>
        <w:pStyle w:val="Textoindependiente"/>
        <w:ind w:left="-283" w:right="-283"/>
        <w:rPr>
          <w:rFonts w:ascii="Arial" w:hAnsi="Arial" w:cs="Arial"/>
          <w:bCs/>
          <w:sz w:val="24"/>
          <w:szCs w:val="24"/>
        </w:rPr>
      </w:pPr>
      <w:r w:rsidRPr="002A61D5">
        <w:rPr>
          <w:rFonts w:ascii="Arial" w:hAnsi="Arial" w:cs="Arial"/>
          <w:b/>
          <w:sz w:val="24"/>
          <w:szCs w:val="24"/>
        </w:rPr>
        <w:t xml:space="preserve">Artículo </w:t>
      </w:r>
      <w:r>
        <w:rPr>
          <w:rFonts w:ascii="Arial" w:hAnsi="Arial" w:cs="Arial"/>
          <w:b/>
          <w:sz w:val="24"/>
          <w:szCs w:val="24"/>
        </w:rPr>
        <w:t>5</w:t>
      </w:r>
      <w:r w:rsidRPr="002A61D5">
        <w:rPr>
          <w:rFonts w:ascii="Arial" w:hAnsi="Arial" w:cs="Arial"/>
          <w:b/>
          <w:sz w:val="24"/>
          <w:szCs w:val="24"/>
        </w:rPr>
        <w:t xml:space="preserve">. </w:t>
      </w:r>
      <w:r w:rsidRPr="002A61D5">
        <w:rPr>
          <w:rFonts w:ascii="Arial" w:hAnsi="Arial" w:cs="Arial"/>
          <w:bCs/>
          <w:i/>
          <w:iCs/>
          <w:sz w:val="24"/>
          <w:szCs w:val="24"/>
        </w:rPr>
        <w:t xml:space="preserve">Gestión y reconocimiento de la Compensación Económica Temporal. </w:t>
      </w:r>
      <w:r w:rsidRPr="002A61D5">
        <w:rPr>
          <w:rFonts w:ascii="Arial" w:hAnsi="Arial" w:cs="Arial"/>
          <w:bCs/>
          <w:sz w:val="24"/>
          <w:szCs w:val="24"/>
        </w:rPr>
        <w:t>Con ocasión de la terminación del Programa de Pruebas, Rastreo y Aislamiento Selectivo Sostenible la ADRES no realizará ninguna gestión o reconocimiento por concepto de Compensación Económica Temporal – CET.</w:t>
      </w:r>
    </w:p>
    <w:p w14:paraId="54159D0C" w14:textId="77777777" w:rsidR="002A61D5" w:rsidRPr="002A61D5" w:rsidRDefault="002A61D5" w:rsidP="002A61D5">
      <w:pPr>
        <w:pStyle w:val="Textoindependiente"/>
        <w:ind w:left="-283" w:right="-283"/>
        <w:rPr>
          <w:rFonts w:ascii="Arial" w:hAnsi="Arial" w:cs="Arial"/>
          <w:bCs/>
          <w:sz w:val="24"/>
          <w:szCs w:val="24"/>
        </w:rPr>
      </w:pPr>
    </w:p>
    <w:p w14:paraId="5C36B112" w14:textId="7A59F289" w:rsidR="002A61D5" w:rsidRPr="002A61D5" w:rsidRDefault="002A61D5" w:rsidP="002A61D5">
      <w:pPr>
        <w:pStyle w:val="Textoindependiente"/>
        <w:ind w:left="-283" w:right="-283"/>
        <w:rPr>
          <w:rFonts w:ascii="Arial" w:hAnsi="Arial" w:cs="Arial"/>
          <w:bCs/>
          <w:sz w:val="24"/>
          <w:szCs w:val="24"/>
        </w:rPr>
      </w:pPr>
      <w:r w:rsidRPr="002A61D5">
        <w:rPr>
          <w:rFonts w:ascii="Arial" w:hAnsi="Arial" w:cs="Arial"/>
          <w:b/>
          <w:sz w:val="24"/>
          <w:szCs w:val="24"/>
        </w:rPr>
        <w:t xml:space="preserve">Artículo </w:t>
      </w:r>
      <w:r>
        <w:rPr>
          <w:rFonts w:ascii="Arial" w:hAnsi="Arial" w:cs="Arial"/>
          <w:b/>
          <w:sz w:val="24"/>
          <w:szCs w:val="24"/>
        </w:rPr>
        <w:t>6</w:t>
      </w:r>
      <w:r w:rsidRPr="002A61D5">
        <w:rPr>
          <w:rFonts w:ascii="Arial" w:hAnsi="Arial" w:cs="Arial"/>
          <w:bCs/>
          <w:sz w:val="24"/>
          <w:szCs w:val="24"/>
        </w:rPr>
        <w:t xml:space="preserve">. </w:t>
      </w:r>
      <w:r w:rsidRPr="002A61D5">
        <w:rPr>
          <w:rFonts w:ascii="Arial" w:hAnsi="Arial" w:cs="Arial"/>
          <w:bCs/>
          <w:i/>
          <w:iCs/>
          <w:sz w:val="24"/>
          <w:szCs w:val="24"/>
        </w:rPr>
        <w:t>Giro de la Compensación Económica Temporal.</w:t>
      </w:r>
      <w:r w:rsidRPr="002A61D5">
        <w:rPr>
          <w:rFonts w:ascii="Arial" w:hAnsi="Arial" w:cs="Arial"/>
          <w:bCs/>
          <w:sz w:val="24"/>
          <w:szCs w:val="24"/>
        </w:rPr>
        <w:t xml:space="preserve"> Los recursos reconocidos a los afiliados del régimen subsidiario beneficiarios de la Compensación Económica Temporal, que no hayan sido girados a la fecha de </w:t>
      </w:r>
      <w:proofErr w:type="gramStart"/>
      <w:r w:rsidRPr="002A61D5">
        <w:rPr>
          <w:rFonts w:ascii="Arial" w:hAnsi="Arial" w:cs="Arial"/>
          <w:bCs/>
          <w:sz w:val="24"/>
          <w:szCs w:val="24"/>
        </w:rPr>
        <w:t>entrada en vigencia</w:t>
      </w:r>
      <w:proofErr w:type="gramEnd"/>
      <w:r w:rsidRPr="002A61D5">
        <w:rPr>
          <w:rFonts w:ascii="Arial" w:hAnsi="Arial" w:cs="Arial"/>
          <w:bCs/>
          <w:sz w:val="24"/>
          <w:szCs w:val="24"/>
        </w:rPr>
        <w:t xml:space="preserve"> de la presente Resolución, por motivos imputables a ellos, </w:t>
      </w:r>
      <w:r w:rsidR="00F932DD">
        <w:rPr>
          <w:rFonts w:ascii="Arial" w:hAnsi="Arial" w:cs="Arial"/>
          <w:bCs/>
          <w:sz w:val="24"/>
          <w:szCs w:val="24"/>
        </w:rPr>
        <w:t xml:space="preserve">no habrá lugar al pago y </w:t>
      </w:r>
      <w:r w:rsidRPr="002A61D5">
        <w:rPr>
          <w:rFonts w:ascii="Arial" w:hAnsi="Arial" w:cs="Arial"/>
          <w:bCs/>
          <w:sz w:val="24"/>
          <w:szCs w:val="24"/>
        </w:rPr>
        <w:t xml:space="preserve">serán objeto de devolución al Ministerio de Hacienda y Crédito Público. </w:t>
      </w:r>
    </w:p>
    <w:p w14:paraId="3933E5F7" w14:textId="77777777" w:rsidR="002A61D5" w:rsidRPr="002A61D5" w:rsidRDefault="002A61D5" w:rsidP="002A61D5">
      <w:pPr>
        <w:pStyle w:val="Textoindependiente"/>
        <w:ind w:left="-283" w:right="-283"/>
        <w:rPr>
          <w:rFonts w:ascii="Arial" w:hAnsi="Arial" w:cs="Arial"/>
          <w:b/>
          <w:sz w:val="24"/>
          <w:szCs w:val="24"/>
          <w:highlight w:val="lightGray"/>
        </w:rPr>
      </w:pPr>
    </w:p>
    <w:p w14:paraId="170A1A30" w14:textId="5BFC2A99" w:rsidR="002A61D5" w:rsidRDefault="002A61D5" w:rsidP="002A61D5">
      <w:pPr>
        <w:pStyle w:val="Textoindependiente"/>
        <w:ind w:left="-283" w:right="-283"/>
        <w:rPr>
          <w:rFonts w:ascii="Arial" w:hAnsi="Arial" w:cs="Arial"/>
          <w:bCs/>
          <w:sz w:val="24"/>
          <w:szCs w:val="24"/>
        </w:rPr>
      </w:pPr>
      <w:r w:rsidRPr="002A61D5">
        <w:rPr>
          <w:rFonts w:ascii="Arial" w:hAnsi="Arial" w:cs="Arial"/>
          <w:b/>
          <w:sz w:val="24"/>
          <w:szCs w:val="24"/>
        </w:rPr>
        <w:t>Parágrafo.</w:t>
      </w:r>
      <w:r w:rsidRPr="002A61D5">
        <w:rPr>
          <w:rFonts w:ascii="Arial" w:hAnsi="Arial" w:cs="Arial"/>
          <w:bCs/>
          <w:sz w:val="24"/>
          <w:szCs w:val="24"/>
        </w:rPr>
        <w:t xml:space="preserve"> Se entenderán como motivos o causales de no giro, </w:t>
      </w:r>
      <w:r w:rsidR="00705490">
        <w:rPr>
          <w:rFonts w:ascii="Arial" w:hAnsi="Arial" w:cs="Arial"/>
          <w:bCs/>
          <w:sz w:val="24"/>
          <w:szCs w:val="24"/>
        </w:rPr>
        <w:t xml:space="preserve">el rechazo de la transferencia bancaria por parte de la entidad financiera a la cuenta informada por la EPS o por el beneficiario de la Compensación Económica Temporal en tres ocasiones. </w:t>
      </w:r>
    </w:p>
    <w:p w14:paraId="6D5C6F84" w14:textId="77777777" w:rsidR="002A61D5" w:rsidRDefault="002A61D5" w:rsidP="002A61D5">
      <w:pPr>
        <w:pStyle w:val="Textoindependiente"/>
        <w:ind w:left="-283" w:right="-283"/>
        <w:rPr>
          <w:rFonts w:ascii="Arial" w:hAnsi="Arial" w:cs="Arial"/>
          <w:bCs/>
          <w:sz w:val="24"/>
          <w:szCs w:val="24"/>
        </w:rPr>
      </w:pPr>
    </w:p>
    <w:p w14:paraId="524CF43E" w14:textId="3F837E63" w:rsidR="002A61D5" w:rsidRPr="002A61D5" w:rsidRDefault="002A61D5" w:rsidP="00705490">
      <w:pPr>
        <w:pStyle w:val="Textoindependiente"/>
        <w:ind w:left="-283" w:right="-283"/>
        <w:rPr>
          <w:rFonts w:ascii="Arial" w:hAnsi="Arial" w:cs="Arial"/>
          <w:b/>
          <w:sz w:val="24"/>
          <w:szCs w:val="24"/>
        </w:rPr>
      </w:pPr>
      <w:r w:rsidRPr="002A61D5">
        <w:rPr>
          <w:rFonts w:ascii="Arial" w:hAnsi="Arial" w:cs="Arial"/>
          <w:b/>
          <w:sz w:val="24"/>
          <w:szCs w:val="24"/>
        </w:rPr>
        <w:t xml:space="preserve">Artículo </w:t>
      </w:r>
      <w:r>
        <w:rPr>
          <w:rFonts w:ascii="Arial" w:hAnsi="Arial" w:cs="Arial"/>
          <w:b/>
          <w:sz w:val="24"/>
          <w:szCs w:val="24"/>
        </w:rPr>
        <w:t>7</w:t>
      </w:r>
      <w:r w:rsidRPr="002A61D5">
        <w:rPr>
          <w:rFonts w:ascii="Arial" w:hAnsi="Arial" w:cs="Arial"/>
          <w:b/>
          <w:sz w:val="24"/>
          <w:szCs w:val="24"/>
        </w:rPr>
        <w:t xml:space="preserve">. </w:t>
      </w:r>
      <w:r w:rsidRPr="002A61D5">
        <w:rPr>
          <w:rFonts w:ascii="Arial" w:hAnsi="Arial" w:cs="Arial"/>
          <w:bCs/>
          <w:i/>
          <w:iCs/>
          <w:sz w:val="24"/>
          <w:szCs w:val="24"/>
        </w:rPr>
        <w:t>Registros contables.</w:t>
      </w:r>
      <w:r w:rsidRPr="002A61D5">
        <w:rPr>
          <w:rFonts w:ascii="Arial" w:hAnsi="Arial" w:cs="Arial"/>
          <w:b/>
          <w:sz w:val="24"/>
          <w:szCs w:val="24"/>
        </w:rPr>
        <w:t xml:space="preserve"> </w:t>
      </w:r>
      <w:r w:rsidR="00705490" w:rsidRPr="00705490">
        <w:rPr>
          <w:rFonts w:ascii="Arial" w:hAnsi="Arial" w:cs="Arial"/>
          <w:bCs/>
          <w:sz w:val="24"/>
          <w:szCs w:val="24"/>
        </w:rPr>
        <w:t xml:space="preserve">La ADRES procederá a realizar los </w:t>
      </w:r>
      <w:r w:rsidR="00F932DD">
        <w:rPr>
          <w:rFonts w:ascii="Arial" w:hAnsi="Arial" w:cs="Arial"/>
          <w:bCs/>
          <w:sz w:val="24"/>
          <w:szCs w:val="24"/>
        </w:rPr>
        <w:t xml:space="preserve">registros </w:t>
      </w:r>
      <w:r w:rsidR="00F932DD" w:rsidRPr="00705490">
        <w:rPr>
          <w:rFonts w:ascii="Arial" w:hAnsi="Arial" w:cs="Arial"/>
          <w:bCs/>
          <w:sz w:val="24"/>
          <w:szCs w:val="24"/>
        </w:rPr>
        <w:t>contables</w:t>
      </w:r>
      <w:r w:rsidR="00705490" w:rsidRPr="00705490">
        <w:rPr>
          <w:rFonts w:ascii="Arial" w:hAnsi="Arial" w:cs="Arial"/>
          <w:bCs/>
          <w:sz w:val="24"/>
          <w:szCs w:val="24"/>
        </w:rPr>
        <w:t xml:space="preserve"> necesarios para </w:t>
      </w:r>
      <w:r w:rsidR="00705490">
        <w:rPr>
          <w:rFonts w:ascii="Arial" w:hAnsi="Arial" w:cs="Arial"/>
          <w:bCs/>
          <w:sz w:val="24"/>
          <w:szCs w:val="24"/>
        </w:rPr>
        <w:t xml:space="preserve">reflejar la realidad económica y jurídica del cierre del mecanismo de </w:t>
      </w:r>
      <w:r w:rsidR="00404DCC">
        <w:rPr>
          <w:rFonts w:ascii="Arial" w:hAnsi="Arial" w:cs="Arial"/>
          <w:bCs/>
          <w:sz w:val="24"/>
          <w:szCs w:val="24"/>
        </w:rPr>
        <w:t xml:space="preserve">la </w:t>
      </w:r>
      <w:r w:rsidR="00705490">
        <w:rPr>
          <w:rFonts w:ascii="Arial" w:hAnsi="Arial" w:cs="Arial"/>
          <w:bCs/>
          <w:sz w:val="24"/>
          <w:szCs w:val="24"/>
        </w:rPr>
        <w:t xml:space="preserve">Compensación Económica Temporal, de manera que no subsistan obligaciones a favor de terceros por este concepto y que los recursos no girados sean destinados al Ministerio de Hacienda y Crédito Público ante la extinción del FOME. </w:t>
      </w:r>
    </w:p>
    <w:p w14:paraId="6FF200CE" w14:textId="77777777" w:rsidR="002A61D5" w:rsidRPr="002A61D5" w:rsidRDefault="002A61D5" w:rsidP="002A61D5">
      <w:pPr>
        <w:spacing w:after="0"/>
        <w:ind w:left="-283" w:right="-283"/>
        <w:jc w:val="both"/>
        <w:rPr>
          <w:rFonts w:ascii="Arial" w:hAnsi="Arial" w:cs="Arial"/>
          <w:bCs/>
          <w:sz w:val="24"/>
          <w:szCs w:val="24"/>
        </w:rPr>
      </w:pPr>
    </w:p>
    <w:p w14:paraId="3215DD64" w14:textId="3E042220" w:rsidR="002A61D5" w:rsidRPr="002A61D5" w:rsidRDefault="002A61D5" w:rsidP="002A61D5">
      <w:pPr>
        <w:spacing w:after="0"/>
        <w:ind w:left="-283" w:right="-283"/>
        <w:jc w:val="both"/>
        <w:rPr>
          <w:rFonts w:ascii="Arial" w:hAnsi="Arial" w:cs="Arial"/>
          <w:spacing w:val="-59"/>
          <w:sz w:val="24"/>
          <w:szCs w:val="24"/>
        </w:rPr>
      </w:pPr>
      <w:r w:rsidRPr="002A61D5">
        <w:rPr>
          <w:rFonts w:ascii="Arial" w:hAnsi="Arial" w:cs="Arial"/>
          <w:b/>
          <w:sz w:val="24"/>
          <w:szCs w:val="24"/>
        </w:rPr>
        <w:t xml:space="preserve">Artículo </w:t>
      </w:r>
      <w:r>
        <w:rPr>
          <w:rFonts w:ascii="Arial" w:hAnsi="Arial" w:cs="Arial"/>
          <w:b/>
          <w:sz w:val="24"/>
          <w:szCs w:val="24"/>
        </w:rPr>
        <w:t>8</w:t>
      </w:r>
      <w:r w:rsidRPr="002A61D5">
        <w:rPr>
          <w:rFonts w:ascii="Arial" w:hAnsi="Arial" w:cs="Arial"/>
          <w:b/>
          <w:sz w:val="24"/>
          <w:szCs w:val="24"/>
        </w:rPr>
        <w:t xml:space="preserve">. </w:t>
      </w:r>
      <w:r w:rsidRPr="002A61D5">
        <w:rPr>
          <w:rFonts w:ascii="Arial" w:hAnsi="Arial" w:cs="Arial"/>
          <w:sz w:val="24"/>
          <w:szCs w:val="24"/>
        </w:rPr>
        <w:t xml:space="preserve">La presente Resolución rige a partir de la fecha de su </w:t>
      </w:r>
      <w:r w:rsidR="005D69A8">
        <w:rPr>
          <w:rFonts w:ascii="Arial" w:hAnsi="Arial" w:cs="Arial"/>
          <w:sz w:val="24"/>
          <w:szCs w:val="24"/>
        </w:rPr>
        <w:t>publicación</w:t>
      </w:r>
      <w:r w:rsidRPr="002A61D5">
        <w:rPr>
          <w:rFonts w:ascii="Arial" w:hAnsi="Arial" w:cs="Arial"/>
          <w:sz w:val="24"/>
          <w:szCs w:val="24"/>
        </w:rPr>
        <w:t>.</w:t>
      </w:r>
      <w:r w:rsidRPr="002A61D5">
        <w:rPr>
          <w:rFonts w:ascii="Arial" w:hAnsi="Arial" w:cs="Arial"/>
          <w:spacing w:val="-59"/>
          <w:sz w:val="24"/>
          <w:szCs w:val="24"/>
        </w:rPr>
        <w:t xml:space="preserve"> </w:t>
      </w:r>
    </w:p>
    <w:p w14:paraId="0BDB173A" w14:textId="77777777" w:rsidR="002A61D5" w:rsidRPr="002A61D5" w:rsidRDefault="002A61D5" w:rsidP="002A61D5">
      <w:pPr>
        <w:spacing w:after="0"/>
        <w:ind w:left="-283" w:right="-283"/>
        <w:jc w:val="both"/>
        <w:rPr>
          <w:rFonts w:ascii="Arial" w:hAnsi="Arial" w:cs="Arial"/>
          <w:sz w:val="24"/>
          <w:szCs w:val="24"/>
        </w:rPr>
      </w:pPr>
    </w:p>
    <w:p w14:paraId="6F16D400" w14:textId="77777777" w:rsidR="002A61D5" w:rsidRPr="002A61D5" w:rsidRDefault="002A61D5" w:rsidP="002A61D5">
      <w:pPr>
        <w:spacing w:after="0"/>
        <w:ind w:left="-283" w:right="-283"/>
        <w:jc w:val="both"/>
        <w:rPr>
          <w:rFonts w:ascii="Arial" w:hAnsi="Arial" w:cs="Arial"/>
          <w:sz w:val="24"/>
          <w:szCs w:val="24"/>
        </w:rPr>
      </w:pPr>
      <w:r w:rsidRPr="002A61D5">
        <w:rPr>
          <w:rFonts w:ascii="Arial" w:hAnsi="Arial" w:cs="Arial"/>
          <w:sz w:val="24"/>
          <w:szCs w:val="24"/>
        </w:rPr>
        <w:t>Dada</w:t>
      </w:r>
      <w:r w:rsidRPr="002A61D5">
        <w:rPr>
          <w:rFonts w:ascii="Arial" w:hAnsi="Arial" w:cs="Arial"/>
          <w:spacing w:val="-1"/>
          <w:sz w:val="24"/>
          <w:szCs w:val="24"/>
        </w:rPr>
        <w:t xml:space="preserve"> </w:t>
      </w:r>
      <w:r w:rsidRPr="002A61D5">
        <w:rPr>
          <w:rFonts w:ascii="Arial" w:hAnsi="Arial" w:cs="Arial"/>
          <w:sz w:val="24"/>
          <w:szCs w:val="24"/>
        </w:rPr>
        <w:t>en Bogotá D.C.,</w:t>
      </w:r>
    </w:p>
    <w:p w14:paraId="59CFEC39" w14:textId="77777777" w:rsidR="002A61D5" w:rsidRPr="002A61D5" w:rsidRDefault="002A61D5" w:rsidP="002A61D5">
      <w:pPr>
        <w:spacing w:after="0"/>
        <w:ind w:left="-283" w:right="-283"/>
        <w:jc w:val="both"/>
        <w:rPr>
          <w:rFonts w:ascii="Arial" w:hAnsi="Arial" w:cs="Arial"/>
          <w:sz w:val="24"/>
          <w:szCs w:val="24"/>
        </w:rPr>
      </w:pPr>
    </w:p>
    <w:p w14:paraId="18A63A06" w14:textId="77777777" w:rsidR="002A61D5" w:rsidRPr="002A61D5" w:rsidRDefault="002A61D5" w:rsidP="002A61D5">
      <w:pPr>
        <w:shd w:val="clear" w:color="auto" w:fill="FFFFFF" w:themeFill="background1"/>
        <w:spacing w:after="0"/>
        <w:ind w:left="-283" w:right="-283"/>
        <w:jc w:val="center"/>
        <w:rPr>
          <w:rFonts w:ascii="Arial" w:hAnsi="Arial" w:cs="Arial"/>
          <w:b/>
          <w:sz w:val="24"/>
          <w:szCs w:val="24"/>
        </w:rPr>
      </w:pPr>
      <w:r w:rsidRPr="002A61D5">
        <w:rPr>
          <w:rFonts w:ascii="Arial" w:hAnsi="Arial" w:cs="Arial"/>
          <w:b/>
          <w:sz w:val="24"/>
          <w:szCs w:val="24"/>
        </w:rPr>
        <w:t>PUBLÍQUESE Y CÚMPLASE</w:t>
      </w:r>
    </w:p>
    <w:p w14:paraId="3C0CC090" w14:textId="77777777" w:rsidR="002A61D5" w:rsidRPr="002A61D5" w:rsidRDefault="002A61D5" w:rsidP="002A61D5">
      <w:pPr>
        <w:shd w:val="clear" w:color="auto" w:fill="FFFFFF" w:themeFill="background1"/>
        <w:spacing w:after="0"/>
        <w:ind w:left="-283" w:right="-283"/>
        <w:jc w:val="both"/>
        <w:rPr>
          <w:rFonts w:ascii="Arial" w:hAnsi="Arial" w:cs="Arial"/>
          <w:b/>
          <w:sz w:val="24"/>
          <w:szCs w:val="24"/>
        </w:rPr>
      </w:pPr>
    </w:p>
    <w:p w14:paraId="5044199F" w14:textId="77777777" w:rsidR="002A61D5" w:rsidRPr="002A61D5" w:rsidRDefault="002A61D5" w:rsidP="002A61D5">
      <w:pPr>
        <w:shd w:val="clear" w:color="auto" w:fill="FFFFFF"/>
        <w:spacing w:after="0"/>
        <w:ind w:left="-283" w:right="-283"/>
        <w:jc w:val="both"/>
        <w:rPr>
          <w:rFonts w:ascii="Arial" w:hAnsi="Arial" w:cs="Arial"/>
          <w:color w:val="000000"/>
          <w:sz w:val="24"/>
          <w:szCs w:val="24"/>
          <w:lang w:eastAsia="es-CO"/>
        </w:rPr>
      </w:pPr>
    </w:p>
    <w:p w14:paraId="5F97C346" w14:textId="77777777" w:rsidR="002A61D5" w:rsidRPr="002A61D5" w:rsidRDefault="002A61D5" w:rsidP="002A61D5">
      <w:pPr>
        <w:shd w:val="clear" w:color="auto" w:fill="FFFFFF"/>
        <w:spacing w:after="0"/>
        <w:ind w:left="-283" w:right="-283"/>
        <w:jc w:val="both"/>
        <w:rPr>
          <w:rFonts w:ascii="Arial" w:hAnsi="Arial" w:cs="Arial"/>
          <w:color w:val="000000"/>
          <w:sz w:val="24"/>
          <w:szCs w:val="24"/>
          <w:lang w:eastAsia="es-CO"/>
        </w:rPr>
      </w:pPr>
    </w:p>
    <w:p w14:paraId="5C2B3E74" w14:textId="77777777" w:rsidR="002A61D5" w:rsidRPr="002A61D5" w:rsidRDefault="002A61D5" w:rsidP="002A61D5">
      <w:pPr>
        <w:shd w:val="clear" w:color="auto" w:fill="FFFFFF"/>
        <w:spacing w:after="0"/>
        <w:ind w:left="-283" w:right="-283"/>
        <w:jc w:val="center"/>
        <w:rPr>
          <w:rFonts w:ascii="Arial" w:hAnsi="Arial" w:cs="Arial"/>
          <w:b/>
          <w:bCs/>
          <w:color w:val="000000"/>
          <w:sz w:val="24"/>
          <w:szCs w:val="24"/>
          <w:lang w:eastAsia="es-CO"/>
        </w:rPr>
      </w:pPr>
    </w:p>
    <w:p w14:paraId="0207C2CF" w14:textId="77777777" w:rsidR="002A61D5" w:rsidRPr="002A61D5" w:rsidRDefault="002A61D5" w:rsidP="002A61D5">
      <w:pPr>
        <w:shd w:val="clear" w:color="auto" w:fill="FFFFFF"/>
        <w:spacing w:after="0"/>
        <w:ind w:left="-283" w:right="-283"/>
        <w:jc w:val="center"/>
        <w:rPr>
          <w:rFonts w:ascii="Arial" w:hAnsi="Arial" w:cs="Arial"/>
          <w:b/>
          <w:bCs/>
          <w:color w:val="000000"/>
          <w:sz w:val="24"/>
          <w:szCs w:val="24"/>
          <w:lang w:eastAsia="es-CO"/>
        </w:rPr>
      </w:pPr>
      <w:r w:rsidRPr="002A61D5">
        <w:rPr>
          <w:rFonts w:ascii="Arial" w:hAnsi="Arial" w:cs="Arial"/>
          <w:b/>
          <w:bCs/>
          <w:color w:val="000000"/>
          <w:sz w:val="24"/>
          <w:szCs w:val="24"/>
          <w:lang w:eastAsia="es-CO"/>
        </w:rPr>
        <w:t>FÉLIX LEÓN MARTÍNEZ MARTÍN</w:t>
      </w:r>
    </w:p>
    <w:p w14:paraId="066DB6C0" w14:textId="3F9E0310" w:rsidR="002A61D5" w:rsidRPr="002A61D5" w:rsidRDefault="002A61D5" w:rsidP="005D69A8">
      <w:pPr>
        <w:shd w:val="clear" w:color="auto" w:fill="FFFFFF"/>
        <w:spacing w:after="0"/>
        <w:ind w:left="-283" w:right="-283"/>
        <w:jc w:val="center"/>
        <w:rPr>
          <w:rFonts w:ascii="Arial" w:hAnsi="Arial" w:cs="Arial"/>
          <w:color w:val="000000"/>
          <w:sz w:val="24"/>
          <w:szCs w:val="24"/>
          <w:lang w:eastAsia="es-CO"/>
        </w:rPr>
      </w:pPr>
      <w:r w:rsidRPr="002A61D5">
        <w:rPr>
          <w:rFonts w:ascii="Arial" w:hAnsi="Arial" w:cs="Arial"/>
          <w:color w:val="000000"/>
          <w:sz w:val="24"/>
          <w:szCs w:val="24"/>
          <w:lang w:eastAsia="es-CO"/>
        </w:rPr>
        <w:t>Director General</w:t>
      </w:r>
    </w:p>
    <w:p w14:paraId="3A08A6D0" w14:textId="77777777" w:rsidR="002A61D5" w:rsidRPr="002A61D5" w:rsidRDefault="002A61D5" w:rsidP="002A61D5">
      <w:pPr>
        <w:shd w:val="clear" w:color="auto" w:fill="FFFFFF" w:themeFill="background1"/>
        <w:spacing w:after="0"/>
        <w:ind w:left="-283" w:right="-283"/>
        <w:jc w:val="both"/>
        <w:rPr>
          <w:rFonts w:ascii="Arial" w:hAnsi="Arial" w:cs="Arial"/>
          <w:bCs/>
          <w:color w:val="000000"/>
          <w:sz w:val="14"/>
          <w:szCs w:val="14"/>
        </w:rPr>
      </w:pPr>
    </w:p>
    <w:p w14:paraId="78F442D7" w14:textId="77777777" w:rsidR="002A61D5" w:rsidRPr="002A61D5" w:rsidRDefault="002A61D5" w:rsidP="002A61D5">
      <w:pPr>
        <w:shd w:val="clear" w:color="auto" w:fill="FFFFFF" w:themeFill="background1"/>
        <w:spacing w:after="0"/>
        <w:ind w:left="-283" w:right="-283"/>
        <w:jc w:val="both"/>
        <w:rPr>
          <w:rFonts w:ascii="Arial" w:hAnsi="Arial" w:cs="Arial"/>
          <w:bCs/>
          <w:color w:val="000000"/>
          <w:sz w:val="14"/>
          <w:szCs w:val="14"/>
        </w:rPr>
      </w:pPr>
      <w:r w:rsidRPr="002A61D5">
        <w:rPr>
          <w:rFonts w:ascii="Arial" w:hAnsi="Arial" w:cs="Arial"/>
          <w:bCs/>
          <w:color w:val="000000"/>
          <w:sz w:val="14"/>
          <w:szCs w:val="14"/>
        </w:rPr>
        <w:t xml:space="preserve">Aprobó: </w:t>
      </w:r>
      <w:r w:rsidRPr="002A61D5">
        <w:rPr>
          <w:rFonts w:ascii="Arial" w:hAnsi="Arial" w:cs="Arial"/>
          <w:bCs/>
          <w:color w:val="000000"/>
          <w:sz w:val="14"/>
          <w:szCs w:val="14"/>
        </w:rPr>
        <w:tab/>
        <w:t xml:space="preserve">César Andrés Jiménez Valencia - </w:t>
      </w:r>
      <w:proofErr w:type="gramStart"/>
      <w:r w:rsidRPr="002A61D5">
        <w:rPr>
          <w:rFonts w:ascii="Arial" w:hAnsi="Arial" w:cs="Arial"/>
          <w:bCs/>
          <w:color w:val="000000"/>
          <w:sz w:val="14"/>
          <w:szCs w:val="14"/>
        </w:rPr>
        <w:t>Director</w:t>
      </w:r>
      <w:proofErr w:type="gramEnd"/>
      <w:r w:rsidRPr="002A61D5">
        <w:rPr>
          <w:rFonts w:ascii="Arial" w:hAnsi="Arial" w:cs="Arial"/>
          <w:bCs/>
          <w:color w:val="000000"/>
          <w:sz w:val="14"/>
          <w:szCs w:val="14"/>
        </w:rPr>
        <w:t xml:space="preserve"> de Liquidaciones y Garantías</w:t>
      </w:r>
    </w:p>
    <w:p w14:paraId="4DB524AC" w14:textId="77777777" w:rsidR="002A61D5" w:rsidRPr="002A61D5" w:rsidRDefault="002A61D5" w:rsidP="002A61D5">
      <w:pPr>
        <w:shd w:val="clear" w:color="auto" w:fill="FFFFFF" w:themeFill="background1"/>
        <w:spacing w:after="0"/>
        <w:ind w:left="-283" w:right="-283"/>
        <w:jc w:val="both"/>
        <w:rPr>
          <w:rFonts w:ascii="Arial" w:hAnsi="Arial" w:cs="Arial"/>
          <w:bCs/>
          <w:color w:val="000000"/>
        </w:rPr>
      </w:pPr>
    </w:p>
    <w:p w14:paraId="394CA9FC" w14:textId="77777777" w:rsidR="002A61D5" w:rsidRPr="002A61D5" w:rsidRDefault="002A61D5" w:rsidP="002A61D5">
      <w:pPr>
        <w:shd w:val="clear" w:color="auto" w:fill="FFFFFF" w:themeFill="background1"/>
        <w:spacing w:after="0"/>
        <w:ind w:left="-283" w:right="-283"/>
        <w:jc w:val="both"/>
        <w:rPr>
          <w:rFonts w:ascii="Arial" w:hAnsi="Arial" w:cs="Arial"/>
          <w:bCs/>
          <w:color w:val="000000"/>
          <w:sz w:val="14"/>
          <w:szCs w:val="14"/>
        </w:rPr>
      </w:pPr>
      <w:r w:rsidRPr="002A61D5">
        <w:rPr>
          <w:rFonts w:ascii="Arial" w:hAnsi="Arial" w:cs="Arial"/>
          <w:bCs/>
          <w:color w:val="000000"/>
          <w:sz w:val="14"/>
          <w:szCs w:val="14"/>
        </w:rPr>
        <w:t>Revisó:</w:t>
      </w:r>
      <w:r w:rsidRPr="002A61D5">
        <w:rPr>
          <w:rFonts w:ascii="Arial" w:hAnsi="Arial" w:cs="Arial"/>
          <w:bCs/>
          <w:color w:val="000000"/>
          <w:sz w:val="14"/>
          <w:szCs w:val="14"/>
        </w:rPr>
        <w:tab/>
        <w:t xml:space="preserve">Claudia Pulido Buitrago – </w:t>
      </w:r>
      <w:proofErr w:type="gramStart"/>
      <w:r w:rsidRPr="002A61D5">
        <w:rPr>
          <w:rFonts w:ascii="Arial" w:hAnsi="Arial" w:cs="Arial"/>
          <w:bCs/>
          <w:color w:val="000000"/>
          <w:sz w:val="14"/>
          <w:szCs w:val="14"/>
        </w:rPr>
        <w:t>Subdirectora</w:t>
      </w:r>
      <w:proofErr w:type="gramEnd"/>
      <w:r w:rsidRPr="002A61D5">
        <w:rPr>
          <w:rFonts w:ascii="Arial" w:hAnsi="Arial" w:cs="Arial"/>
          <w:bCs/>
          <w:color w:val="000000"/>
          <w:sz w:val="14"/>
          <w:szCs w:val="14"/>
        </w:rPr>
        <w:t xml:space="preserve"> de Liquidaciones del Aseguramiento</w:t>
      </w:r>
    </w:p>
    <w:p w14:paraId="0879D710" w14:textId="77777777" w:rsidR="005D69A8" w:rsidRDefault="005D69A8" w:rsidP="002A61D5">
      <w:pPr>
        <w:shd w:val="clear" w:color="auto" w:fill="FFFFFF" w:themeFill="background1"/>
        <w:spacing w:after="0"/>
        <w:ind w:left="-283" w:right="-283" w:firstLine="991"/>
        <w:jc w:val="both"/>
        <w:rPr>
          <w:rFonts w:ascii="Arial" w:hAnsi="Arial" w:cs="Arial"/>
          <w:bCs/>
          <w:color w:val="000000"/>
          <w:sz w:val="14"/>
          <w:szCs w:val="14"/>
        </w:rPr>
      </w:pPr>
    </w:p>
    <w:p w14:paraId="4D21F7AC" w14:textId="2BE843B2" w:rsidR="002A61D5" w:rsidRPr="002A61D5" w:rsidRDefault="002A61D5" w:rsidP="002A61D5">
      <w:pPr>
        <w:shd w:val="clear" w:color="auto" w:fill="FFFFFF" w:themeFill="background1"/>
        <w:spacing w:after="0"/>
        <w:ind w:left="-283" w:right="-283" w:firstLine="991"/>
        <w:jc w:val="both"/>
        <w:rPr>
          <w:rFonts w:ascii="Arial" w:hAnsi="Arial" w:cs="Arial"/>
          <w:bCs/>
          <w:color w:val="000000"/>
          <w:sz w:val="14"/>
          <w:szCs w:val="14"/>
        </w:rPr>
      </w:pPr>
      <w:r w:rsidRPr="002A61D5">
        <w:rPr>
          <w:rFonts w:ascii="Arial" w:hAnsi="Arial" w:cs="Arial"/>
          <w:bCs/>
          <w:color w:val="000000"/>
          <w:sz w:val="14"/>
          <w:szCs w:val="14"/>
        </w:rPr>
        <w:t>Gina Paola Díaz Angulo – Coordinadora grupo Régimen Subsidiado</w:t>
      </w:r>
    </w:p>
    <w:p w14:paraId="2B275422" w14:textId="58D9ACFD" w:rsidR="002A61D5" w:rsidRPr="002A61D5" w:rsidRDefault="002A61D5" w:rsidP="002A61D5">
      <w:pPr>
        <w:shd w:val="clear" w:color="auto" w:fill="FFFFFF" w:themeFill="background1"/>
        <w:spacing w:after="0"/>
        <w:ind w:left="-283" w:right="-283"/>
        <w:jc w:val="both"/>
        <w:rPr>
          <w:rFonts w:ascii="Arial" w:hAnsi="Arial" w:cs="Arial"/>
          <w:bCs/>
          <w:color w:val="000000"/>
          <w:sz w:val="14"/>
          <w:szCs w:val="14"/>
        </w:rPr>
      </w:pPr>
    </w:p>
    <w:p w14:paraId="7D60C8BB" w14:textId="37B9862E" w:rsidR="00FA711E" w:rsidRPr="002A61D5" w:rsidRDefault="002A61D5" w:rsidP="002A61D5">
      <w:pPr>
        <w:spacing w:after="0"/>
        <w:ind w:left="-283" w:right="-283"/>
        <w:rPr>
          <w:rFonts w:ascii="Arial" w:hAnsi="Arial" w:cs="Arial"/>
          <w:b/>
          <w:bCs/>
        </w:rPr>
      </w:pPr>
      <w:r w:rsidRPr="002A61D5">
        <w:rPr>
          <w:rFonts w:ascii="Arial" w:hAnsi="Arial" w:cs="Arial"/>
          <w:bCs/>
          <w:color w:val="000000"/>
          <w:sz w:val="14"/>
          <w:szCs w:val="14"/>
        </w:rPr>
        <w:t>Elaboró:</w:t>
      </w:r>
      <w:r w:rsidRPr="002A61D5">
        <w:rPr>
          <w:rFonts w:ascii="Arial" w:hAnsi="Arial" w:cs="Arial"/>
          <w:bCs/>
          <w:color w:val="000000"/>
          <w:sz w:val="14"/>
          <w:szCs w:val="14"/>
        </w:rPr>
        <w:tab/>
        <w:t>Carlos Eduardo Castro Calderon – Cristhian Mauricio Hernandez Gaviria – Gestores de Operaciones</w:t>
      </w:r>
    </w:p>
    <w:sectPr w:rsidR="00FA711E" w:rsidRPr="002A61D5" w:rsidSect="0071136C">
      <w:headerReference w:type="default" r:id="rId9"/>
      <w:footerReference w:type="default" r:id="rId10"/>
      <w:headerReference w:type="first" r:id="rId11"/>
      <w:pgSz w:w="12240" w:h="20160" w:code="5"/>
      <w:pgMar w:top="2410" w:right="1701" w:bottom="1417" w:left="1701"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815A9" w14:textId="77777777" w:rsidR="0071136C" w:rsidRDefault="0071136C" w:rsidP="009068CD">
      <w:pPr>
        <w:spacing w:after="0" w:line="240" w:lineRule="auto"/>
      </w:pPr>
      <w:r>
        <w:separator/>
      </w:r>
    </w:p>
  </w:endnote>
  <w:endnote w:type="continuationSeparator" w:id="0">
    <w:p w14:paraId="6692F54D" w14:textId="77777777" w:rsidR="0071136C" w:rsidRDefault="0071136C"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MT">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54BB1FB1" w14:textId="166EF29E" w:rsidR="00DD3C5F" w:rsidRDefault="00DD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E365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E3654">
              <w:rPr>
                <w:b/>
                <w:bCs/>
                <w:noProof/>
              </w:rPr>
              <w:t>2</w:t>
            </w:r>
            <w:r>
              <w:rPr>
                <w:b/>
                <w:bCs/>
                <w:sz w:val="24"/>
                <w:szCs w:val="24"/>
              </w:rPr>
              <w:fldChar w:fldCharType="end"/>
            </w:r>
          </w:p>
        </w:sdtContent>
      </w:sdt>
    </w:sdtContent>
  </w:sdt>
  <w:p w14:paraId="29BBA829" w14:textId="77777777" w:rsidR="00DD3C5F" w:rsidRDefault="00DD3C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BED3F" w14:textId="77777777" w:rsidR="0071136C" w:rsidRDefault="0071136C" w:rsidP="009068CD">
      <w:pPr>
        <w:spacing w:after="0" w:line="240" w:lineRule="auto"/>
      </w:pPr>
      <w:r>
        <w:separator/>
      </w:r>
    </w:p>
  </w:footnote>
  <w:footnote w:type="continuationSeparator" w:id="0">
    <w:p w14:paraId="5F71AC53" w14:textId="77777777" w:rsidR="0071136C" w:rsidRDefault="0071136C"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3C2C2" w14:textId="580E3F2E" w:rsidR="0053336F" w:rsidRDefault="003D7EC4" w:rsidP="0053336F">
    <w:pPr>
      <w:pStyle w:val="Encabezado"/>
      <w:jc w:val="center"/>
      <w:rPr>
        <w:rFonts w:ascii="Arial" w:hAnsi="Arial" w:cs="Arial"/>
        <w:b/>
        <w:bCs/>
      </w:rPr>
    </w:pPr>
    <w:r w:rsidRPr="003D7EC4">
      <w:rPr>
        <w:noProof/>
        <w:sz w:val="20"/>
        <w:szCs w:val="20"/>
        <w:lang w:eastAsia="es-CO"/>
      </w:rPr>
      <w:drawing>
        <wp:anchor distT="0" distB="0" distL="114300" distR="114300" simplePos="0" relativeHeight="251662336" behindDoc="1" locked="0" layoutInCell="1" allowOverlap="1" wp14:anchorId="28C6ED35" wp14:editId="78BB714B">
          <wp:simplePos x="0" y="0"/>
          <wp:positionH relativeFrom="page">
            <wp:posOffset>-5715</wp:posOffset>
          </wp:positionH>
          <wp:positionV relativeFrom="paragraph">
            <wp:posOffset>-659765</wp:posOffset>
          </wp:positionV>
          <wp:extent cx="7768590" cy="128206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590" cy="12820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1414A" w14:textId="66F4CAA0" w:rsidR="0053336F" w:rsidRDefault="0053336F" w:rsidP="0053336F">
    <w:pPr>
      <w:pStyle w:val="Encabezado"/>
      <w:jc w:val="center"/>
      <w:rPr>
        <w:rFonts w:ascii="Arial" w:hAnsi="Arial" w:cs="Arial"/>
        <w:b/>
        <w:bCs/>
      </w:rPr>
    </w:pPr>
  </w:p>
  <w:p w14:paraId="51362233" w14:textId="2825FEFE" w:rsidR="0053336F" w:rsidRPr="0053336F" w:rsidRDefault="0053336F" w:rsidP="0053336F">
    <w:pPr>
      <w:pStyle w:val="Encabezado"/>
      <w:jc w:val="center"/>
      <w:rPr>
        <w:rFonts w:ascii="Arial" w:hAnsi="Arial" w:cs="Arial"/>
        <w:b/>
        <w:bCs/>
      </w:rPr>
    </w:pPr>
    <w:r w:rsidRPr="0053336F">
      <w:rPr>
        <w:rFonts w:ascii="Arial" w:hAnsi="Arial" w:cs="Arial"/>
        <w:b/>
        <w:bCs/>
      </w:rPr>
      <w:t xml:space="preserve">RESOLUCIÓN NÚMERO </w:t>
    </w:r>
    <w:r w:rsidR="002A61D5">
      <w:rPr>
        <w:rFonts w:ascii="Arial" w:hAnsi="Arial" w:cs="Arial"/>
        <w:b/>
        <w:bCs/>
      </w:rPr>
      <w:t xml:space="preserve">     </w:t>
    </w:r>
    <w:r w:rsidR="00427DAA" w:rsidRPr="0053336F">
      <w:rPr>
        <w:rFonts w:ascii="Arial" w:hAnsi="Arial" w:cs="Arial"/>
        <w:b/>
        <w:bCs/>
      </w:rPr>
      <w:t xml:space="preserve"> DE 202</w:t>
    </w:r>
    <w:r w:rsidR="008A14A3">
      <w:rPr>
        <w:rFonts w:ascii="Arial" w:hAnsi="Arial" w:cs="Arial"/>
        <w:b/>
        <w:bCs/>
      </w:rPr>
      <w:t>4</w:t>
    </w:r>
  </w:p>
  <w:p w14:paraId="24CAD17A" w14:textId="65B9725F" w:rsidR="0053336F" w:rsidRPr="0053336F" w:rsidRDefault="0053336F" w:rsidP="0053336F">
    <w:pPr>
      <w:pStyle w:val="Encabezado"/>
      <w:jc w:val="center"/>
      <w:rPr>
        <w:rFonts w:ascii="Arial" w:hAnsi="Arial" w:cs="Arial"/>
        <w:b/>
        <w:bCs/>
      </w:rPr>
    </w:pPr>
  </w:p>
  <w:p w14:paraId="4F480094" w14:textId="62125590" w:rsidR="009068CD" w:rsidRPr="003D7EC4" w:rsidRDefault="003D7EC4" w:rsidP="00FA711E">
    <w:pPr>
      <w:pStyle w:val="Encabezado"/>
      <w:spacing w:after="480"/>
      <w:ind w:left="-567" w:right="-567"/>
      <w:jc w:val="center"/>
    </w:pPr>
    <w:r w:rsidRPr="003D7EC4">
      <w:rPr>
        <w:rFonts w:ascii="Arial" w:hAnsi="Arial" w:cs="Arial"/>
        <w:sz w:val="20"/>
        <w:szCs w:val="20"/>
      </w:rPr>
      <w:t xml:space="preserve">Continuación de la resolución </w:t>
    </w:r>
    <w:r w:rsidRPr="003D7EC4">
      <w:rPr>
        <w:rFonts w:ascii="Arial" w:hAnsi="Arial" w:cs="Arial"/>
        <w:i/>
        <w:iCs/>
        <w:sz w:val="20"/>
        <w:szCs w:val="20"/>
      </w:rPr>
      <w:t>“</w:t>
    </w:r>
    <w:r w:rsidR="002A61D5" w:rsidRPr="002A61D5">
      <w:rPr>
        <w:rFonts w:ascii="Arial" w:hAnsi="Arial" w:cs="Arial"/>
        <w:i/>
        <w:iCs/>
        <w:sz w:val="20"/>
        <w:szCs w:val="20"/>
      </w:rPr>
      <w:t>Por la cual se establecen las condiciones operativas para concluir la gestión, reconocimiento y giro del mecanismo de la Compensación Económica Temporal - CET, establecido en el artículo 14 del Decreto Legislativo 538 de 2020</w:t>
    </w:r>
    <w:r w:rsidRPr="003D7EC4">
      <w:rPr>
        <w:rFonts w:ascii="Arial" w:hAnsi="Arial" w:cs="Arial"/>
        <w:i/>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9F4A5" w14:textId="77777777" w:rsidR="003D7EC4" w:rsidRDefault="003D7EC4" w:rsidP="003D7EC4">
    <w:pPr>
      <w:pStyle w:val="Encabezado"/>
      <w:jc w:val="center"/>
      <w:rPr>
        <w:rFonts w:ascii="Arial" w:hAnsi="Arial" w:cs="Arial"/>
        <w:b/>
        <w:bCs/>
      </w:rPr>
    </w:pPr>
  </w:p>
  <w:p w14:paraId="5AECB5FF" w14:textId="77777777" w:rsidR="003D7EC4" w:rsidRDefault="003D7EC4" w:rsidP="003D7EC4">
    <w:pPr>
      <w:pStyle w:val="Encabezado"/>
      <w:jc w:val="center"/>
      <w:rPr>
        <w:rFonts w:ascii="Arial" w:hAnsi="Arial" w:cs="Arial"/>
        <w:b/>
        <w:bCs/>
      </w:rPr>
    </w:pPr>
  </w:p>
  <w:p w14:paraId="42C058E5" w14:textId="77777777" w:rsidR="003D7EC4" w:rsidRDefault="003D7EC4" w:rsidP="003D7EC4">
    <w:pPr>
      <w:pStyle w:val="Encabezado"/>
      <w:jc w:val="center"/>
      <w:rPr>
        <w:rFonts w:ascii="Arial" w:hAnsi="Arial" w:cs="Arial"/>
        <w:b/>
        <w:bCs/>
      </w:rPr>
    </w:pPr>
  </w:p>
  <w:p w14:paraId="11A34644" w14:textId="460ED9A5" w:rsidR="003D7EC4" w:rsidRPr="0053336F" w:rsidRDefault="003D7EC4" w:rsidP="003D7EC4">
    <w:pPr>
      <w:pStyle w:val="Encabezado"/>
      <w:jc w:val="center"/>
      <w:rPr>
        <w:rFonts w:ascii="Arial" w:hAnsi="Arial" w:cs="Arial"/>
        <w:b/>
        <w:bCs/>
      </w:rPr>
    </w:pPr>
    <w:r w:rsidRPr="0053336F">
      <w:rPr>
        <w:rFonts w:ascii="Arial" w:hAnsi="Arial" w:cs="Arial"/>
        <w:b/>
        <w:bCs/>
      </w:rPr>
      <w:t xml:space="preserve">ADMINISTRADORA DE LOS RECURSOS DEL SISTEMA GENERAL DE SEGURIDAD SOCIAL EN SALUD - ADRES </w:t>
    </w:r>
  </w:p>
  <w:p w14:paraId="3FCB57E0" w14:textId="77777777" w:rsidR="003D7EC4" w:rsidRPr="0053336F" w:rsidRDefault="003D7EC4" w:rsidP="003D7EC4">
    <w:pPr>
      <w:pStyle w:val="Encabezado"/>
      <w:jc w:val="center"/>
      <w:rPr>
        <w:rFonts w:ascii="Arial" w:hAnsi="Arial" w:cs="Arial"/>
        <w:b/>
        <w:bCs/>
      </w:rPr>
    </w:pPr>
  </w:p>
  <w:p w14:paraId="76F6F68D" w14:textId="0977498D" w:rsidR="003D7EC4" w:rsidRDefault="003D7EC4" w:rsidP="003D7EC4">
    <w:pPr>
      <w:pStyle w:val="Encabezado"/>
      <w:jc w:val="center"/>
      <w:rPr>
        <w:rFonts w:ascii="Arial" w:hAnsi="Arial" w:cs="Arial"/>
        <w:b/>
        <w:bCs/>
      </w:rPr>
    </w:pPr>
    <w:r w:rsidRPr="0053336F">
      <w:rPr>
        <w:rFonts w:ascii="Arial" w:hAnsi="Arial" w:cs="Arial"/>
        <w:b/>
        <w:bCs/>
      </w:rPr>
      <w:t>RESOLUCIÓN NÚMERO</w:t>
    </w:r>
    <w:r w:rsidR="00902B9A">
      <w:rPr>
        <w:rFonts w:ascii="Arial" w:hAnsi="Arial" w:cs="Arial"/>
        <w:b/>
        <w:bCs/>
      </w:rPr>
      <w:t xml:space="preserve"> </w:t>
    </w:r>
    <w:r w:rsidRPr="0053336F">
      <w:rPr>
        <w:rFonts w:ascii="Arial" w:hAnsi="Arial" w:cs="Arial"/>
        <w:b/>
        <w:bCs/>
      </w:rPr>
      <w:t xml:space="preserve"> DE 202</w:t>
    </w:r>
    <w:r w:rsidR="008A14A3">
      <w:rPr>
        <w:rFonts w:ascii="Arial" w:hAnsi="Arial" w:cs="Arial"/>
        <w:b/>
        <w:bCs/>
      </w:rPr>
      <w:t>4</w:t>
    </w:r>
  </w:p>
  <w:p w14:paraId="27E5B83E" w14:textId="32D9F83E" w:rsidR="003D7EC4" w:rsidRDefault="003D7EC4" w:rsidP="003D7EC4">
    <w:pPr>
      <w:pStyle w:val="Encabezado"/>
      <w:jc w:val="center"/>
      <w:rPr>
        <w:rFonts w:ascii="Arial" w:hAnsi="Arial" w:cs="Arial"/>
        <w:b/>
        <w:bCs/>
      </w:rPr>
    </w:pPr>
  </w:p>
  <w:p w14:paraId="7B5D78AE" w14:textId="77777777" w:rsidR="003D7EC4" w:rsidRPr="0053336F" w:rsidRDefault="003D7EC4" w:rsidP="003D7EC4">
    <w:pPr>
      <w:pStyle w:val="Encabezado"/>
      <w:jc w:val="center"/>
      <w:rPr>
        <w:rFonts w:ascii="Arial" w:hAnsi="Arial" w:cs="Arial"/>
        <w:b/>
        <w:bCs/>
      </w:rPr>
    </w:pPr>
  </w:p>
  <w:p w14:paraId="287C223A" w14:textId="77777777" w:rsidR="003D7EC4" w:rsidRDefault="003D7E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B224A"/>
    <w:multiLevelType w:val="multilevel"/>
    <w:tmpl w:val="66E0339E"/>
    <w:lvl w:ilvl="0">
      <w:start w:val="1"/>
      <w:numFmt w:val="decimal"/>
      <w:lvlText w:val="%1."/>
      <w:lvlJc w:val="left"/>
      <w:pPr>
        <w:ind w:left="360" w:hanging="360"/>
      </w:pPr>
      <w:rPr>
        <w:rFonts w:hint="default"/>
      </w:rPr>
    </w:lvl>
    <w:lvl w:ilvl="1">
      <w:start w:val="1"/>
      <w:numFmt w:val="decimal"/>
      <w:lvlText w:val="%1.%2."/>
      <w:lvlJc w:val="left"/>
      <w:pPr>
        <w:ind w:left="792" w:hanging="432"/>
      </w:pPr>
      <w:rPr>
        <w:lang w:val="es-C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D62FC0"/>
    <w:multiLevelType w:val="hybridMultilevel"/>
    <w:tmpl w:val="43EC01A4"/>
    <w:lvl w:ilvl="0" w:tplc="0ECAD26E">
      <w:start w:val="1"/>
      <w:numFmt w:val="lowerLetter"/>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1346984400">
    <w:abstractNumId w:val="0"/>
  </w:num>
  <w:num w:numId="2" w16cid:durableId="149915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043F8"/>
    <w:rsid w:val="000247E6"/>
    <w:rsid w:val="000371D5"/>
    <w:rsid w:val="000736B5"/>
    <w:rsid w:val="00090E22"/>
    <w:rsid w:val="000B224D"/>
    <w:rsid w:val="000C20D0"/>
    <w:rsid w:val="000E745A"/>
    <w:rsid w:val="000F3ADE"/>
    <w:rsid w:val="00135693"/>
    <w:rsid w:val="001422E7"/>
    <w:rsid w:val="001609E4"/>
    <w:rsid w:val="00161D80"/>
    <w:rsid w:val="00190242"/>
    <w:rsid w:val="00197C34"/>
    <w:rsid w:val="0022304E"/>
    <w:rsid w:val="002A2C81"/>
    <w:rsid w:val="002A61D5"/>
    <w:rsid w:val="003930CD"/>
    <w:rsid w:val="003B4A45"/>
    <w:rsid w:val="003D5AAE"/>
    <w:rsid w:val="003D7245"/>
    <w:rsid w:val="003D7EC4"/>
    <w:rsid w:val="00404DCC"/>
    <w:rsid w:val="00414C95"/>
    <w:rsid w:val="00427DAA"/>
    <w:rsid w:val="00433EBF"/>
    <w:rsid w:val="00445D8B"/>
    <w:rsid w:val="004D08C6"/>
    <w:rsid w:val="004E2F52"/>
    <w:rsid w:val="0053336F"/>
    <w:rsid w:val="00544B98"/>
    <w:rsid w:val="005B3D8C"/>
    <w:rsid w:val="005D69A8"/>
    <w:rsid w:val="006424AC"/>
    <w:rsid w:val="00662AD4"/>
    <w:rsid w:val="006A008E"/>
    <w:rsid w:val="006D5B02"/>
    <w:rsid w:val="006E1972"/>
    <w:rsid w:val="00705490"/>
    <w:rsid w:val="0071136C"/>
    <w:rsid w:val="00713C6D"/>
    <w:rsid w:val="00724292"/>
    <w:rsid w:val="007472F0"/>
    <w:rsid w:val="007819DA"/>
    <w:rsid w:val="00784245"/>
    <w:rsid w:val="007941A6"/>
    <w:rsid w:val="007A75FD"/>
    <w:rsid w:val="007B057F"/>
    <w:rsid w:val="007C586A"/>
    <w:rsid w:val="007D5221"/>
    <w:rsid w:val="00807142"/>
    <w:rsid w:val="008338AC"/>
    <w:rsid w:val="00835908"/>
    <w:rsid w:val="0085254D"/>
    <w:rsid w:val="008544CB"/>
    <w:rsid w:val="00872396"/>
    <w:rsid w:val="008769DA"/>
    <w:rsid w:val="0087779C"/>
    <w:rsid w:val="008954FA"/>
    <w:rsid w:val="008A14A3"/>
    <w:rsid w:val="008B23E1"/>
    <w:rsid w:val="008F3905"/>
    <w:rsid w:val="00902B9A"/>
    <w:rsid w:val="009068CD"/>
    <w:rsid w:val="009144A5"/>
    <w:rsid w:val="0094460B"/>
    <w:rsid w:val="009F70A8"/>
    <w:rsid w:val="00A32A5E"/>
    <w:rsid w:val="00A35463"/>
    <w:rsid w:val="00A43E12"/>
    <w:rsid w:val="00A51A05"/>
    <w:rsid w:val="00A6286F"/>
    <w:rsid w:val="00A832B9"/>
    <w:rsid w:val="00A8738D"/>
    <w:rsid w:val="00A91F8A"/>
    <w:rsid w:val="00AD4E6D"/>
    <w:rsid w:val="00AE64D1"/>
    <w:rsid w:val="00AF61D7"/>
    <w:rsid w:val="00B0700E"/>
    <w:rsid w:val="00B1394F"/>
    <w:rsid w:val="00B42D63"/>
    <w:rsid w:val="00BA222F"/>
    <w:rsid w:val="00BB70AE"/>
    <w:rsid w:val="00BD3327"/>
    <w:rsid w:val="00BF336C"/>
    <w:rsid w:val="00C01D68"/>
    <w:rsid w:val="00C205F3"/>
    <w:rsid w:val="00C3348D"/>
    <w:rsid w:val="00C448D9"/>
    <w:rsid w:val="00C51D7B"/>
    <w:rsid w:val="00C53C87"/>
    <w:rsid w:val="00C84B0D"/>
    <w:rsid w:val="00CA1EBE"/>
    <w:rsid w:val="00CE3654"/>
    <w:rsid w:val="00CF6246"/>
    <w:rsid w:val="00D26211"/>
    <w:rsid w:val="00D2763E"/>
    <w:rsid w:val="00D47367"/>
    <w:rsid w:val="00D6104E"/>
    <w:rsid w:val="00D90007"/>
    <w:rsid w:val="00DB5EEF"/>
    <w:rsid w:val="00DD3C5F"/>
    <w:rsid w:val="00DD5F26"/>
    <w:rsid w:val="00DE4C9B"/>
    <w:rsid w:val="00E012AB"/>
    <w:rsid w:val="00E10679"/>
    <w:rsid w:val="00E22D08"/>
    <w:rsid w:val="00E23C32"/>
    <w:rsid w:val="00E32102"/>
    <w:rsid w:val="00E40719"/>
    <w:rsid w:val="00E57345"/>
    <w:rsid w:val="00E91D55"/>
    <w:rsid w:val="00ED7553"/>
    <w:rsid w:val="00EE2C4C"/>
    <w:rsid w:val="00EF31C7"/>
    <w:rsid w:val="00F252B4"/>
    <w:rsid w:val="00F5057B"/>
    <w:rsid w:val="00F932DD"/>
    <w:rsid w:val="00FA711E"/>
    <w:rsid w:val="00FE37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AC16"/>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aliases w:val="encabezado Car,h Car,h8 Car,h9 Car,h10 Car,h18 Car"/>
    <w:basedOn w:val="Fuentedeprrafopredeter"/>
    <w:link w:val="Encabezado"/>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205F3"/>
    <w:pPr>
      <w:spacing w:before="100" w:beforeAutospacing="1" w:after="100" w:afterAutospacing="1" w:line="240" w:lineRule="auto"/>
    </w:pPr>
    <w:rPr>
      <w:rFonts w:ascii="Arial Unicode MS" w:eastAsia="Arial Unicode MS" w:hAnsi="Arial Unicode MS" w:cs="Arial Unicode MS"/>
      <w:kern w:val="0"/>
      <w:sz w:val="24"/>
      <w:szCs w:val="24"/>
      <w:lang w:val="es-ES" w:eastAsia="es-ES"/>
      <w14:ligatures w14:val="none"/>
    </w:rPr>
  </w:style>
  <w:style w:type="paragraph" w:customStyle="1" w:styleId="Textoindependiente311">
    <w:name w:val="Texto independiente 311"/>
    <w:basedOn w:val="Normal"/>
    <w:uiPriority w:val="99"/>
    <w:rsid w:val="00C205F3"/>
    <w:pPr>
      <w:spacing w:after="0" w:line="240" w:lineRule="auto"/>
      <w:jc w:val="both"/>
    </w:pPr>
    <w:rPr>
      <w:rFonts w:ascii="Arial" w:eastAsia="Times New Roman" w:hAnsi="Arial" w:cs="Times New Roman"/>
      <w:kern w:val="0"/>
      <w:sz w:val="24"/>
      <w:szCs w:val="20"/>
      <w:lang w:val="es-ES_tradnl" w:eastAsia="es-ES"/>
      <w14:ligatures w14:val="none"/>
    </w:rPr>
  </w:style>
  <w:style w:type="paragraph" w:styleId="Prrafodelista">
    <w:name w:val="List Paragraph"/>
    <w:aliases w:val="Párrafo de lista1,EITI list,Bullets,titulo 3,List Paragraph,Bullet List,FooterText,numbered,List Paragraph1,Paragraphe de liste1,lp1,Scitum normal,HOJA,Bolita,BOLADEF,Párrafo de lista21,BOLA,Nivel 1 OS,Colorful List Accent 1,Ha"/>
    <w:basedOn w:val="Normal"/>
    <w:link w:val="PrrafodelistaCar"/>
    <w:uiPriority w:val="34"/>
    <w:qFormat/>
    <w:rsid w:val="00E57345"/>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PrrafodelistaCar">
    <w:name w:val="Párrafo de lista Car"/>
    <w:aliases w:val="Párrafo de lista1 Car,EITI list Car,Bullets Car,titulo 3 Car,List Paragraph Car,Bullet List Car,FooterText Car,numbered Car,List Paragraph1 Car,Paragraphe de liste1 Car,lp1 Car,Scitum normal Car,HOJA Car,Bolita Car,BOLADEF Car"/>
    <w:basedOn w:val="Fuentedeprrafopredeter"/>
    <w:link w:val="Prrafodelista"/>
    <w:uiPriority w:val="34"/>
    <w:qFormat/>
    <w:locked/>
    <w:rsid w:val="00E57345"/>
    <w:rPr>
      <w:rFonts w:ascii="Arial MT" w:eastAsia="Arial MT" w:hAnsi="Arial MT" w:cs="Arial MT"/>
      <w:lang w:val="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
    <w:basedOn w:val="Normal"/>
    <w:link w:val="TextonotapieCar"/>
    <w:qFormat/>
    <w:rsid w:val="0053336F"/>
    <w:pPr>
      <w:spacing w:after="0" w:line="240" w:lineRule="auto"/>
      <w:jc w:val="both"/>
    </w:pPr>
    <w:rPr>
      <w:rFonts w:ascii="Arial" w:eastAsia="Times New Roman" w:hAnsi="Arial" w:cs="Arial"/>
      <w:kern w:val="0"/>
      <w:sz w:val="24"/>
      <w:szCs w:val="24"/>
      <w:lang w:val="es-ES" w:eastAsia="es-ES"/>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rsid w:val="0053336F"/>
    <w:rPr>
      <w:rFonts w:ascii="Arial" w:eastAsia="Times New Roman" w:hAnsi="Arial" w:cs="Arial"/>
      <w:sz w:val="24"/>
      <w:szCs w:val="24"/>
      <w:lang w:val="es-ES" w:eastAsia="es-ES"/>
    </w:rPr>
  </w:style>
  <w:style w:type="character" w:styleId="Refdenotaalpie">
    <w:name w:val="footnote reference"/>
    <w:aliases w:val="referencia nota al pie,Texto de nota al pie,Nota de pie,Texto nota al pie,Appel note de bas de page,Footnote symbol,Footnote,BVI fnr,Ref. de nota al pie2,Ref,de nota al pie,Fußnotenzeichen DISS,16 Point,Superscript 6 Point,ftref,FC,F"/>
    <w:basedOn w:val="Fuentedeprrafopredeter"/>
    <w:qFormat/>
    <w:rsid w:val="0053336F"/>
    <w:rPr>
      <w:vertAlign w:val="superscript"/>
    </w:rPr>
  </w:style>
  <w:style w:type="character" w:styleId="Hipervnculo">
    <w:name w:val="Hyperlink"/>
    <w:uiPriority w:val="99"/>
    <w:rsid w:val="00427DAA"/>
    <w:rPr>
      <w:color w:val="0000FF"/>
      <w:u w:val="single"/>
    </w:rPr>
  </w:style>
  <w:style w:type="paragraph" w:styleId="Textoindependiente">
    <w:name w:val="Body Text"/>
    <w:aliases w:val="body text"/>
    <w:basedOn w:val="Normal"/>
    <w:link w:val="TextoindependienteCar"/>
    <w:rsid w:val="002A61D5"/>
    <w:pPr>
      <w:spacing w:after="0" w:line="240" w:lineRule="auto"/>
      <w:jc w:val="both"/>
    </w:pPr>
    <w:rPr>
      <w:rFonts w:ascii="Times New Roman" w:eastAsia="Times New Roman" w:hAnsi="Times New Roman" w:cs="Times New Roman"/>
      <w:kern w:val="0"/>
      <w:sz w:val="20"/>
      <w:szCs w:val="20"/>
      <w:lang w:val="es-ES_tradnl" w:eastAsia="es-ES"/>
      <w14:ligatures w14:val="none"/>
    </w:rPr>
  </w:style>
  <w:style w:type="character" w:customStyle="1" w:styleId="TextoindependienteCar">
    <w:name w:val="Texto independiente Car"/>
    <w:aliases w:val="body text Car"/>
    <w:basedOn w:val="Fuentedeprrafopredeter"/>
    <w:link w:val="Textoindependiente"/>
    <w:rsid w:val="002A61D5"/>
    <w:rPr>
      <w:rFonts w:ascii="Times New Roman" w:eastAsia="Times New Roman" w:hAnsi="Times New Roman" w:cs="Times New Roman"/>
      <w:sz w:val="20"/>
      <w:szCs w:val="20"/>
      <w:lang w:val="es-ES_tradnl" w:eastAsia="es-ES"/>
    </w:rPr>
  </w:style>
  <w:style w:type="paragraph" w:styleId="Revisin">
    <w:name w:val="Revision"/>
    <w:hidden/>
    <w:uiPriority w:val="99"/>
    <w:semiHidden/>
    <w:rsid w:val="00F932D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3348">
      <w:bodyDiv w:val="1"/>
      <w:marLeft w:val="0"/>
      <w:marRight w:val="0"/>
      <w:marTop w:val="0"/>
      <w:marBottom w:val="0"/>
      <w:divBdr>
        <w:top w:val="none" w:sz="0" w:space="0" w:color="auto"/>
        <w:left w:val="none" w:sz="0" w:space="0" w:color="auto"/>
        <w:bottom w:val="none" w:sz="0" w:space="0" w:color="auto"/>
        <w:right w:val="none" w:sz="0" w:space="0" w:color="auto"/>
      </w:divBdr>
    </w:div>
    <w:div w:id="60057779">
      <w:bodyDiv w:val="1"/>
      <w:marLeft w:val="0"/>
      <w:marRight w:val="0"/>
      <w:marTop w:val="0"/>
      <w:marBottom w:val="0"/>
      <w:divBdr>
        <w:top w:val="none" w:sz="0" w:space="0" w:color="auto"/>
        <w:left w:val="none" w:sz="0" w:space="0" w:color="auto"/>
        <w:bottom w:val="none" w:sz="0" w:space="0" w:color="auto"/>
        <w:right w:val="none" w:sz="0" w:space="0" w:color="auto"/>
      </w:divBdr>
    </w:div>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173643325">
      <w:bodyDiv w:val="1"/>
      <w:marLeft w:val="0"/>
      <w:marRight w:val="0"/>
      <w:marTop w:val="0"/>
      <w:marBottom w:val="0"/>
      <w:divBdr>
        <w:top w:val="none" w:sz="0" w:space="0" w:color="auto"/>
        <w:left w:val="none" w:sz="0" w:space="0" w:color="auto"/>
        <w:bottom w:val="none" w:sz="0" w:space="0" w:color="auto"/>
        <w:right w:val="none" w:sz="0" w:space="0" w:color="auto"/>
      </w:divBdr>
    </w:div>
    <w:div w:id="1317758731">
      <w:bodyDiv w:val="1"/>
      <w:marLeft w:val="0"/>
      <w:marRight w:val="0"/>
      <w:marTop w:val="0"/>
      <w:marBottom w:val="0"/>
      <w:divBdr>
        <w:top w:val="none" w:sz="0" w:space="0" w:color="auto"/>
        <w:left w:val="none" w:sz="0" w:space="0" w:color="auto"/>
        <w:bottom w:val="none" w:sz="0" w:space="0" w:color="auto"/>
        <w:right w:val="none" w:sz="0" w:space="0" w:color="auto"/>
      </w:divBdr>
    </w:div>
    <w:div w:id="1593777917">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20771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AB269E-5236-4B11-B6D7-AB565ECF14A9}">
  <ds:schemaRefs>
    <ds:schemaRef ds:uri="http://schemas.openxmlformats.org/officeDocument/2006/bibliography"/>
  </ds:schemaRefs>
</ds:datastoreItem>
</file>

<file path=customXml/itemProps2.xml><?xml version="1.0" encoding="utf-8"?>
<ds:datastoreItem xmlns:ds="http://schemas.openxmlformats.org/officeDocument/2006/customXml" ds:itemID="{0CCD08E7-0517-467F-99F4-78D685A1A5B0}"/>
</file>

<file path=customXml/itemProps3.xml><?xml version="1.0" encoding="utf-8"?>
<ds:datastoreItem xmlns:ds="http://schemas.openxmlformats.org/officeDocument/2006/customXml" ds:itemID="{540DDB12-48F1-4258-8670-ADEED463E714}"/>
</file>

<file path=customXml/itemProps4.xml><?xml version="1.0" encoding="utf-8"?>
<ds:datastoreItem xmlns:ds="http://schemas.openxmlformats.org/officeDocument/2006/customXml" ds:itemID="{EC4D7301-489C-4FB8-ABC2-8E550C6729AC}"/>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1823</Words>
  <Characters>10029</Characters>
  <Application>Microsoft Office Word</Application>
  <DocSecurity>4</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Claudia Pulido Buitrago</cp:lastModifiedBy>
  <cp:revision>2</cp:revision>
  <dcterms:created xsi:type="dcterms:W3CDTF">2024-05-16T13:45:00Z</dcterms:created>
  <dcterms:modified xsi:type="dcterms:W3CDTF">2024-05-16T13:45:00Z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ies>
</file>