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70A9" w14:textId="77777777" w:rsidR="00AF380B" w:rsidRPr="00D27A48" w:rsidRDefault="00AF380B" w:rsidP="0052217A">
      <w:pPr>
        <w:spacing w:line="276" w:lineRule="auto"/>
        <w:rPr>
          <w:rFonts w:ascii="Arial" w:eastAsia="Arial" w:hAnsi="Arial" w:cs="Arial"/>
          <w:b/>
          <w:bCs/>
          <w:lang w:val="es-CO"/>
        </w:rPr>
      </w:pPr>
    </w:p>
    <w:p w14:paraId="78452E40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7C78558B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27A48"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2F76A97D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7650DAC7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E648F33" w14:textId="12DDCC3F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D27A48">
        <w:rPr>
          <w:rFonts w:ascii="Arial" w:hAnsi="Arial" w:cs="Arial"/>
          <w:b/>
          <w:bCs/>
        </w:rPr>
        <w:t>PROYECTO DE</w:t>
      </w:r>
      <w:r w:rsidRPr="00D27A48">
        <w:rPr>
          <w:rFonts w:ascii="Arial" w:hAnsi="Arial" w:cs="Arial"/>
          <w:bCs/>
        </w:rPr>
        <w:t xml:space="preserve"> </w:t>
      </w:r>
      <w:r w:rsidRPr="00D27A48">
        <w:rPr>
          <w:rFonts w:ascii="Arial" w:hAnsi="Arial" w:cs="Arial"/>
          <w:b/>
        </w:rPr>
        <w:t>CIRCULAR EXTERNA</w:t>
      </w:r>
      <w:r w:rsidRPr="00D27A48">
        <w:rPr>
          <w:rFonts w:ascii="Arial" w:hAnsi="Arial" w:cs="Arial"/>
          <w:b/>
          <w:bCs/>
        </w:rPr>
        <w:t xml:space="preserve">: </w:t>
      </w:r>
      <w:r w:rsidR="00796314" w:rsidRPr="00D27A48">
        <w:rPr>
          <w:rFonts w:ascii="Arial" w:hAnsi="Arial" w:cs="Arial"/>
          <w:bCs/>
        </w:rPr>
        <w:t>Modificación del numeral 6 del Capítulo I, Título III, Parte I de la Circular Básica Jurídica – Cláusulas y Prácticas Abusivas</w:t>
      </w:r>
      <w:r w:rsidR="00B23AC3">
        <w:rPr>
          <w:rFonts w:ascii="Arial" w:hAnsi="Arial" w:cs="Arial"/>
          <w:bCs/>
        </w:rPr>
        <w:t>.</w:t>
      </w:r>
    </w:p>
    <w:p w14:paraId="687C7CB6" w14:textId="77777777" w:rsidR="006F1953" w:rsidRPr="00D27A48" w:rsidRDefault="006F1953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lang w:val="es-MX"/>
        </w:rPr>
      </w:pPr>
    </w:p>
    <w:p w14:paraId="6506AC63" w14:textId="77777777" w:rsidR="006F1953" w:rsidRPr="00D27A48" w:rsidRDefault="006F1953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31CBD9C1" w14:textId="5F0B1EB3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D27A48">
        <w:rPr>
          <w:rFonts w:ascii="Arial" w:hAnsi="Arial" w:cs="Arial"/>
          <w:b/>
          <w:bCs/>
        </w:rPr>
        <w:t>PROPÓSITO:</w:t>
      </w:r>
      <w:r w:rsidR="003072FF" w:rsidRPr="00D27A48">
        <w:rPr>
          <w:rFonts w:ascii="Arial" w:hAnsi="Arial" w:cs="Arial"/>
          <w:b/>
          <w:bCs/>
        </w:rPr>
        <w:t xml:space="preserve"> </w:t>
      </w:r>
      <w:r w:rsidR="0035074C" w:rsidRPr="00D27A48">
        <w:rPr>
          <w:rFonts w:ascii="Arial" w:hAnsi="Arial" w:cs="Arial"/>
          <w:bCs/>
        </w:rPr>
        <w:t>Actualizar las cláusulas y prácticas abusivas contenidas en la Circular</w:t>
      </w:r>
      <w:r w:rsidR="0035074C" w:rsidRPr="00D27A48">
        <w:rPr>
          <w:rFonts w:ascii="Arial" w:hAnsi="Arial" w:cs="Arial"/>
          <w:bCs/>
        </w:rPr>
        <w:br/>
        <w:t>Básica Jurídica</w:t>
      </w:r>
      <w:r w:rsidR="00F11871" w:rsidRPr="00D27A48">
        <w:rPr>
          <w:rFonts w:ascii="Arial" w:hAnsi="Arial" w:cs="Arial"/>
          <w:bCs/>
        </w:rPr>
        <w:t>.</w:t>
      </w:r>
    </w:p>
    <w:p w14:paraId="16671923" w14:textId="77777777" w:rsidR="00F11871" w:rsidRPr="00D27A48" w:rsidRDefault="00F11871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Cs/>
        </w:rPr>
      </w:pPr>
    </w:p>
    <w:p w14:paraId="7873775F" w14:textId="77777777" w:rsidR="00F11871" w:rsidRPr="00D27A48" w:rsidRDefault="00F11871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746D7DF4" w14:textId="131ADD12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 w:rsidRPr="00D27A48">
        <w:rPr>
          <w:rFonts w:ascii="Arial" w:hAnsi="Arial" w:cs="Arial"/>
          <w:b/>
          <w:bCs/>
        </w:rPr>
        <w:t xml:space="preserve">PLAZO PARA COMENTARIOS: </w:t>
      </w:r>
      <w:r w:rsidRPr="00D27A48">
        <w:rPr>
          <w:rFonts w:ascii="Arial" w:hAnsi="Arial" w:cs="Arial"/>
        </w:rPr>
        <w:t xml:space="preserve">5:00pm del </w:t>
      </w:r>
      <w:r w:rsidR="00796314" w:rsidRPr="00D27A48">
        <w:rPr>
          <w:rFonts w:ascii="Arial" w:hAnsi="Arial" w:cs="Arial"/>
        </w:rPr>
        <w:t>lunes</w:t>
      </w:r>
      <w:r w:rsidRPr="00D27A48">
        <w:rPr>
          <w:rFonts w:ascii="Arial" w:hAnsi="Arial" w:cs="Arial"/>
        </w:rPr>
        <w:t xml:space="preserve"> </w:t>
      </w:r>
      <w:r w:rsidR="00796314" w:rsidRPr="00D27A48">
        <w:rPr>
          <w:rFonts w:ascii="Arial" w:hAnsi="Arial" w:cs="Arial"/>
        </w:rPr>
        <w:t>17</w:t>
      </w:r>
      <w:r w:rsidRPr="00D27A48">
        <w:rPr>
          <w:rFonts w:ascii="Arial" w:hAnsi="Arial" w:cs="Arial"/>
        </w:rPr>
        <w:t xml:space="preserve"> de </w:t>
      </w:r>
      <w:r w:rsidR="00796314" w:rsidRPr="00D27A48">
        <w:rPr>
          <w:rFonts w:ascii="Arial" w:hAnsi="Arial" w:cs="Arial"/>
        </w:rPr>
        <w:t>junio</w:t>
      </w:r>
      <w:r w:rsidRPr="00D27A48">
        <w:rPr>
          <w:rFonts w:ascii="Arial" w:hAnsi="Arial" w:cs="Arial"/>
        </w:rPr>
        <w:t xml:space="preserve"> de 2024. </w:t>
      </w:r>
    </w:p>
    <w:p w14:paraId="2785E65D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</w:p>
    <w:p w14:paraId="56E346D7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682183C4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 w:rsidRPr="00D27A48">
        <w:rPr>
          <w:rFonts w:ascii="Arial" w:hAnsi="Arial" w:cs="Arial"/>
          <w:b/>
          <w:bCs/>
        </w:rPr>
        <w:t xml:space="preserve">REMISIÓN DE COMENTARIOS: </w:t>
      </w:r>
      <w:r w:rsidRPr="00D27A48">
        <w:rPr>
          <w:rFonts w:ascii="Arial" w:hAnsi="Arial" w:cs="Arial"/>
          <w:bCs/>
        </w:rPr>
        <w:t xml:space="preserve">por favor diligenciar la proforma adjunta “MATRIZ PARA COMENTARIOS EXTERNOS - PUBLICACION WEB”. </w:t>
      </w:r>
    </w:p>
    <w:p w14:paraId="68C8D1FD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 w:rsidRPr="00D27A48">
        <w:rPr>
          <w:rFonts w:ascii="Arial" w:hAnsi="Arial" w:cs="Arial"/>
          <w:bCs/>
        </w:rPr>
        <w:t xml:space="preserve"> </w:t>
      </w:r>
    </w:p>
    <w:p w14:paraId="7B2CC44D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 w:rsidRPr="00D27A48">
        <w:rPr>
          <w:rFonts w:ascii="Arial" w:hAnsi="Arial" w:cs="Arial"/>
          <w:bCs/>
        </w:rPr>
        <w:t xml:space="preserve">La proforma en formato Word puede ser radicada vía e-mail por medio del correo electrónico </w:t>
      </w:r>
      <w:hyperlink r:id="rId11" w:history="1">
        <w:r w:rsidRPr="00D27A48">
          <w:rPr>
            <w:rStyle w:val="Hipervnculo"/>
            <w:rFonts w:ascii="Arial" w:hAnsi="Arial" w:cs="Arial"/>
            <w:bCs/>
          </w:rPr>
          <w:t>normativa@superfinanciera.gov.co</w:t>
        </w:r>
      </w:hyperlink>
      <w:r w:rsidRPr="00D27A48">
        <w:rPr>
          <w:rFonts w:ascii="Arial" w:hAnsi="Arial" w:cs="Arial"/>
          <w:bCs/>
        </w:rPr>
        <w:t xml:space="preserve">. En el asunto </w:t>
      </w:r>
      <w:r w:rsidRPr="00D27A48">
        <w:rPr>
          <w:rFonts w:ascii="Arial" w:hAnsi="Arial" w:cs="Arial"/>
          <w:b/>
          <w:bCs/>
        </w:rPr>
        <w:t>únicamente</w:t>
      </w:r>
      <w:r w:rsidRPr="00D27A48">
        <w:rPr>
          <w:rFonts w:ascii="Arial" w:hAnsi="Arial" w:cs="Arial"/>
          <w:bCs/>
        </w:rPr>
        <w:t xml:space="preserve"> incluir el siguiente número de radicación: </w:t>
      </w:r>
      <w:r w:rsidRPr="00D27A48">
        <w:rPr>
          <w:rFonts w:ascii="Arial" w:hAnsi="Arial" w:cs="Arial"/>
          <w:b/>
          <w:bCs/>
        </w:rPr>
        <w:tab/>
        <w:t xml:space="preserve"> </w:t>
      </w:r>
    </w:p>
    <w:p w14:paraId="7F73C5AA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D27A48">
        <w:rPr>
          <w:rFonts w:ascii="Arial" w:hAnsi="Arial" w:cs="Arial"/>
          <w:b/>
          <w:bCs/>
        </w:rPr>
        <w:tab/>
        <w:t xml:space="preserve"> </w:t>
      </w:r>
    </w:p>
    <w:p w14:paraId="1773092A" w14:textId="63E59BE0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27A48">
        <w:rPr>
          <w:rFonts w:ascii="Arial" w:hAnsi="Arial" w:cs="Arial"/>
          <w:b/>
          <w:bCs/>
        </w:rPr>
        <w:t xml:space="preserve">RADICADO No. </w:t>
      </w:r>
      <w:r w:rsidR="00D27A48" w:rsidRPr="00D27A48">
        <w:rPr>
          <w:rFonts w:ascii="Arial" w:hAnsi="Arial" w:cs="Arial"/>
          <w:b/>
          <w:bCs/>
          <w:color w:val="242424"/>
          <w:shd w:val="clear" w:color="auto" w:fill="FFFFFF"/>
        </w:rPr>
        <w:t>2023045453</w:t>
      </w:r>
    </w:p>
    <w:p w14:paraId="33335438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5332B884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</w:rPr>
      </w:pPr>
      <w:r w:rsidRPr="00D27A48">
        <w:rPr>
          <w:rFonts w:ascii="Arial" w:hAnsi="Arial" w:cs="Arial"/>
          <w:b/>
          <w:bCs/>
        </w:rPr>
        <w:t>POR ESCRITO A:</w:t>
      </w:r>
      <w:r w:rsidRPr="00D27A48">
        <w:rPr>
          <w:rFonts w:ascii="Arial" w:hAnsi="Arial" w:cs="Arial"/>
          <w:b/>
          <w:bCs/>
        </w:rPr>
        <w:tab/>
      </w:r>
      <w:proofErr w:type="gramStart"/>
      <w:r w:rsidRPr="00D27A48">
        <w:rPr>
          <w:rFonts w:ascii="Arial" w:hAnsi="Arial" w:cs="Arial"/>
        </w:rPr>
        <w:t>Subdirectora</w:t>
      </w:r>
      <w:proofErr w:type="gramEnd"/>
      <w:r w:rsidRPr="00D27A48">
        <w:rPr>
          <w:rFonts w:ascii="Arial" w:hAnsi="Arial" w:cs="Arial"/>
        </w:rPr>
        <w:t xml:space="preserve"> de Regulación, con el número de radicación.</w:t>
      </w:r>
    </w:p>
    <w:p w14:paraId="5BDD876D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/>
          <w:bCs/>
        </w:rPr>
      </w:pPr>
    </w:p>
    <w:p w14:paraId="5CA15AE1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</w:rPr>
      </w:pPr>
      <w:r w:rsidRPr="00D27A48">
        <w:rPr>
          <w:rFonts w:ascii="Arial" w:hAnsi="Arial" w:cs="Arial"/>
          <w:b/>
          <w:bCs/>
        </w:rPr>
        <w:t xml:space="preserve">Nota: </w:t>
      </w:r>
      <w:r w:rsidRPr="00D27A48">
        <w:rPr>
          <w:rFonts w:ascii="Arial" w:hAnsi="Arial" w:cs="Arial"/>
          <w:bCs/>
        </w:rPr>
        <w:t>Para la remisión de los comentarios por favor citar en el asunto del correo electrónico, la referencia señalada, así como por escrito.</w:t>
      </w:r>
    </w:p>
    <w:p w14:paraId="3528545D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67393977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195E8797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A845AE9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2A0792F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155C011" w14:textId="77777777" w:rsidR="00AF380B" w:rsidRPr="00D27A48" w:rsidRDefault="00AF380B" w:rsidP="00283E71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D27A48">
        <w:rPr>
          <w:rFonts w:ascii="Arial" w:hAnsi="Arial" w:cs="Arial"/>
          <w:b/>
          <w:bCs/>
          <w:sz w:val="28"/>
          <w:szCs w:val="28"/>
        </w:rPr>
        <w:t>* Consulte en este archivo el texto del proyecto de Circular</w:t>
      </w:r>
    </w:p>
    <w:p w14:paraId="1D272DCB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45857B29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299C4B42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53AD10F6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490A9F5E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470110A2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70A82363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476FCC25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01BFA678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38AF7ECD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068B19AD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305919A5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6C60DC9E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0AFC8AB3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5E7BCF2E" w14:textId="77777777" w:rsidR="00AF380B" w:rsidRPr="00D27A48" w:rsidRDefault="00AF380B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03E4D2D1" w14:textId="77777777" w:rsidR="00AF380B" w:rsidRPr="00D27A48" w:rsidRDefault="00AF380B" w:rsidP="009B2238">
      <w:pPr>
        <w:spacing w:line="276" w:lineRule="auto"/>
        <w:rPr>
          <w:rFonts w:ascii="Arial" w:eastAsia="Arial" w:hAnsi="Arial" w:cs="Arial"/>
          <w:b/>
          <w:bCs/>
          <w:lang w:val="es-CO"/>
        </w:rPr>
      </w:pPr>
    </w:p>
    <w:p w14:paraId="0097CCD9" w14:textId="12C3FD9B" w:rsidR="00967B41" w:rsidRPr="00D27A48" w:rsidRDefault="00967B41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  <w:r w:rsidRPr="00D27A48">
        <w:rPr>
          <w:rFonts w:ascii="Arial" w:eastAsia="Arial" w:hAnsi="Arial" w:cs="Arial"/>
          <w:b/>
          <w:bCs/>
          <w:lang w:val="es-CO"/>
        </w:rPr>
        <w:t>CIRCULAR EXTERNA     DE 2024</w:t>
      </w:r>
    </w:p>
    <w:p w14:paraId="5A9A4878" w14:textId="77777777" w:rsidR="00967B41" w:rsidRPr="00D27A48" w:rsidRDefault="00967B41" w:rsidP="00967B41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6BDB00CE" w14:textId="09169E9F" w:rsidR="00967B41" w:rsidRPr="00D27A48" w:rsidRDefault="00967B41" w:rsidP="00967B41">
      <w:pPr>
        <w:spacing w:line="276" w:lineRule="auto"/>
        <w:jc w:val="center"/>
        <w:rPr>
          <w:rFonts w:ascii="Arial" w:eastAsia="Arial" w:hAnsi="Arial" w:cs="Arial"/>
          <w:lang w:val="es-CO"/>
        </w:rPr>
      </w:pPr>
      <w:r w:rsidRPr="00D27A48">
        <w:rPr>
          <w:rFonts w:ascii="Arial" w:eastAsia="Arial" w:hAnsi="Arial" w:cs="Arial"/>
          <w:b/>
          <w:bCs/>
          <w:szCs w:val="20"/>
          <w:lang w:val="es-CO"/>
        </w:rPr>
        <w:t>(</w:t>
      </w:r>
      <w:r w:rsidR="008A4E8C" w:rsidRPr="00D27A48">
        <w:rPr>
          <w:rFonts w:ascii="Arial" w:eastAsia="Arial" w:hAnsi="Arial" w:cs="Arial"/>
          <w:b/>
          <w:bCs/>
          <w:szCs w:val="20"/>
          <w:lang w:val="es-CO"/>
        </w:rPr>
        <w:t xml:space="preserve">Junio  </w:t>
      </w:r>
      <w:r w:rsidR="00B37FB4" w:rsidRPr="00D27A48">
        <w:rPr>
          <w:rFonts w:ascii="Arial" w:eastAsia="Arial" w:hAnsi="Arial" w:cs="Arial"/>
          <w:b/>
          <w:bCs/>
          <w:szCs w:val="20"/>
          <w:lang w:val="es-CO"/>
        </w:rPr>
        <w:t xml:space="preserve">   </w:t>
      </w:r>
      <w:r w:rsidRPr="00D27A48">
        <w:rPr>
          <w:rFonts w:ascii="Arial" w:eastAsia="Arial" w:hAnsi="Arial" w:cs="Arial"/>
          <w:b/>
          <w:bCs/>
          <w:szCs w:val="20"/>
          <w:lang w:val="es-CO"/>
        </w:rPr>
        <w:t xml:space="preserve"> </w:t>
      </w:r>
      <w:proofErr w:type="gramStart"/>
      <w:r w:rsidRPr="00D27A48">
        <w:rPr>
          <w:rFonts w:ascii="Arial" w:eastAsia="Arial" w:hAnsi="Arial" w:cs="Arial"/>
          <w:b/>
          <w:bCs/>
          <w:szCs w:val="20"/>
          <w:lang w:val="es-CO"/>
        </w:rPr>
        <w:t xml:space="preserve">  )</w:t>
      </w:r>
      <w:proofErr w:type="gramEnd"/>
    </w:p>
    <w:p w14:paraId="4BBAC2A4" w14:textId="77777777" w:rsidR="00967B41" w:rsidRPr="00D27A48" w:rsidRDefault="00967B41" w:rsidP="00967B41">
      <w:pPr>
        <w:spacing w:line="276" w:lineRule="auto"/>
        <w:jc w:val="both"/>
        <w:rPr>
          <w:rFonts w:ascii="Arial" w:eastAsia="Arial" w:hAnsi="Arial" w:cs="Arial"/>
          <w:lang w:val="es-CO"/>
        </w:rPr>
      </w:pPr>
    </w:p>
    <w:p w14:paraId="56C9E551" w14:textId="77777777" w:rsidR="00967B41" w:rsidRPr="00D27A48" w:rsidRDefault="00967B41" w:rsidP="00967B41">
      <w:pPr>
        <w:spacing w:line="276" w:lineRule="auto"/>
        <w:jc w:val="both"/>
        <w:rPr>
          <w:rFonts w:ascii="Arial" w:eastAsia="Arial" w:hAnsi="Arial" w:cs="Arial"/>
          <w:b/>
          <w:bCs/>
          <w:lang w:val="es-CO"/>
        </w:rPr>
      </w:pPr>
      <w:r w:rsidRPr="00D27A48">
        <w:rPr>
          <w:rFonts w:ascii="Arial" w:eastAsia="Arial" w:hAnsi="Arial" w:cs="Arial"/>
          <w:b/>
          <w:bCs/>
          <w:lang w:val="es-CO"/>
        </w:rPr>
        <w:t>Señores</w:t>
      </w:r>
    </w:p>
    <w:p w14:paraId="3A56A9F3" w14:textId="0319022D" w:rsidR="00967B41" w:rsidRPr="00D27A48" w:rsidRDefault="00967B41" w:rsidP="00967B41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</w:rPr>
        <w:t>REPRESENTANTES LEGALES Y REVISORES FISCALES DE L</w:t>
      </w:r>
      <w:r w:rsidR="00877B17" w:rsidRPr="00D27A48">
        <w:rPr>
          <w:rFonts w:ascii="Arial" w:eastAsia="Arial" w:hAnsi="Arial" w:cs="Arial"/>
        </w:rPr>
        <w:t>AS ENTIDADES VIGILADAS</w:t>
      </w:r>
      <w:r w:rsidR="00AE23FA" w:rsidRPr="00D27A48">
        <w:rPr>
          <w:rFonts w:ascii="Arial" w:eastAsia="Arial" w:hAnsi="Arial" w:cs="Arial"/>
        </w:rPr>
        <w:t>.</w:t>
      </w:r>
    </w:p>
    <w:p w14:paraId="76672374" w14:textId="77777777" w:rsidR="00E3385C" w:rsidRPr="00D27A48" w:rsidRDefault="00E3385C" w:rsidP="00967B41">
      <w:pPr>
        <w:spacing w:line="276" w:lineRule="auto"/>
        <w:jc w:val="both"/>
        <w:rPr>
          <w:rFonts w:ascii="Arial" w:eastAsia="Arial" w:hAnsi="Arial" w:cs="Arial"/>
        </w:rPr>
      </w:pPr>
    </w:p>
    <w:p w14:paraId="7178733C" w14:textId="77777777" w:rsidR="00E3385C" w:rsidRPr="00D27A48" w:rsidRDefault="00E3385C" w:rsidP="00E3385C">
      <w:pPr>
        <w:pStyle w:val="Textoindependiente2"/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lang w:val="es-CO"/>
        </w:rPr>
      </w:pPr>
      <w:r w:rsidRPr="00D27A48">
        <w:rPr>
          <w:rFonts w:ascii="Arial" w:hAnsi="Arial" w:cs="Arial"/>
          <w:b/>
        </w:rPr>
        <w:t>Referencia</w:t>
      </w:r>
      <w:bookmarkStart w:id="0" w:name="_Hlk128389026"/>
      <w:r w:rsidRPr="00D27A48">
        <w:rPr>
          <w:rFonts w:ascii="Arial" w:hAnsi="Arial" w:cs="Arial"/>
          <w:b/>
        </w:rPr>
        <w:t>:</w:t>
      </w:r>
      <w:r w:rsidRPr="00D27A48">
        <w:rPr>
          <w:rFonts w:ascii="Arial" w:eastAsia="Arial" w:hAnsi="Arial" w:cs="Arial"/>
          <w:b/>
          <w:bCs/>
          <w:color w:val="000000" w:themeColor="text1"/>
          <w:lang w:val="es-CO"/>
        </w:rPr>
        <w:t xml:space="preserve"> </w:t>
      </w:r>
      <w:r w:rsidRPr="00D27A48">
        <w:rPr>
          <w:rFonts w:ascii="Arial" w:hAnsi="Arial" w:cs="Arial"/>
          <w:b/>
        </w:rPr>
        <w:t>Modificación del numeral 6 del Capítulo I, Título III, Parte I de la Circular Básica Jurídica – Cláusulas y Prácticas Abusivas</w:t>
      </w:r>
    </w:p>
    <w:bookmarkEnd w:id="0"/>
    <w:p w14:paraId="34E9C107" w14:textId="77777777" w:rsidR="00E3385C" w:rsidRPr="00D27A48" w:rsidRDefault="00E3385C" w:rsidP="00E3385C">
      <w:pPr>
        <w:jc w:val="both"/>
        <w:rPr>
          <w:rFonts w:ascii="Arial" w:eastAsia="Arial" w:hAnsi="Arial" w:cs="Arial"/>
          <w:color w:val="000000" w:themeColor="text1"/>
          <w:lang w:val="es-CO"/>
        </w:rPr>
      </w:pPr>
    </w:p>
    <w:p w14:paraId="069F09AE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</w:rPr>
        <w:t>Apreciados señores:</w:t>
      </w:r>
    </w:p>
    <w:p w14:paraId="1E430D6A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0D664DA3" w14:textId="7EB227CA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</w:rPr>
        <w:t>Esta Superintendencia con el fin de continuar con la consolidación de una cultura de debida atención, trato justo, protección, respeto y servicio al interior de las entidades vigiladas, en ejercicio de sus funciones ha identificado conductas que afectan los derechos del consumidor financiero, el equilibrio contractual, o d</w:t>
      </w:r>
      <w:r w:rsidR="00B23AC3">
        <w:rPr>
          <w:rFonts w:ascii="Arial" w:eastAsia="Arial" w:hAnsi="Arial" w:cs="Arial"/>
        </w:rPr>
        <w:t>a</w:t>
      </w:r>
      <w:r w:rsidRPr="00D27A48">
        <w:rPr>
          <w:rFonts w:ascii="Arial" w:eastAsia="Arial" w:hAnsi="Arial" w:cs="Arial"/>
        </w:rPr>
        <w:t>n lugar a un abuso de posición dominante. Lo anterior, atendiendo lo dispuesto en los artículos 7, 11 y 12 de la Ley 1328 de 2009, así como las funciones establecidas en los artículos 11.2.1.4.10 y 11.2.1.4.11 del Decreto 2555 de 2010</w:t>
      </w:r>
      <w:bookmarkStart w:id="1" w:name="_Hlk134616309"/>
      <w:r w:rsidRPr="00D27A48">
        <w:rPr>
          <w:rFonts w:ascii="Arial" w:eastAsia="Arial" w:hAnsi="Arial" w:cs="Arial"/>
        </w:rPr>
        <w:t xml:space="preserve"> consistentes en velar por el cumplimiento de las normas sobre la protección de los consumidores financieros e identificar conductas que vulneren sus derechos.  </w:t>
      </w:r>
    </w:p>
    <w:p w14:paraId="28BD2D8C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bookmarkEnd w:id="1"/>
    <w:p w14:paraId="7C892AB3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</w:rPr>
        <w:t xml:space="preserve">Es de anotar que los artículos 11 y 12 de la citada Ley establecen algunas cláusulas abusivas y prohíben la incorporación de </w:t>
      </w:r>
      <w:proofErr w:type="gramStart"/>
      <w:r w:rsidRPr="00D27A48">
        <w:rPr>
          <w:rFonts w:ascii="Arial" w:eastAsia="Arial" w:hAnsi="Arial" w:cs="Arial"/>
        </w:rPr>
        <w:t>las mismas</w:t>
      </w:r>
      <w:proofErr w:type="gramEnd"/>
      <w:r w:rsidRPr="00D27A48">
        <w:rPr>
          <w:rFonts w:ascii="Arial" w:eastAsia="Arial" w:hAnsi="Arial" w:cs="Arial"/>
        </w:rPr>
        <w:t xml:space="preserve"> en los contratos de adhesión y, además, consagran las prácticas que se consideran abusivas, otorgando a esta Superintendencia la facultad de establecer cláusulas y prácticas abusivas adicionales a las establecidas en la citada Ley. </w:t>
      </w:r>
    </w:p>
    <w:p w14:paraId="353802E0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40D309F1" w14:textId="50885F91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</w:rPr>
        <w:t>En desarrollo de las anteriores facultades, esta Superintendencia adiciona el listado de cláusulas y prácticas abusivas identificadas y relacionadas con el producto de tarjeta de crédito, los créditos de vivienda individual a largo plazo</w:t>
      </w:r>
      <w:r w:rsidR="00B23AC3">
        <w:rPr>
          <w:rFonts w:ascii="Arial" w:eastAsia="Arial" w:hAnsi="Arial" w:cs="Arial"/>
        </w:rPr>
        <w:t xml:space="preserve"> y</w:t>
      </w:r>
      <w:r w:rsidRPr="00D27A48">
        <w:rPr>
          <w:rFonts w:ascii="Arial" w:eastAsia="Arial" w:hAnsi="Arial" w:cs="Arial"/>
        </w:rPr>
        <w:t xml:space="preserve"> los contratos de leasing habitacional destinados a la adquisición de vivienda familiar</w:t>
      </w:r>
      <w:r w:rsidR="00B23AC3">
        <w:rPr>
          <w:rFonts w:ascii="Arial" w:eastAsia="Arial" w:hAnsi="Arial" w:cs="Arial"/>
        </w:rPr>
        <w:t>,</w:t>
      </w:r>
      <w:r w:rsidRPr="00D27A48">
        <w:rPr>
          <w:rFonts w:ascii="Arial" w:eastAsia="Arial" w:hAnsi="Arial" w:cs="Arial"/>
        </w:rPr>
        <w:t xml:space="preserve"> contratos de seguro, entre otras. </w:t>
      </w:r>
    </w:p>
    <w:p w14:paraId="7B312FB9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2900CFDC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</w:rPr>
        <w:t xml:space="preserve">Por otra parte, el artículo 9 de la Ley 1328 de 2009 faculta a esta Superintendencia para impartir instrucciones respecto a la información que debe ser suministrada a los consumidores financieros previo a la formalización del contrato y durante su ejecución. En ese sentido, por medio de la presente Circular </w:t>
      </w:r>
      <w:bookmarkStart w:id="2" w:name="_Hlk138162528"/>
      <w:r w:rsidRPr="00D27A48">
        <w:rPr>
          <w:rFonts w:ascii="Arial" w:eastAsia="Arial" w:hAnsi="Arial" w:cs="Arial"/>
        </w:rPr>
        <w:t xml:space="preserve">se imparten instrucciones en materia de imputación de pagos, información sobre la cuota de manejo y suministro de información en los extractos de las tarjetas de crédito. </w:t>
      </w:r>
      <w:bookmarkEnd w:id="2"/>
    </w:p>
    <w:p w14:paraId="1F32E3F2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7E5F7727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</w:rPr>
        <w:t xml:space="preserve">En virtud de lo expuesto y, en ejercicio de las facultades conferidas en el literal a) del numeral 3 del artículo 326 del Estatuto Orgánico del Sistema Financiero, el </w:t>
      </w:r>
      <w:r w:rsidRPr="00D27A48">
        <w:rPr>
          <w:rFonts w:ascii="Arial" w:eastAsia="Arial" w:hAnsi="Arial" w:cs="Arial"/>
        </w:rPr>
        <w:lastRenderedPageBreak/>
        <w:t>artículo 9, el literal e) del artículo 11 y el literal d) del artículo 12 de la Ley 1328 de 2009, así como el numeral 4 del artículo 11.2.1.4.2. del Decreto 2555 de 2010, esta Superintendencia imparte las siguientes instrucciones:</w:t>
      </w:r>
    </w:p>
    <w:p w14:paraId="2F6B14DF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3A0C72AC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  <w:b/>
          <w:bCs/>
        </w:rPr>
        <w:t>PRIMERA:</w:t>
      </w:r>
      <w:r w:rsidRPr="00D27A48">
        <w:rPr>
          <w:rFonts w:ascii="Arial" w:eastAsia="Arial" w:hAnsi="Arial" w:cs="Arial"/>
        </w:rPr>
        <w:t xml:space="preserve"> Modificar el </w:t>
      </w:r>
      <w:proofErr w:type="spellStart"/>
      <w:r w:rsidRPr="00D27A48">
        <w:rPr>
          <w:rFonts w:ascii="Arial" w:eastAsia="Arial" w:hAnsi="Arial" w:cs="Arial"/>
        </w:rPr>
        <w:t>subnumeral</w:t>
      </w:r>
      <w:proofErr w:type="spellEnd"/>
      <w:r w:rsidRPr="00D27A48">
        <w:rPr>
          <w:rFonts w:ascii="Arial" w:eastAsia="Arial" w:hAnsi="Arial" w:cs="Arial"/>
        </w:rPr>
        <w:t xml:space="preserve"> 6.1.5.8 y adicionar los </w:t>
      </w:r>
      <w:proofErr w:type="spellStart"/>
      <w:r w:rsidRPr="00D27A48">
        <w:rPr>
          <w:rFonts w:ascii="Arial" w:eastAsia="Arial" w:hAnsi="Arial" w:cs="Arial"/>
        </w:rPr>
        <w:t>subnumerales</w:t>
      </w:r>
      <w:proofErr w:type="spellEnd"/>
      <w:r w:rsidRPr="00D27A48">
        <w:rPr>
          <w:rFonts w:ascii="Arial" w:eastAsia="Arial" w:hAnsi="Arial" w:cs="Arial"/>
        </w:rPr>
        <w:t xml:space="preserve"> 6.1.5.10, 6.1.6.18, 6.2.58, 6.2.59, 6.2.60, 6.2.61, 6.2.62, 6.2.63, 6.2.64, 6.2.65, 6.2.66, 6.2.67 del Capítulo I del Título III de la Parte I de la Circular Básica Jurídica «Acceso e información al consumidor financiero» </w:t>
      </w:r>
    </w:p>
    <w:p w14:paraId="0A980B27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05F08268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  <w:b/>
          <w:bCs/>
        </w:rPr>
        <w:t>SEGUNDA:</w:t>
      </w:r>
      <w:r w:rsidRPr="00D27A48">
        <w:rPr>
          <w:rFonts w:ascii="Arial" w:eastAsia="Arial" w:hAnsi="Arial" w:cs="Arial"/>
        </w:rPr>
        <w:t xml:space="preserve"> Vigencia: La presente Circular rige a partir de su publicación.</w:t>
      </w:r>
    </w:p>
    <w:p w14:paraId="76C77BD6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5DE6B973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</w:rPr>
        <w:t>Se anexan las páginas objeto de modificación.</w:t>
      </w:r>
    </w:p>
    <w:p w14:paraId="77656297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078437B1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</w:rPr>
        <w:t>Cordialmente,</w:t>
      </w:r>
    </w:p>
    <w:p w14:paraId="76592616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55172150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7365D5B2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24C4137D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  <w:b/>
          <w:bCs/>
        </w:rPr>
      </w:pPr>
      <w:r w:rsidRPr="00D27A48">
        <w:rPr>
          <w:rFonts w:ascii="Arial" w:eastAsia="Arial" w:hAnsi="Arial" w:cs="Arial"/>
          <w:b/>
          <w:bCs/>
        </w:rPr>
        <w:t xml:space="preserve">CÉSAR FERRARI </w:t>
      </w:r>
      <w:proofErr w:type="spellStart"/>
      <w:r w:rsidRPr="00D27A48">
        <w:rPr>
          <w:rFonts w:ascii="Arial" w:eastAsia="Arial" w:hAnsi="Arial" w:cs="Arial"/>
          <w:b/>
          <w:bCs/>
        </w:rPr>
        <w:t>Ph.D</w:t>
      </w:r>
      <w:proofErr w:type="spellEnd"/>
      <w:r w:rsidRPr="00D27A48">
        <w:rPr>
          <w:rFonts w:ascii="Arial" w:eastAsia="Arial" w:hAnsi="Arial" w:cs="Arial"/>
          <w:b/>
          <w:bCs/>
        </w:rPr>
        <w:t>.</w:t>
      </w:r>
    </w:p>
    <w:p w14:paraId="112C65C6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</w:rPr>
        <w:t xml:space="preserve">Superintendente Financiero </w:t>
      </w:r>
    </w:p>
    <w:p w14:paraId="6F491BB8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  <w:r w:rsidRPr="00D27A48">
        <w:rPr>
          <w:rFonts w:ascii="Arial" w:eastAsia="Arial" w:hAnsi="Arial" w:cs="Arial"/>
        </w:rPr>
        <w:t>50000</w:t>
      </w:r>
    </w:p>
    <w:p w14:paraId="62B943EC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</w:rPr>
      </w:pPr>
    </w:p>
    <w:p w14:paraId="786FAC18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 w:rsidRPr="00D27A48">
        <w:rPr>
          <w:rFonts w:ascii="Arial" w:eastAsia="Arial" w:hAnsi="Arial" w:cs="Arial"/>
          <w:sz w:val="16"/>
          <w:szCs w:val="16"/>
        </w:rPr>
        <w:t>Elaboró:</w:t>
      </w:r>
    </w:p>
    <w:p w14:paraId="6F29FC1E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 w:rsidRPr="00D27A48">
        <w:rPr>
          <w:rFonts w:ascii="Arial" w:eastAsia="Arial" w:hAnsi="Arial" w:cs="Arial"/>
          <w:sz w:val="16"/>
          <w:szCs w:val="16"/>
        </w:rPr>
        <w:t>IDGR/SJ</w:t>
      </w:r>
    </w:p>
    <w:p w14:paraId="38B9FE37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</w:p>
    <w:p w14:paraId="525A4C6F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 w:rsidRPr="00D27A48">
        <w:rPr>
          <w:rFonts w:ascii="Arial" w:eastAsia="Arial" w:hAnsi="Arial" w:cs="Arial"/>
          <w:sz w:val="16"/>
          <w:szCs w:val="16"/>
        </w:rPr>
        <w:t>Revisó:</w:t>
      </w:r>
    </w:p>
    <w:p w14:paraId="6D3330F6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 w:rsidRPr="00D27A48">
        <w:rPr>
          <w:rFonts w:ascii="Arial" w:eastAsia="Arial" w:hAnsi="Arial" w:cs="Arial"/>
          <w:sz w:val="16"/>
          <w:szCs w:val="16"/>
        </w:rPr>
        <w:t>YCRG</w:t>
      </w:r>
    </w:p>
    <w:p w14:paraId="5FEA4A1F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</w:p>
    <w:p w14:paraId="3A2A71BC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 w:rsidRPr="00D27A48">
        <w:rPr>
          <w:rFonts w:ascii="Arial" w:eastAsia="Arial" w:hAnsi="Arial" w:cs="Arial"/>
          <w:sz w:val="16"/>
          <w:szCs w:val="16"/>
        </w:rPr>
        <w:t>Aprobó:</w:t>
      </w:r>
    </w:p>
    <w:p w14:paraId="095A1769" w14:textId="77777777" w:rsidR="00E3385C" w:rsidRPr="00D27A48" w:rsidRDefault="00E3385C" w:rsidP="00E3385C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 w:rsidRPr="00D27A48">
        <w:rPr>
          <w:rFonts w:ascii="Arial" w:eastAsia="Arial" w:hAnsi="Arial" w:cs="Arial"/>
          <w:sz w:val="16"/>
          <w:szCs w:val="16"/>
        </w:rPr>
        <w:t>JORH</w:t>
      </w:r>
    </w:p>
    <w:p w14:paraId="2E3990E5" w14:textId="77777777" w:rsidR="00E3385C" w:rsidRPr="00D27A48" w:rsidRDefault="00E3385C" w:rsidP="00967B41">
      <w:pPr>
        <w:spacing w:line="276" w:lineRule="auto"/>
        <w:jc w:val="both"/>
        <w:rPr>
          <w:rFonts w:ascii="Arial" w:eastAsia="Arial" w:hAnsi="Arial" w:cs="Arial"/>
        </w:rPr>
      </w:pPr>
    </w:p>
    <w:p w14:paraId="336517D1" w14:textId="77777777" w:rsidR="00AE23FA" w:rsidRPr="00D27A48" w:rsidRDefault="00AE23FA" w:rsidP="00967B41">
      <w:pPr>
        <w:spacing w:line="276" w:lineRule="auto"/>
        <w:jc w:val="both"/>
        <w:rPr>
          <w:rFonts w:ascii="Arial" w:eastAsia="Arial" w:hAnsi="Arial" w:cs="Arial"/>
        </w:rPr>
      </w:pPr>
    </w:p>
    <w:p w14:paraId="2D0CA503" w14:textId="4D9C4F37" w:rsidR="008F0D79" w:rsidRPr="00D27A48" w:rsidRDefault="008F0D79" w:rsidP="00967B41">
      <w:pPr>
        <w:spacing w:line="276" w:lineRule="auto"/>
        <w:jc w:val="center"/>
        <w:rPr>
          <w:rFonts w:ascii="Arial" w:hAnsi="Arial" w:cs="Arial"/>
        </w:rPr>
      </w:pPr>
    </w:p>
    <w:sectPr w:rsidR="008F0D79" w:rsidRPr="00D27A48" w:rsidSect="00A571DD">
      <w:headerReference w:type="default" r:id="rId12"/>
      <w:footerReference w:type="default" r:id="rId13"/>
      <w:headerReference w:type="first" r:id="rId14"/>
      <w:footerReference w:type="first" r:id="rId15"/>
      <w:pgSz w:w="12240" w:h="18720" w:code="148"/>
      <w:pgMar w:top="212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6377" w14:textId="77777777" w:rsidR="00F77EEE" w:rsidRDefault="00F77EEE" w:rsidP="00757B36">
      <w:r>
        <w:separator/>
      </w:r>
    </w:p>
  </w:endnote>
  <w:endnote w:type="continuationSeparator" w:id="0">
    <w:p w14:paraId="7E1A750E" w14:textId="77777777" w:rsidR="00F77EEE" w:rsidRDefault="00F77EEE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B84F351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</w:t>
                              </w:r>
                              <w:proofErr w:type="gramStart"/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49 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</w:t>
                              </w:r>
                              <w:proofErr w:type="gramEnd"/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D.C., Colombia</w:t>
                              </w:r>
                            </w:p>
                            <w:p w14:paraId="7463B94C" w14:textId="30D2BA55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B84F351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</w:t>
                        </w:r>
                        <w:proofErr w:type="gramStart"/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49 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</w:t>
                        </w:r>
                        <w:proofErr w:type="gramEnd"/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D.C., Colombia</w:t>
                        </w:r>
                      </w:p>
                      <w:p w14:paraId="7463B94C" w14:textId="30D2BA55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  <w:p w14:paraId="10B21B12" w14:textId="77777777" w:rsidR="00F242AB" w:rsidRDefault="00F242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lang w:val="es-ES"/>
      </w:rPr>
      <w:id w:val="117886160"/>
      <w:docPartObj>
        <w:docPartGallery w:val="Page Numbers (Bottom of Page)"/>
        <w:docPartUnique/>
      </w:docPartObj>
    </w:sdtPr>
    <w:sdtEndPr/>
    <w:sdtContent>
      <w:p w14:paraId="52970819" w14:textId="77777777" w:rsidR="00A40220" w:rsidRDefault="00A40220" w:rsidP="003A52AB">
        <w:pPr>
          <w:pStyle w:val="Piedepgina"/>
          <w:jc w:val="right"/>
          <w:rPr>
            <w:rFonts w:ascii="Verdana" w:hAnsi="Verdana"/>
            <w:lang w:val="es-ES"/>
          </w:rPr>
        </w:pPr>
      </w:p>
      <w:p w14:paraId="36926804" w14:textId="5BD69821" w:rsidR="003A52AB" w:rsidRPr="00160630" w:rsidRDefault="003A52AB" w:rsidP="003A52AB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9AD3D9E" wp14:editId="762199E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416387174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78A495" w14:textId="77777777" w:rsidR="003A52AB" w:rsidRPr="00256928" w:rsidRDefault="003A52AB" w:rsidP="003A52AB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E4EDB4B" w14:textId="77777777" w:rsidR="003A52AB" w:rsidRPr="00160630" w:rsidRDefault="003A52AB" w:rsidP="003A52AB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723FAD0D" w14:textId="77777777" w:rsidR="003A52AB" w:rsidRPr="00284759" w:rsidRDefault="003A52AB" w:rsidP="003A52AB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</w:t>
                              </w:r>
                              <w:proofErr w:type="gramStart"/>
                              <w:r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49 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</w:t>
                              </w:r>
                              <w:proofErr w:type="gramEnd"/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D.C., Colombia</w:t>
                              </w:r>
                            </w:p>
                            <w:p w14:paraId="0FDEBFA4" w14:textId="77777777" w:rsidR="003A52AB" w:rsidRPr="00284759" w:rsidRDefault="003A52AB" w:rsidP="003A52AB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6F6AAA0D" w14:textId="77777777" w:rsidR="003A52AB" w:rsidRPr="00284759" w:rsidRDefault="003A52AB" w:rsidP="003A52AB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9AD3D9E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7.55pt;margin-top:-19.35pt;width:474pt;height:96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/OGQIAADQEAAAOAAAAZHJzL2Uyb0RvYy54bWysU8tu2zAQvBfoPxC815JcO40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5u8mN3mGOIYK8bj2Ww2jXWyy+/W+fBNQEuiUVGHvCS4&#10;2P7RhyH1lBK7GVgprRM32pAOW3ye5umHcwSLa4M9LsNGK/Sbnqj6apEN1Afcz8FAvbd8pXCGR+bD&#10;C3PINc6N+g3PeEgN2AuOFiUNuF9/u4/5SAFGKelQOxX1P3fMCUr0d4PkzIrJJIotOZPplzE67jqy&#10;uY6YXXsPKM8CX4rlyYz5QZ9M6aB9Q5kvY1cMMcOxd0XDybwPg6LxmXCxXKYklJdl4dGsLY+lI6oR&#10;4df+jTl7pCEgg09wUhkr37Ex5A58LHcBpEpURZwHVI/wozQT2cdnFLV/7aesy2Nf/AYAAP//AwBQ&#10;SwMEFAAGAAgAAAAhAI0LozfjAAAACwEAAA8AAABkcnMvZG93bnJldi54bWxMj8FOwzAMhu9IvENk&#10;JG5b2k6Frms6TZUmJASHjV24pU3WVkuc0mRb4ekxp3Gz5U+/v79YT9awix5971BAPI+AaWyc6rEV&#10;cPjYzjJgPkhU0jjUAr61h3V5f1fIXLkr7vRlH1pGIehzKaALYcg5902nrfRzN2ik29GNVgZax5ar&#10;UV4p3BqeRNETt7JH+tDJQVedbk77sxXwWm3f5a5ObPZjqpe342b4OnymQjw+TJsVsKCncIPhT5/U&#10;oSSn2p1ReWYEzOI0JpSGRfYMjIjlIlkCqwlN0wh4WfD/HcpfAAAA//8DAFBLAQItABQABgAIAAAA&#10;IQC2gziS/gAAAOEBAAATAAAAAAAAAAAAAAAAAAAAAABbQ29udGVudF9UeXBlc10ueG1sUEsBAi0A&#10;FAAGAAgAAAAhADj9If/WAAAAlAEAAAsAAAAAAAAAAAAAAAAALwEAAF9yZWxzLy5yZWxzUEsBAi0A&#10;FAAGAAgAAAAhAAI1T84ZAgAANAQAAA4AAAAAAAAAAAAAAAAALgIAAGRycy9lMm9Eb2MueG1sUEsB&#10;Ai0AFAAGAAgAAAAhAI0LozfjAAAACwEAAA8AAAAAAAAAAAAAAAAAcwQAAGRycy9kb3ducmV2Lnht&#10;bFBLBQYAAAAABAAEAPMAAACDBQAAAAA=&#10;" filled="f" stroked="f" strokeweight=".5pt">
                  <v:textbox>
                    <w:txbxContent>
                      <w:p w14:paraId="5B78A495" w14:textId="77777777" w:rsidR="003A52AB" w:rsidRPr="00256928" w:rsidRDefault="003A52AB" w:rsidP="003A52AB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E4EDB4B" w14:textId="77777777" w:rsidR="003A52AB" w:rsidRPr="00160630" w:rsidRDefault="003A52AB" w:rsidP="003A52AB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723FAD0D" w14:textId="77777777" w:rsidR="003A52AB" w:rsidRPr="00284759" w:rsidRDefault="003A52AB" w:rsidP="003A52AB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</w:t>
                        </w:r>
                        <w:proofErr w:type="gramStart"/>
                        <w:r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49 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</w:t>
                        </w:r>
                        <w:proofErr w:type="gramEnd"/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D.C., Colombia</w:t>
                        </w:r>
                      </w:p>
                      <w:p w14:paraId="0FDEBFA4" w14:textId="77777777" w:rsidR="003A52AB" w:rsidRPr="00284759" w:rsidRDefault="003A52AB" w:rsidP="003A52AB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6F6AAA0D" w14:textId="77777777" w:rsidR="003A52AB" w:rsidRPr="00284759" w:rsidRDefault="003A52AB" w:rsidP="003A52AB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>
          <w:rPr>
            <w:rFonts w:ascii="Verdana" w:hAnsi="Verdana"/>
          </w:rPr>
          <w:t>2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7B12A043" w14:textId="77777777" w:rsidR="003A52AB" w:rsidRDefault="003A52AB">
    <w:pPr>
      <w:pStyle w:val="Piedepgina"/>
    </w:pPr>
  </w:p>
  <w:p w14:paraId="54D9252E" w14:textId="77777777" w:rsidR="00F242AB" w:rsidRDefault="00F242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0C44" w14:textId="77777777" w:rsidR="00F77EEE" w:rsidRDefault="00F77EEE" w:rsidP="00757B36">
      <w:r>
        <w:separator/>
      </w:r>
    </w:p>
  </w:footnote>
  <w:footnote w:type="continuationSeparator" w:id="0">
    <w:p w14:paraId="0F782A58" w14:textId="77777777" w:rsidR="00F77EEE" w:rsidRDefault="00F77EEE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9520" w14:textId="77777777" w:rsidR="00971FCD" w:rsidRDefault="00971FCD" w:rsidP="00971FCD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CE64D0" wp14:editId="1DFE30A5">
          <wp:simplePos x="0" y="0"/>
          <wp:positionH relativeFrom="column">
            <wp:posOffset>-546735</wp:posOffset>
          </wp:positionH>
          <wp:positionV relativeFrom="line">
            <wp:posOffset>-97155</wp:posOffset>
          </wp:positionV>
          <wp:extent cx="1730520" cy="542157"/>
          <wp:effectExtent l="0" t="0" r="3175" b="0"/>
          <wp:wrapSquare wrapText="bothSides"/>
          <wp:docPr id="756396569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396569" name="Imagen 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30520" cy="542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B9CDC72" wp14:editId="0BC1C53A">
          <wp:simplePos x="0" y="0"/>
          <wp:positionH relativeFrom="margin">
            <wp:posOffset>4387215</wp:posOffset>
          </wp:positionH>
          <wp:positionV relativeFrom="line">
            <wp:posOffset>-87630</wp:posOffset>
          </wp:positionV>
          <wp:extent cx="1914525" cy="509270"/>
          <wp:effectExtent l="0" t="0" r="0" b="5080"/>
          <wp:wrapSquare wrapText="bothSides"/>
          <wp:docPr id="1141326326" name="Imagen 114132632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26326" name="Imagen 1141326326" descr="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1452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2B9D67" w14:textId="77777777" w:rsidR="00971FCD" w:rsidRDefault="00971FCD" w:rsidP="00971FCD">
    <w:pPr>
      <w:pStyle w:val="Encabezado"/>
    </w:pPr>
  </w:p>
  <w:p w14:paraId="63425BC5" w14:textId="77777777" w:rsidR="00971FCD" w:rsidRDefault="00971FCD" w:rsidP="00971FCD">
    <w:pPr>
      <w:pStyle w:val="Encabezado"/>
    </w:pPr>
  </w:p>
  <w:p w14:paraId="5FF8CE25" w14:textId="73D56C38" w:rsidR="00757B36" w:rsidRPr="00971FCD" w:rsidRDefault="00971FCD" w:rsidP="00971FCD">
    <w:pPr>
      <w:pStyle w:val="Encabezado"/>
      <w:ind w:left="-426"/>
      <w:rPr>
        <w:rFonts w:ascii="Arial" w:hAnsi="Arial" w:cs="Arial"/>
      </w:rPr>
    </w:pPr>
    <w:r>
      <w:rPr>
        <w:rFonts w:ascii="Arial" w:hAnsi="Arial" w:cs="Arial"/>
      </w:rPr>
      <w:t>C</w:t>
    </w:r>
    <w:r w:rsidRPr="00AE7A92">
      <w:rPr>
        <w:rFonts w:ascii="Arial" w:hAnsi="Arial" w:cs="Arial"/>
      </w:rPr>
      <w:t>ircular</w:t>
    </w:r>
    <w:r>
      <w:rPr>
        <w:rFonts w:ascii="Arial" w:hAnsi="Arial" w:cs="Arial"/>
      </w:rPr>
      <w:t xml:space="preserve"> Externa</w:t>
    </w:r>
    <w:r w:rsidRPr="00AE7A92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</w:t>
    </w:r>
    <w:r w:rsidRPr="00AE7A92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</w:t>
    </w:r>
    <w:r w:rsidRPr="00AE7A92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  </w:t>
    </w:r>
  </w:p>
  <w:p w14:paraId="2912E18C" w14:textId="77777777" w:rsidR="00F242AB" w:rsidRDefault="00F242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DAC6" w14:textId="7880D70C" w:rsidR="00971FCD" w:rsidRDefault="00971FCD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2A2CFFC" wp14:editId="355BDAD3">
          <wp:simplePos x="0" y="0"/>
          <wp:positionH relativeFrom="column">
            <wp:posOffset>-619125</wp:posOffset>
          </wp:positionH>
          <wp:positionV relativeFrom="line">
            <wp:posOffset>-57785</wp:posOffset>
          </wp:positionV>
          <wp:extent cx="1730375" cy="541655"/>
          <wp:effectExtent l="0" t="0" r="3175" b="0"/>
          <wp:wrapSquare wrapText="bothSides"/>
          <wp:docPr id="1530978485" name="Imagen 1530978485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396569" name="Imagen 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3037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7D87C16" wp14:editId="651D6FEE">
          <wp:simplePos x="0" y="0"/>
          <wp:positionH relativeFrom="margin">
            <wp:posOffset>4314825</wp:posOffset>
          </wp:positionH>
          <wp:positionV relativeFrom="line">
            <wp:posOffset>-48260</wp:posOffset>
          </wp:positionV>
          <wp:extent cx="1914525" cy="509270"/>
          <wp:effectExtent l="0" t="0" r="0" b="5080"/>
          <wp:wrapSquare wrapText="bothSides"/>
          <wp:docPr id="569794432" name="Imagen 56979443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26326" name="Imagen 1141326326" descr="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1452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480465" w14:textId="77777777" w:rsidR="00F242AB" w:rsidRDefault="00F242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2EAE"/>
    <w:multiLevelType w:val="hybridMultilevel"/>
    <w:tmpl w:val="9368A2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C7BCF"/>
    <w:multiLevelType w:val="hybridMultilevel"/>
    <w:tmpl w:val="BD3C503E"/>
    <w:lvl w:ilvl="0" w:tplc="6D9ED5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F3D3E"/>
    <w:multiLevelType w:val="multilevel"/>
    <w:tmpl w:val="8946B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71623107">
    <w:abstractNumId w:val="0"/>
  </w:num>
  <w:num w:numId="2" w16cid:durableId="118258037">
    <w:abstractNumId w:val="1"/>
  </w:num>
  <w:num w:numId="3" w16cid:durableId="648436262">
    <w:abstractNumId w:val="3"/>
  </w:num>
  <w:num w:numId="4" w16cid:durableId="100074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6604"/>
    <w:rsid w:val="000B6A84"/>
    <w:rsid w:val="000C20C5"/>
    <w:rsid w:val="000C253A"/>
    <w:rsid w:val="000D2CA6"/>
    <w:rsid w:val="000E30B3"/>
    <w:rsid w:val="000E6A90"/>
    <w:rsid w:val="0012402C"/>
    <w:rsid w:val="0013157E"/>
    <w:rsid w:val="00143421"/>
    <w:rsid w:val="00147051"/>
    <w:rsid w:val="00147CA6"/>
    <w:rsid w:val="00157CAB"/>
    <w:rsid w:val="00160630"/>
    <w:rsid w:val="00171126"/>
    <w:rsid w:val="001807BB"/>
    <w:rsid w:val="001D22BD"/>
    <w:rsid w:val="001D3349"/>
    <w:rsid w:val="001E7F4C"/>
    <w:rsid w:val="001F0514"/>
    <w:rsid w:val="002007C3"/>
    <w:rsid w:val="00205317"/>
    <w:rsid w:val="00210F10"/>
    <w:rsid w:val="0021549F"/>
    <w:rsid w:val="002265D1"/>
    <w:rsid w:val="00243EB0"/>
    <w:rsid w:val="00255542"/>
    <w:rsid w:val="00256928"/>
    <w:rsid w:val="002711DC"/>
    <w:rsid w:val="00283E71"/>
    <w:rsid w:val="00284759"/>
    <w:rsid w:val="00290BE0"/>
    <w:rsid w:val="002A47C0"/>
    <w:rsid w:val="002C42F8"/>
    <w:rsid w:val="002D5C9A"/>
    <w:rsid w:val="0030489C"/>
    <w:rsid w:val="003072FF"/>
    <w:rsid w:val="00320380"/>
    <w:rsid w:val="003219EC"/>
    <w:rsid w:val="00323BC8"/>
    <w:rsid w:val="003312E3"/>
    <w:rsid w:val="0035074C"/>
    <w:rsid w:val="0035165F"/>
    <w:rsid w:val="00362B55"/>
    <w:rsid w:val="0039087D"/>
    <w:rsid w:val="003A52AB"/>
    <w:rsid w:val="003B1A54"/>
    <w:rsid w:val="003D08B8"/>
    <w:rsid w:val="003D6C80"/>
    <w:rsid w:val="003E7B46"/>
    <w:rsid w:val="00400E14"/>
    <w:rsid w:val="00401D10"/>
    <w:rsid w:val="00411351"/>
    <w:rsid w:val="00416689"/>
    <w:rsid w:val="00425AF0"/>
    <w:rsid w:val="00427F16"/>
    <w:rsid w:val="00431705"/>
    <w:rsid w:val="00436406"/>
    <w:rsid w:val="00436E05"/>
    <w:rsid w:val="00445FF8"/>
    <w:rsid w:val="00456DB6"/>
    <w:rsid w:val="00463F61"/>
    <w:rsid w:val="004655CA"/>
    <w:rsid w:val="00494D46"/>
    <w:rsid w:val="00494EBB"/>
    <w:rsid w:val="004A25DA"/>
    <w:rsid w:val="004B4746"/>
    <w:rsid w:val="004B6AF6"/>
    <w:rsid w:val="004E4738"/>
    <w:rsid w:val="00500EE0"/>
    <w:rsid w:val="0052217A"/>
    <w:rsid w:val="00525865"/>
    <w:rsid w:val="00545EB0"/>
    <w:rsid w:val="005532C7"/>
    <w:rsid w:val="00583CD3"/>
    <w:rsid w:val="00584719"/>
    <w:rsid w:val="005852F1"/>
    <w:rsid w:val="00593622"/>
    <w:rsid w:val="00595AFF"/>
    <w:rsid w:val="005D2E19"/>
    <w:rsid w:val="005D7E1B"/>
    <w:rsid w:val="005E2A54"/>
    <w:rsid w:val="0060329C"/>
    <w:rsid w:val="00606C19"/>
    <w:rsid w:val="006109A9"/>
    <w:rsid w:val="00611C0F"/>
    <w:rsid w:val="00611E76"/>
    <w:rsid w:val="00617535"/>
    <w:rsid w:val="00643550"/>
    <w:rsid w:val="0066562C"/>
    <w:rsid w:val="00667A44"/>
    <w:rsid w:val="00670CC1"/>
    <w:rsid w:val="00685514"/>
    <w:rsid w:val="00686EAF"/>
    <w:rsid w:val="00690C37"/>
    <w:rsid w:val="006A2DAD"/>
    <w:rsid w:val="006A48C9"/>
    <w:rsid w:val="006A6980"/>
    <w:rsid w:val="006D00EC"/>
    <w:rsid w:val="006F1953"/>
    <w:rsid w:val="007074BF"/>
    <w:rsid w:val="00710ADE"/>
    <w:rsid w:val="007112CE"/>
    <w:rsid w:val="00723EC1"/>
    <w:rsid w:val="007470F0"/>
    <w:rsid w:val="00757B36"/>
    <w:rsid w:val="007817CD"/>
    <w:rsid w:val="00786073"/>
    <w:rsid w:val="00787DA5"/>
    <w:rsid w:val="00796314"/>
    <w:rsid w:val="007A7D31"/>
    <w:rsid w:val="007C24B8"/>
    <w:rsid w:val="007C7DA9"/>
    <w:rsid w:val="007F1B73"/>
    <w:rsid w:val="00817E6C"/>
    <w:rsid w:val="00831676"/>
    <w:rsid w:val="0083360D"/>
    <w:rsid w:val="00852BA0"/>
    <w:rsid w:val="008533EB"/>
    <w:rsid w:val="00853A0D"/>
    <w:rsid w:val="008552CB"/>
    <w:rsid w:val="00866345"/>
    <w:rsid w:val="008672D9"/>
    <w:rsid w:val="00867336"/>
    <w:rsid w:val="0087777B"/>
    <w:rsid w:val="00877B17"/>
    <w:rsid w:val="008807C2"/>
    <w:rsid w:val="008842A3"/>
    <w:rsid w:val="008843F7"/>
    <w:rsid w:val="008877BD"/>
    <w:rsid w:val="008A4E8C"/>
    <w:rsid w:val="008B0840"/>
    <w:rsid w:val="008B12E8"/>
    <w:rsid w:val="008B4D67"/>
    <w:rsid w:val="008D2ACF"/>
    <w:rsid w:val="008F0D79"/>
    <w:rsid w:val="00902721"/>
    <w:rsid w:val="00950645"/>
    <w:rsid w:val="00960232"/>
    <w:rsid w:val="00961579"/>
    <w:rsid w:val="00967B41"/>
    <w:rsid w:val="00970251"/>
    <w:rsid w:val="00971FCD"/>
    <w:rsid w:val="0097204F"/>
    <w:rsid w:val="00974D94"/>
    <w:rsid w:val="00985E10"/>
    <w:rsid w:val="00987BA2"/>
    <w:rsid w:val="009923D9"/>
    <w:rsid w:val="00992B25"/>
    <w:rsid w:val="009A1E34"/>
    <w:rsid w:val="009B2238"/>
    <w:rsid w:val="009B703C"/>
    <w:rsid w:val="009D56EA"/>
    <w:rsid w:val="009E55A2"/>
    <w:rsid w:val="00A0342A"/>
    <w:rsid w:val="00A05086"/>
    <w:rsid w:val="00A25B80"/>
    <w:rsid w:val="00A26DD3"/>
    <w:rsid w:val="00A308A6"/>
    <w:rsid w:val="00A40220"/>
    <w:rsid w:val="00A40C69"/>
    <w:rsid w:val="00A571DD"/>
    <w:rsid w:val="00A9557F"/>
    <w:rsid w:val="00AA6B16"/>
    <w:rsid w:val="00AB434E"/>
    <w:rsid w:val="00AB64D7"/>
    <w:rsid w:val="00AD1911"/>
    <w:rsid w:val="00AD4AC1"/>
    <w:rsid w:val="00AE23FA"/>
    <w:rsid w:val="00AF380B"/>
    <w:rsid w:val="00B03FFB"/>
    <w:rsid w:val="00B052F5"/>
    <w:rsid w:val="00B0632D"/>
    <w:rsid w:val="00B12821"/>
    <w:rsid w:val="00B23AC3"/>
    <w:rsid w:val="00B35AC5"/>
    <w:rsid w:val="00B37FB4"/>
    <w:rsid w:val="00B63260"/>
    <w:rsid w:val="00B8235A"/>
    <w:rsid w:val="00B87881"/>
    <w:rsid w:val="00BB4DB4"/>
    <w:rsid w:val="00C10EFA"/>
    <w:rsid w:val="00C16FCE"/>
    <w:rsid w:val="00C26416"/>
    <w:rsid w:val="00C43E90"/>
    <w:rsid w:val="00C71CAF"/>
    <w:rsid w:val="00C71D0D"/>
    <w:rsid w:val="00C93051"/>
    <w:rsid w:val="00CA0C24"/>
    <w:rsid w:val="00CB40AC"/>
    <w:rsid w:val="00CE1570"/>
    <w:rsid w:val="00CE5977"/>
    <w:rsid w:val="00CF501A"/>
    <w:rsid w:val="00D10155"/>
    <w:rsid w:val="00D145EF"/>
    <w:rsid w:val="00D27A48"/>
    <w:rsid w:val="00D34D20"/>
    <w:rsid w:val="00D37528"/>
    <w:rsid w:val="00D44A4D"/>
    <w:rsid w:val="00D46839"/>
    <w:rsid w:val="00D83752"/>
    <w:rsid w:val="00DA3135"/>
    <w:rsid w:val="00DD257A"/>
    <w:rsid w:val="00DD3BC1"/>
    <w:rsid w:val="00DD558B"/>
    <w:rsid w:val="00DD6C5F"/>
    <w:rsid w:val="00DE0685"/>
    <w:rsid w:val="00DE3909"/>
    <w:rsid w:val="00DF05E4"/>
    <w:rsid w:val="00DF5643"/>
    <w:rsid w:val="00E12579"/>
    <w:rsid w:val="00E13EC1"/>
    <w:rsid w:val="00E3385C"/>
    <w:rsid w:val="00E67EEA"/>
    <w:rsid w:val="00E764DD"/>
    <w:rsid w:val="00E82FC8"/>
    <w:rsid w:val="00E86B6E"/>
    <w:rsid w:val="00ED1C73"/>
    <w:rsid w:val="00ED47BF"/>
    <w:rsid w:val="00EE13F0"/>
    <w:rsid w:val="00EF6E7D"/>
    <w:rsid w:val="00F11871"/>
    <w:rsid w:val="00F22545"/>
    <w:rsid w:val="00F242AB"/>
    <w:rsid w:val="00F344CF"/>
    <w:rsid w:val="00F620AC"/>
    <w:rsid w:val="00F63FF9"/>
    <w:rsid w:val="00F75F7D"/>
    <w:rsid w:val="00F767C4"/>
    <w:rsid w:val="00F77EEE"/>
    <w:rsid w:val="00F86249"/>
    <w:rsid w:val="00F8640E"/>
    <w:rsid w:val="00FA082A"/>
    <w:rsid w:val="00FA4C0B"/>
    <w:rsid w:val="00FC36A3"/>
    <w:rsid w:val="00FD2286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F242AB"/>
    <w:pPr>
      <w:keepNext/>
      <w:tabs>
        <w:tab w:val="left" w:pos="-720"/>
      </w:tabs>
      <w:jc w:val="both"/>
      <w:outlineLvl w:val="1"/>
    </w:pPr>
    <w:rPr>
      <w:rFonts w:ascii="Arial" w:eastAsia="Times New Roman" w:hAnsi="Arial"/>
      <w:b/>
      <w:sz w:val="18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F242AB"/>
    <w:rPr>
      <w:rFonts w:ascii="Arial" w:eastAsia="Times New Roman" w:hAnsi="Arial" w:cs="Times New Roman"/>
      <w:b/>
      <w:kern w:val="0"/>
      <w:sz w:val="18"/>
      <w:szCs w:val="20"/>
      <w:lang w:eastAsia="es-C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242AB"/>
    <w:rPr>
      <w:rFonts w:eastAsia="Times New Roman"/>
      <w:lang w:val="es-ES_tradnl"/>
    </w:rPr>
  </w:style>
  <w:style w:type="paragraph" w:customStyle="1" w:styleId="Textoindependiente21">
    <w:name w:val="Texto independiente 21"/>
    <w:basedOn w:val="Normal"/>
    <w:uiPriority w:val="99"/>
    <w:rsid w:val="00F242AB"/>
    <w:pPr>
      <w:jc w:val="both"/>
    </w:pPr>
    <w:rPr>
      <w:rFonts w:ascii="Arial" w:eastAsia="Times New Roman" w:hAnsi="Arial"/>
      <w:b/>
      <w:sz w:val="20"/>
      <w:szCs w:val="20"/>
      <w:lang w:val="es-ES_tradnl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402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40220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402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0220"/>
    <w:pPr>
      <w:spacing w:before="120" w:after="120"/>
    </w:pPr>
    <w:rPr>
      <w:rFonts w:ascii="Arial" w:eastAsia="Times New Roman" w:hAnsi="Arial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0220"/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3EB"/>
    <w:pPr>
      <w:spacing w:before="0" w:after="0"/>
    </w:pPr>
    <w:rPr>
      <w:rFonts w:ascii="Times New Roman" w:eastAsia="MS Mincho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3EB"/>
    <w:rPr>
      <w:rFonts w:ascii="Times New Roman" w:eastAsia="MS Mincho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DE0685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D558B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3385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3385C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Sinespaciado">
    <w:name w:val="No Spacing"/>
    <w:uiPriority w:val="1"/>
    <w:qFormat/>
    <w:rsid w:val="00E3385C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customStyle="1" w:styleId="ui-provider">
    <w:name w:val="ui-provider"/>
    <w:basedOn w:val="Fuentedeprrafopredeter"/>
    <w:rsid w:val="00350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2FA30E39BDA4EBC702A95D01A01D0" ma:contentTypeVersion="3" ma:contentTypeDescription="Create a new document." ma:contentTypeScope="" ma:versionID="41afbeceafe1b6b25b7bd6988e638a81">
  <xsd:schema xmlns:xsd="http://www.w3.org/2001/XMLSchema" xmlns:xs="http://www.w3.org/2001/XMLSchema" xmlns:p="http://schemas.microsoft.com/office/2006/metadata/properties" xmlns:ns2="4cd8a5a4-5d80-4c48-b055-1ab9b4d9f3a5" targetNamespace="http://schemas.microsoft.com/office/2006/metadata/properties" ma:root="true" ma:fieldsID="2322f0200960c697364fc7e0f4dd1b7f" ns2:_="">
    <xsd:import namespace="4cd8a5a4-5d80-4c48-b055-1ab9b4d9f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a5a4-5d80-4c48-b055-1ab9b4d9f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AA37CD-01C9-483E-9F13-E59DA5977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2D6E1-1030-4AD4-8759-BF1CA8051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a5a4-5d80-4c48-b055-1ab9b4d9f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E2761-9433-412E-A885-076921AB09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13A54-C7B3-4CB2-9906-416798B8EF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Oscar Andres Alvarez Torres</cp:lastModifiedBy>
  <cp:revision>2</cp:revision>
  <cp:lastPrinted>2024-04-03T13:43:00Z</cp:lastPrinted>
  <dcterms:created xsi:type="dcterms:W3CDTF">2024-06-12T20:12:00Z</dcterms:created>
  <dcterms:modified xsi:type="dcterms:W3CDTF">2024-06-12T20:12:00Z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0x010100F072FA30E39BDA4EBC702A95D01A01D0</vt:lpwstr>
  </property>
</Properties>
</file>