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99320E" w14:textId="24EFFA92" w:rsidR="00376380" w:rsidRPr="006B699F" w:rsidRDefault="00376380" w:rsidP="00376380">
      <w:pPr>
        <w:pBdr>
          <w:top w:val="single" w:sz="4" w:space="0" w:color="auto"/>
          <w:left w:val="single" w:sz="4" w:space="4" w:color="auto"/>
          <w:bottom w:val="single" w:sz="4" w:space="1" w:color="auto"/>
          <w:right w:val="single" w:sz="4" w:space="4" w:color="auto"/>
        </w:pBdr>
        <w:jc w:val="center"/>
        <w:rPr>
          <w:rFonts w:ascii="Verdana" w:hAnsi="Verdana" w:cs="Arial"/>
          <w:b/>
          <w:sz w:val="22"/>
          <w:szCs w:val="22"/>
        </w:rPr>
      </w:pPr>
    </w:p>
    <w:p w14:paraId="2B22162F" w14:textId="77777777" w:rsidR="00376380" w:rsidRPr="006B699F" w:rsidRDefault="00376380" w:rsidP="00376380">
      <w:pPr>
        <w:pBdr>
          <w:top w:val="single" w:sz="4" w:space="0" w:color="auto"/>
          <w:left w:val="single" w:sz="4" w:space="4" w:color="auto"/>
          <w:bottom w:val="single" w:sz="4" w:space="1" w:color="auto"/>
          <w:right w:val="single" w:sz="4" w:space="4" w:color="auto"/>
        </w:pBdr>
        <w:jc w:val="center"/>
        <w:outlineLvl w:val="0"/>
        <w:rPr>
          <w:rFonts w:ascii="Verdana" w:hAnsi="Verdana" w:cs="Arial"/>
          <w:b/>
          <w:sz w:val="22"/>
          <w:szCs w:val="22"/>
        </w:rPr>
      </w:pPr>
      <w:r w:rsidRPr="006B699F">
        <w:rPr>
          <w:rFonts w:ascii="Verdana" w:hAnsi="Verdana" w:cs="Arial"/>
          <w:b/>
          <w:sz w:val="22"/>
          <w:szCs w:val="22"/>
        </w:rPr>
        <w:t>Se publica para comentarios del público el siguiente:</w:t>
      </w:r>
    </w:p>
    <w:p w14:paraId="55B9CD68" w14:textId="77777777" w:rsidR="00376380" w:rsidRPr="006B699F" w:rsidRDefault="00376380" w:rsidP="00376380">
      <w:pPr>
        <w:pBdr>
          <w:top w:val="single" w:sz="4" w:space="0" w:color="auto"/>
          <w:left w:val="single" w:sz="4" w:space="4" w:color="auto"/>
          <w:bottom w:val="single" w:sz="4" w:space="1" w:color="auto"/>
          <w:right w:val="single" w:sz="4" w:space="4" w:color="auto"/>
        </w:pBdr>
        <w:rPr>
          <w:rFonts w:ascii="Verdana" w:hAnsi="Verdana" w:cs="Arial"/>
          <w:sz w:val="22"/>
          <w:szCs w:val="22"/>
        </w:rPr>
      </w:pPr>
    </w:p>
    <w:p w14:paraId="540A01CC" w14:textId="77777777" w:rsidR="00376380" w:rsidRPr="006B699F" w:rsidRDefault="00376380" w:rsidP="00376380">
      <w:pPr>
        <w:pBdr>
          <w:top w:val="single" w:sz="4" w:space="0" w:color="auto"/>
          <w:left w:val="single" w:sz="4" w:space="4" w:color="auto"/>
          <w:bottom w:val="single" w:sz="4" w:space="1" w:color="auto"/>
          <w:right w:val="single" w:sz="4" w:space="4" w:color="auto"/>
        </w:pBdr>
        <w:rPr>
          <w:rFonts w:ascii="Verdana" w:hAnsi="Verdana" w:cs="Arial"/>
          <w:b/>
          <w:bCs/>
          <w:sz w:val="22"/>
          <w:szCs w:val="22"/>
        </w:rPr>
      </w:pPr>
    </w:p>
    <w:p w14:paraId="08658FFB" w14:textId="2A1D3064" w:rsidR="00376380" w:rsidRPr="006B699F" w:rsidRDefault="00376380" w:rsidP="00376380">
      <w:pPr>
        <w:pBdr>
          <w:top w:val="single" w:sz="4" w:space="0" w:color="auto"/>
          <w:left w:val="single" w:sz="4" w:space="4" w:color="auto"/>
          <w:bottom w:val="single" w:sz="4" w:space="1" w:color="auto"/>
          <w:right w:val="single" w:sz="4" w:space="4" w:color="auto"/>
        </w:pBdr>
        <w:jc w:val="both"/>
        <w:rPr>
          <w:rFonts w:ascii="Verdana" w:hAnsi="Verdana" w:cs="Arial"/>
          <w:bCs/>
          <w:sz w:val="22"/>
          <w:szCs w:val="22"/>
        </w:rPr>
      </w:pPr>
      <w:r w:rsidRPr="006B699F">
        <w:rPr>
          <w:rFonts w:ascii="Verdana" w:hAnsi="Verdana" w:cs="Arial"/>
          <w:b/>
          <w:bCs/>
          <w:sz w:val="22"/>
          <w:szCs w:val="22"/>
        </w:rPr>
        <w:t xml:space="preserve">PROYECTO DE </w:t>
      </w:r>
      <w:r w:rsidR="00284134" w:rsidRPr="006B699F">
        <w:rPr>
          <w:rFonts w:ascii="Verdana" w:hAnsi="Verdana" w:cs="Arial"/>
          <w:b/>
          <w:sz w:val="22"/>
          <w:szCs w:val="22"/>
        </w:rPr>
        <w:t>CIRCULAR EXTERNA</w:t>
      </w:r>
      <w:r w:rsidR="00284134" w:rsidRPr="006B699F">
        <w:rPr>
          <w:rFonts w:ascii="Verdana" w:hAnsi="Verdana" w:cs="Arial"/>
          <w:bCs/>
          <w:sz w:val="22"/>
          <w:szCs w:val="22"/>
        </w:rPr>
        <w:t>:</w:t>
      </w:r>
      <w:r w:rsidRPr="006B699F">
        <w:rPr>
          <w:rFonts w:ascii="Verdana" w:hAnsi="Verdana" w:cs="Arial"/>
          <w:b/>
          <w:bCs/>
          <w:sz w:val="22"/>
          <w:szCs w:val="22"/>
        </w:rPr>
        <w:t xml:space="preserve"> </w:t>
      </w:r>
      <w:r w:rsidR="00216B04" w:rsidRPr="00216B04">
        <w:rPr>
          <w:rFonts w:ascii="Verdana" w:hAnsi="Verdana" w:cs="Arial"/>
          <w:bCs/>
          <w:sz w:val="22"/>
          <w:szCs w:val="22"/>
        </w:rPr>
        <w:t>Tarifa máxima y vigencia del Seguro Obligatorio de Daños Corporales causados a las Personas en Accidentes de Tránsito (SOAT) para los vehículos que circulen por zonas fronterizas</w:t>
      </w:r>
      <w:r w:rsidR="00216B04">
        <w:rPr>
          <w:rFonts w:ascii="Verdana" w:hAnsi="Verdana" w:cs="Arial"/>
          <w:bCs/>
          <w:sz w:val="22"/>
          <w:szCs w:val="22"/>
        </w:rPr>
        <w:t>.</w:t>
      </w:r>
    </w:p>
    <w:p w14:paraId="3B5142D6" w14:textId="77777777" w:rsidR="00376380" w:rsidRPr="006B699F" w:rsidRDefault="00376380" w:rsidP="00376380">
      <w:pPr>
        <w:pBdr>
          <w:top w:val="single" w:sz="4" w:space="0" w:color="auto"/>
          <w:left w:val="single" w:sz="4" w:space="4" w:color="auto"/>
          <w:bottom w:val="single" w:sz="4" w:space="1" w:color="auto"/>
          <w:right w:val="single" w:sz="4" w:space="4" w:color="auto"/>
        </w:pBdr>
        <w:jc w:val="both"/>
        <w:rPr>
          <w:rFonts w:ascii="Verdana" w:hAnsi="Verdana" w:cs="Arial"/>
          <w:b/>
          <w:bCs/>
          <w:sz w:val="22"/>
          <w:szCs w:val="22"/>
        </w:rPr>
      </w:pPr>
    </w:p>
    <w:p w14:paraId="00A89AFF" w14:textId="2723F93C" w:rsidR="00BF7170" w:rsidRDefault="00376380" w:rsidP="00376380">
      <w:pPr>
        <w:pBdr>
          <w:top w:val="single" w:sz="4" w:space="0" w:color="auto"/>
          <w:left w:val="single" w:sz="4" w:space="4" w:color="auto"/>
          <w:bottom w:val="single" w:sz="4" w:space="1" w:color="auto"/>
          <w:right w:val="single" w:sz="4" w:space="4" w:color="auto"/>
        </w:pBdr>
        <w:jc w:val="both"/>
        <w:rPr>
          <w:rFonts w:ascii="Verdana" w:hAnsi="Verdana" w:cs="Arial"/>
          <w:bCs/>
          <w:sz w:val="22"/>
          <w:szCs w:val="22"/>
          <w:lang w:val="es-AR"/>
        </w:rPr>
      </w:pPr>
      <w:r w:rsidRPr="006B699F">
        <w:rPr>
          <w:rFonts w:ascii="Verdana" w:hAnsi="Verdana" w:cs="Arial"/>
          <w:b/>
          <w:bCs/>
          <w:sz w:val="22"/>
          <w:szCs w:val="22"/>
        </w:rPr>
        <w:t xml:space="preserve">PROPÓSITO: </w:t>
      </w:r>
      <w:r w:rsidR="00216B04">
        <w:rPr>
          <w:rFonts w:ascii="Verdana" w:hAnsi="Verdana" w:cs="Arial"/>
          <w:bCs/>
          <w:sz w:val="22"/>
          <w:szCs w:val="22"/>
          <w:lang w:val="es-AR"/>
        </w:rPr>
        <w:t>E</w:t>
      </w:r>
      <w:r w:rsidR="00216B04" w:rsidRPr="00216B04">
        <w:rPr>
          <w:rFonts w:ascii="Verdana" w:hAnsi="Verdana" w:cs="Arial"/>
          <w:bCs/>
          <w:sz w:val="22"/>
          <w:szCs w:val="22"/>
          <w:lang w:val="es-AR"/>
        </w:rPr>
        <w:t>stablecer que la vigencia mínima del SOAT sea diaria para los vehículos que transiten por zonas de frontera, así como determinar la metodología para el cálculo de la tarifa máxima para dichas pólizas.</w:t>
      </w:r>
    </w:p>
    <w:p w14:paraId="738B692F" w14:textId="77777777" w:rsidR="00216B04" w:rsidRPr="006B699F" w:rsidRDefault="00216B04" w:rsidP="00376380">
      <w:pPr>
        <w:pBdr>
          <w:top w:val="single" w:sz="4" w:space="0" w:color="auto"/>
          <w:left w:val="single" w:sz="4" w:space="4" w:color="auto"/>
          <w:bottom w:val="single" w:sz="4" w:space="1" w:color="auto"/>
          <w:right w:val="single" w:sz="4" w:space="4" w:color="auto"/>
        </w:pBdr>
        <w:jc w:val="both"/>
        <w:rPr>
          <w:rFonts w:ascii="Verdana" w:hAnsi="Verdana" w:cs="Arial"/>
          <w:b/>
          <w:bCs/>
          <w:sz w:val="22"/>
          <w:szCs w:val="22"/>
        </w:rPr>
      </w:pPr>
    </w:p>
    <w:p w14:paraId="189C49B0" w14:textId="1FC6498B" w:rsidR="00376380" w:rsidRPr="006B699F" w:rsidRDefault="00376380" w:rsidP="68D0F859">
      <w:pPr>
        <w:pBdr>
          <w:top w:val="single" w:sz="4" w:space="0" w:color="auto"/>
          <w:left w:val="single" w:sz="4" w:space="4" w:color="auto"/>
          <w:bottom w:val="single" w:sz="4" w:space="1" w:color="auto"/>
          <w:right w:val="single" w:sz="4" w:space="4" w:color="auto"/>
        </w:pBdr>
        <w:jc w:val="both"/>
        <w:outlineLvl w:val="0"/>
        <w:rPr>
          <w:rFonts w:ascii="Verdana" w:hAnsi="Verdana" w:cs="Arial"/>
          <w:b/>
          <w:bCs/>
          <w:sz w:val="22"/>
          <w:szCs w:val="22"/>
        </w:rPr>
      </w:pPr>
      <w:r w:rsidRPr="68D0F859">
        <w:rPr>
          <w:rFonts w:ascii="Verdana" w:hAnsi="Verdana" w:cs="Arial"/>
          <w:b/>
          <w:bCs/>
          <w:sz w:val="22"/>
          <w:szCs w:val="22"/>
        </w:rPr>
        <w:t xml:space="preserve">PLAZO PARA COMENTARIOS: </w:t>
      </w:r>
      <w:r w:rsidR="67864576" w:rsidRPr="68D0F859">
        <w:rPr>
          <w:rFonts w:ascii="Verdana" w:hAnsi="Verdana" w:cs="Arial"/>
          <w:sz w:val="22"/>
          <w:szCs w:val="22"/>
        </w:rPr>
        <w:t xml:space="preserve">Hasta las </w:t>
      </w:r>
      <w:r w:rsidR="00082C72" w:rsidRPr="68D0F859">
        <w:rPr>
          <w:rFonts w:ascii="Verdana" w:hAnsi="Verdana" w:cs="Arial"/>
          <w:sz w:val="22"/>
          <w:szCs w:val="22"/>
        </w:rPr>
        <w:t xml:space="preserve">5:00 p.m. del </w:t>
      </w:r>
      <w:r w:rsidR="00A95C18">
        <w:rPr>
          <w:rFonts w:ascii="Verdana" w:hAnsi="Verdana" w:cs="Arial"/>
          <w:sz w:val="22"/>
          <w:szCs w:val="22"/>
        </w:rPr>
        <w:t>viernes</w:t>
      </w:r>
      <w:r w:rsidR="00252641">
        <w:rPr>
          <w:rFonts w:ascii="Verdana" w:hAnsi="Verdana" w:cs="Arial"/>
          <w:sz w:val="22"/>
          <w:szCs w:val="22"/>
        </w:rPr>
        <w:t xml:space="preserve"> </w:t>
      </w:r>
      <w:r w:rsidR="00216B04">
        <w:rPr>
          <w:rFonts w:ascii="Verdana" w:hAnsi="Verdana" w:cs="Arial"/>
          <w:sz w:val="22"/>
          <w:szCs w:val="22"/>
        </w:rPr>
        <w:t>1</w:t>
      </w:r>
      <w:r w:rsidR="00A95C18">
        <w:rPr>
          <w:rFonts w:ascii="Verdana" w:hAnsi="Verdana" w:cs="Arial"/>
          <w:sz w:val="22"/>
          <w:szCs w:val="22"/>
        </w:rPr>
        <w:t>3</w:t>
      </w:r>
      <w:r w:rsidR="00216B04">
        <w:rPr>
          <w:rFonts w:ascii="Verdana" w:hAnsi="Verdana" w:cs="Arial"/>
          <w:sz w:val="22"/>
          <w:szCs w:val="22"/>
        </w:rPr>
        <w:t xml:space="preserve"> </w:t>
      </w:r>
      <w:r w:rsidR="00082C72" w:rsidRPr="68D0F859">
        <w:rPr>
          <w:rFonts w:ascii="Verdana" w:hAnsi="Verdana" w:cs="Arial"/>
          <w:sz w:val="22"/>
          <w:szCs w:val="22"/>
        </w:rPr>
        <w:t xml:space="preserve">de </w:t>
      </w:r>
      <w:r w:rsidR="00216B04">
        <w:rPr>
          <w:rFonts w:ascii="Verdana" w:hAnsi="Verdana" w:cs="Arial"/>
          <w:sz w:val="22"/>
          <w:szCs w:val="22"/>
        </w:rPr>
        <w:t>septiembre</w:t>
      </w:r>
      <w:r w:rsidR="00082C72" w:rsidRPr="68D0F859">
        <w:rPr>
          <w:rFonts w:ascii="Verdana" w:hAnsi="Verdana" w:cs="Arial"/>
          <w:sz w:val="22"/>
          <w:szCs w:val="22"/>
        </w:rPr>
        <w:t xml:space="preserve"> de 2024.</w:t>
      </w:r>
    </w:p>
    <w:p w14:paraId="3EC3B45D" w14:textId="77777777" w:rsidR="00376380" w:rsidRPr="006B699F" w:rsidRDefault="00376380" w:rsidP="00376380">
      <w:pPr>
        <w:pBdr>
          <w:top w:val="single" w:sz="4" w:space="0" w:color="auto"/>
          <w:left w:val="single" w:sz="4" w:space="4" w:color="auto"/>
          <w:bottom w:val="single" w:sz="4" w:space="1" w:color="auto"/>
          <w:right w:val="single" w:sz="4" w:space="4" w:color="auto"/>
        </w:pBdr>
        <w:jc w:val="both"/>
        <w:rPr>
          <w:rFonts w:ascii="Verdana" w:hAnsi="Verdana" w:cs="Arial"/>
          <w:b/>
          <w:bCs/>
          <w:sz w:val="22"/>
          <w:szCs w:val="22"/>
        </w:rPr>
      </w:pPr>
    </w:p>
    <w:p w14:paraId="74EB1BF0" w14:textId="77777777" w:rsidR="00376380" w:rsidRPr="006B699F" w:rsidRDefault="00376380" w:rsidP="00376380">
      <w:pPr>
        <w:pBdr>
          <w:top w:val="single" w:sz="4" w:space="0" w:color="auto"/>
          <w:left w:val="single" w:sz="4" w:space="4" w:color="auto"/>
          <w:bottom w:val="single" w:sz="4" w:space="1" w:color="auto"/>
          <w:right w:val="single" w:sz="4" w:space="4" w:color="auto"/>
        </w:pBdr>
        <w:jc w:val="both"/>
        <w:rPr>
          <w:rFonts w:ascii="Verdana" w:hAnsi="Verdana" w:cs="Arial"/>
          <w:b/>
          <w:bCs/>
          <w:sz w:val="22"/>
          <w:szCs w:val="22"/>
        </w:rPr>
      </w:pPr>
    </w:p>
    <w:p w14:paraId="7A9BC351" w14:textId="77777777" w:rsidR="00376380" w:rsidRPr="006B699F" w:rsidRDefault="00376380" w:rsidP="00376380">
      <w:pPr>
        <w:pBdr>
          <w:top w:val="single" w:sz="4" w:space="0" w:color="auto"/>
          <w:left w:val="single" w:sz="4" w:space="4" w:color="auto"/>
          <w:bottom w:val="single" w:sz="4" w:space="1" w:color="auto"/>
          <w:right w:val="single" w:sz="4" w:space="4" w:color="auto"/>
        </w:pBdr>
        <w:jc w:val="both"/>
        <w:outlineLvl w:val="0"/>
        <w:rPr>
          <w:rFonts w:ascii="Verdana" w:hAnsi="Verdana" w:cs="Arial"/>
          <w:bCs/>
          <w:sz w:val="22"/>
          <w:szCs w:val="22"/>
        </w:rPr>
      </w:pPr>
      <w:r w:rsidRPr="006B699F">
        <w:rPr>
          <w:rFonts w:ascii="Verdana" w:hAnsi="Verdana" w:cs="Arial"/>
          <w:b/>
          <w:bCs/>
          <w:sz w:val="22"/>
          <w:szCs w:val="22"/>
        </w:rPr>
        <w:t xml:space="preserve">REMISIÓN DE COMENTARIOS: </w:t>
      </w:r>
      <w:r w:rsidRPr="006B699F">
        <w:rPr>
          <w:rFonts w:ascii="Verdana" w:hAnsi="Verdana" w:cs="Arial"/>
          <w:bCs/>
          <w:sz w:val="22"/>
          <w:szCs w:val="22"/>
        </w:rPr>
        <w:t xml:space="preserve">Por favor diligenciar la proforma adjunta “MATRIZ PARA COMENTARIOS EXTERNOS - PUBLICACION WEB”. </w:t>
      </w:r>
    </w:p>
    <w:p w14:paraId="44A0E174" w14:textId="77777777" w:rsidR="00376380" w:rsidRPr="006B699F" w:rsidRDefault="00376380" w:rsidP="00376380">
      <w:pPr>
        <w:pBdr>
          <w:top w:val="single" w:sz="4" w:space="0" w:color="auto"/>
          <w:left w:val="single" w:sz="4" w:space="4" w:color="auto"/>
          <w:bottom w:val="single" w:sz="4" w:space="1" w:color="auto"/>
          <w:right w:val="single" w:sz="4" w:space="4" w:color="auto"/>
        </w:pBdr>
        <w:jc w:val="both"/>
        <w:outlineLvl w:val="0"/>
        <w:rPr>
          <w:rFonts w:ascii="Verdana" w:hAnsi="Verdana" w:cs="Arial"/>
          <w:bCs/>
          <w:sz w:val="22"/>
          <w:szCs w:val="22"/>
        </w:rPr>
      </w:pPr>
      <w:r w:rsidRPr="006B699F">
        <w:rPr>
          <w:rFonts w:ascii="Verdana" w:hAnsi="Verdana" w:cs="Arial"/>
          <w:bCs/>
          <w:sz w:val="22"/>
          <w:szCs w:val="22"/>
        </w:rPr>
        <w:t xml:space="preserve"> </w:t>
      </w:r>
    </w:p>
    <w:p w14:paraId="6AF5EFB0" w14:textId="77777777" w:rsidR="00376380" w:rsidRPr="006B699F" w:rsidRDefault="00376380" w:rsidP="00376380">
      <w:pPr>
        <w:pBdr>
          <w:top w:val="single" w:sz="4" w:space="0" w:color="auto"/>
          <w:left w:val="single" w:sz="4" w:space="4" w:color="auto"/>
          <w:bottom w:val="single" w:sz="4" w:space="1" w:color="auto"/>
          <w:right w:val="single" w:sz="4" w:space="4" w:color="auto"/>
        </w:pBdr>
        <w:jc w:val="both"/>
        <w:outlineLvl w:val="0"/>
        <w:rPr>
          <w:rFonts w:ascii="Verdana" w:hAnsi="Verdana" w:cs="Arial"/>
          <w:b/>
          <w:bCs/>
          <w:sz w:val="22"/>
          <w:szCs w:val="22"/>
        </w:rPr>
      </w:pPr>
      <w:r w:rsidRPr="006B699F">
        <w:rPr>
          <w:rFonts w:ascii="Verdana" w:hAnsi="Verdana" w:cs="Arial"/>
          <w:bCs/>
          <w:sz w:val="22"/>
          <w:szCs w:val="22"/>
        </w:rPr>
        <w:t xml:space="preserve">La proforma en formato Word puede ser radicada vía e-mail por medio del correo electrónico </w:t>
      </w:r>
      <w:hyperlink r:id="rId10" w:history="1">
        <w:r w:rsidRPr="006B699F">
          <w:rPr>
            <w:rStyle w:val="Hipervnculo"/>
            <w:rFonts w:ascii="Verdana" w:hAnsi="Verdana" w:cs="Arial"/>
            <w:bCs/>
            <w:sz w:val="22"/>
            <w:szCs w:val="22"/>
          </w:rPr>
          <w:t>normativa@superfinanciera.gov.co</w:t>
        </w:r>
      </w:hyperlink>
      <w:r w:rsidRPr="006B699F">
        <w:rPr>
          <w:rFonts w:ascii="Verdana" w:hAnsi="Verdana" w:cs="Arial"/>
          <w:bCs/>
          <w:sz w:val="22"/>
          <w:szCs w:val="22"/>
        </w:rPr>
        <w:t xml:space="preserve">. En el asunto </w:t>
      </w:r>
      <w:r w:rsidRPr="006B699F">
        <w:rPr>
          <w:rFonts w:ascii="Verdana" w:hAnsi="Verdana" w:cs="Arial"/>
          <w:b/>
          <w:bCs/>
          <w:sz w:val="22"/>
          <w:szCs w:val="22"/>
        </w:rPr>
        <w:t>únicamente</w:t>
      </w:r>
      <w:r w:rsidRPr="006B699F">
        <w:rPr>
          <w:rFonts w:ascii="Verdana" w:hAnsi="Verdana" w:cs="Arial"/>
          <w:bCs/>
          <w:sz w:val="22"/>
          <w:szCs w:val="22"/>
        </w:rPr>
        <w:t xml:space="preserve"> incluir el siguiente número de radicación: </w:t>
      </w:r>
      <w:r w:rsidRPr="006B699F">
        <w:rPr>
          <w:rFonts w:ascii="Verdana" w:hAnsi="Verdana" w:cs="Arial"/>
          <w:b/>
          <w:bCs/>
          <w:sz w:val="22"/>
          <w:szCs w:val="22"/>
        </w:rPr>
        <w:tab/>
        <w:t xml:space="preserve"> </w:t>
      </w:r>
    </w:p>
    <w:p w14:paraId="77F916E4" w14:textId="77777777" w:rsidR="00376380" w:rsidRPr="006B699F" w:rsidRDefault="00376380" w:rsidP="00376380">
      <w:pPr>
        <w:pBdr>
          <w:top w:val="single" w:sz="4" w:space="0" w:color="auto"/>
          <w:left w:val="single" w:sz="4" w:space="4" w:color="auto"/>
          <w:bottom w:val="single" w:sz="4" w:space="1" w:color="auto"/>
          <w:right w:val="single" w:sz="4" w:space="4" w:color="auto"/>
        </w:pBdr>
        <w:jc w:val="both"/>
        <w:rPr>
          <w:rFonts w:ascii="Verdana" w:hAnsi="Verdana" w:cs="Arial"/>
          <w:b/>
          <w:bCs/>
          <w:sz w:val="22"/>
          <w:szCs w:val="22"/>
        </w:rPr>
      </w:pPr>
      <w:r w:rsidRPr="006B699F">
        <w:rPr>
          <w:rFonts w:ascii="Verdana" w:hAnsi="Verdana" w:cs="Arial"/>
          <w:b/>
          <w:bCs/>
          <w:sz w:val="22"/>
          <w:szCs w:val="22"/>
        </w:rPr>
        <w:tab/>
        <w:t xml:space="preserve"> </w:t>
      </w:r>
    </w:p>
    <w:p w14:paraId="29F00EA8" w14:textId="77777777" w:rsidR="00376380" w:rsidRPr="006B699F" w:rsidRDefault="00376380" w:rsidP="00376380">
      <w:pPr>
        <w:pBdr>
          <w:top w:val="single" w:sz="4" w:space="0" w:color="auto"/>
          <w:left w:val="single" w:sz="4" w:space="4" w:color="auto"/>
          <w:bottom w:val="single" w:sz="4" w:space="1" w:color="auto"/>
          <w:right w:val="single" w:sz="4" w:space="4" w:color="auto"/>
        </w:pBdr>
        <w:jc w:val="both"/>
        <w:rPr>
          <w:rFonts w:ascii="Verdana" w:hAnsi="Verdana" w:cs="Arial"/>
          <w:b/>
          <w:bCs/>
          <w:sz w:val="22"/>
          <w:szCs w:val="22"/>
        </w:rPr>
      </w:pPr>
    </w:p>
    <w:p w14:paraId="796F172C" w14:textId="6CBD2628" w:rsidR="00376380" w:rsidRPr="006B699F" w:rsidRDefault="00376380" w:rsidP="00376380">
      <w:pPr>
        <w:pBdr>
          <w:top w:val="single" w:sz="4" w:space="0" w:color="auto"/>
          <w:left w:val="single" w:sz="4" w:space="4" w:color="auto"/>
          <w:bottom w:val="single" w:sz="4" w:space="1" w:color="auto"/>
          <w:right w:val="single" w:sz="4" w:space="4" w:color="auto"/>
        </w:pBdr>
        <w:jc w:val="center"/>
        <w:rPr>
          <w:rFonts w:ascii="Verdana" w:hAnsi="Verdana" w:cs="Arial"/>
          <w:b/>
          <w:bCs/>
          <w:sz w:val="22"/>
          <w:szCs w:val="22"/>
        </w:rPr>
      </w:pPr>
      <w:r w:rsidRPr="006B699F">
        <w:rPr>
          <w:rFonts w:ascii="Verdana" w:hAnsi="Verdana" w:cs="Arial"/>
          <w:b/>
          <w:bCs/>
          <w:sz w:val="22"/>
          <w:szCs w:val="22"/>
        </w:rPr>
        <w:t xml:space="preserve">RADICADO No. </w:t>
      </w:r>
      <w:r w:rsidR="00216B04" w:rsidRPr="00216B04">
        <w:rPr>
          <w:rFonts w:ascii="Verdana" w:hAnsi="Verdana" w:cs="Arial"/>
          <w:b/>
          <w:bCs/>
          <w:sz w:val="22"/>
          <w:szCs w:val="22"/>
        </w:rPr>
        <w:t>2024123792</w:t>
      </w:r>
    </w:p>
    <w:p w14:paraId="35D8F283" w14:textId="77777777" w:rsidR="00376380" w:rsidRPr="006B699F" w:rsidRDefault="00376380" w:rsidP="00376380">
      <w:pPr>
        <w:pBdr>
          <w:top w:val="single" w:sz="4" w:space="0" w:color="auto"/>
          <w:left w:val="single" w:sz="4" w:space="4" w:color="auto"/>
          <w:bottom w:val="single" w:sz="4" w:space="1" w:color="auto"/>
          <w:right w:val="single" w:sz="4" w:space="4" w:color="auto"/>
        </w:pBdr>
        <w:jc w:val="both"/>
        <w:rPr>
          <w:rFonts w:ascii="Verdana" w:hAnsi="Verdana" w:cs="Arial"/>
          <w:b/>
          <w:bCs/>
          <w:sz w:val="22"/>
          <w:szCs w:val="22"/>
        </w:rPr>
      </w:pPr>
    </w:p>
    <w:p w14:paraId="5EDC6B6C" w14:textId="38388B89" w:rsidR="00376380" w:rsidRPr="006B699F" w:rsidRDefault="00376380" w:rsidP="00376380">
      <w:pPr>
        <w:pBdr>
          <w:top w:val="single" w:sz="4" w:space="0" w:color="auto"/>
          <w:left w:val="single" w:sz="4" w:space="4" w:color="auto"/>
          <w:bottom w:val="single" w:sz="4" w:space="1" w:color="auto"/>
          <w:right w:val="single" w:sz="4" w:space="4" w:color="auto"/>
        </w:pBdr>
        <w:tabs>
          <w:tab w:val="left" w:pos="2109"/>
        </w:tabs>
        <w:jc w:val="both"/>
        <w:rPr>
          <w:rFonts w:ascii="Verdana" w:hAnsi="Verdana" w:cs="Arial"/>
          <w:bCs/>
          <w:sz w:val="22"/>
          <w:szCs w:val="22"/>
        </w:rPr>
      </w:pPr>
      <w:r w:rsidRPr="006B699F">
        <w:rPr>
          <w:rFonts w:ascii="Verdana" w:hAnsi="Verdana" w:cs="Arial"/>
          <w:b/>
          <w:bCs/>
          <w:sz w:val="22"/>
          <w:szCs w:val="22"/>
        </w:rPr>
        <w:t>POR ESCRITO A:</w:t>
      </w:r>
      <w:r w:rsidRPr="006B699F">
        <w:rPr>
          <w:rFonts w:ascii="Verdana" w:hAnsi="Verdana" w:cs="Arial"/>
          <w:b/>
          <w:bCs/>
          <w:sz w:val="22"/>
          <w:szCs w:val="22"/>
        </w:rPr>
        <w:tab/>
        <w:t>Subdirector</w:t>
      </w:r>
      <w:r w:rsidR="006B699F">
        <w:rPr>
          <w:rFonts w:ascii="Verdana" w:hAnsi="Verdana" w:cs="Arial"/>
          <w:b/>
          <w:bCs/>
          <w:sz w:val="22"/>
          <w:szCs w:val="22"/>
        </w:rPr>
        <w:t>a</w:t>
      </w:r>
      <w:r w:rsidRPr="006B699F">
        <w:rPr>
          <w:rFonts w:ascii="Verdana" w:hAnsi="Verdana" w:cs="Arial"/>
          <w:b/>
          <w:bCs/>
          <w:sz w:val="22"/>
          <w:szCs w:val="22"/>
        </w:rPr>
        <w:t xml:space="preserve"> de Regulación</w:t>
      </w:r>
      <w:r w:rsidRPr="006B699F">
        <w:rPr>
          <w:rFonts w:ascii="Verdana" w:hAnsi="Verdana" w:cs="Arial"/>
          <w:bCs/>
          <w:sz w:val="22"/>
          <w:szCs w:val="22"/>
        </w:rPr>
        <w:t>, con el número de radicación.</w:t>
      </w:r>
    </w:p>
    <w:p w14:paraId="4911F449" w14:textId="77777777" w:rsidR="00376380" w:rsidRPr="006B699F" w:rsidRDefault="00376380" w:rsidP="00376380">
      <w:pPr>
        <w:pBdr>
          <w:top w:val="single" w:sz="4" w:space="0" w:color="auto"/>
          <w:left w:val="single" w:sz="4" w:space="4" w:color="auto"/>
          <w:bottom w:val="single" w:sz="4" w:space="1" w:color="auto"/>
          <w:right w:val="single" w:sz="4" w:space="4" w:color="auto"/>
        </w:pBdr>
        <w:tabs>
          <w:tab w:val="left" w:pos="2109"/>
        </w:tabs>
        <w:jc w:val="both"/>
        <w:rPr>
          <w:rFonts w:ascii="Verdana" w:hAnsi="Verdana" w:cs="Arial"/>
          <w:bCs/>
          <w:sz w:val="22"/>
          <w:szCs w:val="22"/>
        </w:rPr>
      </w:pPr>
    </w:p>
    <w:p w14:paraId="50D57D7E" w14:textId="77777777" w:rsidR="00376380" w:rsidRPr="006B699F" w:rsidRDefault="00376380" w:rsidP="00376380">
      <w:pPr>
        <w:pBdr>
          <w:top w:val="single" w:sz="4" w:space="0" w:color="auto"/>
          <w:left w:val="single" w:sz="4" w:space="4" w:color="auto"/>
          <w:bottom w:val="single" w:sz="4" w:space="1" w:color="auto"/>
          <w:right w:val="single" w:sz="4" w:space="4" w:color="auto"/>
        </w:pBdr>
        <w:tabs>
          <w:tab w:val="left" w:pos="2109"/>
        </w:tabs>
        <w:jc w:val="both"/>
        <w:outlineLvl w:val="0"/>
        <w:rPr>
          <w:rFonts w:ascii="Verdana" w:hAnsi="Verdana" w:cs="Arial"/>
          <w:bCs/>
          <w:sz w:val="22"/>
          <w:szCs w:val="22"/>
        </w:rPr>
      </w:pPr>
      <w:r w:rsidRPr="006B699F">
        <w:rPr>
          <w:rFonts w:ascii="Verdana" w:hAnsi="Verdana" w:cs="Arial"/>
          <w:bCs/>
          <w:sz w:val="22"/>
          <w:szCs w:val="22"/>
        </w:rPr>
        <w:tab/>
      </w:r>
      <w:r w:rsidRPr="006B699F">
        <w:rPr>
          <w:rFonts w:ascii="Verdana" w:hAnsi="Verdana" w:cs="Arial"/>
          <w:bCs/>
          <w:sz w:val="22"/>
          <w:szCs w:val="22"/>
        </w:rPr>
        <w:tab/>
        <w:t xml:space="preserve"> </w:t>
      </w:r>
    </w:p>
    <w:p w14:paraId="293C36F9" w14:textId="77777777" w:rsidR="00376380" w:rsidRPr="006B699F" w:rsidRDefault="00376380" w:rsidP="00376380">
      <w:pPr>
        <w:pBdr>
          <w:top w:val="single" w:sz="4" w:space="0" w:color="auto"/>
          <w:left w:val="single" w:sz="4" w:space="4" w:color="auto"/>
          <w:bottom w:val="single" w:sz="4" w:space="1" w:color="auto"/>
          <w:right w:val="single" w:sz="4" w:space="4" w:color="auto"/>
        </w:pBdr>
        <w:rPr>
          <w:rFonts w:ascii="Verdana" w:hAnsi="Verdana" w:cs="Arial"/>
          <w:b/>
          <w:bCs/>
          <w:sz w:val="22"/>
          <w:szCs w:val="22"/>
        </w:rPr>
      </w:pPr>
    </w:p>
    <w:p w14:paraId="0615AD07" w14:textId="77777777" w:rsidR="00376380" w:rsidRPr="006B699F" w:rsidRDefault="00376380" w:rsidP="00376380">
      <w:pPr>
        <w:pBdr>
          <w:top w:val="single" w:sz="4" w:space="0" w:color="auto"/>
          <w:left w:val="single" w:sz="4" w:space="4" w:color="auto"/>
          <w:bottom w:val="single" w:sz="4" w:space="1" w:color="auto"/>
          <w:right w:val="single" w:sz="4" w:space="4" w:color="auto"/>
        </w:pBdr>
        <w:rPr>
          <w:rFonts w:ascii="Verdana" w:hAnsi="Verdana" w:cs="Arial"/>
          <w:bCs/>
          <w:sz w:val="22"/>
          <w:szCs w:val="22"/>
        </w:rPr>
      </w:pPr>
      <w:r w:rsidRPr="006B699F">
        <w:rPr>
          <w:rFonts w:ascii="Verdana" w:hAnsi="Verdana" w:cs="Arial"/>
          <w:b/>
          <w:bCs/>
          <w:sz w:val="22"/>
          <w:szCs w:val="22"/>
        </w:rPr>
        <w:t xml:space="preserve">Nota: </w:t>
      </w:r>
      <w:r w:rsidRPr="006B699F">
        <w:rPr>
          <w:rFonts w:ascii="Verdana" w:hAnsi="Verdana" w:cs="Arial"/>
          <w:bCs/>
          <w:sz w:val="22"/>
          <w:szCs w:val="22"/>
        </w:rPr>
        <w:t>Para la remisión de los comentarios por favor citar en el asunto del correo electrónico, la referencia señalada, así como por escrito.</w:t>
      </w:r>
    </w:p>
    <w:p w14:paraId="089B8C5C" w14:textId="77777777" w:rsidR="00376380" w:rsidRPr="006D276B" w:rsidRDefault="00376380" w:rsidP="00376380">
      <w:pPr>
        <w:pBdr>
          <w:top w:val="single" w:sz="4" w:space="0" w:color="auto"/>
          <w:left w:val="single" w:sz="4" w:space="4" w:color="auto"/>
          <w:bottom w:val="single" w:sz="4" w:space="1" w:color="auto"/>
          <w:right w:val="single" w:sz="4" w:space="4" w:color="auto"/>
        </w:pBdr>
        <w:rPr>
          <w:rFonts w:ascii="Verdana" w:hAnsi="Verdana" w:cs="Arial"/>
          <w:b/>
          <w:bCs/>
          <w:sz w:val="22"/>
          <w:szCs w:val="22"/>
        </w:rPr>
      </w:pPr>
    </w:p>
    <w:p w14:paraId="52645C58" w14:textId="77777777" w:rsidR="00376380" w:rsidRPr="006D276B" w:rsidRDefault="00376380" w:rsidP="00376380">
      <w:pPr>
        <w:pBdr>
          <w:top w:val="single" w:sz="4" w:space="0" w:color="auto"/>
          <w:left w:val="single" w:sz="4" w:space="4" w:color="auto"/>
          <w:bottom w:val="single" w:sz="4" w:space="1" w:color="auto"/>
          <w:right w:val="single" w:sz="4" w:space="4" w:color="auto"/>
        </w:pBdr>
        <w:rPr>
          <w:rFonts w:ascii="Verdana" w:hAnsi="Verdana" w:cs="Arial"/>
          <w:b/>
          <w:bCs/>
          <w:sz w:val="22"/>
          <w:szCs w:val="22"/>
        </w:rPr>
      </w:pPr>
    </w:p>
    <w:p w14:paraId="6F377B46" w14:textId="77777777" w:rsidR="00376380" w:rsidRPr="006D276B" w:rsidRDefault="00376380" w:rsidP="00376380">
      <w:pPr>
        <w:pBdr>
          <w:top w:val="single" w:sz="4" w:space="0" w:color="auto"/>
          <w:left w:val="single" w:sz="4" w:space="4" w:color="auto"/>
          <w:bottom w:val="single" w:sz="4" w:space="1" w:color="auto"/>
          <w:right w:val="single" w:sz="4" w:space="4" w:color="auto"/>
        </w:pBdr>
        <w:rPr>
          <w:rFonts w:ascii="Verdana" w:hAnsi="Verdana" w:cs="Arial"/>
          <w:b/>
          <w:bCs/>
          <w:sz w:val="22"/>
          <w:szCs w:val="22"/>
        </w:rPr>
      </w:pPr>
    </w:p>
    <w:p w14:paraId="3E812E6E" w14:textId="77777777" w:rsidR="00376380" w:rsidRPr="006D276B" w:rsidRDefault="00376380" w:rsidP="00376380">
      <w:pPr>
        <w:pBdr>
          <w:top w:val="single" w:sz="4" w:space="0" w:color="auto"/>
          <w:left w:val="single" w:sz="4" w:space="4" w:color="auto"/>
          <w:bottom w:val="single" w:sz="4" w:space="1" w:color="auto"/>
          <w:right w:val="single" w:sz="4" w:space="4" w:color="auto"/>
        </w:pBdr>
        <w:rPr>
          <w:rFonts w:ascii="Verdana" w:hAnsi="Verdana" w:cs="Arial"/>
          <w:b/>
          <w:bCs/>
          <w:sz w:val="22"/>
          <w:szCs w:val="22"/>
        </w:rPr>
      </w:pPr>
    </w:p>
    <w:p w14:paraId="7CDF117E" w14:textId="77777777" w:rsidR="00376380" w:rsidRPr="006D276B" w:rsidRDefault="00376380" w:rsidP="00376380">
      <w:pPr>
        <w:pBdr>
          <w:top w:val="single" w:sz="4" w:space="0" w:color="auto"/>
          <w:left w:val="single" w:sz="4" w:space="4" w:color="auto"/>
          <w:bottom w:val="single" w:sz="4" w:space="1" w:color="auto"/>
          <w:right w:val="single" w:sz="4" w:space="4" w:color="auto"/>
        </w:pBdr>
        <w:rPr>
          <w:rFonts w:ascii="Verdana" w:hAnsi="Verdana" w:cs="Arial"/>
          <w:b/>
          <w:bCs/>
          <w:sz w:val="22"/>
          <w:szCs w:val="22"/>
        </w:rPr>
      </w:pPr>
    </w:p>
    <w:p w14:paraId="14AEFF52" w14:textId="77777777" w:rsidR="00376380" w:rsidRPr="006D276B" w:rsidRDefault="00376380" w:rsidP="00376380">
      <w:pPr>
        <w:pBdr>
          <w:top w:val="single" w:sz="4" w:space="0" w:color="auto"/>
          <w:left w:val="single" w:sz="4" w:space="4" w:color="auto"/>
          <w:bottom w:val="single" w:sz="4" w:space="1" w:color="auto"/>
          <w:right w:val="single" w:sz="4" w:space="4" w:color="auto"/>
        </w:pBdr>
        <w:rPr>
          <w:rFonts w:ascii="Verdana" w:hAnsi="Verdana" w:cs="Arial"/>
          <w:b/>
          <w:bCs/>
          <w:sz w:val="22"/>
          <w:szCs w:val="22"/>
        </w:rPr>
      </w:pPr>
    </w:p>
    <w:p w14:paraId="188599AD" w14:textId="77777777" w:rsidR="00376380" w:rsidRPr="006D276B" w:rsidRDefault="00376380" w:rsidP="00376380">
      <w:pPr>
        <w:pBdr>
          <w:top w:val="single" w:sz="4" w:space="0" w:color="auto"/>
          <w:left w:val="single" w:sz="4" w:space="4" w:color="auto"/>
          <w:bottom w:val="single" w:sz="4" w:space="1" w:color="auto"/>
          <w:right w:val="single" w:sz="4" w:space="4" w:color="auto"/>
        </w:pBdr>
        <w:rPr>
          <w:rFonts w:ascii="Verdana" w:hAnsi="Verdana" w:cs="Arial"/>
          <w:b/>
          <w:bCs/>
          <w:sz w:val="22"/>
          <w:szCs w:val="22"/>
        </w:rPr>
      </w:pPr>
    </w:p>
    <w:p w14:paraId="58652DC1" w14:textId="77777777" w:rsidR="00376380" w:rsidRPr="006D276B" w:rsidRDefault="00376380" w:rsidP="00376380">
      <w:pPr>
        <w:pBdr>
          <w:top w:val="single" w:sz="4" w:space="0" w:color="auto"/>
          <w:left w:val="single" w:sz="4" w:space="4" w:color="auto"/>
          <w:bottom w:val="single" w:sz="4" w:space="1" w:color="auto"/>
          <w:right w:val="single" w:sz="4" w:space="4" w:color="auto"/>
        </w:pBdr>
        <w:rPr>
          <w:rFonts w:ascii="Verdana" w:hAnsi="Verdana" w:cs="Arial"/>
          <w:b/>
          <w:bCs/>
          <w:sz w:val="22"/>
          <w:szCs w:val="22"/>
        </w:rPr>
      </w:pPr>
    </w:p>
    <w:p w14:paraId="5BCEEB15" w14:textId="7A30ABB7" w:rsidR="00376380" w:rsidRPr="006D276B" w:rsidRDefault="00376380" w:rsidP="00376380">
      <w:pPr>
        <w:pBdr>
          <w:top w:val="single" w:sz="4" w:space="0" w:color="auto"/>
          <w:left w:val="single" w:sz="4" w:space="4" w:color="auto"/>
          <w:bottom w:val="single" w:sz="4" w:space="1" w:color="auto"/>
          <w:right w:val="single" w:sz="4" w:space="4" w:color="auto"/>
        </w:pBdr>
        <w:jc w:val="center"/>
        <w:rPr>
          <w:rFonts w:ascii="Verdana" w:hAnsi="Verdana" w:cs="Arial"/>
          <w:b/>
          <w:bCs/>
          <w:sz w:val="22"/>
          <w:szCs w:val="22"/>
        </w:rPr>
      </w:pPr>
      <w:r w:rsidRPr="006D276B">
        <w:rPr>
          <w:rFonts w:ascii="Verdana" w:hAnsi="Verdana" w:cs="Arial"/>
          <w:b/>
          <w:bCs/>
          <w:sz w:val="22"/>
          <w:szCs w:val="22"/>
        </w:rPr>
        <w:t xml:space="preserve">* Consulte en este archivo el texto del proyecto de </w:t>
      </w:r>
      <w:r w:rsidR="006B699F">
        <w:rPr>
          <w:rFonts w:ascii="Verdana" w:hAnsi="Verdana" w:cs="Arial"/>
          <w:b/>
          <w:bCs/>
          <w:sz w:val="22"/>
          <w:szCs w:val="22"/>
        </w:rPr>
        <w:t xml:space="preserve">circular externa </w:t>
      </w:r>
    </w:p>
    <w:p w14:paraId="2C1D79BE" w14:textId="77777777" w:rsidR="00376380" w:rsidRDefault="00376380" w:rsidP="00376380">
      <w:pPr>
        <w:pBdr>
          <w:top w:val="single" w:sz="4" w:space="0" w:color="auto"/>
          <w:left w:val="single" w:sz="4" w:space="4" w:color="auto"/>
          <w:bottom w:val="single" w:sz="4" w:space="1" w:color="auto"/>
          <w:right w:val="single" w:sz="4" w:space="4" w:color="auto"/>
        </w:pBdr>
        <w:jc w:val="center"/>
        <w:rPr>
          <w:rFonts w:ascii="Arial" w:hAnsi="Arial" w:cs="Arial"/>
          <w:b/>
          <w:bCs/>
        </w:rPr>
      </w:pPr>
    </w:p>
    <w:p w14:paraId="01D44432" w14:textId="77777777" w:rsidR="00376380" w:rsidRDefault="00376380" w:rsidP="00376380">
      <w:pPr>
        <w:pBdr>
          <w:top w:val="single" w:sz="4" w:space="0" w:color="auto"/>
          <w:left w:val="single" w:sz="4" w:space="4" w:color="auto"/>
          <w:bottom w:val="single" w:sz="4" w:space="1" w:color="auto"/>
          <w:right w:val="single" w:sz="4" w:space="4" w:color="auto"/>
        </w:pBdr>
        <w:jc w:val="center"/>
        <w:rPr>
          <w:rFonts w:ascii="Arial" w:hAnsi="Arial" w:cs="Arial"/>
          <w:b/>
          <w:bCs/>
        </w:rPr>
      </w:pPr>
    </w:p>
    <w:p w14:paraId="4748E14B" w14:textId="77777777" w:rsidR="00376380" w:rsidRDefault="00376380" w:rsidP="00376380">
      <w:pPr>
        <w:jc w:val="center"/>
        <w:rPr>
          <w:rFonts w:cs="Arial"/>
          <w:b/>
          <w:bCs/>
          <w:sz w:val="22"/>
          <w:szCs w:val="22"/>
        </w:rPr>
      </w:pPr>
    </w:p>
    <w:p w14:paraId="70C1D870" w14:textId="51F7DDC1" w:rsidR="00376380" w:rsidRDefault="00376380">
      <w:pPr>
        <w:spacing w:after="160" w:line="259" w:lineRule="auto"/>
        <w:rPr>
          <w:rFonts w:ascii="Verdana" w:hAnsi="Verdana" w:cs="Arial"/>
          <w:b/>
          <w:sz w:val="22"/>
          <w:szCs w:val="22"/>
        </w:rPr>
      </w:pPr>
    </w:p>
    <w:p w14:paraId="646112AC" w14:textId="77777777" w:rsidR="00981E08" w:rsidRDefault="00981E08">
      <w:pPr>
        <w:spacing w:after="160" w:line="259" w:lineRule="auto"/>
        <w:rPr>
          <w:rFonts w:ascii="Verdana" w:hAnsi="Verdana" w:cs="Arial"/>
          <w:b/>
          <w:sz w:val="22"/>
          <w:szCs w:val="22"/>
        </w:rPr>
      </w:pPr>
      <w:r>
        <w:rPr>
          <w:rFonts w:ascii="Verdana" w:hAnsi="Verdana" w:cs="Arial"/>
          <w:b/>
          <w:sz w:val="22"/>
          <w:szCs w:val="22"/>
        </w:rPr>
        <w:br w:type="page"/>
      </w:r>
    </w:p>
    <w:p w14:paraId="458B52DF" w14:textId="77777777" w:rsidR="00216B04" w:rsidRPr="00F21117" w:rsidRDefault="00216B04" w:rsidP="00216B04">
      <w:pPr>
        <w:widowControl w:val="0"/>
        <w:autoSpaceDE w:val="0"/>
        <w:autoSpaceDN w:val="0"/>
        <w:adjustRightInd w:val="0"/>
        <w:jc w:val="center"/>
        <w:rPr>
          <w:rFonts w:ascii="Verdana" w:hAnsi="Verdana" w:cs="Arial"/>
          <w:b/>
          <w:sz w:val="22"/>
          <w:szCs w:val="22"/>
        </w:rPr>
      </w:pPr>
      <w:r w:rsidRPr="00F21117">
        <w:rPr>
          <w:rFonts w:ascii="Verdana" w:hAnsi="Verdana" w:cs="Arial"/>
          <w:b/>
          <w:sz w:val="22"/>
          <w:szCs w:val="22"/>
        </w:rPr>
        <w:lastRenderedPageBreak/>
        <w:t xml:space="preserve">CIRCULAR EXTERNA  </w:t>
      </w:r>
      <w:r>
        <w:rPr>
          <w:rFonts w:ascii="Verdana" w:hAnsi="Verdana" w:cs="Arial"/>
          <w:b/>
          <w:color w:val="999999"/>
          <w:sz w:val="22"/>
          <w:szCs w:val="22"/>
        </w:rPr>
        <w:t xml:space="preserve">     </w:t>
      </w:r>
      <w:r w:rsidRPr="00F21117">
        <w:rPr>
          <w:rFonts w:ascii="Verdana" w:hAnsi="Verdana" w:cs="Arial"/>
          <w:b/>
          <w:sz w:val="22"/>
          <w:szCs w:val="22"/>
        </w:rPr>
        <w:t xml:space="preserve">  DE </w:t>
      </w:r>
      <w:r w:rsidRPr="007060DE">
        <w:rPr>
          <w:rFonts w:ascii="Verdana" w:hAnsi="Verdana" w:cs="Arial"/>
          <w:b/>
          <w:sz w:val="22"/>
          <w:szCs w:val="22"/>
        </w:rPr>
        <w:t>2024</w:t>
      </w:r>
    </w:p>
    <w:p w14:paraId="0CF71A3E" w14:textId="77777777" w:rsidR="00216B04" w:rsidRPr="00F21117" w:rsidRDefault="00216B04" w:rsidP="00216B04">
      <w:pPr>
        <w:widowControl w:val="0"/>
        <w:autoSpaceDE w:val="0"/>
        <w:autoSpaceDN w:val="0"/>
        <w:adjustRightInd w:val="0"/>
        <w:jc w:val="center"/>
        <w:rPr>
          <w:rFonts w:ascii="Verdana" w:hAnsi="Verdana" w:cs="Arial"/>
          <w:b/>
          <w:sz w:val="22"/>
          <w:szCs w:val="22"/>
        </w:rPr>
      </w:pPr>
      <w:r w:rsidRPr="00F21117">
        <w:rPr>
          <w:rFonts w:ascii="Verdana" w:hAnsi="Verdana" w:cs="Arial"/>
          <w:b/>
          <w:sz w:val="22"/>
          <w:szCs w:val="22"/>
        </w:rPr>
        <w:t>(</w:t>
      </w:r>
      <w:r>
        <w:rPr>
          <w:rFonts w:ascii="Verdana" w:hAnsi="Verdana" w:cs="Arial"/>
          <w:b/>
          <w:sz w:val="22"/>
          <w:szCs w:val="22"/>
        </w:rPr>
        <w:t xml:space="preserve">                                    </w:t>
      </w:r>
      <w:r w:rsidRPr="00F21117">
        <w:rPr>
          <w:rFonts w:ascii="Verdana" w:hAnsi="Verdana" w:cs="Arial"/>
          <w:b/>
          <w:sz w:val="22"/>
          <w:szCs w:val="22"/>
        </w:rPr>
        <w:t xml:space="preserve">  )</w:t>
      </w:r>
    </w:p>
    <w:p w14:paraId="7EB67F35" w14:textId="77777777" w:rsidR="00216B04" w:rsidRPr="00F21117" w:rsidRDefault="00216B04" w:rsidP="00216B04">
      <w:pPr>
        <w:widowControl w:val="0"/>
        <w:autoSpaceDE w:val="0"/>
        <w:autoSpaceDN w:val="0"/>
        <w:adjustRightInd w:val="0"/>
        <w:jc w:val="both"/>
        <w:rPr>
          <w:rFonts w:ascii="Verdana" w:hAnsi="Verdana" w:cs="Arial"/>
          <w:sz w:val="22"/>
          <w:szCs w:val="22"/>
        </w:rPr>
      </w:pPr>
    </w:p>
    <w:p w14:paraId="3A3B076B" w14:textId="77777777" w:rsidR="00216B04" w:rsidRPr="00F21117" w:rsidRDefault="00216B04" w:rsidP="00216B04">
      <w:pPr>
        <w:widowControl w:val="0"/>
        <w:autoSpaceDE w:val="0"/>
        <w:autoSpaceDN w:val="0"/>
        <w:adjustRightInd w:val="0"/>
        <w:jc w:val="both"/>
        <w:rPr>
          <w:rFonts w:ascii="Verdana" w:hAnsi="Verdana" w:cs="Arial"/>
          <w:sz w:val="22"/>
          <w:szCs w:val="22"/>
        </w:rPr>
      </w:pPr>
    </w:p>
    <w:p w14:paraId="059874C2" w14:textId="77777777" w:rsidR="00216B04" w:rsidRPr="00F21117" w:rsidRDefault="00216B04" w:rsidP="00216B04">
      <w:pPr>
        <w:widowControl w:val="0"/>
        <w:autoSpaceDE w:val="0"/>
        <w:autoSpaceDN w:val="0"/>
        <w:adjustRightInd w:val="0"/>
        <w:jc w:val="both"/>
        <w:rPr>
          <w:rFonts w:ascii="Verdana" w:hAnsi="Verdana" w:cs="Arial"/>
          <w:sz w:val="22"/>
          <w:szCs w:val="22"/>
        </w:rPr>
      </w:pPr>
    </w:p>
    <w:p w14:paraId="44C3E4A2" w14:textId="77777777" w:rsidR="00216B04" w:rsidRPr="00F21117" w:rsidRDefault="00216B04" w:rsidP="00216B04">
      <w:pPr>
        <w:widowControl w:val="0"/>
        <w:autoSpaceDE w:val="0"/>
        <w:autoSpaceDN w:val="0"/>
        <w:adjustRightInd w:val="0"/>
        <w:jc w:val="both"/>
        <w:rPr>
          <w:rFonts w:ascii="Verdana" w:hAnsi="Verdana" w:cs="Arial"/>
          <w:b/>
          <w:sz w:val="22"/>
          <w:szCs w:val="22"/>
        </w:rPr>
      </w:pPr>
      <w:r w:rsidRPr="00F21117">
        <w:rPr>
          <w:rFonts w:ascii="Verdana" w:hAnsi="Verdana" w:cs="Arial"/>
          <w:b/>
          <w:sz w:val="22"/>
          <w:szCs w:val="22"/>
        </w:rPr>
        <w:t>Señores</w:t>
      </w:r>
    </w:p>
    <w:p w14:paraId="2A26F07F" w14:textId="77777777" w:rsidR="00216B04" w:rsidRPr="00C054A3" w:rsidRDefault="00216B04" w:rsidP="00216B04">
      <w:pPr>
        <w:widowControl w:val="0"/>
        <w:adjustRightInd w:val="0"/>
        <w:jc w:val="both"/>
        <w:rPr>
          <w:rFonts w:ascii="Verdana" w:hAnsi="Verdana" w:cs="Arial"/>
          <w:lang w:eastAsia="es-CO"/>
        </w:rPr>
      </w:pPr>
      <w:r w:rsidRPr="00C054A3">
        <w:rPr>
          <w:rFonts w:ascii="Verdana" w:hAnsi="Verdana" w:cs="Arial"/>
          <w:lang w:eastAsia="es-CO"/>
        </w:rPr>
        <w:t>REPRESENTANTES LEGALES Y REVISORES FISCALES DE LAS ENTIDADES ASEGURADORAS</w:t>
      </w:r>
    </w:p>
    <w:p w14:paraId="32E50337" w14:textId="77777777" w:rsidR="00216B04" w:rsidRPr="00F21117" w:rsidRDefault="00216B04" w:rsidP="00216B04">
      <w:pPr>
        <w:widowControl w:val="0"/>
        <w:autoSpaceDE w:val="0"/>
        <w:autoSpaceDN w:val="0"/>
        <w:adjustRightInd w:val="0"/>
        <w:jc w:val="both"/>
        <w:rPr>
          <w:rFonts w:ascii="Verdana" w:hAnsi="Verdana" w:cs="Arial"/>
          <w:b/>
          <w:sz w:val="22"/>
          <w:szCs w:val="22"/>
        </w:rPr>
      </w:pPr>
    </w:p>
    <w:p w14:paraId="16B92EF9" w14:textId="77777777" w:rsidR="00216B04" w:rsidRPr="00F21117" w:rsidRDefault="00216B04" w:rsidP="00216B04">
      <w:pPr>
        <w:widowControl w:val="0"/>
        <w:autoSpaceDE w:val="0"/>
        <w:autoSpaceDN w:val="0"/>
        <w:adjustRightInd w:val="0"/>
        <w:ind w:left="1560" w:hanging="1560"/>
        <w:jc w:val="both"/>
        <w:rPr>
          <w:rFonts w:ascii="Verdana" w:hAnsi="Verdana" w:cs="Arial"/>
          <w:b/>
          <w:sz w:val="22"/>
          <w:szCs w:val="22"/>
        </w:rPr>
      </w:pPr>
    </w:p>
    <w:p w14:paraId="594BBFB3" w14:textId="77777777" w:rsidR="00216B04" w:rsidRPr="00C054A3" w:rsidRDefault="00216B04" w:rsidP="00216B04">
      <w:pPr>
        <w:widowControl w:val="0"/>
        <w:autoSpaceDE w:val="0"/>
        <w:autoSpaceDN w:val="0"/>
        <w:adjustRightInd w:val="0"/>
        <w:jc w:val="both"/>
        <w:rPr>
          <w:rFonts w:ascii="Verdana" w:hAnsi="Verdana" w:cs="Arial"/>
          <w:b/>
          <w:bCs/>
          <w:lang w:eastAsia="es-CO"/>
        </w:rPr>
      </w:pPr>
      <w:r w:rsidRPr="00C054A3">
        <w:rPr>
          <w:rFonts w:ascii="Verdana" w:hAnsi="Verdana" w:cs="Arial"/>
          <w:b/>
          <w:bCs/>
          <w:lang w:eastAsia="es-CO"/>
        </w:rPr>
        <w:t>Referencia</w:t>
      </w:r>
      <w:r w:rsidRPr="00F21117">
        <w:rPr>
          <w:rFonts w:ascii="Verdana" w:hAnsi="Verdana" w:cs="Arial"/>
          <w:b/>
          <w:sz w:val="22"/>
          <w:szCs w:val="22"/>
        </w:rPr>
        <w:t>:</w:t>
      </w:r>
      <w:r>
        <w:rPr>
          <w:rFonts w:ascii="Verdana" w:hAnsi="Verdana" w:cs="Arial"/>
          <w:b/>
          <w:sz w:val="22"/>
          <w:szCs w:val="22"/>
        </w:rPr>
        <w:t xml:space="preserve"> </w:t>
      </w:r>
      <w:r w:rsidRPr="00C054A3">
        <w:rPr>
          <w:rFonts w:ascii="Verdana" w:hAnsi="Verdana" w:cs="Arial"/>
          <w:b/>
          <w:bCs/>
          <w:lang w:eastAsia="es-CO"/>
        </w:rPr>
        <w:t>Tarifa máxima y vigencia del Seguro Obligatorio de Daños Corporales causados a las Personas en Accidentes de Tránsito (SOAT) para los vehículos</w:t>
      </w:r>
      <w:r>
        <w:rPr>
          <w:rFonts w:ascii="Verdana" w:hAnsi="Verdana" w:cs="Arial"/>
          <w:b/>
          <w:bCs/>
          <w:lang w:eastAsia="es-CO"/>
        </w:rPr>
        <w:t xml:space="preserve"> </w:t>
      </w:r>
      <w:r w:rsidRPr="00C054A3">
        <w:rPr>
          <w:rFonts w:ascii="Verdana" w:hAnsi="Verdana" w:cs="Arial"/>
          <w:b/>
          <w:bCs/>
          <w:lang w:eastAsia="es-CO"/>
        </w:rPr>
        <w:t>que circulen por las zonas fronterizas</w:t>
      </w:r>
    </w:p>
    <w:p w14:paraId="4A062D8A" w14:textId="77777777" w:rsidR="00216B04" w:rsidRDefault="00216B04" w:rsidP="00216B04">
      <w:pPr>
        <w:widowControl w:val="0"/>
        <w:autoSpaceDE w:val="0"/>
        <w:autoSpaceDN w:val="0"/>
        <w:adjustRightInd w:val="0"/>
        <w:jc w:val="both"/>
        <w:rPr>
          <w:rFonts w:ascii="Verdana" w:hAnsi="Verdana" w:cs="Arial"/>
          <w:sz w:val="22"/>
          <w:szCs w:val="22"/>
        </w:rPr>
      </w:pPr>
    </w:p>
    <w:p w14:paraId="6A0DD61B" w14:textId="77777777" w:rsidR="00216B04" w:rsidRPr="00C054A3" w:rsidRDefault="00216B04" w:rsidP="00216B04">
      <w:pPr>
        <w:jc w:val="both"/>
        <w:rPr>
          <w:rFonts w:ascii="Verdana" w:eastAsia="Arial" w:hAnsi="Verdana" w:cs="Arial"/>
          <w:lang w:val="es-CO"/>
        </w:rPr>
      </w:pPr>
      <w:r w:rsidRPr="00C054A3">
        <w:rPr>
          <w:rFonts w:ascii="Verdana" w:eastAsia="Arial" w:hAnsi="Verdana" w:cs="Arial"/>
          <w:lang w:val="es-CO"/>
        </w:rPr>
        <w:t>Respetados señores:</w:t>
      </w:r>
    </w:p>
    <w:p w14:paraId="2FDBB4E2" w14:textId="77777777" w:rsidR="00216B04" w:rsidRPr="00C054A3" w:rsidRDefault="00216B04" w:rsidP="00216B04">
      <w:pPr>
        <w:jc w:val="both"/>
        <w:rPr>
          <w:rFonts w:ascii="Verdana" w:eastAsia="Arial" w:hAnsi="Verdana" w:cs="Arial"/>
        </w:rPr>
      </w:pPr>
    </w:p>
    <w:p w14:paraId="1AB70B3C" w14:textId="77777777" w:rsidR="00216B04" w:rsidRDefault="00216B04" w:rsidP="00216B04">
      <w:pPr>
        <w:jc w:val="both"/>
        <w:rPr>
          <w:rFonts w:ascii="Verdana" w:eastAsia="Calibri" w:hAnsi="Verdana" w:cs="Arial"/>
          <w:lang w:eastAsia="es-CO"/>
        </w:rPr>
      </w:pPr>
      <w:r>
        <w:rPr>
          <w:rFonts w:ascii="Verdana" w:eastAsia="Calibri" w:hAnsi="Verdana" w:cs="Arial"/>
          <w:lang w:eastAsia="es-CO"/>
        </w:rPr>
        <w:t xml:space="preserve">De conformidad con el numeral 4 del artículo 196 del Estatuto Orgánico del Sistema Financiero (en adelante, «EOSF»), las entidades aseguradoras deben expedir el SOAT para los vehículos que transiten en zonas fronterizas con una vigencia de corto plazo de manera que cubra el lapso durante el cual el vehículo permanece en el país. </w:t>
      </w:r>
    </w:p>
    <w:p w14:paraId="7B36BB0F" w14:textId="77777777" w:rsidR="00216B04" w:rsidRDefault="00216B04" w:rsidP="00216B04">
      <w:pPr>
        <w:jc w:val="both"/>
        <w:rPr>
          <w:rFonts w:ascii="Verdana" w:eastAsia="Arial" w:hAnsi="Verdana" w:cs="Arial"/>
        </w:rPr>
      </w:pPr>
    </w:p>
    <w:p w14:paraId="7DB32C7A" w14:textId="77777777" w:rsidR="00216B04" w:rsidRDefault="00216B04" w:rsidP="00216B04">
      <w:pPr>
        <w:jc w:val="both"/>
        <w:rPr>
          <w:rFonts w:ascii="Verdana" w:eastAsia="Arial" w:hAnsi="Verdana" w:cs="Arial"/>
        </w:rPr>
      </w:pPr>
      <w:r>
        <w:rPr>
          <w:rFonts w:ascii="Verdana" w:eastAsia="Arial" w:hAnsi="Verdana" w:cs="Arial"/>
        </w:rPr>
        <w:t>La Superintendencia Financiera de Colombia (en adelante, la «SFC») expidió la Circular Externa 007 de 2023 a través de la cual estableció la vigencia mínima de la póliza del SOAT</w:t>
      </w:r>
      <w:r w:rsidRPr="00C627FD">
        <w:rPr>
          <w:rFonts w:ascii="Verdana" w:eastAsia="Arial" w:hAnsi="Verdana" w:cs="Arial"/>
        </w:rPr>
        <w:t xml:space="preserve"> de</w:t>
      </w:r>
      <w:r>
        <w:rPr>
          <w:rFonts w:ascii="Verdana" w:eastAsia="Arial" w:hAnsi="Verdana" w:cs="Arial"/>
        </w:rPr>
        <w:t xml:space="preserve"> 15 días o meses enteros para los vehículos que circulan por las zonas fronterizas, y determinó la metodología para el cálculo de la tarifa máxima para dichas pólizas. </w:t>
      </w:r>
    </w:p>
    <w:p w14:paraId="5DBE323D" w14:textId="77777777" w:rsidR="00216B04" w:rsidRDefault="00216B04" w:rsidP="00216B04">
      <w:pPr>
        <w:jc w:val="both"/>
        <w:rPr>
          <w:rFonts w:ascii="Verdana" w:eastAsia="Arial" w:hAnsi="Verdana" w:cs="Arial"/>
        </w:rPr>
      </w:pPr>
    </w:p>
    <w:p w14:paraId="649A39FB" w14:textId="77777777" w:rsidR="00216B04" w:rsidRDefault="00216B04" w:rsidP="00216B04">
      <w:pPr>
        <w:jc w:val="both"/>
        <w:rPr>
          <w:rFonts w:ascii="Verdana" w:eastAsia="Calibri" w:hAnsi="Verdana" w:cs="Arial"/>
          <w:lang w:eastAsia="es-CO"/>
        </w:rPr>
      </w:pPr>
      <w:r>
        <w:rPr>
          <w:rFonts w:ascii="Verdana" w:eastAsia="Arial" w:hAnsi="Verdana" w:cs="Arial"/>
        </w:rPr>
        <w:t>La referida Circular Externa también estableció que la SFC evaluaría la exposición, expedición y siniestralidad del SOAT para los vehículos que circulan por las zonas fronterizas a fin de definir una vigencia mínima menor para este tipo de seguros.</w:t>
      </w:r>
      <w:r w:rsidRPr="00FB2551">
        <w:rPr>
          <w:rFonts w:ascii="Verdana" w:eastAsia="Calibri" w:hAnsi="Verdana" w:cs="Arial"/>
          <w:lang w:eastAsia="es-CO"/>
        </w:rPr>
        <w:t xml:space="preserve"> </w:t>
      </w:r>
    </w:p>
    <w:p w14:paraId="0BAF3AA3" w14:textId="77777777" w:rsidR="00216B04" w:rsidRDefault="00216B04" w:rsidP="00216B04">
      <w:pPr>
        <w:jc w:val="both"/>
        <w:rPr>
          <w:rFonts w:ascii="Verdana" w:eastAsia="Arial" w:hAnsi="Verdana" w:cs="Arial"/>
        </w:rPr>
      </w:pPr>
    </w:p>
    <w:p w14:paraId="5C693AA2" w14:textId="77777777" w:rsidR="00216B04" w:rsidRDefault="00216B04" w:rsidP="00216B04">
      <w:pPr>
        <w:jc w:val="both"/>
        <w:rPr>
          <w:rFonts w:ascii="Verdana" w:eastAsia="Arial" w:hAnsi="Verdana" w:cs="Arial"/>
        </w:rPr>
      </w:pPr>
      <w:r>
        <w:rPr>
          <w:rFonts w:ascii="Verdana" w:eastAsia="Calibri" w:hAnsi="Verdana" w:cs="Arial"/>
          <w:lang w:eastAsia="es-CO"/>
        </w:rPr>
        <w:t>En desarrollo de dicho mandato, el resultado del análisis evidenció que la siniestralidad observada de vehículos que circulan por las zonas fronterizas no es significativa, toda vez que la prima devengada es suficiente para cubrir el monto generado por los siniestros. Por tanto, se considera procedente la definición de una vigencia mínima menor de 15 días para el SOAT aplicable a este tipo de vehículos.</w:t>
      </w:r>
    </w:p>
    <w:p w14:paraId="4BFB3444" w14:textId="77777777" w:rsidR="00216B04" w:rsidRPr="00C054A3" w:rsidRDefault="00216B04" w:rsidP="00216B04">
      <w:pPr>
        <w:jc w:val="both"/>
        <w:rPr>
          <w:rFonts w:ascii="Verdana" w:eastAsia="Arial" w:hAnsi="Verdana" w:cs="Arial"/>
        </w:rPr>
      </w:pPr>
    </w:p>
    <w:p w14:paraId="7F10DF41" w14:textId="77777777" w:rsidR="00216B04" w:rsidRDefault="00216B04" w:rsidP="00216B04">
      <w:pPr>
        <w:jc w:val="both"/>
        <w:rPr>
          <w:rFonts w:ascii="Verdana" w:eastAsia="Calibri" w:hAnsi="Verdana" w:cs="Arial"/>
          <w:lang w:eastAsia="es-CO"/>
        </w:rPr>
      </w:pPr>
      <w:r>
        <w:rPr>
          <w:rFonts w:ascii="Verdana" w:eastAsia="Calibri" w:hAnsi="Verdana" w:cs="Arial"/>
          <w:lang w:eastAsia="es-CO"/>
        </w:rPr>
        <w:t xml:space="preserve">Adicionalmente, se requiere que los </w:t>
      </w:r>
      <w:r w:rsidRPr="00C054A3">
        <w:rPr>
          <w:rFonts w:ascii="Verdana" w:eastAsia="Calibri" w:hAnsi="Verdana" w:cs="Arial"/>
          <w:lang w:eastAsia="es-CO"/>
        </w:rPr>
        <w:t>vehículos</w:t>
      </w:r>
      <w:r>
        <w:rPr>
          <w:rFonts w:ascii="Verdana" w:eastAsia="Calibri" w:hAnsi="Verdana" w:cs="Arial"/>
          <w:lang w:eastAsia="es-CO"/>
        </w:rPr>
        <w:t xml:space="preserve"> </w:t>
      </w:r>
      <w:r w:rsidRPr="00C054A3">
        <w:rPr>
          <w:rFonts w:ascii="Verdana" w:eastAsia="Calibri" w:hAnsi="Verdana" w:cs="Arial"/>
          <w:lang w:eastAsia="es-CO"/>
        </w:rPr>
        <w:t xml:space="preserve">que circulan por las zonas fronterizas del país cuenten con un </w:t>
      </w:r>
      <w:r w:rsidRPr="00C054A3">
        <w:rPr>
          <w:rFonts w:ascii="Verdana" w:eastAsia="Calibri" w:hAnsi="Verdana" w:cs="Arial"/>
          <w:lang w:val="es-CO" w:eastAsia="es-CO"/>
        </w:rPr>
        <w:t>SOAT</w:t>
      </w:r>
      <w:r>
        <w:rPr>
          <w:rFonts w:ascii="Verdana" w:eastAsia="Calibri" w:hAnsi="Verdana" w:cs="Arial"/>
          <w:lang w:val="es-CO" w:eastAsia="es-CO"/>
        </w:rPr>
        <w:t xml:space="preserve"> cuya vigencia</w:t>
      </w:r>
      <w:r w:rsidRPr="00C054A3">
        <w:rPr>
          <w:rFonts w:ascii="Verdana" w:eastAsia="Calibri" w:hAnsi="Verdana" w:cs="Arial"/>
          <w:lang w:eastAsia="es-CO"/>
        </w:rPr>
        <w:t xml:space="preserve"> guarde relación con la exposición al riesgo</w:t>
      </w:r>
      <w:r w:rsidRPr="00882821">
        <w:rPr>
          <w:rFonts w:ascii="Verdana" w:eastAsia="Calibri" w:hAnsi="Verdana" w:cs="Arial"/>
          <w:lang w:eastAsia="es-CO"/>
        </w:rPr>
        <w:t>.</w:t>
      </w:r>
    </w:p>
    <w:p w14:paraId="4551B68D" w14:textId="77777777" w:rsidR="00216B04" w:rsidRDefault="00216B04" w:rsidP="00216B04">
      <w:pPr>
        <w:jc w:val="both"/>
        <w:rPr>
          <w:rFonts w:ascii="Verdana" w:eastAsia="Calibri" w:hAnsi="Verdana" w:cs="Arial"/>
          <w:lang w:eastAsia="es-CO"/>
        </w:rPr>
      </w:pPr>
    </w:p>
    <w:p w14:paraId="6AD51576" w14:textId="77777777" w:rsidR="00216B04" w:rsidRPr="00C054A3" w:rsidRDefault="00216B04" w:rsidP="00216B04">
      <w:pPr>
        <w:jc w:val="both"/>
        <w:rPr>
          <w:rFonts w:ascii="Verdana" w:eastAsia="Calibri" w:hAnsi="Verdana" w:cs="Arial"/>
          <w:lang w:val="es-CO" w:eastAsia="es-CO"/>
        </w:rPr>
      </w:pPr>
      <w:r w:rsidRPr="00C054A3">
        <w:rPr>
          <w:rFonts w:ascii="Verdana" w:eastAsia="Calibri" w:hAnsi="Verdana" w:cs="Arial"/>
          <w:lang w:val="es-CO" w:eastAsia="es-CO"/>
        </w:rPr>
        <w:t xml:space="preserve">En virtud de lo anterior, </w:t>
      </w:r>
      <w:r>
        <w:rPr>
          <w:rFonts w:ascii="Verdana" w:eastAsia="Calibri" w:hAnsi="Verdana" w:cs="Arial"/>
          <w:lang w:val="es-CO" w:eastAsia="es-CO"/>
        </w:rPr>
        <w:t xml:space="preserve">y </w:t>
      </w:r>
      <w:r w:rsidRPr="00C054A3">
        <w:rPr>
          <w:rFonts w:ascii="Verdana" w:eastAsia="Calibri" w:hAnsi="Verdana" w:cs="Arial"/>
          <w:lang w:val="es-CO" w:eastAsia="es-CO"/>
        </w:rPr>
        <w:t xml:space="preserve">en aplicación de los principios de equidad, suficiencia y moderación de que trata el inciso tercero del numeral 5 del artículo 193 del EOSF, esta Superintendencia considera necesario determinar las tarifas máximas del SOAT para </w:t>
      </w:r>
      <w:r w:rsidRPr="00C054A3">
        <w:rPr>
          <w:rFonts w:ascii="Verdana" w:eastAsia="Calibri" w:hAnsi="Verdana" w:cs="Arial"/>
          <w:lang w:eastAsia="es-CO"/>
        </w:rPr>
        <w:t>los vehículos</w:t>
      </w:r>
      <w:r>
        <w:rPr>
          <w:rFonts w:ascii="Verdana" w:eastAsia="Calibri" w:hAnsi="Verdana" w:cs="Arial"/>
          <w:lang w:eastAsia="es-CO"/>
        </w:rPr>
        <w:t xml:space="preserve"> </w:t>
      </w:r>
      <w:r w:rsidRPr="00C054A3">
        <w:rPr>
          <w:rFonts w:ascii="Verdana" w:eastAsia="Calibri" w:hAnsi="Verdana" w:cs="Arial"/>
          <w:lang w:eastAsia="es-CO"/>
        </w:rPr>
        <w:t>que circul</w:t>
      </w:r>
      <w:r>
        <w:rPr>
          <w:rFonts w:ascii="Verdana" w:eastAsia="Calibri" w:hAnsi="Verdana" w:cs="Arial"/>
          <w:lang w:eastAsia="es-CO"/>
        </w:rPr>
        <w:t>a</w:t>
      </w:r>
      <w:r w:rsidRPr="00C054A3">
        <w:rPr>
          <w:rFonts w:ascii="Verdana" w:eastAsia="Calibri" w:hAnsi="Verdana" w:cs="Arial"/>
          <w:lang w:eastAsia="es-CO"/>
        </w:rPr>
        <w:t xml:space="preserve">n por las zonas fronterizas con una vigencia diaria, teniendo en cuenta los siguientes factores: </w:t>
      </w:r>
      <w:r>
        <w:rPr>
          <w:rFonts w:ascii="Verdana" w:eastAsia="Calibri" w:hAnsi="Verdana" w:cs="Arial"/>
          <w:lang w:eastAsia="es-CO"/>
        </w:rPr>
        <w:t>(</w:t>
      </w:r>
      <w:r w:rsidRPr="00C054A3">
        <w:rPr>
          <w:rFonts w:ascii="Verdana" w:eastAsia="Calibri" w:hAnsi="Verdana" w:cs="Arial"/>
          <w:lang w:eastAsia="es-CO"/>
        </w:rPr>
        <w:t xml:space="preserve">i) la exposición al riesgo de estos vehículos, </w:t>
      </w:r>
      <w:r>
        <w:rPr>
          <w:rFonts w:ascii="Verdana" w:eastAsia="Calibri" w:hAnsi="Verdana" w:cs="Arial"/>
          <w:lang w:eastAsia="es-CO"/>
        </w:rPr>
        <w:t>(</w:t>
      </w:r>
      <w:r w:rsidRPr="00C054A3">
        <w:rPr>
          <w:rFonts w:ascii="Verdana" w:eastAsia="Calibri" w:hAnsi="Verdana" w:cs="Arial"/>
          <w:lang w:eastAsia="es-CO"/>
        </w:rPr>
        <w:t xml:space="preserve">ii) las transferencias a la Administradora de los Recursos del Sistema General de Seguridad Social en Salud (ADRES) establecidas en el artículo 2.6.4.2.1.3. del Decreto 780 de 2016 y en la Resolución 2709 de 2022, </w:t>
      </w:r>
      <w:r>
        <w:rPr>
          <w:rFonts w:ascii="Verdana" w:eastAsia="Calibri" w:hAnsi="Verdana" w:cs="Arial"/>
          <w:lang w:eastAsia="es-CO"/>
        </w:rPr>
        <w:t>(</w:t>
      </w:r>
      <w:r w:rsidRPr="00C054A3">
        <w:rPr>
          <w:rFonts w:ascii="Verdana" w:eastAsia="Calibri" w:hAnsi="Verdana" w:cs="Arial"/>
          <w:lang w:eastAsia="es-CO"/>
        </w:rPr>
        <w:t xml:space="preserve">iii) las transferencias a la Agencia Nacional de Seguridad Vial </w:t>
      </w:r>
      <w:r w:rsidRPr="7E4A2C0A">
        <w:rPr>
          <w:rFonts w:ascii="Verdana" w:eastAsia="Calibri" w:hAnsi="Verdana" w:cs="Arial"/>
          <w:lang w:eastAsia="es-CO"/>
        </w:rPr>
        <w:t xml:space="preserve">(ANSV) </w:t>
      </w:r>
      <w:r w:rsidRPr="00C054A3">
        <w:rPr>
          <w:rFonts w:ascii="Verdana" w:eastAsia="Calibri" w:hAnsi="Verdana" w:cs="Arial"/>
          <w:lang w:eastAsia="es-CO"/>
        </w:rPr>
        <w:lastRenderedPageBreak/>
        <w:t xml:space="preserve">señaladas en el artículo 7 de la Ley 1702 de 2013, y </w:t>
      </w:r>
      <w:r>
        <w:rPr>
          <w:rFonts w:ascii="Verdana" w:eastAsia="Calibri" w:hAnsi="Verdana" w:cs="Arial"/>
          <w:lang w:eastAsia="es-CO"/>
        </w:rPr>
        <w:t>(</w:t>
      </w:r>
      <w:r w:rsidRPr="00C054A3">
        <w:rPr>
          <w:rFonts w:ascii="Verdana" w:eastAsia="Calibri" w:hAnsi="Verdana" w:cs="Arial"/>
          <w:lang w:eastAsia="es-CO"/>
        </w:rPr>
        <w:t>iv) los gastos para la operatividad del ramo.</w:t>
      </w:r>
    </w:p>
    <w:p w14:paraId="0BA552B2" w14:textId="77777777" w:rsidR="00216B04" w:rsidRPr="00C054A3" w:rsidRDefault="00216B04" w:rsidP="00216B04">
      <w:pPr>
        <w:jc w:val="both"/>
        <w:rPr>
          <w:rFonts w:ascii="Verdana" w:eastAsia="Calibri" w:hAnsi="Verdana" w:cs="Arial"/>
          <w:lang w:eastAsia="es-CO"/>
        </w:rPr>
      </w:pPr>
    </w:p>
    <w:p w14:paraId="60622FD5" w14:textId="77777777" w:rsidR="00216B04" w:rsidRPr="00C054A3" w:rsidRDefault="00216B04" w:rsidP="00216B04">
      <w:pPr>
        <w:jc w:val="both"/>
        <w:rPr>
          <w:rFonts w:ascii="Verdana" w:hAnsi="Verdana" w:cs="Arial"/>
          <w:lang w:val="es-CO" w:eastAsia="es-CO"/>
        </w:rPr>
      </w:pPr>
      <w:r w:rsidRPr="00C054A3">
        <w:rPr>
          <w:rFonts w:ascii="Verdana" w:eastAsia="Calibri" w:hAnsi="Verdana" w:cs="Arial"/>
          <w:lang w:val="es-CO" w:eastAsia="es-CO"/>
        </w:rPr>
        <w:t xml:space="preserve">En desarrollo de lo expuesto, </w:t>
      </w:r>
      <w:r>
        <w:rPr>
          <w:rFonts w:ascii="Verdana" w:eastAsia="Calibri" w:hAnsi="Verdana" w:cs="Arial"/>
          <w:lang w:val="es-CO" w:eastAsia="es-CO"/>
        </w:rPr>
        <w:t xml:space="preserve">este Despacho </w:t>
      </w:r>
      <w:r w:rsidRPr="00C054A3">
        <w:rPr>
          <w:rFonts w:ascii="Verdana" w:eastAsia="Calibri" w:hAnsi="Verdana" w:cs="Arial"/>
          <w:lang w:val="es-CO" w:eastAsia="es-CO"/>
        </w:rPr>
        <w:t>en</w:t>
      </w:r>
      <w:r w:rsidRPr="00C054A3">
        <w:rPr>
          <w:rFonts w:ascii="Verdana" w:hAnsi="Verdana" w:cs="Arial"/>
          <w:lang w:val="es-CO" w:eastAsia="es-CO"/>
        </w:rPr>
        <w:t xml:space="preserve"> ejercicio de</w:t>
      </w:r>
      <w:r w:rsidRPr="00C054A3">
        <w:rPr>
          <w:rFonts w:ascii="Verdana" w:hAnsi="Verdana" w:cs="Arial"/>
          <w:lang w:eastAsia="es-CO"/>
        </w:rPr>
        <w:t xml:space="preserve"> las facultades otorgadas a esta Superintendencia, particularmente la consagrada en el numeral 5 del artículo 193 del EOSF, </w:t>
      </w:r>
      <w:r>
        <w:rPr>
          <w:rFonts w:ascii="Verdana" w:hAnsi="Verdana" w:cs="Arial"/>
          <w:lang w:eastAsia="es-CO"/>
        </w:rPr>
        <w:t xml:space="preserve">el artículo 1 del Decreto 2497 de 2022 (modificado por el Decreto 2312 de 2023), </w:t>
      </w:r>
      <w:r w:rsidRPr="00C054A3">
        <w:rPr>
          <w:rFonts w:ascii="Verdana" w:hAnsi="Verdana" w:cs="Arial"/>
          <w:lang w:eastAsia="es-CO"/>
        </w:rPr>
        <w:t xml:space="preserve">así como las establecidas en el </w:t>
      </w:r>
      <w:r w:rsidRPr="00C054A3">
        <w:rPr>
          <w:rFonts w:ascii="Verdana" w:eastAsia="Calibri" w:hAnsi="Verdana" w:cs="Arial"/>
          <w:lang w:eastAsia="es-CO"/>
        </w:rPr>
        <w:t>literal a) del numeral 3 del artículo 326 del</w:t>
      </w:r>
      <w:r w:rsidRPr="00C054A3">
        <w:rPr>
          <w:rFonts w:ascii="Verdana" w:hAnsi="Verdana" w:cs="Arial"/>
          <w:lang w:eastAsia="es-CO"/>
        </w:rPr>
        <w:t xml:space="preserve"> citado Estatuto y en </w:t>
      </w:r>
      <w:r w:rsidRPr="00C054A3">
        <w:rPr>
          <w:rFonts w:ascii="Verdana" w:eastAsia="Calibri" w:hAnsi="Verdana" w:cs="Arial"/>
          <w:lang w:eastAsia="es-CO"/>
        </w:rPr>
        <w:t xml:space="preserve">el numeral </w:t>
      </w:r>
      <w:r w:rsidRPr="00C054A3">
        <w:rPr>
          <w:rFonts w:ascii="Verdana" w:eastAsia="Calibri" w:hAnsi="Verdana" w:cs="Arial"/>
          <w:lang w:val="es-CO" w:eastAsia="es-CO"/>
        </w:rPr>
        <w:t>4</w:t>
      </w:r>
      <w:r w:rsidRPr="00C054A3">
        <w:rPr>
          <w:rFonts w:ascii="Verdana" w:eastAsia="Calibri" w:hAnsi="Verdana" w:cs="Arial"/>
          <w:lang w:eastAsia="es-CO"/>
        </w:rPr>
        <w:t xml:space="preserve"> del artículo 11.2.1.4.2. del Decreto 2555 de 2010</w:t>
      </w:r>
      <w:r w:rsidRPr="00C054A3">
        <w:rPr>
          <w:rFonts w:ascii="Verdana" w:eastAsia="Calibri" w:hAnsi="Verdana" w:cs="Arial"/>
          <w:lang w:val="es-CO" w:eastAsia="es-CO"/>
        </w:rPr>
        <w:t>, impa</w:t>
      </w:r>
      <w:r w:rsidRPr="00C054A3">
        <w:rPr>
          <w:rFonts w:ascii="Verdana" w:hAnsi="Verdana" w:cs="Arial"/>
          <w:lang w:val="es-CO" w:eastAsia="es-CO"/>
        </w:rPr>
        <w:t>rte la</w:t>
      </w:r>
      <w:r>
        <w:rPr>
          <w:rFonts w:ascii="Verdana" w:hAnsi="Verdana" w:cs="Arial"/>
          <w:lang w:val="es-CO" w:eastAsia="es-CO"/>
        </w:rPr>
        <w:t>s</w:t>
      </w:r>
      <w:r w:rsidRPr="00C054A3">
        <w:rPr>
          <w:rFonts w:ascii="Verdana" w:hAnsi="Verdana" w:cs="Arial"/>
          <w:lang w:val="es-CO" w:eastAsia="es-CO"/>
        </w:rPr>
        <w:t xml:space="preserve"> </w:t>
      </w:r>
      <w:r>
        <w:rPr>
          <w:rFonts w:ascii="Verdana" w:hAnsi="Verdana" w:cs="Arial"/>
          <w:lang w:val="es-CO" w:eastAsia="es-CO"/>
        </w:rPr>
        <w:t>siguientes</w:t>
      </w:r>
      <w:r w:rsidRPr="00C054A3">
        <w:rPr>
          <w:rFonts w:ascii="Verdana" w:hAnsi="Verdana" w:cs="Arial"/>
          <w:lang w:val="es-CO" w:eastAsia="es-CO"/>
        </w:rPr>
        <w:t xml:space="preserve"> </w:t>
      </w:r>
      <w:r>
        <w:rPr>
          <w:rFonts w:ascii="Verdana" w:hAnsi="Verdana" w:cs="Arial"/>
          <w:lang w:val="es-CO" w:eastAsia="es-CO"/>
        </w:rPr>
        <w:t>instrucciones</w:t>
      </w:r>
      <w:r w:rsidRPr="00C054A3">
        <w:rPr>
          <w:rFonts w:ascii="Verdana" w:hAnsi="Verdana" w:cs="Arial"/>
          <w:lang w:val="es-CO" w:eastAsia="es-CO"/>
        </w:rPr>
        <w:t>:</w:t>
      </w:r>
    </w:p>
    <w:p w14:paraId="31D1EEEC" w14:textId="77777777" w:rsidR="00216B04" w:rsidRPr="00C054A3" w:rsidRDefault="00216B04" w:rsidP="00216B04">
      <w:pPr>
        <w:jc w:val="both"/>
        <w:rPr>
          <w:rFonts w:ascii="Verdana" w:hAnsi="Verdana" w:cs="Arial"/>
          <w:lang w:val="es-CO" w:eastAsia="es-CO"/>
        </w:rPr>
      </w:pPr>
    </w:p>
    <w:p w14:paraId="5DC7A6D4" w14:textId="77777777" w:rsidR="00216B04" w:rsidRPr="00C054A3" w:rsidRDefault="00216B04" w:rsidP="00216B04">
      <w:pPr>
        <w:jc w:val="both"/>
        <w:rPr>
          <w:rFonts w:ascii="Verdana" w:eastAsia="Calibri" w:hAnsi="Verdana" w:cs="Arial"/>
          <w:lang w:eastAsia="es-CO"/>
        </w:rPr>
      </w:pPr>
      <w:r w:rsidRPr="00C054A3">
        <w:rPr>
          <w:rFonts w:ascii="Verdana" w:hAnsi="Verdana" w:cs="Arial"/>
          <w:b/>
          <w:lang w:val="es-CO" w:eastAsia="es-CO"/>
        </w:rPr>
        <w:t xml:space="preserve">PRIMERA: </w:t>
      </w:r>
      <w:r w:rsidRPr="00C054A3">
        <w:rPr>
          <w:rFonts w:ascii="Verdana" w:hAnsi="Verdana" w:cs="Arial"/>
          <w:lang w:eastAsia="es-CO"/>
        </w:rPr>
        <w:t xml:space="preserve">Modificar el subnumeral 3.1.5. </w:t>
      </w:r>
      <w:r w:rsidRPr="00C054A3">
        <w:rPr>
          <w:rFonts w:ascii="Verdana" w:hAnsi="Verdana" w:cs="Arial"/>
          <w:lang w:val="es-CO" w:eastAsia="es-CO"/>
        </w:rPr>
        <w:t>del</w:t>
      </w:r>
      <w:r w:rsidRPr="00C054A3">
        <w:rPr>
          <w:rFonts w:ascii="Verdana" w:eastAsia="Calibri" w:hAnsi="Verdana" w:cs="Arial"/>
          <w:lang w:eastAsia="es-CO"/>
        </w:rPr>
        <w:t xml:space="preserve"> Capítulo II del Título IV de la Parte II de la </w:t>
      </w:r>
      <w:r w:rsidRPr="00C054A3">
        <w:rPr>
          <w:rFonts w:ascii="Verdana" w:eastAsia="Calibri" w:hAnsi="Verdana" w:cs="Arial"/>
          <w:lang w:val="es-CO" w:eastAsia="es-CO"/>
        </w:rPr>
        <w:t xml:space="preserve">Circular Básica Jurídica </w:t>
      </w:r>
      <w:r w:rsidRPr="00C054A3">
        <w:rPr>
          <w:rFonts w:ascii="Verdana" w:eastAsia="Calibri" w:hAnsi="Verdana" w:cs="Arial"/>
          <w:i/>
          <w:iCs/>
          <w:lang w:val="es-CO" w:eastAsia="es-CO"/>
        </w:rPr>
        <w:t>«Disposiciones Especiales Aplicables a las Entidades Aseguradoras y Reaseguradoras»</w:t>
      </w:r>
      <w:r>
        <w:rPr>
          <w:rFonts w:ascii="Verdana" w:eastAsia="Calibri" w:hAnsi="Verdana" w:cs="Arial"/>
          <w:i/>
          <w:iCs/>
          <w:lang w:val="es-CO" w:eastAsia="es-CO"/>
        </w:rPr>
        <w:t>,</w:t>
      </w:r>
      <w:r w:rsidRPr="00C054A3">
        <w:rPr>
          <w:rFonts w:ascii="Verdana" w:eastAsia="Calibri" w:hAnsi="Verdana" w:cs="Arial"/>
          <w:i/>
          <w:iCs/>
          <w:lang w:val="es-CO" w:eastAsia="es-CO"/>
        </w:rPr>
        <w:t xml:space="preserve"> </w:t>
      </w:r>
      <w:r w:rsidRPr="00C054A3">
        <w:rPr>
          <w:rFonts w:ascii="Verdana" w:eastAsia="Calibri" w:hAnsi="Verdana" w:cs="Arial"/>
          <w:lang w:val="es-CO" w:eastAsia="es-CO"/>
        </w:rPr>
        <w:t>con el fin de</w:t>
      </w:r>
      <w:r w:rsidRPr="00C054A3">
        <w:rPr>
          <w:rFonts w:ascii="Verdana" w:eastAsia="Calibri" w:hAnsi="Verdana" w:cs="Arial"/>
          <w:i/>
          <w:iCs/>
          <w:lang w:val="es-CO" w:eastAsia="es-CO"/>
        </w:rPr>
        <w:t xml:space="preserve"> </w:t>
      </w:r>
      <w:r w:rsidRPr="00C054A3">
        <w:rPr>
          <w:rFonts w:ascii="Verdana" w:eastAsia="Calibri" w:hAnsi="Verdana" w:cs="Arial"/>
          <w:lang w:val="es-CO" w:eastAsia="es-CO"/>
        </w:rPr>
        <w:t>establecer que la vigencia mínima</w:t>
      </w:r>
      <w:r w:rsidRPr="00C054A3">
        <w:rPr>
          <w:rFonts w:ascii="Verdana" w:eastAsia="Calibri" w:hAnsi="Verdana" w:cs="Arial"/>
          <w:lang w:eastAsia="es-CO"/>
        </w:rPr>
        <w:t xml:space="preserve"> de la póliza</w:t>
      </w:r>
      <w:r w:rsidRPr="00C054A3">
        <w:rPr>
          <w:rFonts w:ascii="Verdana" w:eastAsia="Calibri" w:hAnsi="Verdana" w:cs="Arial"/>
          <w:lang w:val="es-CO" w:eastAsia="es-CO"/>
        </w:rPr>
        <w:t xml:space="preserve"> del SOAT </w:t>
      </w:r>
      <w:r w:rsidRPr="00C054A3">
        <w:rPr>
          <w:rFonts w:ascii="Verdana" w:eastAsia="Calibri" w:hAnsi="Verdana" w:cs="Arial"/>
          <w:lang w:eastAsia="es-CO"/>
        </w:rPr>
        <w:t>será diaria</w:t>
      </w:r>
      <w:r w:rsidRPr="00C054A3">
        <w:rPr>
          <w:rFonts w:ascii="Verdana" w:eastAsia="Calibri" w:hAnsi="Verdana" w:cs="Arial"/>
          <w:lang w:val="es-CO" w:eastAsia="es-CO"/>
        </w:rPr>
        <w:t xml:space="preserve"> para </w:t>
      </w:r>
      <w:r w:rsidRPr="00C054A3">
        <w:rPr>
          <w:rFonts w:ascii="Verdana" w:eastAsia="Calibri" w:hAnsi="Verdana" w:cs="Arial"/>
          <w:lang w:eastAsia="es-CO"/>
        </w:rPr>
        <w:t>los vehículos que circul</w:t>
      </w:r>
      <w:r>
        <w:rPr>
          <w:rFonts w:ascii="Verdana" w:eastAsia="Calibri" w:hAnsi="Verdana" w:cs="Arial"/>
          <w:lang w:eastAsia="es-CO"/>
        </w:rPr>
        <w:t>a</w:t>
      </w:r>
      <w:r w:rsidRPr="00C054A3">
        <w:rPr>
          <w:rFonts w:ascii="Verdana" w:eastAsia="Calibri" w:hAnsi="Verdana" w:cs="Arial"/>
          <w:lang w:eastAsia="es-CO"/>
        </w:rPr>
        <w:t>n por las zonas fronterizas, y determinar la metodología para el cálculo de la tarifa máxima de dichas pólizas.</w:t>
      </w:r>
    </w:p>
    <w:p w14:paraId="4F57FDB7" w14:textId="77777777" w:rsidR="00216B04" w:rsidRDefault="00216B04" w:rsidP="00216B04">
      <w:pPr>
        <w:jc w:val="both"/>
        <w:rPr>
          <w:rFonts w:ascii="Verdana" w:eastAsia="Arial" w:hAnsi="Verdana" w:cs="Arial"/>
          <w:b/>
          <w:bCs/>
          <w:lang w:val="es-CO"/>
        </w:rPr>
      </w:pPr>
    </w:p>
    <w:p w14:paraId="7DAD2221" w14:textId="77777777" w:rsidR="00216B04" w:rsidRPr="00C054A3" w:rsidRDefault="00216B04" w:rsidP="00216B04">
      <w:pPr>
        <w:jc w:val="both"/>
        <w:rPr>
          <w:rFonts w:ascii="Verdana" w:eastAsia="Arial" w:hAnsi="Verdana" w:cs="Arial"/>
          <w:lang w:val="es-CO"/>
        </w:rPr>
      </w:pPr>
      <w:r w:rsidRPr="00C054A3">
        <w:rPr>
          <w:rFonts w:ascii="Verdana" w:eastAsia="Arial" w:hAnsi="Verdana" w:cs="Arial"/>
          <w:b/>
          <w:bCs/>
          <w:lang w:val="es-CO"/>
        </w:rPr>
        <w:t>SEGUNDA. VIGENCIA:</w:t>
      </w:r>
      <w:r>
        <w:rPr>
          <w:rFonts w:ascii="Verdana" w:eastAsia="Arial" w:hAnsi="Verdana" w:cs="Arial"/>
          <w:lang w:val="es-CO"/>
        </w:rPr>
        <w:t xml:space="preserve"> La presente Circular rige a partir de su publicación. </w:t>
      </w:r>
    </w:p>
    <w:p w14:paraId="76034538" w14:textId="77777777" w:rsidR="00216B04" w:rsidRPr="00C054A3" w:rsidRDefault="00216B04" w:rsidP="00216B04">
      <w:pPr>
        <w:jc w:val="both"/>
        <w:rPr>
          <w:rFonts w:ascii="Verdana" w:eastAsia="Arial" w:hAnsi="Verdana" w:cs="Arial"/>
          <w:lang w:val="es-CO"/>
        </w:rPr>
      </w:pPr>
    </w:p>
    <w:p w14:paraId="768371A6" w14:textId="77777777" w:rsidR="00216B04" w:rsidRPr="00C054A3" w:rsidRDefault="00216B04" w:rsidP="00216B04">
      <w:pPr>
        <w:jc w:val="both"/>
        <w:rPr>
          <w:rFonts w:ascii="Verdana" w:eastAsia="Arial" w:hAnsi="Verdana" w:cs="Arial"/>
          <w:lang w:val="es-CO"/>
        </w:rPr>
      </w:pPr>
      <w:r>
        <w:rPr>
          <w:rFonts w:ascii="Verdana" w:eastAsia="Arial" w:hAnsi="Verdana" w:cs="Arial"/>
          <w:lang w:val="es-CO"/>
        </w:rPr>
        <w:t>Se anexan las páginas objeto de modificación</w:t>
      </w:r>
    </w:p>
    <w:p w14:paraId="2BABD455" w14:textId="77777777" w:rsidR="00216B04" w:rsidRPr="00C054A3" w:rsidRDefault="00216B04" w:rsidP="00216B04">
      <w:pPr>
        <w:widowControl w:val="0"/>
        <w:tabs>
          <w:tab w:val="left" w:pos="284"/>
          <w:tab w:val="left" w:pos="450"/>
          <w:tab w:val="left" w:pos="1665"/>
        </w:tabs>
        <w:adjustRightInd w:val="0"/>
        <w:jc w:val="both"/>
        <w:rPr>
          <w:rFonts w:ascii="Verdana" w:eastAsia="Arial" w:hAnsi="Verdana" w:cs="Arial"/>
          <w:b/>
          <w:bCs/>
          <w:lang w:val="es-CO"/>
        </w:rPr>
      </w:pPr>
    </w:p>
    <w:p w14:paraId="79FD916C" w14:textId="77777777" w:rsidR="00216B04" w:rsidRPr="00C054A3" w:rsidRDefault="00216B04" w:rsidP="00216B04">
      <w:pPr>
        <w:widowControl w:val="0"/>
        <w:tabs>
          <w:tab w:val="left" w:pos="284"/>
          <w:tab w:val="left" w:pos="450"/>
          <w:tab w:val="left" w:pos="1665"/>
        </w:tabs>
        <w:adjustRightInd w:val="0"/>
        <w:jc w:val="both"/>
        <w:rPr>
          <w:rFonts w:ascii="Verdana" w:eastAsia="Arial" w:hAnsi="Verdana" w:cs="Arial"/>
          <w:b/>
          <w:bCs/>
          <w:lang w:val="es-CO"/>
        </w:rPr>
      </w:pPr>
    </w:p>
    <w:p w14:paraId="0FC0E68E" w14:textId="77777777" w:rsidR="00216B04" w:rsidRPr="00C054A3" w:rsidRDefault="00216B04" w:rsidP="00216B04">
      <w:pPr>
        <w:widowControl w:val="0"/>
        <w:tabs>
          <w:tab w:val="left" w:pos="284"/>
          <w:tab w:val="left" w:pos="450"/>
          <w:tab w:val="left" w:pos="1665"/>
        </w:tabs>
        <w:adjustRightInd w:val="0"/>
        <w:jc w:val="both"/>
        <w:rPr>
          <w:rFonts w:ascii="Verdana" w:eastAsia="Arial" w:hAnsi="Verdana" w:cs="Arial"/>
          <w:b/>
          <w:bCs/>
          <w:lang w:val="es-CO"/>
        </w:rPr>
      </w:pPr>
    </w:p>
    <w:p w14:paraId="7659950C" w14:textId="77777777" w:rsidR="00216B04" w:rsidRPr="00C054A3" w:rsidRDefault="00216B04" w:rsidP="00216B04">
      <w:pPr>
        <w:widowControl w:val="0"/>
        <w:tabs>
          <w:tab w:val="left" w:pos="284"/>
          <w:tab w:val="left" w:pos="450"/>
          <w:tab w:val="left" w:pos="1665"/>
        </w:tabs>
        <w:adjustRightInd w:val="0"/>
        <w:jc w:val="both"/>
        <w:rPr>
          <w:rFonts w:ascii="Verdana" w:eastAsia="Arial" w:hAnsi="Verdana" w:cs="Arial"/>
          <w:b/>
          <w:bCs/>
          <w:lang w:val="es-CO"/>
        </w:rPr>
      </w:pPr>
    </w:p>
    <w:p w14:paraId="65B7E7CA" w14:textId="77777777" w:rsidR="00216B04" w:rsidRPr="00C054A3" w:rsidRDefault="00216B04" w:rsidP="00216B04">
      <w:pPr>
        <w:widowControl w:val="0"/>
        <w:tabs>
          <w:tab w:val="left" w:pos="284"/>
          <w:tab w:val="left" w:pos="450"/>
          <w:tab w:val="left" w:pos="1665"/>
        </w:tabs>
        <w:adjustRightInd w:val="0"/>
        <w:jc w:val="both"/>
        <w:rPr>
          <w:rFonts w:ascii="Verdana" w:eastAsia="Arial" w:hAnsi="Verdana" w:cs="Arial"/>
          <w:b/>
          <w:bCs/>
          <w:lang w:val="es-CO"/>
        </w:rPr>
      </w:pPr>
    </w:p>
    <w:p w14:paraId="5B442917" w14:textId="77777777" w:rsidR="00216B04" w:rsidRPr="00C054A3" w:rsidRDefault="00216B04" w:rsidP="00216B04">
      <w:pPr>
        <w:widowControl w:val="0"/>
        <w:tabs>
          <w:tab w:val="left" w:pos="284"/>
          <w:tab w:val="left" w:pos="450"/>
          <w:tab w:val="left" w:pos="1665"/>
        </w:tabs>
        <w:adjustRightInd w:val="0"/>
        <w:jc w:val="both"/>
        <w:rPr>
          <w:rFonts w:ascii="Verdana" w:eastAsia="Arial" w:hAnsi="Verdana" w:cs="Arial"/>
          <w:b/>
          <w:bCs/>
          <w:lang w:val="es-CO"/>
        </w:rPr>
      </w:pPr>
      <w:r w:rsidRPr="00C054A3">
        <w:rPr>
          <w:rFonts w:ascii="Verdana" w:eastAsia="Arial" w:hAnsi="Verdana" w:cs="Arial"/>
          <w:b/>
          <w:bCs/>
          <w:lang w:val="es-CO"/>
        </w:rPr>
        <w:t>CÉSAR FERRARI Ph.D</w:t>
      </w:r>
    </w:p>
    <w:p w14:paraId="60E94918" w14:textId="77777777" w:rsidR="00216B04" w:rsidRPr="00C054A3" w:rsidRDefault="00216B04" w:rsidP="00216B04">
      <w:pPr>
        <w:tabs>
          <w:tab w:val="left" w:pos="284"/>
        </w:tabs>
        <w:jc w:val="both"/>
        <w:rPr>
          <w:rFonts w:ascii="Verdana" w:eastAsia="Arial" w:hAnsi="Verdana" w:cs="Arial"/>
          <w:lang w:val="es-CO"/>
        </w:rPr>
      </w:pPr>
      <w:r w:rsidRPr="00C054A3">
        <w:rPr>
          <w:rFonts w:ascii="Verdana" w:eastAsia="Arial" w:hAnsi="Verdana" w:cs="Arial"/>
          <w:lang w:val="es-CO"/>
        </w:rPr>
        <w:t>Superintendente Financiero</w:t>
      </w:r>
    </w:p>
    <w:p w14:paraId="70A61394" w14:textId="77777777" w:rsidR="00216B04" w:rsidRPr="00C054A3" w:rsidRDefault="00216B04" w:rsidP="00216B04">
      <w:pPr>
        <w:jc w:val="both"/>
        <w:rPr>
          <w:rFonts w:ascii="Verdana" w:eastAsia="Arial" w:hAnsi="Verdana" w:cs="Arial"/>
          <w:sz w:val="16"/>
          <w:szCs w:val="16"/>
          <w:lang w:val="es-CO"/>
        </w:rPr>
      </w:pPr>
      <w:r w:rsidRPr="00C054A3">
        <w:rPr>
          <w:rFonts w:ascii="Verdana" w:eastAsia="Arial" w:hAnsi="Verdana" w:cs="Arial"/>
          <w:sz w:val="16"/>
          <w:szCs w:val="16"/>
          <w:lang w:val="es-CO"/>
        </w:rPr>
        <w:t>50000</w:t>
      </w:r>
    </w:p>
    <w:p w14:paraId="2E4A0A41" w14:textId="77777777" w:rsidR="00216B04" w:rsidRPr="00C054A3" w:rsidRDefault="00216B04" w:rsidP="00216B04">
      <w:pPr>
        <w:jc w:val="both"/>
        <w:rPr>
          <w:rFonts w:ascii="Verdana" w:eastAsia="Arial" w:hAnsi="Verdana" w:cs="Arial"/>
          <w:sz w:val="16"/>
          <w:szCs w:val="16"/>
          <w:lang w:val="es-CO"/>
        </w:rPr>
      </w:pPr>
    </w:p>
    <w:p w14:paraId="69783242" w14:textId="77777777" w:rsidR="00216B04" w:rsidRPr="00C054A3" w:rsidRDefault="00216B04" w:rsidP="00216B04">
      <w:pPr>
        <w:jc w:val="both"/>
        <w:rPr>
          <w:rFonts w:ascii="Verdana" w:eastAsia="Arial" w:hAnsi="Verdana" w:cs="Arial"/>
          <w:sz w:val="16"/>
          <w:szCs w:val="16"/>
          <w:lang w:val="es-CO"/>
        </w:rPr>
      </w:pPr>
      <w:r w:rsidRPr="00C054A3">
        <w:rPr>
          <w:rFonts w:ascii="Verdana" w:eastAsia="Arial" w:hAnsi="Verdana" w:cs="Arial"/>
          <w:sz w:val="16"/>
          <w:szCs w:val="16"/>
          <w:lang w:val="es-CO"/>
        </w:rPr>
        <w:t>Elaboró: Cindy</w:t>
      </w:r>
      <w:r>
        <w:rPr>
          <w:rFonts w:ascii="Verdana" w:eastAsia="Arial" w:hAnsi="Verdana" w:cs="Arial"/>
          <w:sz w:val="16"/>
          <w:szCs w:val="16"/>
          <w:lang w:val="es-CO"/>
        </w:rPr>
        <w:t xml:space="preserve"> Lizeth</w:t>
      </w:r>
      <w:r w:rsidRPr="00C054A3">
        <w:rPr>
          <w:rFonts w:ascii="Verdana" w:eastAsia="Arial" w:hAnsi="Verdana" w:cs="Arial"/>
          <w:sz w:val="16"/>
          <w:szCs w:val="16"/>
          <w:lang w:val="es-CO"/>
        </w:rPr>
        <w:t xml:space="preserve"> Diaz</w:t>
      </w:r>
      <w:r>
        <w:rPr>
          <w:rFonts w:ascii="Verdana" w:eastAsia="Arial" w:hAnsi="Verdana" w:cs="Arial"/>
          <w:sz w:val="16"/>
          <w:szCs w:val="16"/>
          <w:lang w:val="es-CO"/>
        </w:rPr>
        <w:t xml:space="preserve"> Lozano</w:t>
      </w:r>
      <w:r w:rsidRPr="00C054A3">
        <w:rPr>
          <w:rFonts w:ascii="Verdana" w:eastAsia="Arial" w:hAnsi="Verdana" w:cs="Arial"/>
          <w:sz w:val="16"/>
          <w:szCs w:val="16"/>
          <w:lang w:val="es-CO"/>
        </w:rPr>
        <w:t>, Astrid</w:t>
      </w:r>
      <w:r>
        <w:rPr>
          <w:rFonts w:ascii="Verdana" w:eastAsia="Arial" w:hAnsi="Verdana" w:cs="Arial"/>
          <w:sz w:val="16"/>
          <w:szCs w:val="16"/>
          <w:lang w:val="es-CO"/>
        </w:rPr>
        <w:t xml:space="preserve"> Giseth</w:t>
      </w:r>
      <w:r w:rsidRPr="00C054A3">
        <w:rPr>
          <w:rFonts w:ascii="Verdana" w:eastAsia="Arial" w:hAnsi="Verdana" w:cs="Arial"/>
          <w:sz w:val="16"/>
          <w:szCs w:val="16"/>
          <w:lang w:val="es-CO"/>
        </w:rPr>
        <w:t xml:space="preserve"> Florido</w:t>
      </w:r>
      <w:r>
        <w:rPr>
          <w:rFonts w:ascii="Verdana" w:eastAsia="Arial" w:hAnsi="Verdana" w:cs="Arial"/>
          <w:sz w:val="16"/>
          <w:szCs w:val="16"/>
          <w:lang w:val="es-CO"/>
        </w:rPr>
        <w:t xml:space="preserve"> Alvarado</w:t>
      </w:r>
      <w:r w:rsidRPr="00C054A3">
        <w:rPr>
          <w:rFonts w:ascii="Verdana" w:eastAsia="Arial" w:hAnsi="Verdana" w:cs="Arial"/>
          <w:sz w:val="16"/>
          <w:szCs w:val="16"/>
          <w:lang w:val="es-CO"/>
        </w:rPr>
        <w:t>, Luis Gerardo Ramos</w:t>
      </w:r>
      <w:r>
        <w:rPr>
          <w:rFonts w:ascii="Verdana" w:eastAsia="Arial" w:hAnsi="Verdana" w:cs="Arial"/>
          <w:sz w:val="16"/>
          <w:szCs w:val="16"/>
          <w:lang w:val="es-CO"/>
        </w:rPr>
        <w:t xml:space="preserve"> Marin</w:t>
      </w:r>
      <w:r w:rsidRPr="00C054A3">
        <w:rPr>
          <w:rFonts w:ascii="Verdana" w:eastAsia="Arial" w:hAnsi="Verdana" w:cs="Arial"/>
          <w:sz w:val="16"/>
          <w:szCs w:val="16"/>
          <w:lang w:val="es-CO"/>
        </w:rPr>
        <w:t>, Maya Alejandra Bhatia Ramos</w:t>
      </w:r>
    </w:p>
    <w:p w14:paraId="432CF53A" w14:textId="77777777" w:rsidR="00216B04" w:rsidRPr="00C054A3" w:rsidRDefault="00216B04" w:rsidP="00216B04">
      <w:pPr>
        <w:jc w:val="both"/>
        <w:rPr>
          <w:rFonts w:ascii="Verdana" w:eastAsia="Arial" w:hAnsi="Verdana" w:cs="Arial"/>
          <w:sz w:val="16"/>
          <w:szCs w:val="16"/>
          <w:lang w:val="es-CO"/>
        </w:rPr>
      </w:pPr>
      <w:r w:rsidRPr="00C054A3">
        <w:rPr>
          <w:rFonts w:ascii="Verdana" w:eastAsia="Arial" w:hAnsi="Verdana" w:cs="Arial"/>
          <w:sz w:val="16"/>
          <w:szCs w:val="16"/>
          <w:lang w:val="es-CO"/>
        </w:rPr>
        <w:t xml:space="preserve">Revisó: </w:t>
      </w:r>
      <w:r>
        <w:rPr>
          <w:rFonts w:ascii="Verdana" w:eastAsia="Arial" w:hAnsi="Verdana" w:cs="Arial"/>
          <w:sz w:val="16"/>
          <w:szCs w:val="16"/>
          <w:lang w:val="es-CO"/>
        </w:rPr>
        <w:t xml:space="preserve">Yenny </w:t>
      </w:r>
      <w:r w:rsidRPr="00C054A3">
        <w:rPr>
          <w:rFonts w:ascii="Verdana" w:eastAsia="Arial" w:hAnsi="Verdana" w:cs="Arial"/>
          <w:sz w:val="16"/>
          <w:szCs w:val="16"/>
          <w:lang w:val="es-CO"/>
        </w:rPr>
        <w:t>Carolina Guevara</w:t>
      </w:r>
      <w:r>
        <w:rPr>
          <w:rFonts w:ascii="Verdana" w:eastAsia="Arial" w:hAnsi="Verdana" w:cs="Arial"/>
          <w:sz w:val="16"/>
          <w:szCs w:val="16"/>
          <w:lang w:val="es-CO"/>
        </w:rPr>
        <w:t xml:space="preserve"> Rivera</w:t>
      </w:r>
      <w:r w:rsidRPr="00C054A3">
        <w:rPr>
          <w:rFonts w:ascii="Verdana" w:eastAsia="Arial" w:hAnsi="Verdana" w:cs="Arial"/>
          <w:sz w:val="16"/>
          <w:szCs w:val="16"/>
          <w:lang w:val="es-CO"/>
        </w:rPr>
        <w:t xml:space="preserve">, Diana </w:t>
      </w:r>
      <w:r>
        <w:rPr>
          <w:rFonts w:ascii="Verdana" w:eastAsia="Arial" w:hAnsi="Verdana" w:cs="Arial"/>
          <w:sz w:val="16"/>
          <w:szCs w:val="16"/>
          <w:lang w:val="es-CO"/>
        </w:rPr>
        <w:t xml:space="preserve">Carolina </w:t>
      </w:r>
      <w:r w:rsidRPr="00C054A3">
        <w:rPr>
          <w:rFonts w:ascii="Verdana" w:eastAsia="Arial" w:hAnsi="Verdana" w:cs="Arial"/>
          <w:sz w:val="16"/>
          <w:szCs w:val="16"/>
          <w:lang w:val="es-CO"/>
        </w:rPr>
        <w:t xml:space="preserve">Escobar </w:t>
      </w:r>
      <w:r>
        <w:rPr>
          <w:rFonts w:ascii="Verdana" w:eastAsia="Arial" w:hAnsi="Verdana" w:cs="Arial"/>
          <w:sz w:val="16"/>
          <w:szCs w:val="16"/>
          <w:lang w:val="es-CO"/>
        </w:rPr>
        <w:t>Velásquez</w:t>
      </w:r>
    </w:p>
    <w:p w14:paraId="2EC89773" w14:textId="77777777" w:rsidR="00216B04" w:rsidRPr="00C054A3" w:rsidRDefault="00216B04" w:rsidP="00216B04">
      <w:pPr>
        <w:jc w:val="both"/>
        <w:rPr>
          <w:rFonts w:ascii="Verdana" w:eastAsia="Arial" w:hAnsi="Verdana" w:cs="Arial"/>
          <w:sz w:val="16"/>
          <w:szCs w:val="16"/>
          <w:lang w:val="es-CO"/>
        </w:rPr>
      </w:pPr>
      <w:r w:rsidRPr="7E4A2C0A">
        <w:rPr>
          <w:rFonts w:ascii="Verdana" w:eastAsia="Arial" w:hAnsi="Verdana" w:cs="Arial"/>
          <w:sz w:val="16"/>
          <w:szCs w:val="16"/>
          <w:lang w:val="es-CO"/>
        </w:rPr>
        <w:t xml:space="preserve">Aprobó: Guillermo Sinisterra Paz </w:t>
      </w:r>
    </w:p>
    <w:p w14:paraId="2D0CA503" w14:textId="4DB1D5FB" w:rsidR="008F0D79" w:rsidRPr="00F21117" w:rsidRDefault="008F0D79" w:rsidP="00216B04">
      <w:pPr>
        <w:widowControl w:val="0"/>
        <w:autoSpaceDE w:val="0"/>
        <w:autoSpaceDN w:val="0"/>
        <w:adjustRightInd w:val="0"/>
        <w:jc w:val="center"/>
        <w:rPr>
          <w:rFonts w:ascii="Verdana" w:hAnsi="Verdana"/>
          <w:sz w:val="22"/>
          <w:szCs w:val="22"/>
        </w:rPr>
      </w:pPr>
    </w:p>
    <w:sectPr w:rsidR="008F0D79" w:rsidRPr="00F21117" w:rsidSect="005D7E1B">
      <w:headerReference w:type="default" r:id="rId11"/>
      <w:footerReference w:type="default" r:id="rId12"/>
      <w:pgSz w:w="12240" w:h="20160" w:code="120"/>
      <w:pgMar w:top="212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CE6085" w14:textId="77777777" w:rsidR="00137F1E" w:rsidRDefault="00137F1E" w:rsidP="00757B36">
      <w:r>
        <w:separator/>
      </w:r>
    </w:p>
  </w:endnote>
  <w:endnote w:type="continuationSeparator" w:id="0">
    <w:p w14:paraId="563EF31A" w14:textId="77777777" w:rsidR="00137F1E" w:rsidRDefault="00137F1E" w:rsidP="00757B36">
      <w:r>
        <w:continuationSeparator/>
      </w:r>
    </w:p>
  </w:endnote>
  <w:endnote w:type="continuationNotice" w:id="1">
    <w:p w14:paraId="6C439A34" w14:textId="77777777" w:rsidR="00B54A72" w:rsidRDefault="00B54A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Verdana" w:hAnsi="Verdana"/>
        <w:lang w:val="es-ES"/>
      </w:rPr>
      <w:id w:val="-1071572585"/>
      <w:docPartObj>
        <w:docPartGallery w:val="Page Numbers (Bottom of Page)"/>
        <w:docPartUnique/>
      </w:docPartObj>
    </w:sdtPr>
    <w:sdtEndPr/>
    <w:sdtContent>
      <w:p w14:paraId="324BE145" w14:textId="6A7E2C22" w:rsidR="00D34D20" w:rsidRPr="00160630" w:rsidRDefault="00D34D20">
        <w:pPr>
          <w:pStyle w:val="Piedepgina"/>
          <w:jc w:val="right"/>
          <w:rPr>
            <w:rFonts w:ascii="Verdana" w:hAnsi="Verdana"/>
          </w:rPr>
        </w:pPr>
        <w:r w:rsidRPr="00160630">
          <w:rPr>
            <w:rFonts w:ascii="Verdana" w:hAnsi="Verdana"/>
            <w:noProof/>
            <w:lang w:eastAsia="es-CO"/>
          </w:rPr>
          <mc:AlternateContent>
            <mc:Choice Requires="wps">
              <w:drawing>
                <wp:anchor distT="0" distB="0" distL="114300" distR="114300" simplePos="0" relativeHeight="251658240" behindDoc="0" locked="0" layoutInCell="1" allowOverlap="1" wp14:anchorId="7AE5F12B" wp14:editId="549669A8">
                  <wp:simplePos x="0" y="0"/>
                  <wp:positionH relativeFrom="margin">
                    <wp:posOffset>-95885</wp:posOffset>
                  </wp:positionH>
                  <wp:positionV relativeFrom="paragraph">
                    <wp:posOffset>-245745</wp:posOffset>
                  </wp:positionV>
                  <wp:extent cx="6019800" cy="1229995"/>
                  <wp:effectExtent l="0" t="0" r="0" b="0"/>
                  <wp:wrapNone/>
                  <wp:docPr id="1223101586" name="Cuadro de texto 1"/>
                  <wp:cNvGraphicFramePr/>
                  <a:graphic xmlns:a="http://schemas.openxmlformats.org/drawingml/2006/main">
                    <a:graphicData uri="http://schemas.microsoft.com/office/word/2010/wordprocessingShape">
                      <wps:wsp>
                        <wps:cNvSpPr txBox="1"/>
                        <wps:spPr>
                          <a:xfrm>
                            <a:off x="0" y="0"/>
                            <a:ext cx="6019800" cy="1229995"/>
                          </a:xfrm>
                          <a:prstGeom prst="rect">
                            <a:avLst/>
                          </a:prstGeom>
                          <a:noFill/>
                          <a:ln w="6350">
                            <a:noFill/>
                          </a:ln>
                        </wps:spPr>
                        <wps:txbx>
                          <w:txbxContent>
                            <w:p w14:paraId="79D92C5A" w14:textId="296032C4" w:rsidR="00D34D20" w:rsidRPr="00256928" w:rsidRDefault="00D34D20" w:rsidP="00D34D20">
                              <w:pPr>
                                <w:spacing w:line="276" w:lineRule="auto"/>
                                <w:jc w:val="both"/>
                                <w:rPr>
                                  <w:rFonts w:ascii="Helvetica" w:hAnsi="Helvetica"/>
                                  <w:sz w:val="20"/>
                                  <w:szCs w:val="20"/>
                                </w:rPr>
                              </w:pPr>
                              <w:r w:rsidRPr="00256928">
                                <w:rPr>
                                  <w:rFonts w:ascii="Helvetica" w:hAnsi="Helvetica"/>
                                  <w:sz w:val="20"/>
                                  <w:szCs w:val="20"/>
                                </w:rPr>
                                <w:t>________________________________________________________________________</w:t>
                              </w:r>
                              <w:r w:rsidR="00160630">
                                <w:rPr>
                                  <w:rFonts w:ascii="Helvetica" w:hAnsi="Helvetica"/>
                                  <w:sz w:val="20"/>
                                  <w:szCs w:val="20"/>
                                </w:rPr>
                                <w:t>________</w:t>
                              </w:r>
                            </w:p>
                            <w:p w14:paraId="36776589" w14:textId="77777777" w:rsidR="00160630" w:rsidRPr="00160630" w:rsidRDefault="00160630" w:rsidP="00D34D20">
                              <w:pPr>
                                <w:spacing w:line="276" w:lineRule="auto"/>
                                <w:jc w:val="both"/>
                                <w:rPr>
                                  <w:rFonts w:ascii="Verdana" w:hAnsi="Verdana"/>
                                  <w:sz w:val="4"/>
                                  <w:szCs w:val="4"/>
                                </w:rPr>
                              </w:pPr>
                            </w:p>
                            <w:p w14:paraId="3453229D" w14:textId="7B84F351" w:rsidR="00D34D20" w:rsidRPr="00284759" w:rsidRDefault="00D34D20" w:rsidP="00D34D20">
                              <w:pPr>
                                <w:spacing w:line="276" w:lineRule="auto"/>
                                <w:jc w:val="both"/>
                                <w:rPr>
                                  <w:rFonts w:ascii="Verdana" w:hAnsi="Verdana"/>
                                  <w:sz w:val="20"/>
                                  <w:szCs w:val="20"/>
                                </w:rPr>
                              </w:pPr>
                              <w:r w:rsidRPr="00284759">
                                <w:rPr>
                                  <w:rFonts w:ascii="Verdana" w:hAnsi="Verdana"/>
                                  <w:sz w:val="20"/>
                                  <w:szCs w:val="20"/>
                                </w:rPr>
                                <w:t xml:space="preserve">Dirección: </w:t>
                              </w:r>
                              <w:r w:rsidR="00F8640E" w:rsidRPr="00AA1AA8">
                                <w:rPr>
                                  <w:rFonts w:ascii="Verdana" w:hAnsi="Verdana" w:cs="Arial"/>
                                  <w:bCs/>
                                  <w:sz w:val="20"/>
                                  <w:szCs w:val="20"/>
                                  <w:lang w:val="es-MX"/>
                                </w:rPr>
                                <w:t xml:space="preserve">Calle 7 No. 4 - 49  </w:t>
                              </w:r>
                              <w:r w:rsidRPr="00284759">
                                <w:rPr>
                                  <w:rFonts w:ascii="Verdana" w:hAnsi="Verdana"/>
                                  <w:sz w:val="20"/>
                                  <w:szCs w:val="20"/>
                                </w:rPr>
                                <w:t>Bogotá D.C., Colombia</w:t>
                              </w:r>
                            </w:p>
                            <w:p w14:paraId="7463B94C" w14:textId="76A5C288" w:rsidR="00D34D20" w:rsidRPr="00284759" w:rsidRDefault="00D34D20" w:rsidP="00D34D20">
                              <w:pPr>
                                <w:spacing w:line="276" w:lineRule="auto"/>
                                <w:jc w:val="both"/>
                                <w:rPr>
                                  <w:rFonts w:ascii="Verdana" w:hAnsi="Verdana"/>
                                  <w:sz w:val="20"/>
                                  <w:szCs w:val="20"/>
                                </w:rPr>
                              </w:pPr>
                              <w:r w:rsidRPr="00284759">
                                <w:rPr>
                                  <w:rFonts w:ascii="Verdana" w:hAnsi="Verdana"/>
                                  <w:sz w:val="20"/>
                                  <w:szCs w:val="20"/>
                                </w:rPr>
                                <w:t>Conmutador: (+57) 601 5</w:t>
                              </w:r>
                              <w:r w:rsidR="00F8640E">
                                <w:rPr>
                                  <w:rFonts w:ascii="Verdana" w:hAnsi="Verdana"/>
                                  <w:sz w:val="20"/>
                                  <w:szCs w:val="20"/>
                                </w:rPr>
                                <w:t>94</w:t>
                              </w:r>
                              <w:r w:rsidRPr="00284759">
                                <w:rPr>
                                  <w:rFonts w:ascii="Verdana" w:hAnsi="Verdana"/>
                                  <w:sz w:val="20"/>
                                  <w:szCs w:val="20"/>
                                </w:rPr>
                                <w:t xml:space="preserve"> </w:t>
                              </w:r>
                              <w:r w:rsidR="00F8640E">
                                <w:rPr>
                                  <w:rFonts w:ascii="Verdana" w:hAnsi="Verdana"/>
                                  <w:sz w:val="20"/>
                                  <w:szCs w:val="20"/>
                                </w:rPr>
                                <w:t>02</w:t>
                              </w:r>
                              <w:r w:rsidRPr="00284759">
                                <w:rPr>
                                  <w:rFonts w:ascii="Verdana" w:hAnsi="Verdana"/>
                                  <w:sz w:val="20"/>
                                  <w:szCs w:val="20"/>
                                </w:rPr>
                                <w:t xml:space="preserve">00 - 601 </w:t>
                              </w:r>
                              <w:r w:rsidR="00F8640E">
                                <w:rPr>
                                  <w:rFonts w:ascii="Verdana" w:hAnsi="Verdana"/>
                                  <w:sz w:val="20"/>
                                  <w:szCs w:val="20"/>
                                </w:rPr>
                                <w:t>594</w:t>
                              </w:r>
                              <w:r w:rsidRPr="00284759">
                                <w:rPr>
                                  <w:rFonts w:ascii="Verdana" w:hAnsi="Verdana"/>
                                  <w:sz w:val="20"/>
                                  <w:szCs w:val="20"/>
                                </w:rPr>
                                <w:t xml:space="preserve"> </w:t>
                              </w:r>
                              <w:r w:rsidR="00F8640E">
                                <w:rPr>
                                  <w:rFonts w:ascii="Verdana" w:hAnsi="Verdana"/>
                                  <w:sz w:val="20"/>
                                  <w:szCs w:val="20"/>
                                </w:rPr>
                                <w:t>0201</w:t>
                              </w:r>
                            </w:p>
                            <w:p w14:paraId="3F743D65" w14:textId="56361C4F" w:rsidR="00D34D20" w:rsidRPr="00284759" w:rsidRDefault="00F8640E" w:rsidP="00F8640E">
                              <w:pPr>
                                <w:spacing w:line="276" w:lineRule="auto"/>
                                <w:jc w:val="both"/>
                                <w:rPr>
                                  <w:rFonts w:ascii="Verdana" w:hAnsi="Verdana"/>
                                  <w:sz w:val="20"/>
                                  <w:szCs w:val="20"/>
                                </w:rPr>
                              </w:pPr>
                              <w:r w:rsidRPr="00F8640E">
                                <w:rPr>
                                  <w:rFonts w:ascii="Verdana" w:hAnsi="Verdana"/>
                                  <w:sz w:val="20"/>
                                  <w:szCs w:val="20"/>
                                </w:rPr>
                                <w:t>www.superfinanciera.gov.co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E5F12B" id="_x0000_t202" coordsize="21600,21600" o:spt="202" path="m,l,21600r21600,l21600,xe">
                  <v:stroke joinstyle="miter"/>
                  <v:path gradientshapeok="t" o:connecttype="rect"/>
                </v:shapetype>
                <v:shape id="Cuadro de texto 1" o:spid="_x0000_s1026" type="#_x0000_t202" style="position:absolute;left:0;text-align:left;margin-left:-7.55pt;margin-top:-19.35pt;width:474pt;height:96.8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" filled="f" stroked="f" strokeweight=".5pt">
                  <v:textbox>
                    <w:txbxContent>
                      <w:p w14:paraId="79D92C5A" w14:textId="296032C4" w:rsidR="00D34D20" w:rsidRPr="00256928" w:rsidRDefault="00D34D20" w:rsidP="00D34D20">
                        <w:pPr>
                          <w:spacing w:line="276" w:lineRule="auto"/>
                          <w:jc w:val="both"/>
                          <w:rPr>
                            <w:rFonts w:ascii="Helvetica" w:hAnsi="Helvetica"/>
                            <w:sz w:val="20"/>
                            <w:szCs w:val="20"/>
                          </w:rPr>
                        </w:pPr>
                        <w:r w:rsidRPr="00256928">
                          <w:rPr>
                            <w:rFonts w:ascii="Helvetica" w:hAnsi="Helvetica"/>
                            <w:sz w:val="20"/>
                            <w:szCs w:val="20"/>
                          </w:rPr>
                          <w:t>________________________________________________________________________</w:t>
                        </w:r>
                        <w:r w:rsidR="00160630">
                          <w:rPr>
                            <w:rFonts w:ascii="Helvetica" w:hAnsi="Helvetica"/>
                            <w:sz w:val="20"/>
                            <w:szCs w:val="20"/>
                          </w:rPr>
                          <w:t>________</w:t>
                        </w:r>
                      </w:p>
                      <w:p w14:paraId="36776589" w14:textId="77777777" w:rsidR="00160630" w:rsidRPr="00160630" w:rsidRDefault="00160630" w:rsidP="00D34D20">
                        <w:pPr>
                          <w:spacing w:line="276" w:lineRule="auto"/>
                          <w:jc w:val="both"/>
                          <w:rPr>
                            <w:rFonts w:ascii="Verdana" w:hAnsi="Verdana"/>
                            <w:sz w:val="4"/>
                            <w:szCs w:val="4"/>
                          </w:rPr>
                        </w:pPr>
                      </w:p>
                      <w:p w14:paraId="3453229D" w14:textId="7B84F351" w:rsidR="00D34D20" w:rsidRPr="00284759" w:rsidRDefault="00D34D20" w:rsidP="00D34D20">
                        <w:pPr>
                          <w:spacing w:line="276" w:lineRule="auto"/>
                          <w:jc w:val="both"/>
                          <w:rPr>
                            <w:rFonts w:ascii="Verdana" w:hAnsi="Verdana"/>
                            <w:sz w:val="20"/>
                            <w:szCs w:val="20"/>
                          </w:rPr>
                        </w:pPr>
                        <w:r w:rsidRPr="00284759">
                          <w:rPr>
                            <w:rFonts w:ascii="Verdana" w:hAnsi="Verdana"/>
                            <w:sz w:val="20"/>
                            <w:szCs w:val="20"/>
                          </w:rPr>
                          <w:t xml:space="preserve">Dirección: </w:t>
                        </w:r>
                        <w:r w:rsidR="00F8640E" w:rsidRPr="00AA1AA8">
                          <w:rPr>
                            <w:rFonts w:ascii="Verdana" w:hAnsi="Verdana" w:cs="Arial"/>
                            <w:bCs/>
                            <w:sz w:val="20"/>
                            <w:szCs w:val="20"/>
                            <w:lang w:val="es-MX"/>
                          </w:rPr>
                          <w:t xml:space="preserve">Calle 7 No. 4 - 49  </w:t>
                        </w:r>
                        <w:r w:rsidRPr="00284759">
                          <w:rPr>
                            <w:rFonts w:ascii="Verdana" w:hAnsi="Verdana"/>
                            <w:sz w:val="20"/>
                            <w:szCs w:val="20"/>
                          </w:rPr>
                          <w:t>Bogotá D.C., Colombia</w:t>
                        </w:r>
                      </w:p>
                      <w:p w14:paraId="7463B94C" w14:textId="76A5C288" w:rsidR="00D34D20" w:rsidRPr="00284759" w:rsidRDefault="00D34D20" w:rsidP="00D34D20">
                        <w:pPr>
                          <w:spacing w:line="276" w:lineRule="auto"/>
                          <w:jc w:val="both"/>
                          <w:rPr>
                            <w:rFonts w:ascii="Verdana" w:hAnsi="Verdana"/>
                            <w:sz w:val="20"/>
                            <w:szCs w:val="20"/>
                          </w:rPr>
                        </w:pPr>
                        <w:r w:rsidRPr="00284759">
                          <w:rPr>
                            <w:rFonts w:ascii="Verdana" w:hAnsi="Verdana"/>
                            <w:sz w:val="20"/>
                            <w:szCs w:val="20"/>
                          </w:rPr>
                          <w:t>Conmutador: (+57) 601 5</w:t>
                        </w:r>
                        <w:r w:rsidR="00F8640E">
                          <w:rPr>
                            <w:rFonts w:ascii="Verdana" w:hAnsi="Verdana"/>
                            <w:sz w:val="20"/>
                            <w:szCs w:val="20"/>
                          </w:rPr>
                          <w:t>94</w:t>
                        </w:r>
                        <w:r w:rsidRPr="00284759">
                          <w:rPr>
                            <w:rFonts w:ascii="Verdana" w:hAnsi="Verdana"/>
                            <w:sz w:val="20"/>
                            <w:szCs w:val="20"/>
                          </w:rPr>
                          <w:t xml:space="preserve"> </w:t>
                        </w:r>
                        <w:r w:rsidR="00F8640E">
                          <w:rPr>
                            <w:rFonts w:ascii="Verdana" w:hAnsi="Verdana"/>
                            <w:sz w:val="20"/>
                            <w:szCs w:val="20"/>
                          </w:rPr>
                          <w:t>02</w:t>
                        </w:r>
                        <w:r w:rsidRPr="00284759">
                          <w:rPr>
                            <w:rFonts w:ascii="Verdana" w:hAnsi="Verdana"/>
                            <w:sz w:val="20"/>
                            <w:szCs w:val="20"/>
                          </w:rPr>
                          <w:t xml:space="preserve">00 - 601 </w:t>
                        </w:r>
                        <w:r w:rsidR="00F8640E">
                          <w:rPr>
                            <w:rFonts w:ascii="Verdana" w:hAnsi="Verdana"/>
                            <w:sz w:val="20"/>
                            <w:szCs w:val="20"/>
                          </w:rPr>
                          <w:t>594</w:t>
                        </w:r>
                        <w:r w:rsidRPr="00284759">
                          <w:rPr>
                            <w:rFonts w:ascii="Verdana" w:hAnsi="Verdana"/>
                            <w:sz w:val="20"/>
                            <w:szCs w:val="20"/>
                          </w:rPr>
                          <w:t xml:space="preserve"> </w:t>
                        </w:r>
                        <w:r w:rsidR="00F8640E">
                          <w:rPr>
                            <w:rFonts w:ascii="Verdana" w:hAnsi="Verdana"/>
                            <w:sz w:val="20"/>
                            <w:szCs w:val="20"/>
                          </w:rPr>
                          <w:t>0201</w:t>
                        </w:r>
                      </w:p>
                      <w:p w14:paraId="3F743D65" w14:textId="56361C4F" w:rsidR="00D34D20" w:rsidRPr="00284759" w:rsidRDefault="00F8640E" w:rsidP="00F8640E">
                        <w:pPr>
                          <w:spacing w:line="276" w:lineRule="auto"/>
                          <w:jc w:val="both"/>
                          <w:rPr>
                            <w:rFonts w:ascii="Verdana" w:hAnsi="Verdana"/>
                            <w:sz w:val="20"/>
                            <w:szCs w:val="20"/>
                          </w:rPr>
                        </w:pPr>
                        <w:r w:rsidRPr="00F8640E">
                          <w:rPr>
                            <w:rFonts w:ascii="Verdana" w:hAnsi="Verdana"/>
                            <w:sz w:val="20"/>
                            <w:szCs w:val="20"/>
                          </w:rPr>
                          <w:t>www.superfinanciera.gov.co</w:t>
                        </w:r>
                      </w:p>
                    </w:txbxContent>
                  </v:textbox>
                  <w10:wrap anchorx="margin"/>
                </v:shape>
              </w:pict>
            </mc:Fallback>
          </mc:AlternateContent>
        </w:r>
        <w:r w:rsidRPr="00160630">
          <w:rPr>
            <w:rFonts w:ascii="Verdana" w:hAnsi="Verdana"/>
            <w:lang w:val="es-ES"/>
          </w:rPr>
          <w:t xml:space="preserve">Página | </w:t>
        </w:r>
        <w:r w:rsidRPr="00160630">
          <w:rPr>
            <w:rFonts w:ascii="Verdana" w:hAnsi="Verdana"/>
          </w:rPr>
          <w:fldChar w:fldCharType="begin"/>
        </w:r>
        <w:r w:rsidRPr="00160630">
          <w:rPr>
            <w:rFonts w:ascii="Verdana" w:hAnsi="Verdana"/>
          </w:rPr>
          <w:instrText>PAGE   \* MERGEFORMAT</w:instrText>
        </w:r>
        <w:r w:rsidRPr="00160630">
          <w:rPr>
            <w:rFonts w:ascii="Verdana" w:hAnsi="Verdana"/>
          </w:rPr>
          <w:fldChar w:fldCharType="separate"/>
        </w:r>
        <w:r w:rsidR="00284759" w:rsidRPr="00160630">
          <w:rPr>
            <w:rFonts w:ascii="Verdana" w:hAnsi="Verdana"/>
            <w:noProof/>
            <w:lang w:val="es-ES"/>
          </w:rPr>
          <w:t>1</w:t>
        </w:r>
        <w:r w:rsidRPr="00160630">
          <w:rPr>
            <w:rFonts w:ascii="Verdana" w:hAnsi="Verdana"/>
          </w:rPr>
          <w:fldChar w:fldCharType="end"/>
        </w:r>
        <w:r w:rsidRPr="00160630">
          <w:rPr>
            <w:rFonts w:ascii="Verdana" w:hAnsi="Verdana"/>
            <w:lang w:val="es-ES"/>
          </w:rPr>
          <w:t xml:space="preserve"> </w:t>
        </w:r>
      </w:p>
    </w:sdtContent>
  </w:sdt>
  <w:p w14:paraId="409F4B9A" w14:textId="79830460" w:rsidR="00D34D20" w:rsidRPr="00D34D20" w:rsidRDefault="00D34D20" w:rsidP="00D34D20">
    <w:pPr>
      <w:spacing w:line="276" w:lineRule="auto"/>
      <w:jc w:val="both"/>
      <w:rPr>
        <w:rFonts w:ascii="Helvetica" w:hAnsi="Helvetic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9903B6" w14:textId="77777777" w:rsidR="00137F1E" w:rsidRDefault="00137F1E" w:rsidP="00757B36">
      <w:r>
        <w:separator/>
      </w:r>
    </w:p>
  </w:footnote>
  <w:footnote w:type="continuationSeparator" w:id="0">
    <w:p w14:paraId="34EB350C" w14:textId="77777777" w:rsidR="00137F1E" w:rsidRDefault="00137F1E" w:rsidP="00757B36">
      <w:r>
        <w:continuationSeparator/>
      </w:r>
    </w:p>
  </w:footnote>
  <w:footnote w:type="continuationNotice" w:id="1">
    <w:p w14:paraId="5A56DB82" w14:textId="77777777" w:rsidR="00B54A72" w:rsidRDefault="00B54A7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F8CE25" w14:textId="5E00CE8F" w:rsidR="00757B36" w:rsidRDefault="00F21117" w:rsidP="00F21117">
    <w:pPr>
      <w:pStyle w:val="Encabezado"/>
      <w:jc w:val="center"/>
    </w:pPr>
    <w:r>
      <w:rPr>
        <w:noProof/>
      </w:rPr>
      <w:drawing>
        <wp:inline distT="0" distB="0" distL="0" distR="0" wp14:anchorId="60013756" wp14:editId="277F295D">
          <wp:extent cx="1912620" cy="838683"/>
          <wp:effectExtent l="0" t="0" r="0" b="0"/>
          <wp:docPr id="292104347"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104347" name="Imagen 2"/>
                  <pic:cNvPicPr/>
                </pic:nvPicPr>
                <pic:blipFill>
                  <a:blip r:embed="rId1">
                    <a:extLst>
                      <a:ext uri="{28A0092B-C50C-407E-A947-70E740481C1C}">
                        <a14:useLocalDpi xmlns:a14="http://schemas.microsoft.com/office/drawing/2010/main" val="0"/>
                      </a:ext>
                    </a:extLst>
                  </a:blip>
                  <a:stretch>
                    <a:fillRect/>
                  </a:stretch>
                </pic:blipFill>
                <pic:spPr>
                  <a:xfrm>
                    <a:off x="0" y="0"/>
                    <a:ext cx="1914044" cy="839307"/>
                  </a:xfrm>
                  <a:prstGeom prst="rect">
                    <a:avLst/>
                  </a:prstGeom>
                </pic:spPr>
              </pic:pic>
            </a:graphicData>
          </a:graphic>
        </wp:inline>
      </w:drawing>
    </w:r>
  </w:p>
  <w:p w14:paraId="372EA905" w14:textId="77777777" w:rsidR="00F21117" w:rsidRDefault="00F21117">
    <w:pPr>
      <w:pStyle w:val="Encabezado"/>
    </w:pPr>
  </w:p>
  <w:p w14:paraId="50C149E0" w14:textId="77777777" w:rsidR="00F21117" w:rsidRDefault="00F2111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940984"/>
    <w:multiLevelType w:val="hybridMultilevel"/>
    <w:tmpl w:val="755E322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59F726F4"/>
    <w:multiLevelType w:val="multilevel"/>
    <w:tmpl w:val="0EB6BF0C"/>
    <w:lvl w:ilvl="0">
      <w:start w:val="10"/>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 w15:restartNumberingAfterBreak="0">
    <w:nsid w:val="772B774D"/>
    <w:multiLevelType w:val="multilevel"/>
    <w:tmpl w:val="3176FEC0"/>
    <w:lvl w:ilvl="0">
      <w:start w:val="9"/>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1271623107">
    <w:abstractNumId w:val="0"/>
  </w:num>
  <w:num w:numId="2" w16cid:durableId="1267955949">
    <w:abstractNumId w:val="2"/>
  </w:num>
  <w:num w:numId="3" w16cid:durableId="17023203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doNotDisplayPageBoundarie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7B36"/>
    <w:rsid w:val="0001792D"/>
    <w:rsid w:val="0003670C"/>
    <w:rsid w:val="00074F88"/>
    <w:rsid w:val="00082C72"/>
    <w:rsid w:val="000E6EC5"/>
    <w:rsid w:val="00137F1E"/>
    <w:rsid w:val="00160630"/>
    <w:rsid w:val="00184206"/>
    <w:rsid w:val="00184C03"/>
    <w:rsid w:val="001B6A1D"/>
    <w:rsid w:val="002007C3"/>
    <w:rsid w:val="002119DB"/>
    <w:rsid w:val="00216B04"/>
    <w:rsid w:val="00252641"/>
    <w:rsid w:val="00255542"/>
    <w:rsid w:val="00256928"/>
    <w:rsid w:val="00262584"/>
    <w:rsid w:val="00282323"/>
    <w:rsid w:val="00284134"/>
    <w:rsid w:val="00284759"/>
    <w:rsid w:val="00290BE0"/>
    <w:rsid w:val="002A205A"/>
    <w:rsid w:val="002A291D"/>
    <w:rsid w:val="002D1F63"/>
    <w:rsid w:val="002E0E03"/>
    <w:rsid w:val="002E4DED"/>
    <w:rsid w:val="0030489C"/>
    <w:rsid w:val="00315359"/>
    <w:rsid w:val="003201E1"/>
    <w:rsid w:val="0036643E"/>
    <w:rsid w:val="00376380"/>
    <w:rsid w:val="0039087D"/>
    <w:rsid w:val="003A78FA"/>
    <w:rsid w:val="004345C7"/>
    <w:rsid w:val="00436E05"/>
    <w:rsid w:val="00445FF8"/>
    <w:rsid w:val="004837A2"/>
    <w:rsid w:val="004C3C6A"/>
    <w:rsid w:val="005541C2"/>
    <w:rsid w:val="005B617F"/>
    <w:rsid w:val="005C336C"/>
    <w:rsid w:val="005D5399"/>
    <w:rsid w:val="005D5650"/>
    <w:rsid w:val="005D7E1B"/>
    <w:rsid w:val="00617535"/>
    <w:rsid w:val="00643581"/>
    <w:rsid w:val="00654C30"/>
    <w:rsid w:val="00656D0C"/>
    <w:rsid w:val="00660BD9"/>
    <w:rsid w:val="006A682D"/>
    <w:rsid w:val="006A78EC"/>
    <w:rsid w:val="006B699F"/>
    <w:rsid w:val="006D276B"/>
    <w:rsid w:val="006D7688"/>
    <w:rsid w:val="006E0FFD"/>
    <w:rsid w:val="00757B36"/>
    <w:rsid w:val="007859A5"/>
    <w:rsid w:val="007A01C9"/>
    <w:rsid w:val="007A17C7"/>
    <w:rsid w:val="007A7D31"/>
    <w:rsid w:val="007D476E"/>
    <w:rsid w:val="007E0C27"/>
    <w:rsid w:val="007E1909"/>
    <w:rsid w:val="007F1B73"/>
    <w:rsid w:val="008228B3"/>
    <w:rsid w:val="00845850"/>
    <w:rsid w:val="008A47DE"/>
    <w:rsid w:val="008B12E8"/>
    <w:rsid w:val="008F0D79"/>
    <w:rsid w:val="00981E08"/>
    <w:rsid w:val="009E55A2"/>
    <w:rsid w:val="00A95C18"/>
    <w:rsid w:val="00AC7FDE"/>
    <w:rsid w:val="00AD4AC1"/>
    <w:rsid w:val="00B16018"/>
    <w:rsid w:val="00B17299"/>
    <w:rsid w:val="00B54A72"/>
    <w:rsid w:val="00B60AC5"/>
    <w:rsid w:val="00BC1CB4"/>
    <w:rsid w:val="00BF7170"/>
    <w:rsid w:val="00C23EDB"/>
    <w:rsid w:val="00C45BA3"/>
    <w:rsid w:val="00C86D3E"/>
    <w:rsid w:val="00C90B93"/>
    <w:rsid w:val="00C966AB"/>
    <w:rsid w:val="00CB40AC"/>
    <w:rsid w:val="00D05BE4"/>
    <w:rsid w:val="00D2431B"/>
    <w:rsid w:val="00D336F3"/>
    <w:rsid w:val="00D34D20"/>
    <w:rsid w:val="00D46748"/>
    <w:rsid w:val="00D81BEE"/>
    <w:rsid w:val="00D8625C"/>
    <w:rsid w:val="00DC18EE"/>
    <w:rsid w:val="00DE5DDF"/>
    <w:rsid w:val="00DF05E4"/>
    <w:rsid w:val="00E13F34"/>
    <w:rsid w:val="00E27840"/>
    <w:rsid w:val="00E47B73"/>
    <w:rsid w:val="00E67EEA"/>
    <w:rsid w:val="00EA3487"/>
    <w:rsid w:val="00EB5FB7"/>
    <w:rsid w:val="00F12EC0"/>
    <w:rsid w:val="00F21117"/>
    <w:rsid w:val="00F44C03"/>
    <w:rsid w:val="00F57B6D"/>
    <w:rsid w:val="00F755D2"/>
    <w:rsid w:val="00F84AFF"/>
    <w:rsid w:val="00F8640E"/>
    <w:rsid w:val="1DF8448A"/>
    <w:rsid w:val="22D30D8E"/>
    <w:rsid w:val="27B03333"/>
    <w:rsid w:val="3213DDBC"/>
    <w:rsid w:val="326916A9"/>
    <w:rsid w:val="67864576"/>
    <w:rsid w:val="68D0F859"/>
    <w:rsid w:val="73B3A9EB"/>
    <w:rsid w:val="7A8E28D5"/>
  </w:rsids>
  <m:mathPr>
    <m:mathFont m:val="Cambria Math"/>
    <m:brkBin m:val="before"/>
    <m:brkBinSub m:val="--"/>
    <m:smallFrac m:val="0"/>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9C4308"/>
  <w15:chartTrackingRefBased/>
  <w15:docId w15:val="{6BDA120D-0F76-475D-A15E-169FFCE99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40E"/>
    <w:pPr>
      <w:spacing w:after="0" w:line="240" w:lineRule="auto"/>
    </w:pPr>
    <w:rPr>
      <w:rFonts w:ascii="Times New Roman" w:eastAsia="MS Mincho" w:hAnsi="Times New Roman" w:cs="Times New Roman"/>
      <w:kern w:val="0"/>
      <w:sz w:val="24"/>
      <w:szCs w:val="24"/>
      <w:lang w:val="es-ES" w:eastAsia="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757B36"/>
    <w:pPr>
      <w:tabs>
        <w:tab w:val="center" w:pos="4419"/>
        <w:tab w:val="right" w:pos="8838"/>
      </w:tabs>
    </w:pPr>
    <w:rPr>
      <w:rFonts w:asciiTheme="minorHAnsi" w:eastAsiaTheme="minorHAnsi" w:hAnsiTheme="minorHAnsi" w:cstheme="minorBidi"/>
      <w:kern w:val="2"/>
      <w:sz w:val="22"/>
      <w:szCs w:val="22"/>
      <w:lang w:val="es-CO" w:eastAsia="en-US"/>
      <w14:ligatures w14:val="standardContextual"/>
    </w:rPr>
  </w:style>
  <w:style w:type="character" w:customStyle="1" w:styleId="EncabezadoCar">
    <w:name w:val="Encabezado Car"/>
    <w:basedOn w:val="Fuentedeprrafopredeter"/>
    <w:link w:val="Encabezado"/>
    <w:rsid w:val="00757B36"/>
  </w:style>
  <w:style w:type="paragraph" w:styleId="Piedepgina">
    <w:name w:val="footer"/>
    <w:basedOn w:val="Normal"/>
    <w:link w:val="PiedepginaCar"/>
    <w:uiPriority w:val="99"/>
    <w:unhideWhenUsed/>
    <w:rsid w:val="00757B36"/>
    <w:pPr>
      <w:tabs>
        <w:tab w:val="center" w:pos="4419"/>
        <w:tab w:val="right" w:pos="8838"/>
      </w:tabs>
    </w:pPr>
    <w:rPr>
      <w:rFonts w:asciiTheme="minorHAnsi" w:eastAsiaTheme="minorHAnsi" w:hAnsiTheme="minorHAnsi" w:cstheme="minorBidi"/>
      <w:kern w:val="2"/>
      <w:sz w:val="22"/>
      <w:szCs w:val="22"/>
      <w:lang w:val="es-CO" w:eastAsia="en-US"/>
      <w14:ligatures w14:val="standardContextual"/>
    </w:rPr>
  </w:style>
  <w:style w:type="character" w:customStyle="1" w:styleId="PiedepginaCar">
    <w:name w:val="Pie de página Car"/>
    <w:basedOn w:val="Fuentedeprrafopredeter"/>
    <w:link w:val="Piedepgina"/>
    <w:uiPriority w:val="99"/>
    <w:rsid w:val="00757B36"/>
  </w:style>
  <w:style w:type="character" w:styleId="Hipervnculo">
    <w:name w:val="Hyperlink"/>
    <w:basedOn w:val="Fuentedeprrafopredeter"/>
    <w:uiPriority w:val="99"/>
    <w:unhideWhenUsed/>
    <w:rsid w:val="00757B36"/>
    <w:rPr>
      <w:color w:val="0563C1" w:themeColor="hyperlink"/>
      <w:u w:val="single"/>
    </w:rPr>
  </w:style>
  <w:style w:type="character" w:customStyle="1" w:styleId="Mencinsinresolver1">
    <w:name w:val="Mención sin resolver1"/>
    <w:basedOn w:val="Fuentedeprrafopredeter"/>
    <w:uiPriority w:val="99"/>
    <w:semiHidden/>
    <w:unhideWhenUsed/>
    <w:rsid w:val="00757B36"/>
    <w:rPr>
      <w:color w:val="605E5C"/>
      <w:shd w:val="clear" w:color="auto" w:fill="E1DFDD"/>
    </w:rPr>
  </w:style>
  <w:style w:type="paragraph" w:styleId="Prrafodelista">
    <w:name w:val="List Paragraph"/>
    <w:basedOn w:val="Normal"/>
    <w:uiPriority w:val="34"/>
    <w:qFormat/>
    <w:rsid w:val="00757B36"/>
    <w:pPr>
      <w:spacing w:after="160" w:line="259" w:lineRule="auto"/>
      <w:ind w:left="720"/>
      <w:contextualSpacing/>
    </w:pPr>
    <w:rPr>
      <w:rFonts w:asciiTheme="minorHAnsi" w:eastAsiaTheme="minorHAnsi" w:hAnsiTheme="minorHAnsi" w:cstheme="minorBidi"/>
      <w:kern w:val="2"/>
      <w:sz w:val="22"/>
      <w:szCs w:val="22"/>
      <w:lang w:val="es-CO" w:eastAsia="en-US"/>
      <w14:ligatures w14:val="standardContextual"/>
    </w:rPr>
  </w:style>
  <w:style w:type="table" w:styleId="Tablaconcuadrcula">
    <w:name w:val="Table Grid"/>
    <w:basedOn w:val="Tablanormal"/>
    <w:uiPriority w:val="39"/>
    <w:rsid w:val="008F0D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rsid w:val="00F8640E"/>
    <w:pPr>
      <w:jc w:val="both"/>
    </w:pPr>
    <w:rPr>
      <w:rFonts w:ascii="Arial" w:eastAsia="Times New Roman" w:hAnsi="Arial"/>
      <w:b/>
      <w:sz w:val="22"/>
      <w:szCs w:val="20"/>
    </w:rPr>
  </w:style>
  <w:style w:type="character" w:customStyle="1" w:styleId="Textoindependiente3Car">
    <w:name w:val="Texto independiente 3 Car"/>
    <w:basedOn w:val="Fuentedeprrafopredeter"/>
    <w:link w:val="Textoindependiente3"/>
    <w:rsid w:val="00F8640E"/>
    <w:rPr>
      <w:rFonts w:ascii="Arial" w:eastAsia="Times New Roman" w:hAnsi="Arial" w:cs="Times New Roman"/>
      <w:b/>
      <w:kern w:val="0"/>
      <w:szCs w:val="20"/>
      <w:lang w:val="es-ES" w:eastAsia="es-ES"/>
      <w14:ligatures w14:val="none"/>
    </w:rPr>
  </w:style>
  <w:style w:type="paragraph" w:styleId="Textoindependiente">
    <w:name w:val="Body Text"/>
    <w:basedOn w:val="Normal"/>
    <w:link w:val="TextoindependienteCar"/>
    <w:uiPriority w:val="99"/>
    <w:semiHidden/>
    <w:unhideWhenUsed/>
    <w:rsid w:val="00E13F34"/>
    <w:pPr>
      <w:spacing w:after="120"/>
    </w:pPr>
  </w:style>
  <w:style w:type="character" w:customStyle="1" w:styleId="TextoindependienteCar">
    <w:name w:val="Texto independiente Car"/>
    <w:basedOn w:val="Fuentedeprrafopredeter"/>
    <w:link w:val="Textoindependiente"/>
    <w:uiPriority w:val="99"/>
    <w:semiHidden/>
    <w:rsid w:val="00E13F34"/>
    <w:rPr>
      <w:rFonts w:ascii="Times New Roman" w:eastAsia="MS Mincho" w:hAnsi="Times New Roman" w:cs="Times New Roman"/>
      <w:kern w:val="0"/>
      <w:sz w:val="24"/>
      <w:szCs w:val="24"/>
      <w:lang w:val="es-ES"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normativa@superfinanciera.gov.co"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4FC194E28247E47A4B0C202BC0E7A17" ma:contentTypeVersion="4" ma:contentTypeDescription="Create a new document." ma:contentTypeScope="" ma:versionID="970a63395540133bfda48435b0e596f0">
  <xsd:schema xmlns:xsd="http://www.w3.org/2001/XMLSchema" xmlns:xs="http://www.w3.org/2001/XMLSchema" xmlns:p="http://schemas.microsoft.com/office/2006/metadata/properties" xmlns:ns2="38a0f32c-270f-49da-957c-0e2a8642143a" targetNamespace="http://schemas.microsoft.com/office/2006/metadata/properties" ma:root="true" ma:fieldsID="f69e13316d0052b01500ad57ccc37e28" ns2:_="">
    <xsd:import namespace="38a0f32c-270f-49da-957c-0e2a8642143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a0f32c-270f-49da-957c-0e2a864214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EFECED-C89D-4D58-9EA1-17AF7E912C7E}">
  <ds:schemaRefs>
    <ds:schemaRef ds:uri="http://purl.org/dc/elements/1.1/"/>
    <ds:schemaRef ds:uri="http://schemas.microsoft.com/office/2006/documentManagement/types"/>
    <ds:schemaRef ds:uri="55879789-a01b-4d0c-92ba-2c81ed2f1819"/>
    <ds:schemaRef ds:uri="http://purl.org/dc/dcmitype/"/>
    <ds:schemaRef ds:uri="http://purl.org/dc/terms/"/>
    <ds:schemaRef ds:uri="http://schemas.openxmlformats.org/package/2006/metadata/core-properties"/>
    <ds:schemaRef ds:uri="http://schemas.microsoft.com/office/2006/metadata/properties"/>
    <ds:schemaRef ds:uri="http://schemas.microsoft.com/office/infopath/2007/PartnerControls"/>
    <ds:schemaRef ds:uri="48ce3743-f1c0-452b-a361-4088a4b789b4"/>
    <ds:schemaRef ds:uri="http://www.w3.org/XML/1998/namespace"/>
  </ds:schemaRefs>
</ds:datastoreItem>
</file>

<file path=customXml/itemProps2.xml><?xml version="1.0" encoding="utf-8"?>
<ds:datastoreItem xmlns:ds="http://schemas.openxmlformats.org/officeDocument/2006/customXml" ds:itemID="{D96DFC0B-CEA2-4553-8277-E0E9053F7820}">
  <ds:schemaRefs>
    <ds:schemaRef ds:uri="http://schemas.microsoft.com/sharepoint/v3/contenttype/forms"/>
  </ds:schemaRefs>
</ds:datastoreItem>
</file>

<file path=customXml/itemProps3.xml><?xml version="1.0" encoding="utf-8"?>
<ds:datastoreItem xmlns:ds="http://schemas.openxmlformats.org/officeDocument/2006/customXml" ds:itemID="{4B98108D-AA81-431D-A7E4-12A1778F91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a0f32c-270f-49da-957c-0e2a864214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812</Words>
  <Characters>4467</Characters>
  <Application>Microsoft Office Word</Application>
  <DocSecurity>0</DocSecurity>
  <Lines>37</Lines>
  <Paragraphs>10</Paragraphs>
  <ScaleCrop>false</ScaleCrop>
  <Company/>
  <LinksUpToDate>false</LinksUpToDate>
  <CharactersWithSpaces>5269</CharactersWithSpaces>
  <SharedDoc>false</SharedDoc>
  <HLinks>
    <vt:vector size="6" baseType="variant">
      <vt:variant>
        <vt:i4>8060936</vt:i4>
      </vt:variant>
      <vt:variant>
        <vt:i4>0</vt:i4>
      </vt:variant>
      <vt:variant>
        <vt:i4>0</vt:i4>
      </vt:variant>
      <vt:variant>
        <vt:i4>5</vt:i4>
      </vt:variant>
      <vt:variant>
        <vt:lpwstr>mailto:normativa@superfinanciera.gov.co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Camilo  Baracaldo Godoy</dc:creator>
  <cp:keywords/>
  <dc:description/>
  <cp:lastModifiedBy>Maya Alejandra Bhatia Ramos</cp:lastModifiedBy>
  <cp:revision>3</cp:revision>
  <cp:lastPrinted>2023-06-20T19:42:00Z</cp:lastPrinted>
  <dcterms:created xsi:type="dcterms:W3CDTF">2024-09-10T13:48:00Z</dcterms:created>
  <dcterms:modified xsi:type="dcterms:W3CDTF">2024-09-11T20:53:00Z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0x010100A4FC194E28247E47A4B0C202BC0E7A17</vt:lpwstr>
  </property>
</Properties>
</file>