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7110" w14:textId="77777777" w:rsidR="004D70D6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55154E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4C32A61D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E1B86F8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115A92B" w14:textId="14C1E717" w:rsidR="004D70D6" w:rsidRPr="00C33B7E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PROYECTO 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CIRCULAR EXTERNA</w:t>
      </w:r>
      <w:r>
        <w:rPr>
          <w:rFonts w:ascii="Arial" w:hAnsi="Arial" w:cs="Arial"/>
          <w:b/>
          <w:bCs/>
        </w:rPr>
        <w:t xml:space="preserve">: </w:t>
      </w:r>
      <w:r w:rsidR="0086734C" w:rsidRPr="00492B73">
        <w:rPr>
          <w:rFonts w:ascii="Arial" w:hAnsi="Arial" w:cs="Arial"/>
        </w:rPr>
        <w:t xml:space="preserve">Instrucciones para la </w:t>
      </w:r>
      <w:r w:rsidR="003639EE">
        <w:rPr>
          <w:rFonts w:ascii="Arial" w:hAnsi="Arial" w:cs="Arial"/>
        </w:rPr>
        <w:t>g</w:t>
      </w:r>
      <w:r w:rsidR="0086734C" w:rsidRPr="00492B73">
        <w:rPr>
          <w:rFonts w:ascii="Arial" w:hAnsi="Arial" w:cs="Arial"/>
        </w:rPr>
        <w:t xml:space="preserve">estión del </w:t>
      </w:r>
      <w:r w:rsidR="003639EE">
        <w:rPr>
          <w:rFonts w:ascii="Arial" w:hAnsi="Arial" w:cs="Arial"/>
        </w:rPr>
        <w:t>r</w:t>
      </w:r>
      <w:r w:rsidR="0086734C" w:rsidRPr="00492B73">
        <w:rPr>
          <w:rFonts w:ascii="Arial" w:hAnsi="Arial" w:cs="Arial"/>
        </w:rPr>
        <w:t xml:space="preserve">iesgo de </w:t>
      </w:r>
      <w:r w:rsidR="003639EE">
        <w:rPr>
          <w:rFonts w:ascii="Arial" w:hAnsi="Arial" w:cs="Arial"/>
        </w:rPr>
        <w:t>c</w:t>
      </w:r>
      <w:r w:rsidR="0086734C" w:rsidRPr="00492B73">
        <w:rPr>
          <w:rFonts w:ascii="Arial" w:hAnsi="Arial" w:cs="Arial"/>
        </w:rPr>
        <w:t>onductas en el marco del Sistema Integral de Administración de Riesgos (SIAR)</w:t>
      </w:r>
    </w:p>
    <w:p w14:paraId="07079EA2" w14:textId="77777777" w:rsidR="004D70D6" w:rsidRPr="00C33B7E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</w:p>
    <w:p w14:paraId="4A5D4F5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637F4DA5" w14:textId="3C594129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PROPÓSITO:</w:t>
      </w:r>
      <w:r>
        <w:rPr>
          <w:rFonts w:ascii="Arial" w:hAnsi="Arial" w:cs="Arial"/>
          <w:lang w:val="es-MX"/>
        </w:rPr>
        <w:t xml:space="preserve"> </w:t>
      </w:r>
      <w:r w:rsidRPr="00BB36A3">
        <w:rPr>
          <w:rFonts w:ascii="Arial" w:hAnsi="Arial" w:cs="Arial"/>
        </w:rPr>
        <w:t>Creación de</w:t>
      </w:r>
      <w:r w:rsidR="0086734C">
        <w:rPr>
          <w:rFonts w:ascii="Arial" w:hAnsi="Arial" w:cs="Arial"/>
        </w:rPr>
        <w:t>l</w:t>
      </w:r>
      <w:r w:rsidRPr="00BB36A3">
        <w:rPr>
          <w:rFonts w:ascii="Arial" w:hAnsi="Arial" w:cs="Arial"/>
        </w:rPr>
        <w:t xml:space="preserve"> Sistema de Administración de Riesgo de Conductas </w:t>
      </w:r>
      <w:r w:rsidR="0086734C">
        <w:rPr>
          <w:rFonts w:ascii="Arial" w:hAnsi="Arial" w:cs="Arial"/>
        </w:rPr>
        <w:t>(</w:t>
      </w:r>
      <w:r w:rsidR="00465DF5">
        <w:rPr>
          <w:rFonts w:ascii="Arial" w:hAnsi="Arial" w:cs="Arial"/>
        </w:rPr>
        <w:t>SARCO</w:t>
      </w:r>
      <w:r w:rsidR="0086734C">
        <w:rPr>
          <w:rFonts w:ascii="Arial" w:hAnsi="Arial" w:cs="Arial"/>
        </w:rPr>
        <w:t>)</w:t>
      </w:r>
      <w:r w:rsidR="00465DF5">
        <w:rPr>
          <w:rFonts w:ascii="Arial" w:hAnsi="Arial" w:cs="Arial"/>
        </w:rPr>
        <w:t>.</w:t>
      </w:r>
    </w:p>
    <w:p w14:paraId="61BE14BF" w14:textId="77777777" w:rsidR="004F143C" w:rsidRDefault="004F143C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25D29F5D" w14:textId="470938CD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PLAZO PARA COMENTARIOS: </w:t>
      </w:r>
      <w:r>
        <w:rPr>
          <w:rFonts w:ascii="Arial" w:hAnsi="Arial" w:cs="Arial"/>
        </w:rPr>
        <w:t xml:space="preserve">5:00pm del viernes </w:t>
      </w:r>
      <w:r w:rsidR="00F06E52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mayo de 2025. </w:t>
      </w:r>
    </w:p>
    <w:p w14:paraId="1C38864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</w:p>
    <w:p w14:paraId="3F8352CA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2C0BEDCB" w14:textId="59584789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REMISIÓN DE COMENTARIOS: </w:t>
      </w:r>
      <w:r w:rsidR="0001397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or favor diligenciar la proforma adjunta “MATRIZ PARA COMENTARIOS EXTERNOS - PUBLICACION WEB”. </w:t>
      </w:r>
    </w:p>
    <w:p w14:paraId="60AE597D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BABFAF6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La proforma en formato Word puede ser radicada vía e-mail por medio del correo electrónico </w:t>
      </w:r>
      <w:hyperlink r:id="rId11" w:history="1">
        <w:r>
          <w:rPr>
            <w:rStyle w:val="Hipervnculo"/>
            <w:rFonts w:ascii="Arial" w:hAnsi="Arial" w:cs="Arial"/>
            <w:bCs/>
          </w:rPr>
          <w:t>normativa@superfinanciera.gov.co</w:t>
        </w:r>
      </w:hyperlink>
      <w:r>
        <w:rPr>
          <w:rFonts w:ascii="Arial" w:hAnsi="Arial" w:cs="Arial"/>
          <w:bCs/>
        </w:rPr>
        <w:t xml:space="preserve">. En el asunto </w:t>
      </w:r>
      <w:r>
        <w:rPr>
          <w:rFonts w:ascii="Arial" w:hAnsi="Arial" w:cs="Arial"/>
          <w:b/>
          <w:bCs/>
        </w:rPr>
        <w:t>únicamente</w:t>
      </w:r>
      <w:r>
        <w:rPr>
          <w:rFonts w:ascii="Arial" w:hAnsi="Arial" w:cs="Arial"/>
          <w:bCs/>
        </w:rPr>
        <w:t xml:space="preserve"> incluir el siguiente número de radicación: </w:t>
      </w:r>
      <w:r>
        <w:rPr>
          <w:rFonts w:ascii="Arial" w:hAnsi="Arial" w:cs="Arial"/>
          <w:b/>
          <w:bCs/>
        </w:rPr>
        <w:tab/>
        <w:t xml:space="preserve"> </w:t>
      </w:r>
    </w:p>
    <w:p w14:paraId="2FC76E15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</w:p>
    <w:p w14:paraId="10D6F6BF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RADICADO No. </w:t>
      </w:r>
      <w:r w:rsidRPr="007C02BD">
        <w:rPr>
          <w:rFonts w:ascii="Arial" w:hAnsi="Arial" w:cs="Arial"/>
          <w:b/>
          <w:bCs/>
        </w:rPr>
        <w:t>2024111022</w:t>
      </w:r>
    </w:p>
    <w:p w14:paraId="21C4AC1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1109E83D" w14:textId="1195D256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POR ESCRITO 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Subdirector de Regulación (E), con el número de radicación.</w:t>
      </w:r>
    </w:p>
    <w:p w14:paraId="441F1A6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/>
          <w:bCs/>
        </w:rPr>
      </w:pPr>
    </w:p>
    <w:p w14:paraId="78444AF0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Nota: </w:t>
      </w:r>
      <w:r>
        <w:rPr>
          <w:rFonts w:ascii="Arial" w:hAnsi="Arial" w:cs="Arial"/>
          <w:bCs/>
        </w:rPr>
        <w:t>Para la remisión de los comentarios por favor citar en el asunto del correo electrónico, la referencia señalada, así como por escrito.</w:t>
      </w:r>
    </w:p>
    <w:p w14:paraId="6EFBC68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BFB43AA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15FB3E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F84F138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A26BE7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B64FD3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 Consulte en este archivo el texto del proyecto de Circular</w:t>
      </w:r>
    </w:p>
    <w:p w14:paraId="6C524293" w14:textId="77777777" w:rsidR="004D70D6" w:rsidRPr="00AF380B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2AD0F252" w14:textId="77777777" w:rsidR="004D70D6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3596F10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1DF26E72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546F412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3D56ECB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B75AB97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CACABA6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54825C5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3C7EDED4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D68078E" w14:textId="77777777" w:rsidR="00F31A0E" w:rsidRDefault="00F31A0E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6FF03C9" w14:textId="77777777" w:rsidR="00F31A0E" w:rsidRDefault="00F31A0E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678CA4C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55D0027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8E3AA64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157F4C1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28C8450B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EB9F319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20E83BB5" w14:textId="39F221B3" w:rsidR="00F4188A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D338B1">
        <w:rPr>
          <w:rFonts w:ascii="Verdana" w:hAnsi="Verdana" w:cs="Arial"/>
          <w:b/>
          <w:sz w:val="22"/>
          <w:szCs w:val="22"/>
        </w:rPr>
        <w:t>CIRCULAR EXTERN</w:t>
      </w:r>
      <w:r w:rsidR="00DC3416">
        <w:rPr>
          <w:rFonts w:ascii="Verdana" w:hAnsi="Verdana" w:cs="Arial"/>
          <w:b/>
          <w:sz w:val="22"/>
          <w:szCs w:val="22"/>
        </w:rPr>
        <w:t xml:space="preserve">A           </w:t>
      </w:r>
      <w:r w:rsidRPr="00D338B1">
        <w:rPr>
          <w:rFonts w:ascii="Verdana" w:hAnsi="Verdana" w:cs="Arial"/>
          <w:b/>
          <w:sz w:val="22"/>
          <w:szCs w:val="22"/>
        </w:rPr>
        <w:t>DE</w:t>
      </w:r>
      <w:r w:rsidR="00C665C0">
        <w:rPr>
          <w:rFonts w:ascii="Verdana" w:hAnsi="Verdana" w:cs="Arial"/>
          <w:b/>
          <w:sz w:val="22"/>
          <w:szCs w:val="22"/>
        </w:rPr>
        <w:t xml:space="preserve"> 2025</w:t>
      </w:r>
    </w:p>
    <w:p w14:paraId="476DF383" w14:textId="779ACF82" w:rsidR="00E67EEA" w:rsidRPr="00D338B1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023D48F" w14:textId="77777777" w:rsidR="00E67EEA" w:rsidRPr="00D338B1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D338B1">
        <w:rPr>
          <w:rFonts w:ascii="Verdana" w:hAnsi="Verdana" w:cs="Arial"/>
          <w:b/>
          <w:sz w:val="22"/>
          <w:szCs w:val="22"/>
        </w:rPr>
        <w:t>(                                        )</w:t>
      </w:r>
    </w:p>
    <w:p w14:paraId="2D93C8D2" w14:textId="77777777" w:rsidR="00E67EEA" w:rsidRPr="00D338B1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98BE3CD" w14:textId="77777777" w:rsidR="00E67EEA" w:rsidRPr="00EE26B4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EE26B4">
        <w:rPr>
          <w:rFonts w:ascii="Verdana" w:hAnsi="Verdana" w:cs="Arial"/>
          <w:b/>
        </w:rPr>
        <w:t>Señores</w:t>
      </w:r>
    </w:p>
    <w:p w14:paraId="220E0A5E" w14:textId="74FCD7A7" w:rsidR="00E67EEA" w:rsidRPr="00EE26B4" w:rsidRDefault="007D445B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EE26B4">
        <w:rPr>
          <w:rFonts w:ascii="Verdana" w:hAnsi="Verdana" w:cs="Arial"/>
        </w:rPr>
        <w:t xml:space="preserve">MIEMBROS DE JUNTA DIRECTIVA, </w:t>
      </w:r>
      <w:r w:rsidR="00E67EEA" w:rsidRPr="00EE26B4">
        <w:rPr>
          <w:rFonts w:ascii="Verdana" w:hAnsi="Verdana" w:cs="Arial"/>
        </w:rPr>
        <w:t>REPRESENTANTES LEGALES</w:t>
      </w:r>
      <w:r w:rsidR="00C92308" w:rsidRPr="00EE26B4">
        <w:rPr>
          <w:rFonts w:ascii="Verdana" w:hAnsi="Verdana" w:cs="Arial"/>
        </w:rPr>
        <w:t xml:space="preserve"> Y</w:t>
      </w:r>
      <w:r w:rsidR="00136EE8" w:rsidRPr="00EE26B4">
        <w:rPr>
          <w:rFonts w:ascii="Verdana" w:hAnsi="Verdana" w:cs="Arial"/>
        </w:rPr>
        <w:t xml:space="preserve"> REVISORES FISCALES</w:t>
      </w:r>
      <w:r w:rsidR="00C92308" w:rsidRPr="00EE26B4">
        <w:rPr>
          <w:rFonts w:ascii="Verdana" w:hAnsi="Verdana" w:cs="Arial"/>
        </w:rPr>
        <w:t xml:space="preserve"> DE </w:t>
      </w:r>
      <w:r w:rsidR="00136EE8" w:rsidRPr="00EE26B4">
        <w:rPr>
          <w:rFonts w:ascii="Verdana" w:hAnsi="Verdana" w:cs="Arial"/>
        </w:rPr>
        <w:t>LAS ENTIDADES VIGILADAS POR LA SUPERINTENDENCIA FINANCIERA DE COLOMBIA</w:t>
      </w:r>
    </w:p>
    <w:p w14:paraId="0FB089D3" w14:textId="77777777" w:rsidR="00E67EEA" w:rsidRPr="00EE26B4" w:rsidRDefault="00E67EEA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</w:rPr>
      </w:pPr>
    </w:p>
    <w:p w14:paraId="06D7A625" w14:textId="77777777" w:rsidR="00CB5489" w:rsidRPr="00EE26B4" w:rsidRDefault="00CB5489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</w:rPr>
      </w:pPr>
    </w:p>
    <w:p w14:paraId="448F5370" w14:textId="26E4D890" w:rsidR="00324765" w:rsidRPr="00EE26B4" w:rsidRDefault="00E67EEA" w:rsidP="00527C9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EE26B4">
        <w:rPr>
          <w:rFonts w:ascii="Verdana" w:hAnsi="Verdana" w:cs="Arial"/>
          <w:b/>
        </w:rPr>
        <w:t xml:space="preserve">Referencia: </w:t>
      </w:r>
      <w:r w:rsidR="00324765" w:rsidRPr="00EE26B4">
        <w:rPr>
          <w:rFonts w:ascii="Verdana" w:hAnsi="Verdana" w:cs="Arial"/>
          <w:b/>
        </w:rPr>
        <w:t xml:space="preserve">Instrucciones para la </w:t>
      </w:r>
      <w:r w:rsidR="003639EE">
        <w:rPr>
          <w:rFonts w:ascii="Verdana" w:hAnsi="Verdana" w:cs="Arial"/>
          <w:b/>
        </w:rPr>
        <w:t>g</w:t>
      </w:r>
      <w:r w:rsidR="00324765" w:rsidRPr="00EE26B4">
        <w:rPr>
          <w:rFonts w:ascii="Verdana" w:hAnsi="Verdana" w:cs="Arial"/>
          <w:b/>
        </w:rPr>
        <w:t xml:space="preserve">estión del </w:t>
      </w:r>
      <w:r w:rsidR="003639EE">
        <w:rPr>
          <w:rFonts w:ascii="Verdana" w:hAnsi="Verdana" w:cs="Arial"/>
          <w:b/>
        </w:rPr>
        <w:t>r</w:t>
      </w:r>
      <w:r w:rsidR="00324765" w:rsidRPr="00EE26B4">
        <w:rPr>
          <w:rFonts w:ascii="Verdana" w:hAnsi="Verdana" w:cs="Arial"/>
          <w:b/>
        </w:rPr>
        <w:t xml:space="preserve">iesgo de </w:t>
      </w:r>
      <w:r w:rsidR="003639EE">
        <w:rPr>
          <w:rFonts w:ascii="Verdana" w:hAnsi="Verdana" w:cs="Arial"/>
          <w:b/>
        </w:rPr>
        <w:t>c</w:t>
      </w:r>
      <w:r w:rsidR="00324765" w:rsidRPr="00EE26B4">
        <w:rPr>
          <w:rFonts w:ascii="Verdana" w:hAnsi="Verdana" w:cs="Arial"/>
          <w:b/>
        </w:rPr>
        <w:t>onductas en el marco del Sistema Integral de Administración de Riesgos (SIAR)</w:t>
      </w:r>
    </w:p>
    <w:p w14:paraId="31441DAF" w14:textId="4980C1E2" w:rsidR="00C92308" w:rsidRPr="00D338B1" w:rsidRDefault="00C92308" w:rsidP="00C9230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6C06DF6F" w14:textId="5A3129FB" w:rsidR="00E67EEA" w:rsidRPr="00D338B1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0DC54A33" w14:textId="0D60DF4C" w:rsidR="00136EE8" w:rsidRPr="00F31A0E" w:rsidRDefault="00136EE8" w:rsidP="00136EE8">
      <w:pPr>
        <w:widowControl w:val="0"/>
        <w:adjustRightInd w:val="0"/>
        <w:jc w:val="both"/>
        <w:rPr>
          <w:rFonts w:ascii="Verdana" w:hAnsi="Verdana" w:cs="Arial"/>
          <w:color w:val="000000"/>
        </w:rPr>
      </w:pPr>
      <w:r w:rsidRPr="00F31A0E">
        <w:rPr>
          <w:rFonts w:ascii="Verdana" w:hAnsi="Verdana" w:cs="Arial"/>
          <w:color w:val="000000"/>
        </w:rPr>
        <w:t xml:space="preserve">Apreciados </w:t>
      </w:r>
      <w:r w:rsidR="004835C7" w:rsidRPr="00F31A0E">
        <w:rPr>
          <w:rFonts w:ascii="Verdana" w:hAnsi="Verdana" w:cs="Arial"/>
          <w:color w:val="000000"/>
        </w:rPr>
        <w:t>s</w:t>
      </w:r>
      <w:r w:rsidRPr="00F31A0E">
        <w:rPr>
          <w:rFonts w:ascii="Verdana" w:hAnsi="Verdana" w:cs="Arial"/>
          <w:color w:val="000000"/>
        </w:rPr>
        <w:t>eñores:</w:t>
      </w:r>
    </w:p>
    <w:p w14:paraId="64BC308F" w14:textId="77777777" w:rsidR="00136EE8" w:rsidRPr="002D3DC8" w:rsidRDefault="00136EE8" w:rsidP="00136EE8">
      <w:pPr>
        <w:pStyle w:val="Piedepgina"/>
        <w:tabs>
          <w:tab w:val="right" w:pos="8789"/>
        </w:tabs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14:paraId="7FBC21A2" w14:textId="46AD6EF4" w:rsidR="00033920" w:rsidRPr="00F31A0E" w:rsidRDefault="00033920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El sistema financiero enfrenta desafíos </w:t>
      </w:r>
      <w:r w:rsidR="00443BFA" w:rsidRPr="00F31A0E">
        <w:rPr>
          <w:rFonts w:ascii="Verdana" w:hAnsi="Verdana" w:cs="Arial"/>
          <w:sz w:val="24"/>
          <w:szCs w:val="24"/>
          <w:lang w:val="es-ES"/>
        </w:rPr>
        <w:t>importantes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 en materia de integridad y ética en el desarrollo de sus operaciones, los cuales se han acentuado en un entorno global en el que la confianza pública, la protección de los consumidores financieros y la estabilidad de los mercados resultan fundamentales para su adecuado funcionamiento. Las conductas inadecuadas o contrarias a la ética, provenientes de las entidades vigiladas, sus administradores, empleados o </w:t>
      </w:r>
      <w:r w:rsidR="0064072F" w:rsidRPr="00F31A0E">
        <w:rPr>
          <w:rFonts w:ascii="Verdana" w:hAnsi="Verdana" w:cs="Arial"/>
          <w:sz w:val="24"/>
          <w:szCs w:val="24"/>
          <w:lang w:val="es-ES"/>
        </w:rPr>
        <w:t xml:space="preserve">de </w:t>
      </w:r>
      <w:r w:rsidRPr="00F31A0E">
        <w:rPr>
          <w:rFonts w:ascii="Verdana" w:hAnsi="Verdana" w:cs="Arial"/>
          <w:sz w:val="24"/>
          <w:szCs w:val="24"/>
          <w:lang w:val="es-ES"/>
        </w:rPr>
        <w:t>terceros que actúen en su nombre, pueden generar impactos adversos que trascienden lo estrictamente financiero, afectando la reputación, la solvencia y la sostenibilidad de las organizaciones.</w:t>
      </w:r>
    </w:p>
    <w:p w14:paraId="67C57F00" w14:textId="77777777" w:rsidR="004C526D" w:rsidRPr="002D3DC8" w:rsidRDefault="004C526D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00ED4461" w14:textId="5CE86EEA" w:rsidR="007E71E3" w:rsidRPr="00F31A0E" w:rsidRDefault="00E753D9" w:rsidP="007E71E3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En este contexto, l</w:t>
      </w:r>
      <w:r w:rsidR="004C526D" w:rsidRPr="00F31A0E">
        <w:rPr>
          <w:rFonts w:ascii="Verdana" w:hAnsi="Verdana" w:cs="Arial"/>
          <w:sz w:val="24"/>
          <w:szCs w:val="24"/>
          <w:lang w:val="es-ES"/>
        </w:rPr>
        <w:t>a integridad financiera</w:t>
      </w:r>
      <w:r w:rsidR="007A1C8F" w:rsidRPr="00F31A0E">
        <w:rPr>
          <w:rFonts w:ascii="Verdana" w:hAnsi="Verdana" w:cs="Arial"/>
          <w:sz w:val="24"/>
          <w:szCs w:val="24"/>
          <w:lang w:val="es-ES"/>
        </w:rPr>
        <w:t>, entendida como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180C3F" w:rsidRPr="00F31A0E">
        <w:rPr>
          <w:rFonts w:ascii="Verdana" w:hAnsi="Verdana" w:cs="Arial"/>
          <w:sz w:val="24"/>
          <w:szCs w:val="24"/>
          <w:lang w:val="es-ES"/>
        </w:rPr>
        <w:t xml:space="preserve">el desarrollo de una actividad </w:t>
      </w:r>
      <w:r w:rsidR="00CB2172" w:rsidRPr="00F31A0E">
        <w:rPr>
          <w:rFonts w:ascii="Verdana" w:hAnsi="Verdana" w:cs="Arial"/>
          <w:sz w:val="24"/>
          <w:szCs w:val="24"/>
          <w:lang w:val="es-ES"/>
        </w:rPr>
        <w:t xml:space="preserve">económica 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 xml:space="preserve">sin comprometer principios </w:t>
      </w:r>
      <w:r w:rsidR="00CB2172" w:rsidRPr="00F31A0E">
        <w:rPr>
          <w:rFonts w:ascii="Verdana" w:hAnsi="Verdana" w:cs="Arial"/>
          <w:sz w:val="24"/>
          <w:szCs w:val="24"/>
          <w:lang w:val="es-ES"/>
        </w:rPr>
        <w:t xml:space="preserve">fundamentales 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>éticos,</w:t>
      </w:r>
      <w:r w:rsidR="004C526D" w:rsidRPr="00F31A0E">
        <w:rPr>
          <w:rFonts w:ascii="Verdana" w:hAnsi="Verdana" w:cs="Arial"/>
          <w:sz w:val="24"/>
          <w:szCs w:val="24"/>
          <w:lang w:val="es-ES"/>
        </w:rPr>
        <w:t xml:space="preserve"> constituye un pilar esencial del sistema financiero moderno. 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En consecuencia, las conductas inapropiadas, tales como el incumplimiento del marco normativo</w:t>
      </w:r>
      <w:r w:rsidR="00124D87" w:rsidRPr="00F31A0E">
        <w:rPr>
          <w:rFonts w:ascii="Verdana" w:hAnsi="Verdana" w:cs="Arial"/>
          <w:sz w:val="24"/>
          <w:szCs w:val="24"/>
          <w:lang w:val="es-ES"/>
        </w:rPr>
        <w:t xml:space="preserve"> consagrado en el régimen de protección al consumidor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, el aprovechamiento indebido de la confianza del consumidor financiero, o la falta de transparencia en las relaciones comerciales,</w:t>
      </w:r>
      <w:r w:rsidR="006633B6" w:rsidRPr="00F31A0E">
        <w:rPr>
          <w:rFonts w:ascii="Verdana" w:hAnsi="Verdana" w:cs="Arial"/>
          <w:sz w:val="24"/>
          <w:szCs w:val="24"/>
          <w:lang w:val="es-ES"/>
        </w:rPr>
        <w:t xml:space="preserve"> entre otros,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 xml:space="preserve"> constituyen factores que </w:t>
      </w:r>
      <w:r w:rsidR="000E394C" w:rsidRPr="00F31A0E">
        <w:rPr>
          <w:rFonts w:ascii="Verdana" w:hAnsi="Verdana" w:cs="Arial"/>
          <w:sz w:val="24"/>
          <w:szCs w:val="24"/>
          <w:lang w:val="es-ES"/>
        </w:rPr>
        <w:t xml:space="preserve">vulneran 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dicha integridad y exponen a las entidades vigiladas a riesgos significativos.</w:t>
      </w:r>
    </w:p>
    <w:p w14:paraId="39FD31FE" w14:textId="0319FEB7" w:rsidR="004C526D" w:rsidRPr="002D3DC8" w:rsidRDefault="004C526D" w:rsidP="004C526D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5620EFF3" w14:textId="36B8B851" w:rsidR="00033920" w:rsidRPr="00F31A0E" w:rsidRDefault="00A73708" w:rsidP="00A90245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La materialización </w:t>
      </w:r>
      <w:r w:rsidR="007C24B0">
        <w:rPr>
          <w:rFonts w:ascii="Verdana" w:hAnsi="Verdana" w:cs="Arial"/>
          <w:sz w:val="24"/>
          <w:szCs w:val="24"/>
          <w:lang w:val="es-ES"/>
        </w:rPr>
        <w:t xml:space="preserve">de este tipo de afectaciones </w:t>
      </w:r>
      <w:r w:rsidR="001E4D4D">
        <w:rPr>
          <w:rFonts w:ascii="Verdana" w:hAnsi="Verdana" w:cs="Arial"/>
          <w:sz w:val="24"/>
          <w:szCs w:val="24"/>
          <w:lang w:val="es-ES"/>
        </w:rPr>
        <w:t>da lugar a</w:t>
      </w:r>
      <w:r w:rsidR="00A90245" w:rsidRPr="00F31A0E">
        <w:rPr>
          <w:rFonts w:ascii="Verdana" w:hAnsi="Verdana" w:cs="Arial"/>
          <w:sz w:val="24"/>
          <w:szCs w:val="24"/>
          <w:lang w:val="es-ES"/>
        </w:rPr>
        <w:t>l riesgo de conductas</w:t>
      </w:r>
      <w:r w:rsidR="001E4D4D">
        <w:rPr>
          <w:rFonts w:ascii="Verdana" w:hAnsi="Verdana" w:cs="Arial"/>
          <w:sz w:val="24"/>
          <w:szCs w:val="24"/>
          <w:lang w:val="es-ES"/>
        </w:rPr>
        <w:t>, el cual</w:t>
      </w:r>
      <w:r w:rsidR="00A90245" w:rsidRPr="00F31A0E">
        <w:rPr>
          <w:rFonts w:ascii="Verdana" w:hAnsi="Verdana" w:cs="Arial"/>
          <w:sz w:val="24"/>
          <w:szCs w:val="24"/>
          <w:lang w:val="es-ES"/>
        </w:rPr>
        <w:t xml:space="preserve"> puede resultar en consecuencias financieras directas, como sanciones administrativas o pérdidas derivadas de acciones judiciales, así como en impactos indirectos relacionados con el deterioro de la reputación o la pérdida de confianza de los consumidores financieros.</w:t>
      </w:r>
      <w:r w:rsidR="00FA2DDD" w:rsidRPr="00F31A0E">
        <w:rPr>
          <w:rFonts w:ascii="Verdana" w:hAnsi="Verdana" w:cs="Arial"/>
          <w:sz w:val="24"/>
          <w:szCs w:val="24"/>
          <w:lang w:val="es-ES"/>
        </w:rPr>
        <w:t xml:space="preserve"> Por lo tanto, es fundamental identificar 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>las conductas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>,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factores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 xml:space="preserve"> y causas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que pueden resultar en la materialización de este riesgo</w:t>
      </w:r>
      <w:r w:rsidR="0065118C" w:rsidRPr="00F31A0E">
        <w:rPr>
          <w:rFonts w:ascii="Verdana" w:hAnsi="Verdana" w:cs="Arial"/>
          <w:sz w:val="24"/>
          <w:szCs w:val="24"/>
          <w:lang w:val="es-ES"/>
        </w:rPr>
        <w:t>;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como</w:t>
      </w:r>
      <w:r w:rsidR="005B54BC" w:rsidRPr="00F31A0E">
        <w:rPr>
          <w:rFonts w:ascii="Verdana" w:hAnsi="Verdana" w:cs="Arial"/>
          <w:sz w:val="24"/>
          <w:szCs w:val="24"/>
          <w:lang w:val="es-ES"/>
        </w:rPr>
        <w:t xml:space="preserve"> es el caso de</w:t>
      </w:r>
      <w:r w:rsidR="00033920" w:rsidRPr="00F31A0E">
        <w:rPr>
          <w:rFonts w:ascii="Verdana" w:hAnsi="Verdana" w:cs="Arial"/>
          <w:sz w:val="24"/>
          <w:szCs w:val="24"/>
          <w:lang w:val="es-ES"/>
        </w:rPr>
        <w:t xml:space="preserve"> la manipulación de información financiera, el uso indebido o no autorizado de datos personales de los consumidores financieros,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2A7889" w:rsidRPr="00F31A0E">
        <w:rPr>
          <w:rFonts w:ascii="Verdana" w:hAnsi="Verdana" w:cs="Arial"/>
          <w:sz w:val="24"/>
          <w:szCs w:val="24"/>
          <w:lang w:val="es-ES"/>
        </w:rPr>
        <w:t>omisión</w:t>
      </w:r>
      <w:r w:rsidR="005A3DC1" w:rsidRPr="00F31A0E">
        <w:rPr>
          <w:rFonts w:ascii="Verdana" w:hAnsi="Verdana" w:cs="Arial"/>
          <w:sz w:val="24"/>
          <w:szCs w:val="24"/>
          <w:lang w:val="es-ES"/>
        </w:rPr>
        <w:t xml:space="preserve"> en el suministro de información y/o asesoría a los consumidores</w:t>
      </w:r>
      <w:r w:rsidR="00056576" w:rsidRPr="00F31A0E">
        <w:rPr>
          <w:rFonts w:ascii="Verdana" w:hAnsi="Verdana" w:cs="Arial"/>
          <w:sz w:val="24"/>
          <w:szCs w:val="24"/>
          <w:lang w:val="es-ES"/>
        </w:rPr>
        <w:t xml:space="preserve"> y cualquier otr</w:t>
      </w:r>
      <w:r w:rsidR="00551348" w:rsidRPr="00F31A0E">
        <w:rPr>
          <w:rFonts w:ascii="Verdana" w:hAnsi="Verdana" w:cs="Arial"/>
          <w:sz w:val="24"/>
          <w:szCs w:val="24"/>
          <w:lang w:val="es-ES"/>
        </w:rPr>
        <w:t xml:space="preserve">a práctica que 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t xml:space="preserve">cause daño a los 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lastRenderedPageBreak/>
        <w:t xml:space="preserve">consumidores financieros y/o vulnere </w:t>
      </w:r>
      <w:r w:rsidR="001B728F" w:rsidRPr="00F31A0E">
        <w:rPr>
          <w:rFonts w:ascii="Verdana" w:hAnsi="Verdana" w:cs="Arial"/>
          <w:sz w:val="24"/>
          <w:szCs w:val="24"/>
          <w:lang w:val="es-ES"/>
        </w:rPr>
        <w:t>el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t xml:space="preserve"> principio de trato justo</w:t>
      </w:r>
      <w:r w:rsidR="009A44CF">
        <w:rPr>
          <w:rFonts w:ascii="Verdana" w:hAnsi="Verdana" w:cs="Arial"/>
          <w:sz w:val="24"/>
          <w:szCs w:val="24"/>
          <w:lang w:val="es-ES"/>
        </w:rPr>
        <w:t>,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>así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como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>,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la integridad y transparencia 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 xml:space="preserve">del mercado </w:t>
      </w:r>
      <w:r w:rsidR="001678A8" w:rsidRPr="00F31A0E">
        <w:rPr>
          <w:rFonts w:ascii="Verdana" w:hAnsi="Verdana" w:cs="Arial"/>
          <w:sz w:val="24"/>
          <w:szCs w:val="24"/>
          <w:lang w:val="es-ES"/>
        </w:rPr>
        <w:t>de capitales</w:t>
      </w:r>
      <w:r w:rsidR="00033920" w:rsidRPr="00F31A0E">
        <w:rPr>
          <w:rFonts w:ascii="Verdana" w:hAnsi="Verdana" w:cs="Arial"/>
          <w:sz w:val="24"/>
          <w:szCs w:val="24"/>
          <w:lang w:val="es-ES"/>
        </w:rPr>
        <w:t>.</w:t>
      </w:r>
    </w:p>
    <w:p w14:paraId="03A0894F" w14:textId="77777777" w:rsidR="00EB2DC2" w:rsidRPr="002D3DC8" w:rsidRDefault="00EB2DC2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3621ED0" w14:textId="2435307E" w:rsidR="00D31132" w:rsidRPr="00F31A0E" w:rsidRDefault="0080095D" w:rsidP="0091122F">
      <w:pPr>
        <w:jc w:val="both"/>
        <w:rPr>
          <w:rFonts w:ascii="Verdana" w:hAnsi="Verdana" w:cs="Arial"/>
        </w:rPr>
      </w:pPr>
      <w:r w:rsidRPr="00F31A0E">
        <w:rPr>
          <w:rFonts w:ascii="Verdana" w:hAnsi="Verdana" w:cs="Arial"/>
        </w:rPr>
        <w:t>Por lo tanto</w:t>
      </w:r>
      <w:r w:rsidR="000C1D6C" w:rsidRPr="00F31A0E">
        <w:rPr>
          <w:rFonts w:ascii="Verdana" w:hAnsi="Verdana" w:cs="Arial"/>
        </w:rPr>
        <w:t>, la adopción de medidas orientadas a fomentar comportamientos éticos</w:t>
      </w:r>
      <w:r w:rsidR="00037CB3" w:rsidRPr="00F31A0E">
        <w:rPr>
          <w:rFonts w:ascii="Verdana" w:hAnsi="Verdana" w:cs="Arial"/>
        </w:rPr>
        <w:t xml:space="preserve"> y</w:t>
      </w:r>
      <w:r w:rsidR="000C1D6C" w:rsidRPr="00F31A0E">
        <w:rPr>
          <w:rFonts w:ascii="Verdana" w:hAnsi="Verdana" w:cs="Arial"/>
        </w:rPr>
        <w:t xml:space="preserve"> responsables </w:t>
      </w:r>
      <w:r w:rsidR="00037CB3" w:rsidRPr="00F31A0E">
        <w:rPr>
          <w:rFonts w:ascii="Verdana" w:hAnsi="Verdana" w:cs="Arial"/>
        </w:rPr>
        <w:t xml:space="preserve">frente a los consumidores </w:t>
      </w:r>
      <w:r w:rsidR="009F5526" w:rsidRPr="00F31A0E">
        <w:rPr>
          <w:rFonts w:ascii="Verdana" w:hAnsi="Verdana" w:cs="Arial"/>
        </w:rPr>
        <w:t>financieros y el mercado,</w:t>
      </w:r>
      <w:r w:rsidR="000C1D6C" w:rsidRPr="00F31A0E">
        <w:rPr>
          <w:rFonts w:ascii="Verdana" w:hAnsi="Verdana" w:cs="Arial"/>
        </w:rPr>
        <w:t xml:space="preserve"> se configura como una prioridad para las entidades vigiladas, las cuales deben incorporar dichos elementos dentro de sus sistemas de administración de riesgos.</w:t>
      </w:r>
      <w:r w:rsidR="002503E5" w:rsidRPr="00F31A0E">
        <w:rPr>
          <w:rFonts w:ascii="Verdana" w:hAnsi="Verdana" w:cs="Arial"/>
        </w:rPr>
        <w:t xml:space="preserve"> </w:t>
      </w:r>
      <w:r w:rsidR="004C0152" w:rsidRPr="00F31A0E">
        <w:rPr>
          <w:rFonts w:ascii="Verdana" w:hAnsi="Verdana" w:cs="Arial"/>
        </w:rPr>
        <w:t>En este sentido</w:t>
      </w:r>
      <w:r w:rsidR="002503E5" w:rsidRPr="00F31A0E">
        <w:rPr>
          <w:rFonts w:ascii="Verdana" w:hAnsi="Verdana" w:cs="Arial"/>
        </w:rPr>
        <w:t>, l</w:t>
      </w:r>
      <w:r w:rsidR="00033920" w:rsidRPr="00F31A0E">
        <w:rPr>
          <w:rFonts w:ascii="Verdana" w:hAnsi="Verdana" w:cs="Arial"/>
        </w:rPr>
        <w:t>a Superintendencia Financiera de Colombia, en el ejercicio de sus funciones legales y en cumplimiento de su misión institucional de promover un sistema financiero sólido, ético y competitivo, considera necesario establecer directrices que permitan a las entidades vigiladas gestionar de forma proactiva y estructurada este tipo de riesgo.</w:t>
      </w:r>
      <w:r w:rsidR="00D31132" w:rsidRPr="00F31A0E">
        <w:rPr>
          <w:rFonts w:ascii="Verdana" w:hAnsi="Verdana" w:cs="Arial"/>
        </w:rPr>
        <w:t xml:space="preserve"> Lo anterior, sin perjuicio de las buenas prácticas implementadas por las entidades vigiladas y los organismos de autorregulación.</w:t>
      </w:r>
    </w:p>
    <w:p w14:paraId="2E362EF1" w14:textId="77777777" w:rsidR="00E318C7" w:rsidRPr="002D3DC8" w:rsidRDefault="00E318C7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5ED8DC3" w14:textId="10133989" w:rsidR="00033920" w:rsidRPr="00F31A0E" w:rsidRDefault="00033920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En desarrollo de lo anterior, y con el propósito de fortalecer la integridad del sistema financiero, </w:t>
      </w:r>
      <w:r w:rsidR="005A6F2A">
        <w:rPr>
          <w:rFonts w:ascii="Verdana" w:hAnsi="Verdana" w:cs="Arial"/>
          <w:sz w:val="24"/>
          <w:szCs w:val="24"/>
          <w:lang w:val="es-ES"/>
        </w:rPr>
        <w:t xml:space="preserve">la Superintendencia Financiera de Colombia considera necesario impartir </w:t>
      </w:r>
      <w:r w:rsidRPr="00F31A0E">
        <w:rPr>
          <w:rFonts w:ascii="Verdana" w:hAnsi="Verdana" w:cs="Arial"/>
          <w:sz w:val="24"/>
          <w:szCs w:val="24"/>
          <w:lang w:val="es-ES"/>
        </w:rPr>
        <w:t>instrucciones orientadas a:</w:t>
      </w:r>
    </w:p>
    <w:p w14:paraId="2569C2C3" w14:textId="77777777" w:rsidR="00DD6DB3" w:rsidRPr="002D3DC8" w:rsidRDefault="00DD6DB3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1A84E97C" w14:textId="279212D0" w:rsidR="006E77C6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Establecer los lineamientos que deben observar las entidades vigiladas en la formulación e implementación de una </w:t>
      </w:r>
      <w:r w:rsidR="006E77C6" w:rsidRPr="00F31A0E">
        <w:rPr>
          <w:rFonts w:ascii="Verdana" w:hAnsi="Verdana" w:cs="Arial"/>
          <w:sz w:val="24"/>
          <w:szCs w:val="24"/>
          <w:lang w:val="es-ES"/>
        </w:rPr>
        <w:t>p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olítica </w:t>
      </w:r>
      <w:r w:rsidR="00E95CB1" w:rsidRPr="00F31A0E">
        <w:rPr>
          <w:rFonts w:ascii="Verdana" w:hAnsi="Verdana" w:cs="Arial"/>
          <w:sz w:val="24"/>
          <w:szCs w:val="24"/>
          <w:lang w:val="es-ES"/>
        </w:rPr>
        <w:t xml:space="preserve">para la gestión del riesgo de </w:t>
      </w:r>
      <w:r w:rsidR="006E77C6" w:rsidRPr="00F31A0E">
        <w:rPr>
          <w:rFonts w:ascii="Verdana" w:hAnsi="Verdana" w:cs="Arial"/>
          <w:sz w:val="24"/>
          <w:szCs w:val="24"/>
          <w:lang w:val="es-ES"/>
        </w:rPr>
        <w:t>c</w:t>
      </w:r>
      <w:r w:rsidRPr="00F31A0E">
        <w:rPr>
          <w:rFonts w:ascii="Verdana" w:hAnsi="Verdana" w:cs="Arial"/>
          <w:sz w:val="24"/>
          <w:szCs w:val="24"/>
          <w:lang w:val="es-ES"/>
        </w:rPr>
        <w:t>onductas, que promueva comportamientos éticos y responsables en el marco de sus operaciones.</w:t>
      </w:r>
    </w:p>
    <w:p w14:paraId="2C204101" w14:textId="77777777" w:rsidR="006E77C6" w:rsidRPr="002D3DC8" w:rsidRDefault="006E77C6" w:rsidP="00EB7E67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233F6951" w14:textId="29E88284" w:rsidR="00033920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Definir los mecanismos, herramientas y procedimientos requeridos para la identificación, medición, control y monitoreo del riesgo de conductas, asegurando su adecuada incorporación en los</w:t>
      </w:r>
      <w:r w:rsidR="00F217C6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452F30" w:rsidRPr="00F31A0E">
        <w:rPr>
          <w:rFonts w:ascii="Verdana" w:hAnsi="Verdana" w:cs="Arial"/>
          <w:sz w:val="24"/>
          <w:szCs w:val="24"/>
          <w:lang w:val="es-ES"/>
        </w:rPr>
        <w:t>diferentes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 procesos </w:t>
      </w:r>
      <w:r w:rsidR="00452F30" w:rsidRPr="00F31A0E">
        <w:rPr>
          <w:rFonts w:ascii="Verdana" w:hAnsi="Verdana" w:cs="Arial"/>
          <w:sz w:val="24"/>
          <w:szCs w:val="24"/>
          <w:lang w:val="es-ES"/>
        </w:rPr>
        <w:t>que tienen relación con el consumidor financiero</w:t>
      </w:r>
      <w:r w:rsidR="00156542" w:rsidRPr="00F31A0E">
        <w:rPr>
          <w:rFonts w:ascii="Verdana" w:hAnsi="Verdana" w:cs="Arial"/>
          <w:sz w:val="24"/>
          <w:szCs w:val="24"/>
          <w:lang w:val="es-ES"/>
        </w:rPr>
        <w:t xml:space="preserve"> y la integridad y transparencia del mercado</w:t>
      </w:r>
      <w:r w:rsidRPr="00F31A0E">
        <w:rPr>
          <w:rFonts w:ascii="Verdana" w:hAnsi="Verdana" w:cs="Arial"/>
          <w:sz w:val="24"/>
          <w:szCs w:val="24"/>
          <w:lang w:val="es-ES"/>
        </w:rPr>
        <w:t>.</w:t>
      </w:r>
    </w:p>
    <w:p w14:paraId="5F144FC4" w14:textId="77777777" w:rsidR="006202ED" w:rsidRPr="002D3DC8" w:rsidRDefault="006202ED" w:rsidP="00EB7E67">
      <w:pPr>
        <w:pStyle w:val="Piedepgina"/>
        <w:tabs>
          <w:tab w:val="right" w:pos="8789"/>
        </w:tabs>
        <w:ind w:left="567"/>
        <w:jc w:val="both"/>
        <w:rPr>
          <w:rFonts w:ascii="Verdana" w:hAnsi="Verdana" w:cs="Arial"/>
          <w:sz w:val="20"/>
          <w:szCs w:val="20"/>
          <w:lang w:val="es-ES"/>
        </w:rPr>
      </w:pPr>
    </w:p>
    <w:p w14:paraId="52B80F15" w14:textId="245902B4" w:rsidR="00033920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Determinar </w:t>
      </w:r>
      <w:r w:rsidR="00B55505">
        <w:rPr>
          <w:rFonts w:ascii="Verdana" w:hAnsi="Verdana" w:cs="Arial"/>
          <w:sz w:val="24"/>
          <w:szCs w:val="24"/>
          <w:lang w:val="es-ES"/>
        </w:rPr>
        <w:t xml:space="preserve">los principios </w:t>
      </w:r>
      <w:r w:rsidRPr="00F31A0E">
        <w:rPr>
          <w:rFonts w:ascii="Verdana" w:hAnsi="Verdana" w:cs="Arial"/>
          <w:sz w:val="24"/>
          <w:szCs w:val="24"/>
          <w:lang w:val="es-ES"/>
        </w:rPr>
        <w:t>aplicables a la gestión del riesgo de conductas, incluyendo las relaciones comerciales y contractuales con consumidores financieros, empleados, contrapartes y terceros que actúen en nombre de la entidad vigilada.</w:t>
      </w:r>
    </w:p>
    <w:p w14:paraId="049A6B12" w14:textId="77777777" w:rsidR="00D92755" w:rsidRPr="002D3DC8" w:rsidRDefault="00D92755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1D440A92" w14:textId="371FB9D0" w:rsidR="00D92755" w:rsidRPr="00F31A0E" w:rsidRDefault="00D92755" w:rsidP="00D92755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En virtud de lo anterior, esta Superintendencia, en ejercicio de las facultades previstas en el numeral 3 del artículo 326 del Estatuto Orgánico del Sistema Financiero</w:t>
      </w:r>
      <w:r w:rsidR="00AA33F8">
        <w:rPr>
          <w:rFonts w:ascii="Verdana" w:hAnsi="Verdana" w:cs="Arial"/>
          <w:sz w:val="24"/>
          <w:szCs w:val="24"/>
          <w:lang w:val="es-ES"/>
        </w:rPr>
        <w:t>,</w:t>
      </w:r>
      <w:r w:rsidR="00410F2F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Pr="00F31A0E">
        <w:rPr>
          <w:rFonts w:ascii="Verdana" w:hAnsi="Verdana" w:cs="Arial"/>
          <w:sz w:val="24"/>
          <w:szCs w:val="24"/>
          <w:lang w:val="es-ES"/>
        </w:rPr>
        <w:t>así como en los numerales 4 y 5 del artículo 11.2.1.4.2. del Decreto 2555 de 2010, imparte las siguientes instrucciones:</w:t>
      </w:r>
    </w:p>
    <w:p w14:paraId="6018E57A" w14:textId="77777777" w:rsidR="005E1AD9" w:rsidRPr="002D3DC8" w:rsidRDefault="005E1AD9" w:rsidP="00136EE8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2219ED9" w14:textId="3F625CCC" w:rsidR="000960C3" w:rsidRDefault="000960C3" w:rsidP="000960C3">
      <w:pPr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/>
          <w:bCs/>
        </w:rPr>
        <w:t xml:space="preserve">PRIMERA: </w:t>
      </w:r>
      <w:r w:rsidR="00EE283A" w:rsidRPr="00F31A0E">
        <w:rPr>
          <w:rFonts w:ascii="Verdana" w:hAnsi="Verdana"/>
          <w:lang w:val="es-CO"/>
        </w:rPr>
        <w:t xml:space="preserve">Modificar las consideraciones generales del </w:t>
      </w:r>
      <w:r w:rsidR="00D069BF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 xml:space="preserve">apítulo XXXI «Sistema Integral de Administración de Riesgos (SIAR)» de la Circular Básica Contable y Financiera </w:t>
      </w:r>
      <w:r w:rsidR="00D069BF" w:rsidRPr="00F31A0E">
        <w:rPr>
          <w:rFonts w:ascii="Verdana" w:hAnsi="Verdana"/>
          <w:lang w:val="es-CO"/>
        </w:rPr>
        <w:t>(CBCF)</w:t>
      </w:r>
      <w:r w:rsidR="00AC3987" w:rsidRPr="00F31A0E">
        <w:rPr>
          <w:rFonts w:ascii="Verdana" w:hAnsi="Verdana"/>
          <w:lang w:val="es-CO"/>
        </w:rPr>
        <w:t>,</w:t>
      </w:r>
      <w:r w:rsidR="00D069BF" w:rsidRPr="00F31A0E">
        <w:rPr>
          <w:rFonts w:ascii="Verdana" w:hAnsi="Verdana"/>
          <w:lang w:val="es-CO"/>
        </w:rPr>
        <w:t xml:space="preserve"> </w:t>
      </w:r>
      <w:r w:rsidR="00EE283A" w:rsidRPr="00F31A0E">
        <w:rPr>
          <w:rFonts w:ascii="Verdana" w:hAnsi="Verdana"/>
          <w:lang w:val="es-CO"/>
        </w:rPr>
        <w:t>para incluir el riesgo de conductas como parte del enfoque integral de gestión de riesgos</w:t>
      </w:r>
      <w:r w:rsidR="00B20C98" w:rsidRPr="00F31A0E">
        <w:rPr>
          <w:rFonts w:ascii="Verdana" w:eastAsiaTheme="minorHAnsi" w:hAnsi="Verdana" w:cs="Arial"/>
          <w:kern w:val="2"/>
          <w:lang w:eastAsia="en-US"/>
          <w14:ligatures w14:val="standardContextual"/>
        </w:rPr>
        <w:t>.</w:t>
      </w:r>
      <w:r w:rsidR="001D0A3F" w:rsidRPr="00F31A0E">
        <w:rPr>
          <w:rFonts w:ascii="Verdana" w:hAnsi="Verdana" w:cs="Arial"/>
          <w:bCs/>
        </w:rPr>
        <w:t xml:space="preserve"> </w:t>
      </w:r>
    </w:p>
    <w:p w14:paraId="752CAAB3" w14:textId="77777777" w:rsidR="000960C3" w:rsidRPr="002D3DC8" w:rsidRDefault="000960C3" w:rsidP="000960C3">
      <w:pPr>
        <w:jc w:val="both"/>
        <w:rPr>
          <w:rFonts w:ascii="Verdana" w:hAnsi="Verdana" w:cs="Arial"/>
          <w:sz w:val="20"/>
          <w:szCs w:val="20"/>
        </w:rPr>
      </w:pPr>
    </w:p>
    <w:p w14:paraId="66A919FD" w14:textId="265F9DBD" w:rsidR="00EE283A" w:rsidRPr="00F31A0E" w:rsidRDefault="00A02AB3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/>
          <w:bCs/>
        </w:rPr>
        <w:t>SEGUNDA</w:t>
      </w:r>
      <w:r w:rsidR="000960C3" w:rsidRPr="00F31A0E">
        <w:rPr>
          <w:rFonts w:ascii="Verdana" w:hAnsi="Verdana" w:cs="Arial"/>
          <w:b/>
          <w:bCs/>
        </w:rPr>
        <w:t xml:space="preserve">: </w:t>
      </w:r>
      <w:r w:rsidR="00EE283A" w:rsidRPr="00F31A0E">
        <w:rPr>
          <w:rFonts w:ascii="Verdana" w:hAnsi="Verdana"/>
          <w:lang w:val="es-CO"/>
        </w:rPr>
        <w:t xml:space="preserve">Adicionar </w:t>
      </w:r>
      <w:r w:rsidR="0017704C" w:rsidRPr="00F31A0E">
        <w:rPr>
          <w:rFonts w:ascii="Verdana" w:hAnsi="Verdana"/>
          <w:lang w:val="es-CO"/>
        </w:rPr>
        <w:t>el</w:t>
      </w:r>
      <w:r w:rsidR="00EE283A" w:rsidRPr="00F31A0E">
        <w:rPr>
          <w:rFonts w:ascii="Verdana" w:hAnsi="Verdana"/>
          <w:lang w:val="es-CO"/>
        </w:rPr>
        <w:t xml:space="preserve"> subnumeral </w:t>
      </w:r>
      <w:r w:rsidR="0017704C" w:rsidRPr="00F31A0E">
        <w:rPr>
          <w:rFonts w:ascii="Verdana" w:hAnsi="Verdana"/>
          <w:lang w:val="es-CO"/>
        </w:rPr>
        <w:t xml:space="preserve">11 </w:t>
      </w:r>
      <w:r w:rsidR="00EE283A" w:rsidRPr="00F31A0E">
        <w:rPr>
          <w:rFonts w:ascii="Verdana" w:hAnsi="Verdana"/>
          <w:lang w:val="es-CO"/>
        </w:rPr>
        <w:t xml:space="preserve">a la </w:t>
      </w:r>
      <w:r w:rsidR="00D069BF" w:rsidRPr="00F31A0E">
        <w:rPr>
          <w:rFonts w:ascii="Verdana" w:hAnsi="Verdana"/>
          <w:lang w:val="es-CO"/>
        </w:rPr>
        <w:t>p</w:t>
      </w:r>
      <w:r w:rsidR="00EE283A" w:rsidRPr="00F31A0E">
        <w:rPr>
          <w:rFonts w:ascii="Verdana" w:hAnsi="Verdana"/>
          <w:lang w:val="es-CO"/>
        </w:rPr>
        <w:t xml:space="preserve">arte II del </w:t>
      </w:r>
      <w:r w:rsidR="00D069BF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>apítulo XXXI</w:t>
      </w:r>
      <w:r w:rsidR="00D069BF" w:rsidRPr="00F31A0E">
        <w:rPr>
          <w:rFonts w:ascii="Verdana" w:hAnsi="Verdana"/>
          <w:lang w:val="es-CO"/>
        </w:rPr>
        <w:t xml:space="preserve"> de la CBCF</w:t>
      </w:r>
      <w:r w:rsidR="00A235AA" w:rsidRPr="00F31A0E">
        <w:rPr>
          <w:rFonts w:ascii="Verdana" w:hAnsi="Verdana"/>
          <w:lang w:val="es-CO"/>
        </w:rPr>
        <w:t>,</w:t>
      </w:r>
      <w:r w:rsidR="00D069BF" w:rsidRPr="00F31A0E">
        <w:rPr>
          <w:rFonts w:ascii="Verdana" w:hAnsi="Verdana"/>
          <w:lang w:val="es-CO"/>
        </w:rPr>
        <w:t xml:space="preserve"> con el fin de establecer instrucciones</w:t>
      </w:r>
      <w:r w:rsidR="00EE283A" w:rsidRPr="00F31A0E">
        <w:rPr>
          <w:rFonts w:ascii="Verdana" w:hAnsi="Verdana"/>
          <w:lang w:val="es-CO"/>
        </w:rPr>
        <w:t xml:space="preserve"> </w:t>
      </w:r>
      <w:r w:rsidR="00C27172" w:rsidRPr="00F31A0E">
        <w:rPr>
          <w:rFonts w:ascii="Verdana" w:hAnsi="Verdana"/>
          <w:lang w:val="es-CO"/>
        </w:rPr>
        <w:t xml:space="preserve">para la </w:t>
      </w:r>
      <w:r w:rsidR="00EE283A" w:rsidRPr="00F31A0E">
        <w:rPr>
          <w:rFonts w:ascii="Verdana" w:hAnsi="Verdana"/>
          <w:lang w:val="es-CO"/>
        </w:rPr>
        <w:t>“Gestión del Riesgo de Conductas”</w:t>
      </w:r>
      <w:r w:rsidR="00D069BF" w:rsidRPr="00F31A0E">
        <w:rPr>
          <w:rFonts w:ascii="Verdana" w:hAnsi="Verdana"/>
          <w:lang w:val="es-CO"/>
        </w:rPr>
        <w:t>.</w:t>
      </w:r>
    </w:p>
    <w:p w14:paraId="650734A8" w14:textId="6BAC72DA" w:rsidR="00E67EEA" w:rsidRPr="00A22D9B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63D342C1" w14:textId="150EDED7" w:rsidR="00280D68" w:rsidRPr="00F31A0E" w:rsidRDefault="00E81BF8" w:rsidP="00721C8A">
      <w:pPr>
        <w:jc w:val="both"/>
        <w:rPr>
          <w:rFonts w:ascii="Verdana" w:hAnsi="Verdana"/>
          <w:lang w:val="es-CO"/>
        </w:rPr>
      </w:pPr>
      <w:r w:rsidRPr="00F31A0E">
        <w:rPr>
          <w:rFonts w:ascii="Verdana" w:hAnsi="Verdana" w:cs="Arial"/>
          <w:b/>
          <w:bCs/>
        </w:rPr>
        <w:lastRenderedPageBreak/>
        <w:t>TERCERA</w:t>
      </w:r>
      <w:r w:rsidR="00EC6A02" w:rsidRPr="00F31A0E">
        <w:rPr>
          <w:rFonts w:ascii="Verdana" w:hAnsi="Verdana" w:cs="Arial"/>
          <w:b/>
          <w:bCs/>
        </w:rPr>
        <w:t xml:space="preserve">: </w:t>
      </w:r>
      <w:r w:rsidR="006B2159" w:rsidRPr="00F31A0E">
        <w:rPr>
          <w:rFonts w:ascii="Verdana" w:hAnsi="Verdana" w:cs="Arial"/>
          <w:b/>
          <w:bCs/>
        </w:rPr>
        <w:t>RÉGIMEN DE TRANSICIÓ</w:t>
      </w:r>
      <w:r w:rsidR="00EC6A02" w:rsidRPr="00F31A0E">
        <w:rPr>
          <w:rFonts w:ascii="Verdana" w:hAnsi="Verdana" w:cs="Arial"/>
          <w:b/>
          <w:bCs/>
        </w:rPr>
        <w:t xml:space="preserve">N. </w:t>
      </w:r>
      <w:r w:rsidR="00280D68" w:rsidRPr="00F31A0E">
        <w:rPr>
          <w:rFonts w:ascii="Verdana" w:hAnsi="Verdana"/>
          <w:lang w:val="es-CO"/>
        </w:rPr>
        <w:t xml:space="preserve">Para efectos de la implementación de las instrucciones impartidas mediante la presente </w:t>
      </w:r>
      <w:r w:rsidR="00C27172" w:rsidRPr="00F31A0E">
        <w:rPr>
          <w:rFonts w:ascii="Verdana" w:hAnsi="Verdana"/>
          <w:lang w:val="es-CO"/>
        </w:rPr>
        <w:t>c</w:t>
      </w:r>
      <w:r w:rsidR="00280D68" w:rsidRPr="00F31A0E">
        <w:rPr>
          <w:rFonts w:ascii="Verdana" w:hAnsi="Verdana"/>
          <w:lang w:val="es-CO"/>
        </w:rPr>
        <w:t xml:space="preserve">ircular, las entidades vigiladas deberán observar los siguientes plazos contados a partir de </w:t>
      </w:r>
      <w:r w:rsidR="0060245B" w:rsidRPr="00F31A0E">
        <w:rPr>
          <w:rFonts w:ascii="Verdana" w:hAnsi="Verdana"/>
          <w:lang w:val="es-CO"/>
        </w:rPr>
        <w:t xml:space="preserve">la fecha de </w:t>
      </w:r>
      <w:r w:rsidR="00280D68" w:rsidRPr="00F31A0E">
        <w:rPr>
          <w:rFonts w:ascii="Verdana" w:hAnsi="Verdana"/>
          <w:lang w:val="es-CO"/>
        </w:rPr>
        <w:t>su publicación:</w:t>
      </w:r>
    </w:p>
    <w:p w14:paraId="2214084F" w14:textId="77777777" w:rsidR="0015689E" w:rsidRPr="00F31A0E" w:rsidRDefault="0015689E" w:rsidP="00721C8A">
      <w:pPr>
        <w:jc w:val="both"/>
        <w:rPr>
          <w:rFonts w:ascii="Verdana" w:hAnsi="Verdana"/>
          <w:lang w:val="es-CO"/>
        </w:rPr>
      </w:pPr>
    </w:p>
    <w:p w14:paraId="3AB4DD1A" w14:textId="001E13E3" w:rsidR="00280D68" w:rsidRPr="00F31A0E" w:rsidRDefault="00DF6D08" w:rsidP="00EB7E67">
      <w:pPr>
        <w:ind w:left="567" w:hanging="567"/>
        <w:jc w:val="both"/>
        <w:rPr>
          <w:rFonts w:ascii="Verdana" w:hAnsi="Verdana"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.1.</w:t>
      </w:r>
      <w:r w:rsidR="00280D68" w:rsidRPr="00F31A0E">
        <w:rPr>
          <w:rFonts w:ascii="Verdana" w:hAnsi="Verdana"/>
          <w:lang w:val="es-CO"/>
        </w:rPr>
        <w:t xml:space="preserve"> </w:t>
      </w:r>
      <w:r w:rsidR="00280D68" w:rsidRPr="00F31A0E">
        <w:rPr>
          <w:rFonts w:ascii="Verdana" w:hAnsi="Verdana"/>
          <w:b/>
          <w:bCs/>
          <w:lang w:val="es-CO"/>
        </w:rPr>
        <w:t>Dentro de los 6</w:t>
      </w:r>
      <w:r w:rsidR="0060245B" w:rsidRPr="00F31A0E">
        <w:rPr>
          <w:rFonts w:ascii="Verdana" w:hAnsi="Verdana"/>
          <w:b/>
          <w:bCs/>
          <w:lang w:val="es-CO"/>
        </w:rPr>
        <w:t xml:space="preserve"> </w:t>
      </w:r>
      <w:r w:rsidR="00280D68" w:rsidRPr="00F31A0E">
        <w:rPr>
          <w:rFonts w:ascii="Verdana" w:hAnsi="Verdana"/>
          <w:b/>
          <w:bCs/>
          <w:lang w:val="es-CO"/>
        </w:rPr>
        <w:t>meses</w:t>
      </w:r>
      <w:r w:rsidR="0060245B"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57520977" w14:textId="77777777" w:rsidR="006A70AA" w:rsidRPr="00F31A0E" w:rsidRDefault="006A70AA" w:rsidP="00721C8A">
      <w:pPr>
        <w:jc w:val="both"/>
        <w:rPr>
          <w:rFonts w:ascii="Verdana" w:hAnsi="Verdana"/>
          <w:lang w:val="es-CO"/>
        </w:rPr>
      </w:pPr>
    </w:p>
    <w:p w14:paraId="13241263" w14:textId="4406E932" w:rsidR="0060245B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Definición y aprobación de la</w:t>
      </w:r>
      <w:r w:rsidR="0060245B" w:rsidRPr="00F31A0E">
        <w:rPr>
          <w:rFonts w:ascii="Verdana" w:hAnsi="Verdana"/>
          <w:sz w:val="24"/>
          <w:szCs w:val="24"/>
        </w:rPr>
        <w:t xml:space="preserve"> p</w:t>
      </w:r>
      <w:r w:rsidRPr="00F31A0E">
        <w:rPr>
          <w:rFonts w:ascii="Verdana" w:hAnsi="Verdana"/>
          <w:sz w:val="24"/>
          <w:szCs w:val="24"/>
        </w:rPr>
        <w:t xml:space="preserve">olítica de </w:t>
      </w:r>
      <w:r w:rsidR="00057550" w:rsidRPr="00F31A0E">
        <w:rPr>
          <w:rFonts w:ascii="Verdana" w:hAnsi="Verdana"/>
          <w:sz w:val="24"/>
          <w:szCs w:val="24"/>
        </w:rPr>
        <w:t xml:space="preserve">gestión del riesgo de </w:t>
      </w:r>
      <w:r w:rsidR="0060245B" w:rsidRPr="00F31A0E">
        <w:rPr>
          <w:rFonts w:ascii="Verdana" w:hAnsi="Verdana"/>
          <w:sz w:val="24"/>
          <w:szCs w:val="24"/>
        </w:rPr>
        <w:t>c</w:t>
      </w:r>
      <w:r w:rsidRPr="00F31A0E">
        <w:rPr>
          <w:rFonts w:ascii="Verdana" w:hAnsi="Verdana"/>
          <w:sz w:val="24"/>
          <w:szCs w:val="24"/>
        </w:rPr>
        <w:t xml:space="preserve">onductas por parte de la </w:t>
      </w:r>
      <w:r w:rsidR="0060245B" w:rsidRPr="00F31A0E">
        <w:rPr>
          <w:rFonts w:ascii="Verdana" w:hAnsi="Verdana"/>
          <w:sz w:val="24"/>
          <w:szCs w:val="24"/>
        </w:rPr>
        <w:t>j</w:t>
      </w:r>
      <w:r w:rsidRPr="00F31A0E">
        <w:rPr>
          <w:rFonts w:ascii="Verdana" w:hAnsi="Verdana"/>
          <w:sz w:val="24"/>
          <w:szCs w:val="24"/>
        </w:rPr>
        <w:t xml:space="preserve">unta </w:t>
      </w:r>
      <w:r w:rsidR="0060245B" w:rsidRPr="00F31A0E">
        <w:rPr>
          <w:rFonts w:ascii="Verdana" w:hAnsi="Verdana"/>
          <w:sz w:val="24"/>
          <w:szCs w:val="24"/>
        </w:rPr>
        <w:t>d</w:t>
      </w:r>
      <w:r w:rsidRPr="00F31A0E">
        <w:rPr>
          <w:rFonts w:ascii="Verdana" w:hAnsi="Verdana"/>
          <w:sz w:val="24"/>
          <w:szCs w:val="24"/>
        </w:rPr>
        <w:t>irectiva.</w:t>
      </w:r>
    </w:p>
    <w:p w14:paraId="4CF64BAB" w14:textId="77777777" w:rsidR="0060245B" w:rsidRPr="00F31A0E" w:rsidRDefault="0060245B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7CFBD7B8" w14:textId="425B6BC3" w:rsidR="0060245B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Designación de los responsables del sistema de gestión del riesgo de conductas.</w:t>
      </w:r>
    </w:p>
    <w:p w14:paraId="674E2BE8" w14:textId="77777777" w:rsidR="0060245B" w:rsidRPr="00F31A0E" w:rsidRDefault="0060245B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5ABD7A3E" w14:textId="6FEDECA8" w:rsidR="00280D68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Incorporación inicial de los principios rectores y factores generadores del riesgo</w:t>
      </w:r>
      <w:r w:rsidR="00F53EB7" w:rsidRPr="00F31A0E">
        <w:rPr>
          <w:rFonts w:ascii="Verdana" w:hAnsi="Verdana"/>
          <w:sz w:val="24"/>
          <w:szCs w:val="24"/>
        </w:rPr>
        <w:t xml:space="preserve"> de conductas</w:t>
      </w:r>
      <w:r w:rsidRPr="00F31A0E">
        <w:rPr>
          <w:rFonts w:ascii="Verdana" w:hAnsi="Verdana"/>
          <w:sz w:val="24"/>
          <w:szCs w:val="24"/>
        </w:rPr>
        <w:t xml:space="preserve"> en los manuales internos.</w:t>
      </w:r>
    </w:p>
    <w:p w14:paraId="32077384" w14:textId="3CA175A1" w:rsidR="00280D68" w:rsidRPr="00F31A0E" w:rsidRDefault="001872B7" w:rsidP="00721C8A">
      <w:pPr>
        <w:jc w:val="both"/>
        <w:rPr>
          <w:rFonts w:ascii="Verdana" w:hAnsi="Verdana"/>
          <w:b/>
          <w:bCs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.2. Dentro de los 12 meses</w:t>
      </w:r>
      <w:r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6F3676E9" w14:textId="372B6A19" w:rsidR="001872B7" w:rsidRPr="00F31A0E" w:rsidRDefault="001872B7" w:rsidP="00721C8A">
      <w:pPr>
        <w:jc w:val="both"/>
        <w:rPr>
          <w:rFonts w:ascii="Verdana" w:hAnsi="Verdana"/>
          <w:lang w:val="es-CO"/>
        </w:rPr>
      </w:pPr>
    </w:p>
    <w:p w14:paraId="098EC6CB" w14:textId="371300A3" w:rsidR="00C45FE6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Desarrollo e implementación de los procedimientos de identificación, evaluación, control y monitoreo</w:t>
      </w:r>
      <w:r w:rsidR="007930D6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>.</w:t>
      </w:r>
    </w:p>
    <w:p w14:paraId="46BD3D86" w14:textId="77777777" w:rsidR="00C45FE6" w:rsidRPr="00F31A0E" w:rsidRDefault="00C45FE6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43202CFB" w14:textId="5F967F83" w:rsidR="00C45FE6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Inclusión del riesgo de conductas dentro del Marco de Apetito de Riesgo (MAR) y del sistema de control interno.</w:t>
      </w:r>
    </w:p>
    <w:p w14:paraId="7122E8A8" w14:textId="77777777" w:rsidR="00C45FE6" w:rsidRPr="00F31A0E" w:rsidRDefault="00C45FE6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121E4BB7" w14:textId="2BA6A22D" w:rsidR="00280D68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Formación y capacitación del personal involucrado.</w:t>
      </w:r>
    </w:p>
    <w:p w14:paraId="2F4B639A" w14:textId="63B2912A" w:rsidR="00280D68" w:rsidRPr="00F31A0E" w:rsidRDefault="00C45FE6" w:rsidP="00721C8A">
      <w:pPr>
        <w:jc w:val="both"/>
        <w:rPr>
          <w:rFonts w:ascii="Verdana" w:hAnsi="Verdana"/>
          <w:b/>
          <w:bCs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.3. Dentro de los dieciocho 18 meses</w:t>
      </w:r>
      <w:r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33224520" w14:textId="77777777" w:rsidR="006A70AA" w:rsidRPr="002D3DC8" w:rsidRDefault="006A70AA" w:rsidP="00721C8A">
      <w:pPr>
        <w:jc w:val="both"/>
        <w:rPr>
          <w:rFonts w:ascii="Verdana" w:hAnsi="Verdana"/>
          <w:sz w:val="20"/>
          <w:szCs w:val="20"/>
          <w:lang w:val="es-CO"/>
        </w:rPr>
      </w:pPr>
    </w:p>
    <w:p w14:paraId="0AF4D641" w14:textId="22D0C63B" w:rsidR="00C45FE6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Implementación plena del sistema de información y generación de reportes periódicos</w:t>
      </w:r>
      <w:r w:rsidR="00ED78BD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>.</w:t>
      </w:r>
    </w:p>
    <w:p w14:paraId="3E405B29" w14:textId="77777777" w:rsidR="00C45FE6" w:rsidRPr="002D3DC8" w:rsidRDefault="00C45FE6" w:rsidP="00EB7E67">
      <w:pPr>
        <w:pStyle w:val="Prrafodelista"/>
        <w:ind w:left="567"/>
        <w:jc w:val="both"/>
        <w:rPr>
          <w:rFonts w:ascii="Verdana" w:hAnsi="Verdana"/>
          <w:sz w:val="20"/>
          <w:szCs w:val="20"/>
        </w:rPr>
      </w:pPr>
    </w:p>
    <w:p w14:paraId="2494AC7E" w14:textId="3D781DB1" w:rsidR="00C45FE6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Consolidación de indicadores de gestión</w:t>
      </w:r>
      <w:r w:rsidR="00DC1BD7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 xml:space="preserve"> y mecanismos de mejora continua.</w:t>
      </w:r>
    </w:p>
    <w:p w14:paraId="787713E6" w14:textId="77777777" w:rsidR="00C45FE6" w:rsidRPr="002D3DC8" w:rsidRDefault="00C45FE6" w:rsidP="00EB7E67">
      <w:pPr>
        <w:pStyle w:val="Prrafodelista"/>
        <w:ind w:left="567"/>
        <w:jc w:val="both"/>
        <w:rPr>
          <w:rFonts w:ascii="Verdana" w:hAnsi="Verdana"/>
          <w:sz w:val="20"/>
          <w:szCs w:val="20"/>
        </w:rPr>
      </w:pPr>
    </w:p>
    <w:p w14:paraId="53444685" w14:textId="3891BB18" w:rsidR="002A2BFB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Inclusión del riesgo de conductas en el reporte integrado a la Superintendencia Financiera de Colombia.</w:t>
      </w:r>
    </w:p>
    <w:p w14:paraId="1455F469" w14:textId="77777777" w:rsidR="00721C8A" w:rsidRPr="002D3DC8" w:rsidRDefault="00721C8A" w:rsidP="00721C8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  <w:highlight w:val="yellow"/>
        </w:rPr>
      </w:pPr>
    </w:p>
    <w:p w14:paraId="27CD78AB" w14:textId="49C36BBF" w:rsidR="00EE283A" w:rsidRPr="00F31A0E" w:rsidRDefault="00EE644F" w:rsidP="00E1715E">
      <w:pPr>
        <w:jc w:val="both"/>
        <w:rPr>
          <w:rFonts w:ascii="Verdana" w:hAnsi="Verdana"/>
          <w:lang w:val="es-CO"/>
        </w:rPr>
      </w:pPr>
      <w:r w:rsidRPr="00F31A0E">
        <w:rPr>
          <w:rFonts w:ascii="Verdana" w:hAnsi="Verdana" w:cs="Arial"/>
          <w:b/>
        </w:rPr>
        <w:t>CUARTA</w:t>
      </w:r>
      <w:r w:rsidR="002A2BFB" w:rsidRPr="00F31A0E">
        <w:rPr>
          <w:rFonts w:ascii="Verdana" w:hAnsi="Verdana" w:cs="Arial"/>
          <w:b/>
        </w:rPr>
        <w:t>:</w:t>
      </w:r>
      <w:r w:rsidR="004427CB" w:rsidRPr="00F31A0E">
        <w:rPr>
          <w:rFonts w:ascii="Verdana" w:hAnsi="Verdana" w:cs="Arial"/>
          <w:b/>
        </w:rPr>
        <w:t xml:space="preserve"> </w:t>
      </w:r>
      <w:r w:rsidR="002A2BFB" w:rsidRPr="00F31A0E">
        <w:rPr>
          <w:rFonts w:ascii="Verdana" w:hAnsi="Verdana" w:cs="Arial"/>
          <w:b/>
        </w:rPr>
        <w:t xml:space="preserve">VIGENCIA. </w:t>
      </w:r>
      <w:r w:rsidR="00EE283A" w:rsidRPr="00F31A0E">
        <w:rPr>
          <w:rFonts w:ascii="Verdana" w:hAnsi="Verdana"/>
          <w:lang w:val="es-CO"/>
        </w:rPr>
        <w:t xml:space="preserve">La presente </w:t>
      </w:r>
      <w:r w:rsidR="00C45FE6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>ircular entra en vigencia a partir de su publicación, sin perjuicio de los plazos establecidos en el régimen de transición</w:t>
      </w:r>
      <w:r w:rsidR="00C45FE6" w:rsidRPr="00F31A0E">
        <w:rPr>
          <w:rFonts w:ascii="Verdana" w:hAnsi="Verdana"/>
          <w:lang w:val="es-CO"/>
        </w:rPr>
        <w:t xml:space="preserve"> de la instrucción tercera</w:t>
      </w:r>
      <w:r w:rsidR="00EE283A" w:rsidRPr="00F31A0E">
        <w:rPr>
          <w:rFonts w:ascii="Verdana" w:hAnsi="Verdana"/>
          <w:lang w:val="es-CO"/>
        </w:rPr>
        <w:t>.</w:t>
      </w:r>
    </w:p>
    <w:p w14:paraId="55D1EFC1" w14:textId="25B835E7" w:rsidR="002A2BFB" w:rsidRPr="002D3DC8" w:rsidRDefault="002A2BFB" w:rsidP="00BF4D4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7CF20EB7" w14:textId="67470549" w:rsidR="00BF4D4C" w:rsidRPr="00F31A0E" w:rsidRDefault="004427CB" w:rsidP="00BF4D4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Cs/>
        </w:rPr>
        <w:t xml:space="preserve">Se adjunta </w:t>
      </w:r>
      <w:r w:rsidR="00DA26F6">
        <w:rPr>
          <w:rFonts w:ascii="Verdana" w:hAnsi="Verdana" w:cs="Arial"/>
          <w:bCs/>
        </w:rPr>
        <w:t>el</w:t>
      </w:r>
      <w:r w:rsidRPr="00F31A0E">
        <w:rPr>
          <w:rFonts w:ascii="Verdana" w:hAnsi="Verdana" w:cs="Arial"/>
          <w:bCs/>
        </w:rPr>
        <w:t xml:space="preserve"> anexo correspondiente. </w:t>
      </w:r>
    </w:p>
    <w:p w14:paraId="3D391BD6" w14:textId="77777777" w:rsidR="00E67EEA" w:rsidRPr="002D3DC8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EDBC87" w14:textId="77777777" w:rsidR="00E67EEA" w:rsidRPr="002D3DC8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5667471" w14:textId="7266B7E9" w:rsidR="00E67EEA" w:rsidRPr="00F31A0E" w:rsidRDefault="0007371A" w:rsidP="00E67EEA">
      <w:pPr>
        <w:widowControl w:val="0"/>
        <w:adjustRightInd w:val="0"/>
        <w:outlineLvl w:val="0"/>
        <w:rPr>
          <w:rFonts w:ascii="Verdana" w:hAnsi="Verdana" w:cs="Arial"/>
          <w:b/>
          <w:bCs/>
          <w:lang w:val="pt-BR" w:eastAsia="es-CO"/>
        </w:rPr>
      </w:pPr>
      <w:r w:rsidRPr="00F31A0E">
        <w:rPr>
          <w:rFonts w:ascii="Verdana" w:hAnsi="Verdana" w:cs="Arial"/>
          <w:b/>
          <w:bCs/>
          <w:lang w:val="pt-BR" w:eastAsia="es-CO"/>
        </w:rPr>
        <w:t>CÉSAR FER</w:t>
      </w:r>
      <w:r w:rsidR="0000340F" w:rsidRPr="00F31A0E">
        <w:rPr>
          <w:rFonts w:ascii="Verdana" w:hAnsi="Verdana" w:cs="Arial"/>
          <w:b/>
          <w:bCs/>
          <w:lang w:val="pt-BR" w:eastAsia="es-CO"/>
        </w:rPr>
        <w:t>R</w:t>
      </w:r>
      <w:r w:rsidRPr="00F31A0E">
        <w:rPr>
          <w:rFonts w:ascii="Verdana" w:hAnsi="Verdana" w:cs="Arial"/>
          <w:b/>
          <w:bCs/>
          <w:lang w:val="pt-BR" w:eastAsia="es-CO"/>
        </w:rPr>
        <w:t xml:space="preserve">ARI </w:t>
      </w:r>
      <w:r w:rsidR="0075700F" w:rsidRPr="00F31A0E">
        <w:rPr>
          <w:rFonts w:ascii="Verdana" w:hAnsi="Verdana" w:cs="Arial"/>
          <w:b/>
          <w:bCs/>
          <w:lang w:val="pt-BR" w:eastAsia="es-CO"/>
        </w:rPr>
        <w:t>Ph.D.</w:t>
      </w:r>
    </w:p>
    <w:p w14:paraId="468DCE05" w14:textId="77777777" w:rsidR="00E67EEA" w:rsidRPr="00F31A0E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F31A0E">
        <w:rPr>
          <w:rFonts w:ascii="Verdana" w:hAnsi="Verdana" w:cs="Arial"/>
        </w:rPr>
        <w:t xml:space="preserve">Superintendente Financiero de Colombia </w:t>
      </w:r>
    </w:p>
    <w:p w14:paraId="49256DC8" w14:textId="102128A4" w:rsidR="00E67EEA" w:rsidRPr="00F31A0E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</w:rPr>
      </w:pPr>
      <w:r w:rsidRPr="00F31A0E">
        <w:rPr>
          <w:rFonts w:ascii="Verdana" w:hAnsi="Verdana" w:cs="Arial"/>
          <w:color w:val="808080"/>
        </w:rPr>
        <w:t>50000</w:t>
      </w:r>
    </w:p>
    <w:p w14:paraId="7FEA38C4" w14:textId="77777777" w:rsidR="0007371A" w:rsidRPr="002C030A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33330F9F" w14:textId="77777777" w:rsidR="00E1351F" w:rsidRDefault="00E1351F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1A497082" w14:textId="77777777" w:rsidR="00A22D9B" w:rsidRPr="002C030A" w:rsidRDefault="00A22D9B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717524E3" w14:textId="6512AD61" w:rsidR="0007371A" w:rsidRPr="002D3DC8" w:rsidRDefault="0007371A" w:rsidP="0075700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t>Elaboró:</w:t>
      </w:r>
      <w:r w:rsidR="0023362F" w:rsidRPr="002D3DC8">
        <w:rPr>
          <w:rFonts w:ascii="Verdana" w:hAnsi="Verdana" w:cs="Arial"/>
          <w:color w:val="808080"/>
          <w:sz w:val="16"/>
          <w:szCs w:val="16"/>
        </w:rPr>
        <w:t xml:space="preserve"> </w:t>
      </w:r>
      <w:r w:rsidR="00DA10C5" w:rsidRPr="002D3DC8">
        <w:rPr>
          <w:rFonts w:ascii="Verdana" w:hAnsi="Verdana" w:cs="Arial"/>
          <w:color w:val="808080"/>
          <w:sz w:val="16"/>
          <w:szCs w:val="16"/>
        </w:rPr>
        <w:t>Santiago Jordán y Carlos Ignacio Bolaños</w:t>
      </w:r>
    </w:p>
    <w:p w14:paraId="49EE3610" w14:textId="69096B08" w:rsidR="00875B5F" w:rsidRPr="002D3DC8" w:rsidRDefault="00875B5F" w:rsidP="0075700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lastRenderedPageBreak/>
        <w:t>Revis</w:t>
      </w:r>
      <w:r w:rsidR="00B1367F" w:rsidRPr="002D3DC8">
        <w:rPr>
          <w:rFonts w:ascii="Verdana" w:hAnsi="Verdana" w:cs="Arial"/>
          <w:color w:val="808080"/>
          <w:sz w:val="16"/>
          <w:szCs w:val="16"/>
        </w:rPr>
        <w:t>ó</w:t>
      </w:r>
      <w:r w:rsidRPr="002D3DC8">
        <w:rPr>
          <w:rFonts w:ascii="Verdana" w:hAnsi="Verdana" w:cs="Arial"/>
          <w:color w:val="808080"/>
          <w:sz w:val="16"/>
          <w:szCs w:val="16"/>
        </w:rPr>
        <w:t xml:space="preserve">: </w:t>
      </w:r>
      <w:r w:rsidR="00C45FE6" w:rsidRPr="002D3DC8">
        <w:rPr>
          <w:rFonts w:ascii="Verdana" w:hAnsi="Verdana" w:cs="Arial"/>
          <w:color w:val="808080"/>
          <w:sz w:val="16"/>
          <w:szCs w:val="16"/>
        </w:rPr>
        <w:t xml:space="preserve">Sebastián Durán </w:t>
      </w:r>
    </w:p>
    <w:p w14:paraId="3BF174F0" w14:textId="6213FACB" w:rsidR="00E67EEA" w:rsidRPr="002D3DC8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t xml:space="preserve">Aprobó: </w:t>
      </w:r>
      <w:r w:rsidR="00DA10C5" w:rsidRPr="002D3DC8">
        <w:rPr>
          <w:rFonts w:ascii="Verdana" w:hAnsi="Verdana" w:cs="Arial"/>
          <w:color w:val="808080"/>
          <w:sz w:val="16"/>
          <w:szCs w:val="16"/>
        </w:rPr>
        <w:t>Francisco Duque</w:t>
      </w:r>
    </w:p>
    <w:p w14:paraId="0C81ACBF" w14:textId="77777777" w:rsidR="00EF79EA" w:rsidRPr="002D3DC8" w:rsidRDefault="00EF79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</w:p>
    <w:p w14:paraId="69BE0D68" w14:textId="77777777" w:rsidR="00EF79EA" w:rsidRPr="00F31A0E" w:rsidRDefault="00EF79EA" w:rsidP="00EF79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</w:rPr>
      </w:pPr>
    </w:p>
    <w:p w14:paraId="2D0CA503" w14:textId="4DB1D5FB" w:rsidR="008F0D79" w:rsidRPr="00F31A0E" w:rsidRDefault="008F0D79" w:rsidP="00E67EEA">
      <w:pPr>
        <w:rPr>
          <w:rFonts w:ascii="Verdana" w:hAnsi="Verdana"/>
        </w:rPr>
      </w:pPr>
    </w:p>
    <w:sectPr w:rsidR="008F0D79" w:rsidRPr="00F31A0E" w:rsidSect="00617698">
      <w:headerReference w:type="default" r:id="rId12"/>
      <w:footerReference w:type="default" r:id="rId13"/>
      <w:pgSz w:w="12240" w:h="18720" w:code="14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AA3A" w14:textId="77777777" w:rsidR="00C8669D" w:rsidRDefault="00C8669D" w:rsidP="00757B36">
      <w:r>
        <w:separator/>
      </w:r>
    </w:p>
  </w:endnote>
  <w:endnote w:type="continuationSeparator" w:id="0">
    <w:p w14:paraId="251DCF95" w14:textId="77777777" w:rsidR="00C8669D" w:rsidRDefault="00C8669D" w:rsidP="00757B36">
      <w:r>
        <w:continuationSeparator/>
      </w:r>
    </w:p>
  </w:endnote>
  <w:endnote w:type="continuationNotice" w:id="1">
    <w:p w14:paraId="41FF7406" w14:textId="77777777" w:rsidR="00C8669D" w:rsidRDefault="00C86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0A51710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0A51710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4AE7" w14:textId="77777777" w:rsidR="00C8669D" w:rsidRDefault="00C8669D" w:rsidP="00757B36">
      <w:r>
        <w:separator/>
      </w:r>
    </w:p>
  </w:footnote>
  <w:footnote w:type="continuationSeparator" w:id="0">
    <w:p w14:paraId="1AD5583F" w14:textId="77777777" w:rsidR="00C8669D" w:rsidRDefault="00C8669D" w:rsidP="00757B36">
      <w:r>
        <w:continuationSeparator/>
      </w:r>
    </w:p>
  </w:footnote>
  <w:footnote w:type="continuationNotice" w:id="1">
    <w:p w14:paraId="78569DAD" w14:textId="77777777" w:rsidR="00C8669D" w:rsidRDefault="00C86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7034"/>
    <w:multiLevelType w:val="hybridMultilevel"/>
    <w:tmpl w:val="0EECD2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57749"/>
    <w:multiLevelType w:val="hybridMultilevel"/>
    <w:tmpl w:val="0238944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46469"/>
    <w:multiLevelType w:val="hybridMultilevel"/>
    <w:tmpl w:val="9604AB1A"/>
    <w:lvl w:ilvl="0" w:tplc="E71C9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315D"/>
    <w:multiLevelType w:val="hybridMultilevel"/>
    <w:tmpl w:val="DB0E27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27A"/>
    <w:multiLevelType w:val="hybridMultilevel"/>
    <w:tmpl w:val="2A4637A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3107">
    <w:abstractNumId w:val="0"/>
  </w:num>
  <w:num w:numId="2" w16cid:durableId="1486891797">
    <w:abstractNumId w:val="3"/>
  </w:num>
  <w:num w:numId="3" w16cid:durableId="1832136406">
    <w:abstractNumId w:val="1"/>
  </w:num>
  <w:num w:numId="4" w16cid:durableId="156574933">
    <w:abstractNumId w:val="2"/>
  </w:num>
  <w:num w:numId="5" w16cid:durableId="1881241937">
    <w:abstractNumId w:val="4"/>
  </w:num>
  <w:num w:numId="6" w16cid:durableId="1704819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2B18"/>
    <w:rsid w:val="0000340F"/>
    <w:rsid w:val="000128F8"/>
    <w:rsid w:val="00013973"/>
    <w:rsid w:val="000140E2"/>
    <w:rsid w:val="0001510B"/>
    <w:rsid w:val="0001521E"/>
    <w:rsid w:val="0001792D"/>
    <w:rsid w:val="00020859"/>
    <w:rsid w:val="00021A0C"/>
    <w:rsid w:val="00027AAB"/>
    <w:rsid w:val="00033920"/>
    <w:rsid w:val="000344D0"/>
    <w:rsid w:val="00037CB3"/>
    <w:rsid w:val="000425F0"/>
    <w:rsid w:val="0004610B"/>
    <w:rsid w:val="00056576"/>
    <w:rsid w:val="00056D13"/>
    <w:rsid w:val="00057550"/>
    <w:rsid w:val="00057636"/>
    <w:rsid w:val="00063A18"/>
    <w:rsid w:val="00064925"/>
    <w:rsid w:val="0006494A"/>
    <w:rsid w:val="00071CC2"/>
    <w:rsid w:val="0007371A"/>
    <w:rsid w:val="00076A69"/>
    <w:rsid w:val="00090147"/>
    <w:rsid w:val="000960C3"/>
    <w:rsid w:val="0009641F"/>
    <w:rsid w:val="000A44BC"/>
    <w:rsid w:val="000A66BA"/>
    <w:rsid w:val="000C1D6C"/>
    <w:rsid w:val="000C45D1"/>
    <w:rsid w:val="000E394C"/>
    <w:rsid w:val="000E5884"/>
    <w:rsid w:val="000F57CD"/>
    <w:rsid w:val="000F7715"/>
    <w:rsid w:val="00110B1B"/>
    <w:rsid w:val="00117042"/>
    <w:rsid w:val="00124D87"/>
    <w:rsid w:val="00136143"/>
    <w:rsid w:val="00136EE8"/>
    <w:rsid w:val="0014287E"/>
    <w:rsid w:val="00154ECA"/>
    <w:rsid w:val="00155AB7"/>
    <w:rsid w:val="00156542"/>
    <w:rsid w:val="0015689E"/>
    <w:rsid w:val="00160630"/>
    <w:rsid w:val="00163992"/>
    <w:rsid w:val="001659ED"/>
    <w:rsid w:val="001678A8"/>
    <w:rsid w:val="0017704C"/>
    <w:rsid w:val="001808E0"/>
    <w:rsid w:val="00180C3F"/>
    <w:rsid w:val="00187017"/>
    <w:rsid w:val="001872B7"/>
    <w:rsid w:val="0019449F"/>
    <w:rsid w:val="001A5EF5"/>
    <w:rsid w:val="001A7F20"/>
    <w:rsid w:val="001B728F"/>
    <w:rsid w:val="001D0005"/>
    <w:rsid w:val="001D0A3F"/>
    <w:rsid w:val="001D4AD7"/>
    <w:rsid w:val="001E4D4D"/>
    <w:rsid w:val="001E63C1"/>
    <w:rsid w:val="001E6586"/>
    <w:rsid w:val="001F2C02"/>
    <w:rsid w:val="001F6889"/>
    <w:rsid w:val="002007C3"/>
    <w:rsid w:val="00205AE5"/>
    <w:rsid w:val="00205F09"/>
    <w:rsid w:val="0021153E"/>
    <w:rsid w:val="002119DB"/>
    <w:rsid w:val="00211EEF"/>
    <w:rsid w:val="00220FC5"/>
    <w:rsid w:val="00231DE5"/>
    <w:rsid w:val="00233590"/>
    <w:rsid w:val="0023362F"/>
    <w:rsid w:val="002503E5"/>
    <w:rsid w:val="00255542"/>
    <w:rsid w:val="00256928"/>
    <w:rsid w:val="00261914"/>
    <w:rsid w:val="00262584"/>
    <w:rsid w:val="002655C2"/>
    <w:rsid w:val="00266793"/>
    <w:rsid w:val="00280D68"/>
    <w:rsid w:val="00284759"/>
    <w:rsid w:val="00290BE0"/>
    <w:rsid w:val="00290C1B"/>
    <w:rsid w:val="002A205A"/>
    <w:rsid w:val="002A2BFB"/>
    <w:rsid w:val="002A522E"/>
    <w:rsid w:val="002A6AC7"/>
    <w:rsid w:val="002A7889"/>
    <w:rsid w:val="002B101B"/>
    <w:rsid w:val="002B3FCD"/>
    <w:rsid w:val="002C030A"/>
    <w:rsid w:val="002C382C"/>
    <w:rsid w:val="002C57E4"/>
    <w:rsid w:val="002C7BD3"/>
    <w:rsid w:val="002D1F63"/>
    <w:rsid w:val="002D3DC8"/>
    <w:rsid w:val="002E0E03"/>
    <w:rsid w:val="002E74DB"/>
    <w:rsid w:val="002F18F8"/>
    <w:rsid w:val="003002B4"/>
    <w:rsid w:val="0030489C"/>
    <w:rsid w:val="00311A6B"/>
    <w:rsid w:val="00314DB5"/>
    <w:rsid w:val="0032033C"/>
    <w:rsid w:val="00324765"/>
    <w:rsid w:val="003324C9"/>
    <w:rsid w:val="00342025"/>
    <w:rsid w:val="00353CFC"/>
    <w:rsid w:val="0035656B"/>
    <w:rsid w:val="00357740"/>
    <w:rsid w:val="003607D7"/>
    <w:rsid w:val="00361DBB"/>
    <w:rsid w:val="003639EE"/>
    <w:rsid w:val="0037202C"/>
    <w:rsid w:val="0037479C"/>
    <w:rsid w:val="003754D2"/>
    <w:rsid w:val="00380032"/>
    <w:rsid w:val="0038263F"/>
    <w:rsid w:val="003837DE"/>
    <w:rsid w:val="0039087D"/>
    <w:rsid w:val="00390DF6"/>
    <w:rsid w:val="00391EB3"/>
    <w:rsid w:val="0039663D"/>
    <w:rsid w:val="003A7EEC"/>
    <w:rsid w:val="003B5972"/>
    <w:rsid w:val="003C2DE3"/>
    <w:rsid w:val="003C5E43"/>
    <w:rsid w:val="003C7949"/>
    <w:rsid w:val="003E2F2C"/>
    <w:rsid w:val="003F5D42"/>
    <w:rsid w:val="00401056"/>
    <w:rsid w:val="00401CEC"/>
    <w:rsid w:val="00410F2F"/>
    <w:rsid w:val="0041561E"/>
    <w:rsid w:val="00420101"/>
    <w:rsid w:val="004303D9"/>
    <w:rsid w:val="00436E05"/>
    <w:rsid w:val="004406CC"/>
    <w:rsid w:val="004417A2"/>
    <w:rsid w:val="004427CB"/>
    <w:rsid w:val="0044329C"/>
    <w:rsid w:val="00443BFA"/>
    <w:rsid w:val="00445FF8"/>
    <w:rsid w:val="004525F2"/>
    <w:rsid w:val="00452F30"/>
    <w:rsid w:val="00465DF5"/>
    <w:rsid w:val="004835C7"/>
    <w:rsid w:val="0048538A"/>
    <w:rsid w:val="00490493"/>
    <w:rsid w:val="00491344"/>
    <w:rsid w:val="00492B73"/>
    <w:rsid w:val="00494BD7"/>
    <w:rsid w:val="00496E9E"/>
    <w:rsid w:val="004A7C8C"/>
    <w:rsid w:val="004B5F2B"/>
    <w:rsid w:val="004B6873"/>
    <w:rsid w:val="004C0152"/>
    <w:rsid w:val="004C05AD"/>
    <w:rsid w:val="004C526D"/>
    <w:rsid w:val="004D70D6"/>
    <w:rsid w:val="004E0B4A"/>
    <w:rsid w:val="004E2BDD"/>
    <w:rsid w:val="004E5DB9"/>
    <w:rsid w:val="004F143C"/>
    <w:rsid w:val="00507CA8"/>
    <w:rsid w:val="00507EA3"/>
    <w:rsid w:val="00512987"/>
    <w:rsid w:val="00521E72"/>
    <w:rsid w:val="00527C9F"/>
    <w:rsid w:val="00543563"/>
    <w:rsid w:val="00551348"/>
    <w:rsid w:val="00551532"/>
    <w:rsid w:val="005530EE"/>
    <w:rsid w:val="005541C2"/>
    <w:rsid w:val="005615F3"/>
    <w:rsid w:val="0056313D"/>
    <w:rsid w:val="00563220"/>
    <w:rsid w:val="00574FCA"/>
    <w:rsid w:val="00585CD5"/>
    <w:rsid w:val="00586823"/>
    <w:rsid w:val="005A3DC1"/>
    <w:rsid w:val="005A472B"/>
    <w:rsid w:val="005A5FB8"/>
    <w:rsid w:val="005A6F2A"/>
    <w:rsid w:val="005B54BC"/>
    <w:rsid w:val="005B58EF"/>
    <w:rsid w:val="005D3AEE"/>
    <w:rsid w:val="005D6854"/>
    <w:rsid w:val="005D7E1B"/>
    <w:rsid w:val="005E118A"/>
    <w:rsid w:val="005E1AD9"/>
    <w:rsid w:val="005E7FE2"/>
    <w:rsid w:val="005F6B2E"/>
    <w:rsid w:val="0060245B"/>
    <w:rsid w:val="00603058"/>
    <w:rsid w:val="00606B5D"/>
    <w:rsid w:val="006101AB"/>
    <w:rsid w:val="00615E6C"/>
    <w:rsid w:val="00617535"/>
    <w:rsid w:val="00617698"/>
    <w:rsid w:val="006202ED"/>
    <w:rsid w:val="006219C2"/>
    <w:rsid w:val="006368E8"/>
    <w:rsid w:val="00640246"/>
    <w:rsid w:val="0064072F"/>
    <w:rsid w:val="00642E90"/>
    <w:rsid w:val="0065118C"/>
    <w:rsid w:val="00654C30"/>
    <w:rsid w:val="00660BD9"/>
    <w:rsid w:val="006633B6"/>
    <w:rsid w:val="00670BE8"/>
    <w:rsid w:val="006A649C"/>
    <w:rsid w:val="006A70AA"/>
    <w:rsid w:val="006B2159"/>
    <w:rsid w:val="006B3517"/>
    <w:rsid w:val="006B37BB"/>
    <w:rsid w:val="006C037C"/>
    <w:rsid w:val="006E198B"/>
    <w:rsid w:val="006E1FA0"/>
    <w:rsid w:val="006E3AFB"/>
    <w:rsid w:val="006E77C6"/>
    <w:rsid w:val="006F7D8B"/>
    <w:rsid w:val="00704C15"/>
    <w:rsid w:val="00705E13"/>
    <w:rsid w:val="00705F62"/>
    <w:rsid w:val="0071677F"/>
    <w:rsid w:val="00720C77"/>
    <w:rsid w:val="00721C8A"/>
    <w:rsid w:val="007510E5"/>
    <w:rsid w:val="0075700F"/>
    <w:rsid w:val="00757B36"/>
    <w:rsid w:val="00763B23"/>
    <w:rsid w:val="00767F99"/>
    <w:rsid w:val="00773609"/>
    <w:rsid w:val="007859A5"/>
    <w:rsid w:val="007930D6"/>
    <w:rsid w:val="00793DC6"/>
    <w:rsid w:val="00796EFC"/>
    <w:rsid w:val="007A1C8F"/>
    <w:rsid w:val="007A509A"/>
    <w:rsid w:val="007A7D31"/>
    <w:rsid w:val="007B13A1"/>
    <w:rsid w:val="007B1D08"/>
    <w:rsid w:val="007B4287"/>
    <w:rsid w:val="007B79CA"/>
    <w:rsid w:val="007C2157"/>
    <w:rsid w:val="007C24B0"/>
    <w:rsid w:val="007D445B"/>
    <w:rsid w:val="007D48E8"/>
    <w:rsid w:val="007E0CC4"/>
    <w:rsid w:val="007E71E3"/>
    <w:rsid w:val="007F1B73"/>
    <w:rsid w:val="007F39B3"/>
    <w:rsid w:val="0080095D"/>
    <w:rsid w:val="0080321D"/>
    <w:rsid w:val="008059EF"/>
    <w:rsid w:val="008228B3"/>
    <w:rsid w:val="00831AC1"/>
    <w:rsid w:val="00834625"/>
    <w:rsid w:val="00836C0D"/>
    <w:rsid w:val="00841E3D"/>
    <w:rsid w:val="00845850"/>
    <w:rsid w:val="0085043E"/>
    <w:rsid w:val="00865616"/>
    <w:rsid w:val="0086734C"/>
    <w:rsid w:val="00871ED8"/>
    <w:rsid w:val="0087507B"/>
    <w:rsid w:val="00875B5F"/>
    <w:rsid w:val="00881819"/>
    <w:rsid w:val="00882ED6"/>
    <w:rsid w:val="0088434D"/>
    <w:rsid w:val="00890070"/>
    <w:rsid w:val="00894991"/>
    <w:rsid w:val="008A1F1E"/>
    <w:rsid w:val="008A292C"/>
    <w:rsid w:val="008B12E8"/>
    <w:rsid w:val="008B4A1E"/>
    <w:rsid w:val="008C2776"/>
    <w:rsid w:val="008D5F1C"/>
    <w:rsid w:val="008D6E57"/>
    <w:rsid w:val="008E3E43"/>
    <w:rsid w:val="008F0D79"/>
    <w:rsid w:val="008F7C4B"/>
    <w:rsid w:val="00910444"/>
    <w:rsid w:val="0091122F"/>
    <w:rsid w:val="009245CA"/>
    <w:rsid w:val="00932018"/>
    <w:rsid w:val="009370F0"/>
    <w:rsid w:val="00951055"/>
    <w:rsid w:val="00951D46"/>
    <w:rsid w:val="00952900"/>
    <w:rsid w:val="00955279"/>
    <w:rsid w:val="00964B54"/>
    <w:rsid w:val="009722E7"/>
    <w:rsid w:val="009803E9"/>
    <w:rsid w:val="00981096"/>
    <w:rsid w:val="00990C02"/>
    <w:rsid w:val="00997837"/>
    <w:rsid w:val="009A1402"/>
    <w:rsid w:val="009A44CF"/>
    <w:rsid w:val="009A499B"/>
    <w:rsid w:val="009A799C"/>
    <w:rsid w:val="009C1728"/>
    <w:rsid w:val="009C7D9D"/>
    <w:rsid w:val="009D0E7F"/>
    <w:rsid w:val="009E55A2"/>
    <w:rsid w:val="009F1197"/>
    <w:rsid w:val="009F34BC"/>
    <w:rsid w:val="009F5526"/>
    <w:rsid w:val="00A02AB3"/>
    <w:rsid w:val="00A14F79"/>
    <w:rsid w:val="00A1693A"/>
    <w:rsid w:val="00A22D9B"/>
    <w:rsid w:val="00A235AA"/>
    <w:rsid w:val="00A3776D"/>
    <w:rsid w:val="00A60736"/>
    <w:rsid w:val="00A619EB"/>
    <w:rsid w:val="00A64B84"/>
    <w:rsid w:val="00A6539F"/>
    <w:rsid w:val="00A73708"/>
    <w:rsid w:val="00A8065A"/>
    <w:rsid w:val="00A80951"/>
    <w:rsid w:val="00A82328"/>
    <w:rsid w:val="00A84371"/>
    <w:rsid w:val="00A90245"/>
    <w:rsid w:val="00A96373"/>
    <w:rsid w:val="00AA2538"/>
    <w:rsid w:val="00AA33F8"/>
    <w:rsid w:val="00AA5DF5"/>
    <w:rsid w:val="00AB4547"/>
    <w:rsid w:val="00AC3987"/>
    <w:rsid w:val="00AC51BA"/>
    <w:rsid w:val="00AC7FDE"/>
    <w:rsid w:val="00AD2FC5"/>
    <w:rsid w:val="00AD3504"/>
    <w:rsid w:val="00AD3DD8"/>
    <w:rsid w:val="00AD4AC1"/>
    <w:rsid w:val="00AE011F"/>
    <w:rsid w:val="00AE4EA1"/>
    <w:rsid w:val="00AE6222"/>
    <w:rsid w:val="00AF1AC1"/>
    <w:rsid w:val="00AF35F1"/>
    <w:rsid w:val="00B01B22"/>
    <w:rsid w:val="00B04ECE"/>
    <w:rsid w:val="00B07311"/>
    <w:rsid w:val="00B10493"/>
    <w:rsid w:val="00B10F1B"/>
    <w:rsid w:val="00B1367F"/>
    <w:rsid w:val="00B15DD2"/>
    <w:rsid w:val="00B16018"/>
    <w:rsid w:val="00B20C98"/>
    <w:rsid w:val="00B223C0"/>
    <w:rsid w:val="00B2536C"/>
    <w:rsid w:val="00B30796"/>
    <w:rsid w:val="00B33213"/>
    <w:rsid w:val="00B55505"/>
    <w:rsid w:val="00B56BE8"/>
    <w:rsid w:val="00B66150"/>
    <w:rsid w:val="00B77208"/>
    <w:rsid w:val="00B8432F"/>
    <w:rsid w:val="00B8667E"/>
    <w:rsid w:val="00B90FE9"/>
    <w:rsid w:val="00B91DB3"/>
    <w:rsid w:val="00B91F7C"/>
    <w:rsid w:val="00B93F62"/>
    <w:rsid w:val="00B958A8"/>
    <w:rsid w:val="00BB72BD"/>
    <w:rsid w:val="00BC1CB4"/>
    <w:rsid w:val="00BC472C"/>
    <w:rsid w:val="00BC7C08"/>
    <w:rsid w:val="00BD2E3C"/>
    <w:rsid w:val="00BE240C"/>
    <w:rsid w:val="00BE47AF"/>
    <w:rsid w:val="00BE5974"/>
    <w:rsid w:val="00BF138F"/>
    <w:rsid w:val="00BF4D4C"/>
    <w:rsid w:val="00C1557B"/>
    <w:rsid w:val="00C27172"/>
    <w:rsid w:val="00C30210"/>
    <w:rsid w:val="00C33079"/>
    <w:rsid w:val="00C45BA3"/>
    <w:rsid w:val="00C45FE6"/>
    <w:rsid w:val="00C4793D"/>
    <w:rsid w:val="00C65A22"/>
    <w:rsid w:val="00C665C0"/>
    <w:rsid w:val="00C71E29"/>
    <w:rsid w:val="00C82CA5"/>
    <w:rsid w:val="00C8669D"/>
    <w:rsid w:val="00C9090B"/>
    <w:rsid w:val="00C92308"/>
    <w:rsid w:val="00C9316A"/>
    <w:rsid w:val="00CA285B"/>
    <w:rsid w:val="00CA776A"/>
    <w:rsid w:val="00CB2172"/>
    <w:rsid w:val="00CB40AC"/>
    <w:rsid w:val="00CB5489"/>
    <w:rsid w:val="00CB7592"/>
    <w:rsid w:val="00CB79EF"/>
    <w:rsid w:val="00CD10EA"/>
    <w:rsid w:val="00CD3869"/>
    <w:rsid w:val="00CD38B4"/>
    <w:rsid w:val="00CE2298"/>
    <w:rsid w:val="00CE65AE"/>
    <w:rsid w:val="00CE6696"/>
    <w:rsid w:val="00CF24F8"/>
    <w:rsid w:val="00D069BF"/>
    <w:rsid w:val="00D06E3A"/>
    <w:rsid w:val="00D13BE2"/>
    <w:rsid w:val="00D2431B"/>
    <w:rsid w:val="00D31132"/>
    <w:rsid w:val="00D31E1A"/>
    <w:rsid w:val="00D336F3"/>
    <w:rsid w:val="00D338B1"/>
    <w:rsid w:val="00D34D20"/>
    <w:rsid w:val="00D375BD"/>
    <w:rsid w:val="00D413FC"/>
    <w:rsid w:val="00D4686A"/>
    <w:rsid w:val="00D50C9B"/>
    <w:rsid w:val="00D54F37"/>
    <w:rsid w:val="00D62CAA"/>
    <w:rsid w:val="00D62E15"/>
    <w:rsid w:val="00D747B6"/>
    <w:rsid w:val="00D844E0"/>
    <w:rsid w:val="00D92755"/>
    <w:rsid w:val="00D92F96"/>
    <w:rsid w:val="00D95FD0"/>
    <w:rsid w:val="00DA0252"/>
    <w:rsid w:val="00DA10C5"/>
    <w:rsid w:val="00DA26F6"/>
    <w:rsid w:val="00DA35C1"/>
    <w:rsid w:val="00DA5F53"/>
    <w:rsid w:val="00DA7865"/>
    <w:rsid w:val="00DB0C44"/>
    <w:rsid w:val="00DB2A08"/>
    <w:rsid w:val="00DC1BD7"/>
    <w:rsid w:val="00DC3416"/>
    <w:rsid w:val="00DC4B62"/>
    <w:rsid w:val="00DC7B2A"/>
    <w:rsid w:val="00DD2DB5"/>
    <w:rsid w:val="00DD6803"/>
    <w:rsid w:val="00DD6DB3"/>
    <w:rsid w:val="00DE03C1"/>
    <w:rsid w:val="00DE049D"/>
    <w:rsid w:val="00DE5DDF"/>
    <w:rsid w:val="00DF05E4"/>
    <w:rsid w:val="00DF32C5"/>
    <w:rsid w:val="00DF6D08"/>
    <w:rsid w:val="00E031FB"/>
    <w:rsid w:val="00E1351F"/>
    <w:rsid w:val="00E16F70"/>
    <w:rsid w:val="00E1715E"/>
    <w:rsid w:val="00E17500"/>
    <w:rsid w:val="00E23FE4"/>
    <w:rsid w:val="00E254C7"/>
    <w:rsid w:val="00E27DBA"/>
    <w:rsid w:val="00E318C7"/>
    <w:rsid w:val="00E32C78"/>
    <w:rsid w:val="00E47C5D"/>
    <w:rsid w:val="00E67B35"/>
    <w:rsid w:val="00E67EEA"/>
    <w:rsid w:val="00E7009E"/>
    <w:rsid w:val="00E753D9"/>
    <w:rsid w:val="00E81BF8"/>
    <w:rsid w:val="00E86A07"/>
    <w:rsid w:val="00E91286"/>
    <w:rsid w:val="00E92235"/>
    <w:rsid w:val="00E95CB1"/>
    <w:rsid w:val="00EB2DC2"/>
    <w:rsid w:val="00EB5FB7"/>
    <w:rsid w:val="00EB7E67"/>
    <w:rsid w:val="00EC6A02"/>
    <w:rsid w:val="00ED78BD"/>
    <w:rsid w:val="00EE1634"/>
    <w:rsid w:val="00EE217C"/>
    <w:rsid w:val="00EE223B"/>
    <w:rsid w:val="00EE26B4"/>
    <w:rsid w:val="00EE283A"/>
    <w:rsid w:val="00EE5983"/>
    <w:rsid w:val="00EE644F"/>
    <w:rsid w:val="00EE7C3D"/>
    <w:rsid w:val="00EF4A85"/>
    <w:rsid w:val="00EF654B"/>
    <w:rsid w:val="00EF79EA"/>
    <w:rsid w:val="00F03D93"/>
    <w:rsid w:val="00F0564B"/>
    <w:rsid w:val="00F05DA7"/>
    <w:rsid w:val="00F0685C"/>
    <w:rsid w:val="00F06E52"/>
    <w:rsid w:val="00F12EC0"/>
    <w:rsid w:val="00F20A3A"/>
    <w:rsid w:val="00F21117"/>
    <w:rsid w:val="00F217C6"/>
    <w:rsid w:val="00F2299A"/>
    <w:rsid w:val="00F31A0E"/>
    <w:rsid w:val="00F34F5D"/>
    <w:rsid w:val="00F378F1"/>
    <w:rsid w:val="00F4188A"/>
    <w:rsid w:val="00F53EB7"/>
    <w:rsid w:val="00F57B6D"/>
    <w:rsid w:val="00F62AE1"/>
    <w:rsid w:val="00F63FBF"/>
    <w:rsid w:val="00F641E8"/>
    <w:rsid w:val="00F667AC"/>
    <w:rsid w:val="00F727A0"/>
    <w:rsid w:val="00F754F6"/>
    <w:rsid w:val="00F812F9"/>
    <w:rsid w:val="00F84AFF"/>
    <w:rsid w:val="00F8640E"/>
    <w:rsid w:val="00F9040D"/>
    <w:rsid w:val="00F909DA"/>
    <w:rsid w:val="00FA2DDD"/>
    <w:rsid w:val="00FC290E"/>
    <w:rsid w:val="00FD2C87"/>
    <w:rsid w:val="00FD5404"/>
    <w:rsid w:val="0266F872"/>
    <w:rsid w:val="1035C8F3"/>
    <w:rsid w:val="112DBE3D"/>
    <w:rsid w:val="34402F9E"/>
    <w:rsid w:val="45B6A0A9"/>
    <w:rsid w:val="52AB9C59"/>
    <w:rsid w:val="59F988F0"/>
    <w:rsid w:val="5ADDD914"/>
    <w:rsid w:val="6F077194"/>
    <w:rsid w:val="711AF8EC"/>
    <w:rsid w:val="72061637"/>
    <w:rsid w:val="722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2E15"/>
  </w:style>
  <w:style w:type="character" w:customStyle="1" w:styleId="normaltextrun">
    <w:name w:val="normaltextrun"/>
    <w:basedOn w:val="Fuentedeprrafopredeter"/>
    <w:rsid w:val="0056313D"/>
  </w:style>
  <w:style w:type="paragraph" w:styleId="Revisin">
    <w:name w:val="Revision"/>
    <w:hidden/>
    <w:uiPriority w:val="99"/>
    <w:semiHidden/>
    <w:rsid w:val="00A60736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A47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47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472B"/>
    <w:rPr>
      <w:rFonts w:ascii="Times New Roman" w:eastAsia="MS Mincho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7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72B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90EDD85D54448945021AB426BB1AA" ma:contentTypeVersion="3" ma:contentTypeDescription="Create a new document." ma:contentTypeScope="" ma:versionID="f134d41051c10ab3a1bbb930b02d3b6a">
  <xsd:schema xmlns:xsd="http://www.w3.org/2001/XMLSchema" xmlns:xs="http://www.w3.org/2001/XMLSchema" xmlns:p="http://schemas.microsoft.com/office/2006/metadata/properties" xmlns:ns2="2a2b5300-3ccb-49f7-9f7a-17baa5e872e9" targetNamespace="http://schemas.microsoft.com/office/2006/metadata/properties" ma:root="true" ma:fieldsID="7e9b3a6b95ebbe6ef51de603c4af8a6b" ns2:_="">
    <xsd:import namespace="2a2b5300-3ccb-49f7-9f7a-17baa5e87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b5300-3ccb-49f7-9f7a-17baa5e87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D5FC-F210-48AD-9090-969788AB8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96BC4-26FA-4DC4-97A4-D7C40805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b5300-3ccb-49f7-9f7a-17baa5e87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511B2-696F-488E-8027-64C2E9E2A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A137F-4EFD-41DA-89B1-AF876CD0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Santiago Jordan Arroyo</cp:lastModifiedBy>
  <cp:revision>23</cp:revision>
  <cp:lastPrinted>2024-09-26T14:58:00Z</cp:lastPrinted>
  <dcterms:created xsi:type="dcterms:W3CDTF">2025-05-16T16:54:00Z</dcterms:created>
  <dcterms:modified xsi:type="dcterms:W3CDTF">2025-05-19T20:23:00Z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0x0101003F290EDD85D54448945021AB426BB1AA</vt:lpwstr>
  </property>
</Properties>
</file>