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EA291" w14:textId="77777777" w:rsidR="00B51F39" w:rsidRDefault="00B51F39">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p>
    <w:p w14:paraId="08FF92EF" w14:textId="77777777" w:rsidR="00B51F39" w:rsidRDefault="00B51F39" w:rsidP="00404235">
      <w:pPr>
        <w:pBdr>
          <w:top w:val="single" w:sz="4" w:space="0" w:color="auto"/>
          <w:left w:val="single" w:sz="4" w:space="4" w:color="auto"/>
          <w:bottom w:val="single" w:sz="4" w:space="1" w:color="auto"/>
          <w:right w:val="single" w:sz="4" w:space="4" w:color="auto"/>
        </w:pBdr>
        <w:jc w:val="center"/>
        <w:outlineLvl w:val="0"/>
        <w:rPr>
          <w:rFonts w:ascii="Arial" w:hAnsi="Arial" w:cs="Arial"/>
          <w:b/>
          <w:sz w:val="28"/>
          <w:szCs w:val="28"/>
        </w:rPr>
      </w:pPr>
      <w:r>
        <w:rPr>
          <w:rFonts w:ascii="Arial" w:hAnsi="Arial" w:cs="Arial"/>
          <w:b/>
          <w:sz w:val="28"/>
          <w:szCs w:val="28"/>
        </w:rPr>
        <w:t>Se publica para comentarios del público el siguiente:</w:t>
      </w:r>
    </w:p>
    <w:p w14:paraId="4FB490C6"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szCs w:val="24"/>
        </w:rPr>
      </w:pPr>
    </w:p>
    <w:p w14:paraId="5D22CD60"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1B2DC6BA" w14:textId="0079CBD8"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Pr>
          <w:rFonts w:ascii="Arial" w:hAnsi="Arial" w:cs="Arial"/>
          <w:b/>
          <w:bCs/>
          <w:sz w:val="24"/>
          <w:szCs w:val="24"/>
        </w:rPr>
        <w:t xml:space="preserve">PROYECTO </w:t>
      </w:r>
      <w:r w:rsidRPr="008B2EE6">
        <w:rPr>
          <w:rFonts w:ascii="Arial" w:hAnsi="Arial" w:cs="Arial"/>
          <w:b/>
          <w:bCs/>
          <w:sz w:val="24"/>
          <w:szCs w:val="24"/>
        </w:rPr>
        <w:t xml:space="preserve">DE </w:t>
      </w:r>
      <w:r w:rsidR="008B2EE6" w:rsidRPr="008B2EE6">
        <w:rPr>
          <w:rFonts w:ascii="Arial" w:hAnsi="Arial" w:cs="Arial"/>
          <w:b/>
          <w:bCs/>
          <w:sz w:val="24"/>
          <w:szCs w:val="24"/>
        </w:rPr>
        <w:t>CIRCULAR EXTERNA</w:t>
      </w:r>
      <w:r>
        <w:rPr>
          <w:rFonts w:ascii="Arial" w:hAnsi="Arial" w:cs="Arial"/>
          <w:b/>
          <w:bCs/>
          <w:sz w:val="24"/>
          <w:szCs w:val="24"/>
        </w:rPr>
        <w:t>:</w:t>
      </w:r>
      <w:r w:rsidRPr="006B29A5">
        <w:rPr>
          <w:rFonts w:ascii="Arial" w:hAnsi="Arial" w:cs="Arial"/>
          <w:b/>
          <w:bCs/>
          <w:sz w:val="24"/>
          <w:szCs w:val="24"/>
        </w:rPr>
        <w:t xml:space="preserve"> </w:t>
      </w:r>
      <w:r w:rsidR="008B2EE6" w:rsidRPr="008B2EE6">
        <w:rPr>
          <w:rFonts w:ascii="Arial" w:hAnsi="Arial" w:cs="Arial"/>
          <w:sz w:val="24"/>
          <w:szCs w:val="24"/>
        </w:rPr>
        <w:t>Instrucciones para la gestión de los riesgos ambientales y sociales</w:t>
      </w:r>
      <w:r w:rsidR="00563755">
        <w:rPr>
          <w:rFonts w:ascii="Arial" w:hAnsi="Arial" w:cs="Arial"/>
          <w:sz w:val="24"/>
          <w:szCs w:val="24"/>
        </w:rPr>
        <w:t>, incluido el climático,</w:t>
      </w:r>
      <w:r w:rsidR="008B2EE6" w:rsidRPr="008B2EE6">
        <w:rPr>
          <w:rFonts w:ascii="Arial" w:hAnsi="Arial" w:cs="Arial"/>
          <w:sz w:val="24"/>
          <w:szCs w:val="24"/>
        </w:rPr>
        <w:t xml:space="preserve"> en las entidades vigiladas por la Superintendencia Financiera de Colombia</w:t>
      </w:r>
    </w:p>
    <w:p w14:paraId="462D81CC" w14:textId="77777777" w:rsidR="006F70A6"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5AD939BD" w14:textId="491799B8" w:rsidR="00B51F39" w:rsidRPr="00E77E01" w:rsidRDefault="00B51F39">
      <w:pPr>
        <w:pBdr>
          <w:top w:val="single" w:sz="4" w:space="0" w:color="auto"/>
          <w:left w:val="single" w:sz="4" w:space="4" w:color="auto"/>
          <w:bottom w:val="single" w:sz="4" w:space="1" w:color="auto"/>
          <w:right w:val="single" w:sz="4" w:space="4" w:color="auto"/>
        </w:pBdr>
        <w:jc w:val="both"/>
        <w:rPr>
          <w:rFonts w:ascii="Arial" w:hAnsi="Arial" w:cs="Arial"/>
          <w:sz w:val="24"/>
          <w:szCs w:val="24"/>
          <w:lang w:val="es-ES"/>
        </w:rPr>
      </w:pPr>
      <w:r w:rsidRPr="27A11ED1">
        <w:rPr>
          <w:rFonts w:ascii="Arial" w:hAnsi="Arial" w:cs="Arial"/>
          <w:b/>
          <w:sz w:val="24"/>
          <w:szCs w:val="24"/>
          <w:lang w:val="es-ES"/>
        </w:rPr>
        <w:t xml:space="preserve">PROPÓSITO: </w:t>
      </w:r>
      <w:r w:rsidR="008B2EE6" w:rsidRPr="27A11ED1">
        <w:rPr>
          <w:rFonts w:ascii="Arial" w:hAnsi="Arial" w:cs="Arial"/>
          <w:sz w:val="24"/>
          <w:szCs w:val="24"/>
          <w:lang w:val="es-ES"/>
        </w:rPr>
        <w:t>Establecer los lineamientos que deben observar las entidades vigiladas en la definición de la Política Ambiental y Social, (ii) definir los mecanismos, herramientas y procedimientos para identificar, medir, controlar y monitorear los riesgos ambientales y sociales</w:t>
      </w:r>
      <w:r w:rsidR="00563755" w:rsidRPr="27A11ED1">
        <w:rPr>
          <w:rFonts w:ascii="Arial" w:hAnsi="Arial" w:cs="Arial"/>
          <w:sz w:val="24"/>
          <w:szCs w:val="24"/>
          <w:lang w:val="es-ES"/>
        </w:rPr>
        <w:t>, incluido</w:t>
      </w:r>
      <w:r w:rsidR="00BA4714" w:rsidRPr="27A11ED1">
        <w:rPr>
          <w:rFonts w:ascii="Arial" w:hAnsi="Arial" w:cs="Arial"/>
          <w:sz w:val="24"/>
          <w:szCs w:val="24"/>
          <w:lang w:val="es-ES"/>
        </w:rPr>
        <w:t>s</w:t>
      </w:r>
      <w:r w:rsidR="00563755" w:rsidRPr="27A11ED1">
        <w:rPr>
          <w:rFonts w:ascii="Arial" w:hAnsi="Arial" w:cs="Arial"/>
          <w:sz w:val="24"/>
          <w:szCs w:val="24"/>
          <w:lang w:val="es-ES"/>
        </w:rPr>
        <w:t xml:space="preserve"> </w:t>
      </w:r>
      <w:r w:rsidR="00BA4714" w:rsidRPr="27A11ED1">
        <w:rPr>
          <w:rFonts w:ascii="Arial" w:hAnsi="Arial" w:cs="Arial"/>
          <w:sz w:val="24"/>
          <w:szCs w:val="24"/>
          <w:lang w:val="es-ES"/>
        </w:rPr>
        <w:t>los</w:t>
      </w:r>
      <w:r w:rsidR="00563755" w:rsidRPr="27A11ED1">
        <w:rPr>
          <w:rFonts w:ascii="Arial" w:hAnsi="Arial" w:cs="Arial"/>
          <w:sz w:val="24"/>
          <w:szCs w:val="24"/>
          <w:lang w:val="es-ES"/>
        </w:rPr>
        <w:t xml:space="preserve"> climático</w:t>
      </w:r>
      <w:r w:rsidR="00BA4714" w:rsidRPr="27A11ED1">
        <w:rPr>
          <w:rFonts w:ascii="Arial" w:hAnsi="Arial" w:cs="Arial"/>
          <w:sz w:val="24"/>
          <w:szCs w:val="24"/>
          <w:lang w:val="es-ES"/>
        </w:rPr>
        <w:t>s</w:t>
      </w:r>
      <w:r w:rsidR="008B2EE6" w:rsidRPr="27A11ED1">
        <w:rPr>
          <w:rFonts w:ascii="Arial" w:hAnsi="Arial" w:cs="Arial"/>
          <w:sz w:val="24"/>
          <w:szCs w:val="24"/>
          <w:lang w:val="es-ES"/>
        </w:rPr>
        <w:t>, y (iii) determinar las reglas particulares para la gestión del riesgo ambiental y social</w:t>
      </w:r>
      <w:r w:rsidR="00563755" w:rsidRPr="27A11ED1">
        <w:rPr>
          <w:rFonts w:ascii="Arial" w:hAnsi="Arial" w:cs="Arial"/>
          <w:sz w:val="24"/>
          <w:szCs w:val="24"/>
          <w:lang w:val="es-ES"/>
        </w:rPr>
        <w:t>, incluido el climático,</w:t>
      </w:r>
      <w:r w:rsidR="008B2EE6" w:rsidRPr="27A11ED1">
        <w:rPr>
          <w:rFonts w:ascii="Arial" w:hAnsi="Arial" w:cs="Arial"/>
          <w:sz w:val="24"/>
          <w:szCs w:val="24"/>
          <w:lang w:val="es-ES"/>
        </w:rPr>
        <w:t xml:space="preserve"> en las operaciones crediticias que respaldan obligaciones crediticias.</w:t>
      </w:r>
    </w:p>
    <w:p w14:paraId="5A88DE33"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4FC142DD" w14:textId="77777777" w:rsidR="00564B20" w:rsidRDefault="00564B20">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442EE72F" w14:textId="7326F59E" w:rsidR="00B51F39" w:rsidRDefault="00B51F39" w:rsidP="008E625A">
      <w:pPr>
        <w:pBdr>
          <w:top w:val="single" w:sz="4" w:space="0" w:color="auto"/>
          <w:left w:val="single" w:sz="4" w:space="4" w:color="auto"/>
          <w:bottom w:val="single" w:sz="4" w:space="1" w:color="auto"/>
          <w:right w:val="single" w:sz="4" w:space="4" w:color="auto"/>
        </w:pBdr>
        <w:shd w:val="clear" w:color="auto" w:fill="FFFFFF" w:themeFill="background1"/>
        <w:jc w:val="both"/>
        <w:outlineLvl w:val="0"/>
        <w:rPr>
          <w:rFonts w:ascii="Arial" w:hAnsi="Arial" w:cs="Arial"/>
          <w:b/>
          <w:sz w:val="24"/>
          <w:szCs w:val="24"/>
          <w:lang w:val="es-ES"/>
        </w:rPr>
      </w:pPr>
      <w:r w:rsidRPr="27A11ED1">
        <w:rPr>
          <w:rFonts w:ascii="Arial" w:hAnsi="Arial" w:cs="Arial"/>
          <w:b/>
          <w:sz w:val="24"/>
          <w:szCs w:val="24"/>
          <w:lang w:val="es-ES"/>
        </w:rPr>
        <w:t xml:space="preserve">PLAZO PARA COMENTARIOS: </w:t>
      </w:r>
      <w:r w:rsidR="008B2EE6" w:rsidRPr="27A11ED1">
        <w:rPr>
          <w:rFonts w:ascii="Arial" w:hAnsi="Arial" w:cs="Arial"/>
          <w:sz w:val="24"/>
          <w:szCs w:val="24"/>
          <w:lang w:val="es-ES"/>
        </w:rPr>
        <w:t xml:space="preserve">Hasta </w:t>
      </w:r>
      <w:r w:rsidR="003264C0">
        <w:rPr>
          <w:rFonts w:ascii="Arial" w:hAnsi="Arial" w:cs="Arial"/>
          <w:sz w:val="24"/>
          <w:szCs w:val="24"/>
          <w:lang w:val="es-ES"/>
        </w:rPr>
        <w:t>el</w:t>
      </w:r>
      <w:r w:rsidR="00EA6303">
        <w:rPr>
          <w:rFonts w:ascii="Arial" w:hAnsi="Arial" w:cs="Arial"/>
          <w:sz w:val="24"/>
          <w:szCs w:val="24"/>
          <w:lang w:val="es-ES"/>
        </w:rPr>
        <w:t xml:space="preserve"> final del día del</w:t>
      </w:r>
      <w:r w:rsidR="00A95AF9">
        <w:rPr>
          <w:rFonts w:ascii="Arial" w:hAnsi="Arial" w:cs="Arial"/>
          <w:sz w:val="24"/>
          <w:szCs w:val="24"/>
          <w:lang w:val="es-ES"/>
        </w:rPr>
        <w:t xml:space="preserve"> </w:t>
      </w:r>
      <w:r w:rsidR="00161ADD">
        <w:rPr>
          <w:rFonts w:ascii="Arial" w:hAnsi="Arial" w:cs="Arial"/>
          <w:sz w:val="24"/>
          <w:szCs w:val="24"/>
          <w:lang w:val="es-ES"/>
        </w:rPr>
        <w:t>viernes 13</w:t>
      </w:r>
      <w:r w:rsidR="001D4738" w:rsidRPr="27A11ED1">
        <w:rPr>
          <w:rFonts w:ascii="Arial" w:hAnsi="Arial" w:cs="Arial"/>
          <w:sz w:val="24"/>
          <w:szCs w:val="24"/>
          <w:lang w:val="es-ES"/>
        </w:rPr>
        <w:t xml:space="preserve"> de junio </w:t>
      </w:r>
      <w:r w:rsidR="008B2EE6" w:rsidRPr="27A11ED1">
        <w:rPr>
          <w:rFonts w:ascii="Arial" w:hAnsi="Arial" w:cs="Arial"/>
          <w:sz w:val="24"/>
          <w:szCs w:val="24"/>
          <w:lang w:val="es-ES"/>
        </w:rPr>
        <w:t>de 2025</w:t>
      </w:r>
      <w:r w:rsidR="00EA6303">
        <w:rPr>
          <w:rFonts w:ascii="Arial" w:hAnsi="Arial" w:cs="Arial"/>
          <w:sz w:val="24"/>
          <w:szCs w:val="24"/>
          <w:lang w:val="es-ES"/>
        </w:rPr>
        <w:t>.</w:t>
      </w:r>
    </w:p>
    <w:p w14:paraId="5667DA2D"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6929E3F6" w14:textId="77777777" w:rsidR="006F7746" w:rsidRDefault="006F7746" w:rsidP="006F774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071B38A0"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
          <w:bCs/>
          <w:sz w:val="24"/>
          <w:szCs w:val="24"/>
        </w:rPr>
        <w:t xml:space="preserve">REMISIÓN DE COMENTARIOS: </w:t>
      </w:r>
      <w:r>
        <w:rPr>
          <w:rFonts w:ascii="Arial" w:hAnsi="Arial" w:cs="Arial"/>
          <w:bCs/>
          <w:sz w:val="24"/>
          <w:szCs w:val="24"/>
        </w:rPr>
        <w:t>Por favor diligenciar la proforma adjunta “</w:t>
      </w:r>
      <w:r w:rsidRPr="00903B73">
        <w:rPr>
          <w:rFonts w:ascii="Arial" w:hAnsi="Arial" w:cs="Arial"/>
          <w:bCs/>
          <w:sz w:val="24"/>
          <w:szCs w:val="24"/>
        </w:rPr>
        <w:t>MATRIZ PARA COMENTARIOS EXTERNOS - PUBLICACION WEB</w:t>
      </w:r>
      <w:r>
        <w:rPr>
          <w:rFonts w:ascii="Arial" w:hAnsi="Arial" w:cs="Arial"/>
          <w:bCs/>
          <w:sz w:val="24"/>
          <w:szCs w:val="24"/>
        </w:rPr>
        <w:t xml:space="preserve">”. </w:t>
      </w:r>
    </w:p>
    <w:p w14:paraId="3A5806F3"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Cs/>
          <w:sz w:val="24"/>
          <w:szCs w:val="24"/>
        </w:rPr>
        <w:t xml:space="preserve"> </w:t>
      </w:r>
    </w:p>
    <w:p w14:paraId="5E0F744A"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lang w:val="es-ES"/>
        </w:rPr>
      </w:pPr>
      <w:r>
        <w:rPr>
          <w:rFonts w:ascii="Arial" w:hAnsi="Arial" w:cs="Arial"/>
          <w:bCs/>
          <w:sz w:val="24"/>
          <w:szCs w:val="24"/>
        </w:rPr>
        <w:t xml:space="preserve">La proforma en formato Word puede ser radicada vía e-mail por medio del correo electrónico </w:t>
      </w:r>
      <w:hyperlink r:id="rId11" w:history="1">
        <w:r w:rsidRPr="00663E3A">
          <w:rPr>
            <w:rStyle w:val="Hipervnculo"/>
            <w:rFonts w:ascii="Arial" w:hAnsi="Arial" w:cs="Arial"/>
            <w:bCs/>
            <w:sz w:val="24"/>
            <w:szCs w:val="24"/>
            <w:lang w:val="es-ES"/>
          </w:rPr>
          <w:t>normativa@superfinanciera.gov.co</w:t>
        </w:r>
      </w:hyperlink>
      <w:r>
        <w:rPr>
          <w:rFonts w:ascii="Arial" w:hAnsi="Arial" w:cs="Arial"/>
          <w:bCs/>
          <w:sz w:val="24"/>
          <w:szCs w:val="24"/>
          <w:lang w:val="es-ES"/>
        </w:rPr>
        <w:t xml:space="preserve">. En el asunto </w:t>
      </w:r>
      <w:r w:rsidRPr="00BC13D7">
        <w:rPr>
          <w:rFonts w:ascii="Arial" w:hAnsi="Arial" w:cs="Arial"/>
          <w:b/>
          <w:bCs/>
          <w:sz w:val="24"/>
          <w:szCs w:val="24"/>
          <w:lang w:val="es-ES"/>
        </w:rPr>
        <w:t>únicamente</w:t>
      </w:r>
      <w:r>
        <w:rPr>
          <w:rFonts w:ascii="Arial" w:hAnsi="Arial" w:cs="Arial"/>
          <w:bCs/>
          <w:sz w:val="24"/>
          <w:szCs w:val="24"/>
          <w:lang w:val="es-ES"/>
        </w:rPr>
        <w:t xml:space="preserve"> incluir el siguiente número de radicación: </w:t>
      </w:r>
      <w:r w:rsidRPr="00E77E01">
        <w:rPr>
          <w:rFonts w:ascii="Arial" w:hAnsi="Arial" w:cs="Arial"/>
          <w:b/>
          <w:bCs/>
          <w:sz w:val="24"/>
          <w:szCs w:val="24"/>
          <w:lang w:val="es-ES"/>
        </w:rPr>
        <w:tab/>
        <w:t xml:space="preserve"> </w:t>
      </w:r>
    </w:p>
    <w:p w14:paraId="11ED16D3"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r w:rsidRPr="00E77E01">
        <w:rPr>
          <w:rFonts w:ascii="Arial" w:hAnsi="Arial" w:cs="Arial"/>
          <w:b/>
          <w:bCs/>
          <w:sz w:val="24"/>
          <w:szCs w:val="24"/>
          <w:lang w:val="es-ES"/>
        </w:rPr>
        <w:tab/>
      </w:r>
      <w:r w:rsidR="0064423D" w:rsidRPr="00E77E01">
        <w:rPr>
          <w:rFonts w:ascii="Arial" w:hAnsi="Arial" w:cs="Arial"/>
          <w:b/>
          <w:bCs/>
          <w:sz w:val="24"/>
          <w:szCs w:val="24"/>
          <w:lang w:val="es-ES"/>
        </w:rPr>
        <w:t xml:space="preserve"> </w:t>
      </w:r>
    </w:p>
    <w:p w14:paraId="4F914B42" w14:textId="77777777" w:rsidR="006F70A6" w:rsidRPr="00A164B8"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36"/>
          <w:szCs w:val="24"/>
          <w:lang w:val="es-ES"/>
        </w:rPr>
      </w:pPr>
    </w:p>
    <w:p w14:paraId="1400FC12" w14:textId="77777777" w:rsidR="00B51F39" w:rsidRDefault="006F70A6" w:rsidP="008B2EE6">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r>
        <w:rPr>
          <w:rFonts w:ascii="Arial" w:hAnsi="Arial" w:cs="Arial"/>
          <w:b/>
          <w:bCs/>
          <w:sz w:val="24"/>
          <w:szCs w:val="24"/>
          <w:lang w:val="es-ES"/>
        </w:rPr>
        <w:t xml:space="preserve">RADICADO No. </w:t>
      </w:r>
      <w:bookmarkStart w:id="0" w:name="_Hlk196743435"/>
      <w:r w:rsidR="00734232" w:rsidRPr="008B2EE6">
        <w:rPr>
          <w:rFonts w:ascii="Arial" w:hAnsi="Arial" w:cs="Arial"/>
          <w:b/>
          <w:bCs/>
          <w:sz w:val="24"/>
          <w:szCs w:val="24"/>
          <w:lang w:val="es-ES"/>
        </w:rPr>
        <w:t>2024127849</w:t>
      </w:r>
      <w:bookmarkEnd w:id="0"/>
    </w:p>
    <w:p w14:paraId="04D2F0E5" w14:textId="77777777" w:rsidR="008B2EE6" w:rsidRPr="00E77E01" w:rsidRDefault="008B2EE6" w:rsidP="008B2EE6">
      <w:pPr>
        <w:pBdr>
          <w:top w:val="single" w:sz="4" w:space="0" w:color="auto"/>
          <w:left w:val="single" w:sz="4" w:space="4" w:color="auto"/>
          <w:bottom w:val="single" w:sz="4" w:space="1" w:color="auto"/>
          <w:right w:val="single" w:sz="4" w:space="4" w:color="auto"/>
        </w:pBdr>
        <w:rPr>
          <w:rFonts w:ascii="Arial" w:hAnsi="Arial" w:cs="Arial"/>
          <w:b/>
          <w:bCs/>
          <w:sz w:val="24"/>
          <w:szCs w:val="24"/>
          <w:lang w:val="es-ES"/>
        </w:rPr>
      </w:pPr>
    </w:p>
    <w:p w14:paraId="2B703711" w14:textId="77777777" w:rsidR="00B51F39" w:rsidRDefault="00E77E01"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sz w:val="24"/>
          <w:szCs w:val="24"/>
          <w:lang w:val="es-ES"/>
        </w:rPr>
      </w:pPr>
      <w:r w:rsidRPr="27A11ED1">
        <w:rPr>
          <w:rFonts w:ascii="Arial" w:hAnsi="Arial" w:cs="Arial"/>
          <w:b/>
          <w:sz w:val="24"/>
          <w:szCs w:val="24"/>
          <w:lang w:val="es-ES"/>
        </w:rPr>
        <w:t>POR ESCRITO A:</w:t>
      </w:r>
      <w:r>
        <w:tab/>
      </w:r>
      <w:r w:rsidR="00824B7C" w:rsidRPr="27A11ED1">
        <w:rPr>
          <w:rFonts w:ascii="Arial" w:hAnsi="Arial" w:cs="Arial"/>
          <w:b/>
          <w:sz w:val="24"/>
          <w:szCs w:val="24"/>
          <w:lang w:val="es-ES"/>
        </w:rPr>
        <w:t xml:space="preserve">Subdirector de </w:t>
      </w:r>
      <w:r w:rsidR="00AC0FDE" w:rsidRPr="27A11ED1">
        <w:rPr>
          <w:rFonts w:ascii="Arial" w:hAnsi="Arial" w:cs="Arial"/>
          <w:b/>
          <w:sz w:val="24"/>
          <w:szCs w:val="24"/>
          <w:lang w:val="es-ES"/>
        </w:rPr>
        <w:t>Regulación</w:t>
      </w:r>
      <w:r w:rsidR="00A164B8" w:rsidRPr="27A11ED1">
        <w:rPr>
          <w:rFonts w:ascii="Arial" w:hAnsi="Arial" w:cs="Arial"/>
          <w:sz w:val="24"/>
          <w:szCs w:val="24"/>
          <w:lang w:val="es-ES"/>
        </w:rPr>
        <w:t>, con el número de radicación.</w:t>
      </w:r>
    </w:p>
    <w:p w14:paraId="0AFD51A8" w14:textId="77777777" w:rsidR="00043B3D" w:rsidRPr="00E77E01" w:rsidRDefault="00043B3D"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p>
    <w:p w14:paraId="333262A3" w14:textId="77777777" w:rsidR="00B51F39" w:rsidRPr="00E77E01" w:rsidRDefault="00B51F39" w:rsidP="0037411F">
      <w:pPr>
        <w:pBdr>
          <w:top w:val="single" w:sz="4" w:space="0" w:color="auto"/>
          <w:left w:val="single" w:sz="4" w:space="4" w:color="auto"/>
          <w:bottom w:val="single" w:sz="4" w:space="1" w:color="auto"/>
          <w:right w:val="single" w:sz="4" w:space="4" w:color="auto"/>
        </w:pBdr>
        <w:tabs>
          <w:tab w:val="left" w:pos="2109"/>
        </w:tabs>
        <w:jc w:val="both"/>
        <w:outlineLvl w:val="0"/>
        <w:rPr>
          <w:rFonts w:ascii="Arial" w:hAnsi="Arial" w:cs="Arial"/>
          <w:bCs/>
          <w:sz w:val="24"/>
          <w:szCs w:val="24"/>
        </w:rPr>
      </w:pPr>
      <w:r w:rsidRPr="00E77E01">
        <w:rPr>
          <w:rFonts w:ascii="Arial" w:hAnsi="Arial" w:cs="Arial"/>
          <w:bCs/>
          <w:sz w:val="24"/>
          <w:szCs w:val="24"/>
        </w:rPr>
        <w:tab/>
      </w:r>
      <w:r w:rsidRPr="00E77E01">
        <w:rPr>
          <w:rFonts w:ascii="Arial" w:hAnsi="Arial" w:cs="Arial"/>
          <w:bCs/>
          <w:sz w:val="24"/>
          <w:szCs w:val="24"/>
        </w:rPr>
        <w:tab/>
        <w:t xml:space="preserve"> </w:t>
      </w:r>
    </w:p>
    <w:p w14:paraId="2EFEE16E" w14:textId="77777777" w:rsidR="00B51F39" w:rsidRDefault="00B51F39" w:rsidP="008E625A">
      <w:pPr>
        <w:pBdr>
          <w:top w:val="single" w:sz="4" w:space="0" w:color="auto"/>
          <w:left w:val="single" w:sz="4" w:space="4" w:color="auto"/>
          <w:bottom w:val="single" w:sz="4" w:space="1" w:color="auto"/>
          <w:right w:val="single" w:sz="4" w:space="4" w:color="auto"/>
        </w:pBdr>
        <w:jc w:val="both"/>
        <w:rPr>
          <w:rFonts w:ascii="Arial" w:hAnsi="Arial" w:cs="Arial"/>
          <w:b/>
          <w:bCs/>
          <w:szCs w:val="24"/>
        </w:rPr>
      </w:pPr>
    </w:p>
    <w:p w14:paraId="031B071D" w14:textId="77777777" w:rsidR="00564B20" w:rsidRPr="00043B3D" w:rsidRDefault="00043B3D" w:rsidP="008E625A">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sidRPr="00043B3D">
        <w:rPr>
          <w:rFonts w:ascii="Arial" w:hAnsi="Arial" w:cs="Arial"/>
          <w:b/>
          <w:bCs/>
          <w:sz w:val="24"/>
          <w:szCs w:val="24"/>
        </w:rPr>
        <w:t xml:space="preserve">Nota: </w:t>
      </w:r>
      <w:r w:rsidRPr="00043B3D">
        <w:rPr>
          <w:rFonts w:ascii="Arial" w:hAnsi="Arial" w:cs="Arial"/>
          <w:bCs/>
          <w:sz w:val="24"/>
          <w:szCs w:val="24"/>
        </w:rPr>
        <w:t>Para la remisión de los comentarios por favor citar en el asunto del correo electrónico</w:t>
      </w:r>
      <w:r>
        <w:rPr>
          <w:rFonts w:ascii="Arial" w:hAnsi="Arial" w:cs="Arial"/>
          <w:bCs/>
          <w:sz w:val="24"/>
          <w:szCs w:val="24"/>
        </w:rPr>
        <w:t>,</w:t>
      </w:r>
      <w:r w:rsidRPr="00043B3D">
        <w:rPr>
          <w:rFonts w:ascii="Arial" w:hAnsi="Arial" w:cs="Arial"/>
          <w:bCs/>
          <w:sz w:val="24"/>
          <w:szCs w:val="24"/>
        </w:rPr>
        <w:t xml:space="preserve"> la referencia señalada, así como por escrito.</w:t>
      </w:r>
    </w:p>
    <w:p w14:paraId="3EECA852"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180221E4"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24DAF8FA"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7F8E5DCB"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13B11FD2"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0D1E847F"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66CDC15E"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7E802D0E"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164D603C" w14:textId="77777777" w:rsidR="008B2EE6" w:rsidRDefault="00B51F39" w:rsidP="008B2EE6">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sectPr w:rsidR="008B2EE6" w:rsidSect="00EE3537">
          <w:headerReference w:type="default" r:id="rId12"/>
          <w:footerReference w:type="default" r:id="rId13"/>
          <w:headerReference w:type="first" r:id="rId14"/>
          <w:footerReference w:type="first" r:id="rId15"/>
          <w:pgSz w:w="12242" w:h="18722" w:code="14"/>
          <w:pgMar w:top="2977" w:right="1701" w:bottom="1701" w:left="2268" w:header="709" w:footer="709" w:gutter="0"/>
          <w:paperSrc w:first="2" w:other="2"/>
          <w:cols w:space="708"/>
          <w:titlePg/>
          <w:docGrid w:linePitch="360"/>
        </w:sectPr>
      </w:pPr>
      <w:r>
        <w:rPr>
          <w:rFonts w:ascii="Arial" w:hAnsi="Arial" w:cs="Arial"/>
          <w:b/>
          <w:bCs/>
          <w:sz w:val="28"/>
          <w:szCs w:val="28"/>
        </w:rPr>
        <w:t xml:space="preserve">* Consulte en este archivo el texto del proyecto de </w:t>
      </w:r>
      <w:r w:rsidR="008B2EE6">
        <w:rPr>
          <w:rFonts w:ascii="Arial" w:hAnsi="Arial" w:cs="Arial"/>
          <w:b/>
          <w:bCs/>
          <w:sz w:val="28"/>
          <w:szCs w:val="28"/>
        </w:rPr>
        <w:t>circular externa</w:t>
      </w:r>
    </w:p>
    <w:p w14:paraId="317191E0" w14:textId="77777777" w:rsidR="008B2EE6" w:rsidRPr="008B2EE6" w:rsidRDefault="008B2EE6" w:rsidP="008B2EE6">
      <w:pPr>
        <w:widowControl w:val="0"/>
        <w:autoSpaceDE w:val="0"/>
        <w:autoSpaceDN w:val="0"/>
        <w:adjustRightInd w:val="0"/>
        <w:ind w:firstLine="708"/>
        <w:jc w:val="center"/>
        <w:rPr>
          <w:rFonts w:ascii="Verdana" w:hAnsi="Verdana" w:cs="Arial"/>
          <w:b/>
          <w:sz w:val="24"/>
          <w:szCs w:val="24"/>
        </w:rPr>
      </w:pPr>
      <w:r w:rsidRPr="008B2EE6">
        <w:rPr>
          <w:rFonts w:ascii="Verdana" w:hAnsi="Verdana" w:cs="Arial"/>
          <w:b/>
          <w:sz w:val="24"/>
          <w:szCs w:val="24"/>
        </w:rPr>
        <w:lastRenderedPageBreak/>
        <w:t xml:space="preserve">CIRCULAR EXTERNA         </w:t>
      </w:r>
      <w:r w:rsidRPr="008B2EE6">
        <w:rPr>
          <w:rFonts w:ascii="Verdana" w:hAnsi="Verdana" w:cs="Arial"/>
          <w:b/>
          <w:color w:val="999999"/>
          <w:sz w:val="24"/>
          <w:szCs w:val="24"/>
        </w:rPr>
        <w:t xml:space="preserve">    </w:t>
      </w:r>
      <w:r w:rsidRPr="008B2EE6">
        <w:rPr>
          <w:rFonts w:ascii="Verdana" w:hAnsi="Verdana" w:cs="Arial"/>
          <w:b/>
          <w:sz w:val="24"/>
          <w:szCs w:val="24"/>
        </w:rPr>
        <w:t xml:space="preserve">  DE </w:t>
      </w:r>
      <w:r w:rsidRPr="008B2EE6">
        <w:rPr>
          <w:rFonts w:ascii="Verdana" w:hAnsi="Verdana" w:cs="Arial"/>
          <w:b/>
          <w:color w:val="999999"/>
          <w:sz w:val="24"/>
          <w:szCs w:val="24"/>
        </w:rPr>
        <w:t xml:space="preserve">       </w:t>
      </w:r>
    </w:p>
    <w:p w14:paraId="6CF5FB11" w14:textId="77777777" w:rsidR="008B2EE6" w:rsidRPr="008B2EE6" w:rsidRDefault="008B2EE6" w:rsidP="008B2EE6">
      <w:pPr>
        <w:widowControl w:val="0"/>
        <w:autoSpaceDE w:val="0"/>
        <w:autoSpaceDN w:val="0"/>
        <w:adjustRightInd w:val="0"/>
        <w:jc w:val="center"/>
        <w:rPr>
          <w:rFonts w:ascii="Verdana" w:hAnsi="Verdana" w:cs="Arial"/>
          <w:b/>
          <w:sz w:val="24"/>
          <w:szCs w:val="24"/>
        </w:rPr>
      </w:pPr>
      <w:r w:rsidRPr="008B2EE6">
        <w:rPr>
          <w:rFonts w:ascii="Verdana" w:hAnsi="Verdana" w:cs="Arial"/>
          <w:b/>
          <w:sz w:val="24"/>
          <w:szCs w:val="24"/>
        </w:rPr>
        <w:t>(                                        )</w:t>
      </w:r>
    </w:p>
    <w:p w14:paraId="33AD99F6" w14:textId="77777777" w:rsidR="008B2EE6" w:rsidRPr="008B2EE6" w:rsidRDefault="008B2EE6" w:rsidP="008B2EE6">
      <w:pPr>
        <w:widowControl w:val="0"/>
        <w:autoSpaceDE w:val="0"/>
        <w:autoSpaceDN w:val="0"/>
        <w:adjustRightInd w:val="0"/>
        <w:jc w:val="both"/>
        <w:rPr>
          <w:rFonts w:ascii="Verdana" w:hAnsi="Verdana" w:cs="Arial"/>
          <w:sz w:val="24"/>
          <w:szCs w:val="24"/>
        </w:rPr>
      </w:pPr>
    </w:p>
    <w:p w14:paraId="25F843AB" w14:textId="77777777" w:rsidR="008B2EE6" w:rsidRPr="008B2EE6" w:rsidRDefault="008B2EE6" w:rsidP="008B2EE6">
      <w:pPr>
        <w:widowControl w:val="0"/>
        <w:autoSpaceDE w:val="0"/>
        <w:autoSpaceDN w:val="0"/>
        <w:adjustRightInd w:val="0"/>
        <w:jc w:val="both"/>
        <w:rPr>
          <w:rFonts w:ascii="Verdana" w:hAnsi="Verdana" w:cs="Arial"/>
          <w:b/>
          <w:sz w:val="24"/>
          <w:szCs w:val="24"/>
        </w:rPr>
      </w:pPr>
      <w:r w:rsidRPr="008B2EE6">
        <w:rPr>
          <w:rFonts w:ascii="Verdana" w:hAnsi="Verdana" w:cs="Arial"/>
          <w:b/>
          <w:sz w:val="24"/>
          <w:szCs w:val="24"/>
        </w:rPr>
        <w:t>Señores</w:t>
      </w:r>
    </w:p>
    <w:p w14:paraId="4048ADAB" w14:textId="77777777" w:rsidR="008B2EE6" w:rsidRPr="008B2EE6" w:rsidRDefault="008B2EE6" w:rsidP="008B2EE6">
      <w:pPr>
        <w:widowControl w:val="0"/>
        <w:autoSpaceDE w:val="0"/>
        <w:autoSpaceDN w:val="0"/>
        <w:adjustRightInd w:val="0"/>
        <w:jc w:val="both"/>
        <w:rPr>
          <w:rFonts w:ascii="Verdana" w:hAnsi="Verdana" w:cs="Arial"/>
          <w:sz w:val="24"/>
          <w:szCs w:val="24"/>
        </w:rPr>
      </w:pPr>
      <w:r w:rsidRPr="008B2EE6">
        <w:rPr>
          <w:rFonts w:ascii="Verdana" w:hAnsi="Verdana" w:cs="Arial"/>
          <w:sz w:val="24"/>
          <w:szCs w:val="24"/>
        </w:rPr>
        <w:t>MIEMBROS DE JUNTA DIRECTIVA, REPRESENTANTES LEGALES Y REVISORES FISCALES DE LAS ENTIDADES VIGILADAS POR LA SUPERINTENDENCIA FINANCIERA DE COLOMBIA</w:t>
      </w:r>
    </w:p>
    <w:p w14:paraId="3F3B5BF4" w14:textId="77777777" w:rsidR="008B2EE6" w:rsidRPr="008B2EE6" w:rsidRDefault="008B2EE6" w:rsidP="008B2EE6">
      <w:pPr>
        <w:widowControl w:val="0"/>
        <w:autoSpaceDE w:val="0"/>
        <w:autoSpaceDN w:val="0"/>
        <w:adjustRightInd w:val="0"/>
        <w:ind w:left="1560" w:hanging="1560"/>
        <w:jc w:val="both"/>
        <w:rPr>
          <w:rFonts w:ascii="Verdana" w:hAnsi="Verdana" w:cs="Arial"/>
          <w:b/>
          <w:sz w:val="24"/>
          <w:szCs w:val="24"/>
        </w:rPr>
      </w:pPr>
    </w:p>
    <w:p w14:paraId="63436985" w14:textId="77777777" w:rsidR="008B2EE6" w:rsidRPr="008B2EE6" w:rsidRDefault="008B2EE6" w:rsidP="008B2EE6">
      <w:pPr>
        <w:widowControl w:val="0"/>
        <w:autoSpaceDE w:val="0"/>
        <w:autoSpaceDN w:val="0"/>
        <w:adjustRightInd w:val="0"/>
        <w:ind w:left="1560" w:hanging="1560"/>
        <w:jc w:val="both"/>
        <w:rPr>
          <w:rFonts w:ascii="Verdana" w:hAnsi="Verdana" w:cs="Arial"/>
          <w:b/>
          <w:sz w:val="24"/>
          <w:szCs w:val="24"/>
        </w:rPr>
      </w:pPr>
    </w:p>
    <w:p w14:paraId="2C33F0E7" w14:textId="65DD0771" w:rsidR="008B2EE6" w:rsidRPr="008B2EE6" w:rsidRDefault="008B2EE6" w:rsidP="008B2EE6">
      <w:pPr>
        <w:widowControl w:val="0"/>
        <w:autoSpaceDE w:val="0"/>
        <w:autoSpaceDN w:val="0"/>
        <w:adjustRightInd w:val="0"/>
        <w:jc w:val="both"/>
        <w:rPr>
          <w:rFonts w:ascii="Verdana" w:hAnsi="Verdana" w:cs="Arial"/>
          <w:b/>
          <w:sz w:val="24"/>
          <w:szCs w:val="24"/>
        </w:rPr>
      </w:pPr>
      <w:r w:rsidRPr="008B2EE6">
        <w:rPr>
          <w:rFonts w:ascii="Verdana" w:hAnsi="Verdana" w:cs="Arial"/>
          <w:b/>
          <w:sz w:val="24"/>
          <w:szCs w:val="24"/>
        </w:rPr>
        <w:t>Referencia: Instrucciones para la gestión de los riesgos ambientales y sociales</w:t>
      </w:r>
      <w:r w:rsidR="00563755">
        <w:rPr>
          <w:rFonts w:ascii="Verdana" w:hAnsi="Verdana" w:cs="Arial"/>
          <w:b/>
          <w:sz w:val="24"/>
          <w:szCs w:val="24"/>
        </w:rPr>
        <w:t>, incluido el climático,</w:t>
      </w:r>
      <w:r w:rsidRPr="008B2EE6">
        <w:rPr>
          <w:rFonts w:ascii="Verdana" w:hAnsi="Verdana" w:cs="Arial"/>
          <w:b/>
          <w:sz w:val="24"/>
          <w:szCs w:val="24"/>
        </w:rPr>
        <w:t xml:space="preserve"> en las entidades vigiladas por la Superintendencia Financiera de Colombia</w:t>
      </w:r>
    </w:p>
    <w:p w14:paraId="5FADA2BC" w14:textId="77777777" w:rsidR="008B2EE6" w:rsidRPr="008B2EE6" w:rsidRDefault="008B2EE6" w:rsidP="008B2EE6">
      <w:pPr>
        <w:widowControl w:val="0"/>
        <w:autoSpaceDE w:val="0"/>
        <w:autoSpaceDN w:val="0"/>
        <w:adjustRightInd w:val="0"/>
        <w:jc w:val="both"/>
        <w:rPr>
          <w:rFonts w:ascii="Verdana" w:hAnsi="Verdana" w:cs="Arial"/>
          <w:sz w:val="24"/>
          <w:szCs w:val="24"/>
        </w:rPr>
      </w:pPr>
    </w:p>
    <w:p w14:paraId="2348F7D1" w14:textId="77777777" w:rsidR="008B2EE6" w:rsidRPr="008B2EE6" w:rsidRDefault="008B2EE6" w:rsidP="008B2EE6">
      <w:pPr>
        <w:widowControl w:val="0"/>
        <w:adjustRightInd w:val="0"/>
        <w:jc w:val="both"/>
        <w:rPr>
          <w:rFonts w:ascii="Verdana" w:hAnsi="Verdana" w:cs="Arial"/>
          <w:b/>
          <w:bCs/>
          <w:sz w:val="24"/>
          <w:szCs w:val="24"/>
        </w:rPr>
      </w:pPr>
    </w:p>
    <w:p w14:paraId="4157C785" w14:textId="77777777" w:rsidR="008B2EE6" w:rsidRPr="008B2EE6" w:rsidRDefault="008B2EE6" w:rsidP="008B2EE6">
      <w:pPr>
        <w:widowControl w:val="0"/>
        <w:adjustRightInd w:val="0"/>
        <w:jc w:val="both"/>
        <w:rPr>
          <w:rFonts w:ascii="Verdana" w:hAnsi="Verdana" w:cs="Arial"/>
          <w:color w:val="000000"/>
          <w:sz w:val="24"/>
          <w:szCs w:val="24"/>
        </w:rPr>
      </w:pPr>
      <w:r w:rsidRPr="008B2EE6">
        <w:rPr>
          <w:rFonts w:ascii="Verdana" w:hAnsi="Verdana" w:cs="Arial"/>
          <w:color w:val="000000"/>
          <w:sz w:val="24"/>
          <w:szCs w:val="24"/>
        </w:rPr>
        <w:t>Apreciados señores:</w:t>
      </w:r>
    </w:p>
    <w:p w14:paraId="5F8E14CD" w14:textId="77777777" w:rsidR="008B2EE6" w:rsidRPr="008B2EE6" w:rsidRDefault="008B2EE6" w:rsidP="008B2EE6">
      <w:pPr>
        <w:pStyle w:val="Piedepgina"/>
        <w:tabs>
          <w:tab w:val="right" w:pos="8789"/>
        </w:tabs>
        <w:jc w:val="both"/>
        <w:rPr>
          <w:rFonts w:ascii="Verdana" w:hAnsi="Verdana" w:cs="Arial"/>
          <w:b/>
          <w:bCs/>
          <w:sz w:val="24"/>
          <w:szCs w:val="24"/>
          <w:lang w:val="es-ES"/>
        </w:rPr>
      </w:pPr>
    </w:p>
    <w:p w14:paraId="68C0F45B" w14:textId="1442F337" w:rsidR="008B2EE6" w:rsidRPr="008B2EE6" w:rsidRDefault="008B2EE6" w:rsidP="008B2EE6">
      <w:pPr>
        <w:pStyle w:val="Piedepgina"/>
        <w:tabs>
          <w:tab w:val="right" w:pos="8789"/>
        </w:tabs>
        <w:jc w:val="both"/>
        <w:rPr>
          <w:rFonts w:ascii="Verdana" w:hAnsi="Verdana" w:cs="Arial"/>
          <w:sz w:val="24"/>
          <w:szCs w:val="24"/>
          <w:lang w:val="es-ES"/>
        </w:rPr>
      </w:pPr>
      <w:r w:rsidRPr="008B2EE6">
        <w:rPr>
          <w:rFonts w:ascii="Verdana" w:hAnsi="Verdana" w:cs="Arial"/>
          <w:sz w:val="24"/>
          <w:szCs w:val="24"/>
          <w:lang w:val="es-ES"/>
        </w:rPr>
        <w:t>El sistema financiero se enfrenta a importantes retos asociados a los asuntos ambientales y sociales</w:t>
      </w:r>
      <w:r w:rsidR="004940E7">
        <w:rPr>
          <w:rFonts w:ascii="Verdana" w:hAnsi="Verdana" w:cs="Arial"/>
          <w:sz w:val="24"/>
          <w:szCs w:val="24"/>
          <w:lang w:val="es-ES"/>
        </w:rPr>
        <w:t>, incluidos los climáticos</w:t>
      </w:r>
      <w:r w:rsidRPr="008B2EE6">
        <w:rPr>
          <w:rFonts w:ascii="Verdana" w:hAnsi="Verdana" w:cs="Arial"/>
          <w:sz w:val="24"/>
          <w:szCs w:val="24"/>
          <w:lang w:val="es-ES"/>
        </w:rPr>
        <w:t xml:space="preserve">. En efecto, el despliegue de medidas tendientes a combatir el cambio climático, avanzar hacia una economía baja en carbono, preservar el medio ambiente y proteger a las comunidades, hace que las entidades vigiladas deban contemplar nuevos factores en el marco de sus operaciones financieras. </w:t>
      </w:r>
    </w:p>
    <w:p w14:paraId="4D6B38E0" w14:textId="77777777" w:rsidR="008B2EE6" w:rsidRPr="008B2EE6" w:rsidRDefault="008B2EE6" w:rsidP="008B2EE6">
      <w:pPr>
        <w:pStyle w:val="Piedepgina"/>
        <w:tabs>
          <w:tab w:val="right" w:pos="8789"/>
        </w:tabs>
        <w:jc w:val="both"/>
        <w:rPr>
          <w:rFonts w:ascii="Verdana" w:hAnsi="Verdana" w:cs="Arial"/>
          <w:sz w:val="24"/>
          <w:szCs w:val="24"/>
          <w:lang w:val="es-ES"/>
        </w:rPr>
      </w:pPr>
    </w:p>
    <w:p w14:paraId="2571BFD8" w14:textId="2A593884" w:rsidR="008B2EE6" w:rsidRDefault="008B2EE6" w:rsidP="008B2EE6">
      <w:pPr>
        <w:jc w:val="both"/>
        <w:rPr>
          <w:rFonts w:ascii="Verdana" w:hAnsi="Verdana" w:cs="Arial"/>
          <w:sz w:val="24"/>
          <w:szCs w:val="24"/>
        </w:rPr>
      </w:pPr>
      <w:r w:rsidRPr="008B2EE6">
        <w:rPr>
          <w:rFonts w:ascii="Verdana" w:hAnsi="Verdana" w:cs="Arial"/>
          <w:sz w:val="24"/>
          <w:szCs w:val="24"/>
        </w:rPr>
        <w:t>En línea con lo anterior, cobra relevancia el concepto de sostenibilidad financiera previsto en el documento denominado «</w:t>
      </w:r>
      <w:r w:rsidRPr="008B2EE6">
        <w:rPr>
          <w:rFonts w:ascii="Verdana" w:eastAsia="Aptos" w:hAnsi="Verdana" w:cs="Arial"/>
          <w:kern w:val="2"/>
          <w:sz w:val="24"/>
          <w:szCs w:val="24"/>
          <w:lang w:eastAsia="en-US"/>
        </w:rPr>
        <w:t>La Agenda 2030 y los Objetivos de Desarrollo Sostenible: Una oportunidad para América Latina y el Caribe» preparado por la CEPAL</w:t>
      </w:r>
      <w:r w:rsidRPr="008B2EE6">
        <w:rPr>
          <w:rFonts w:ascii="Verdana" w:hAnsi="Verdana" w:cs="Arial"/>
          <w:sz w:val="24"/>
          <w:szCs w:val="24"/>
        </w:rPr>
        <w:t>, el cual se soporta en la interrelación de tres pilares: desarrollo económico, ambiental y social. En este sentido, de conformidad con lo establecido por otros organismos internacionales, tales como: el Banco Mundial, el Fondo Monetario Internacional, la OCDE y la ONU</w:t>
      </w:r>
      <w:r w:rsidR="00422A19">
        <w:rPr>
          <w:rFonts w:ascii="Verdana" w:hAnsi="Verdana" w:cs="Arial"/>
          <w:sz w:val="24"/>
          <w:szCs w:val="24"/>
        </w:rPr>
        <w:t xml:space="preserve">, en </w:t>
      </w:r>
      <w:r w:rsidR="00422A19" w:rsidRPr="008B2EE6">
        <w:rPr>
          <w:rFonts w:ascii="Verdana" w:hAnsi="Verdana" w:cs="Arial"/>
          <w:sz w:val="24"/>
          <w:szCs w:val="24"/>
        </w:rPr>
        <w:t>los Principios de Inversión Responsable</w:t>
      </w:r>
      <w:r w:rsidRPr="008B2EE6">
        <w:rPr>
          <w:rFonts w:ascii="Verdana" w:hAnsi="Verdana" w:cs="Arial"/>
          <w:sz w:val="24"/>
          <w:szCs w:val="24"/>
        </w:rPr>
        <w:t xml:space="preserve">, se entiende por sostenibilidad financiera: la toma de decisiones orientada a obtener una rentabilidad económica, así como a proteger los recursos naturales, promover la equidad social y fomentar la transparencia y la responsabilidad en los negocios. Por tanto, dicho concepto resulta fundamental para desarrollar las economías emergentes, propiciar decisiones responsables por parte de los inversionistas y consumidores, promover una sociedad más inclusiva y </w:t>
      </w:r>
      <w:r w:rsidR="004F3364">
        <w:rPr>
          <w:rFonts w:ascii="Verdana" w:hAnsi="Verdana" w:cs="Arial"/>
          <w:sz w:val="24"/>
          <w:szCs w:val="24"/>
        </w:rPr>
        <w:t>fomentar</w:t>
      </w:r>
      <w:r w:rsidR="004F3364" w:rsidRPr="008B2EE6">
        <w:rPr>
          <w:rFonts w:ascii="Verdana" w:hAnsi="Verdana" w:cs="Arial"/>
          <w:sz w:val="24"/>
          <w:szCs w:val="24"/>
        </w:rPr>
        <w:t xml:space="preserve"> </w:t>
      </w:r>
      <w:r w:rsidRPr="008B2EE6">
        <w:rPr>
          <w:rFonts w:ascii="Verdana" w:hAnsi="Verdana" w:cs="Arial"/>
          <w:sz w:val="24"/>
          <w:szCs w:val="24"/>
        </w:rPr>
        <w:t>la estabilidad a largo plazo del sector financiero.</w:t>
      </w:r>
    </w:p>
    <w:p w14:paraId="546D777F" w14:textId="77777777" w:rsidR="00F71F49" w:rsidRDefault="00F71F49" w:rsidP="008B2EE6">
      <w:pPr>
        <w:jc w:val="both"/>
        <w:rPr>
          <w:rFonts w:ascii="Verdana" w:hAnsi="Verdana" w:cs="Arial"/>
          <w:sz w:val="24"/>
          <w:szCs w:val="24"/>
        </w:rPr>
      </w:pPr>
    </w:p>
    <w:p w14:paraId="287FFF67" w14:textId="10733A43" w:rsidR="00D02637" w:rsidRDefault="00767619" w:rsidP="00C36080">
      <w:pPr>
        <w:jc w:val="both"/>
        <w:rPr>
          <w:rFonts w:ascii="Verdana" w:hAnsi="Verdana" w:cs="Arial"/>
          <w:sz w:val="24"/>
          <w:szCs w:val="24"/>
          <w:lang w:val="es-ES"/>
        </w:rPr>
      </w:pPr>
      <w:r w:rsidRPr="27A11ED1">
        <w:rPr>
          <w:rFonts w:ascii="Verdana" w:hAnsi="Verdana" w:cs="Arial"/>
          <w:sz w:val="24"/>
          <w:szCs w:val="24"/>
          <w:lang w:val="es-ES"/>
        </w:rPr>
        <w:t xml:space="preserve">Ahora bien, en línea con lo previsto en el numeral 4 del artículo </w:t>
      </w:r>
      <w:r w:rsidR="00FF2589" w:rsidRPr="27A11ED1">
        <w:rPr>
          <w:rFonts w:ascii="Verdana" w:hAnsi="Verdana" w:cs="Arial"/>
          <w:sz w:val="24"/>
          <w:szCs w:val="24"/>
          <w:lang w:val="es-ES"/>
        </w:rPr>
        <w:t xml:space="preserve">3 de la Ley 2294 de 2023, </w:t>
      </w:r>
      <w:r w:rsidR="000F5BC5" w:rsidRPr="27A11ED1">
        <w:rPr>
          <w:rFonts w:ascii="Verdana" w:hAnsi="Verdana" w:cs="Arial"/>
          <w:sz w:val="24"/>
          <w:szCs w:val="24"/>
          <w:lang w:val="es-ES"/>
        </w:rPr>
        <w:t xml:space="preserve">la «Transformación productiva, internacionalización y acción climática» </w:t>
      </w:r>
      <w:r w:rsidR="00FF2589" w:rsidRPr="27A11ED1">
        <w:rPr>
          <w:rFonts w:ascii="Verdana" w:hAnsi="Verdana" w:cs="Arial"/>
          <w:sz w:val="24"/>
          <w:szCs w:val="24"/>
          <w:lang w:val="es-ES"/>
        </w:rPr>
        <w:t>constituye uno de los ejes del Plan Nacional de Desarrollo</w:t>
      </w:r>
      <w:r w:rsidR="000F5BC5" w:rsidRPr="27A11ED1">
        <w:rPr>
          <w:rFonts w:ascii="Verdana" w:hAnsi="Verdana" w:cs="Arial"/>
          <w:sz w:val="24"/>
          <w:szCs w:val="24"/>
          <w:lang w:val="es-ES"/>
        </w:rPr>
        <w:t xml:space="preserve">. </w:t>
      </w:r>
      <w:r w:rsidR="0051507D" w:rsidRPr="27A11ED1">
        <w:rPr>
          <w:rFonts w:ascii="Verdana" w:hAnsi="Verdana" w:cs="Arial"/>
          <w:sz w:val="24"/>
          <w:szCs w:val="24"/>
          <w:lang w:val="es-ES"/>
        </w:rPr>
        <w:t xml:space="preserve">Este eje, tiene como propósito </w:t>
      </w:r>
      <w:r w:rsidRPr="27A11ED1">
        <w:rPr>
          <w:rFonts w:ascii="Verdana" w:hAnsi="Verdana" w:cs="Arial"/>
          <w:sz w:val="24"/>
          <w:szCs w:val="24"/>
          <w:lang w:val="es-ES"/>
        </w:rPr>
        <w:t>diversific</w:t>
      </w:r>
      <w:r w:rsidR="0051507D" w:rsidRPr="27A11ED1">
        <w:rPr>
          <w:rFonts w:ascii="Verdana" w:hAnsi="Verdana" w:cs="Arial"/>
          <w:sz w:val="24"/>
          <w:szCs w:val="24"/>
          <w:lang w:val="es-ES"/>
        </w:rPr>
        <w:t>ar</w:t>
      </w:r>
      <w:r w:rsidRPr="27A11ED1">
        <w:rPr>
          <w:rFonts w:ascii="Verdana" w:hAnsi="Verdana" w:cs="Arial"/>
          <w:sz w:val="24"/>
          <w:szCs w:val="24"/>
          <w:lang w:val="es-ES"/>
        </w:rPr>
        <w:t xml:space="preserve"> las actividades productivas</w:t>
      </w:r>
      <w:r w:rsidR="0051507D" w:rsidRPr="27A11ED1">
        <w:rPr>
          <w:rFonts w:ascii="Verdana" w:hAnsi="Verdana" w:cs="Arial"/>
          <w:sz w:val="24"/>
          <w:szCs w:val="24"/>
          <w:lang w:val="es-ES"/>
        </w:rPr>
        <w:t xml:space="preserve"> para </w:t>
      </w:r>
      <w:r w:rsidR="007E5127" w:rsidRPr="27A11ED1">
        <w:rPr>
          <w:rFonts w:ascii="Verdana" w:hAnsi="Verdana" w:cs="Arial"/>
          <w:sz w:val="24"/>
          <w:szCs w:val="24"/>
          <w:lang w:val="es-ES"/>
        </w:rPr>
        <w:t>aprovechar</w:t>
      </w:r>
      <w:r w:rsidR="0051507D" w:rsidRPr="27A11ED1">
        <w:rPr>
          <w:rFonts w:ascii="Verdana" w:hAnsi="Verdana" w:cs="Arial"/>
          <w:sz w:val="24"/>
          <w:szCs w:val="24"/>
          <w:lang w:val="es-ES"/>
        </w:rPr>
        <w:t xml:space="preserve"> el </w:t>
      </w:r>
      <w:r w:rsidR="00C36080" w:rsidRPr="27A11ED1">
        <w:rPr>
          <w:rFonts w:ascii="Verdana" w:hAnsi="Verdana" w:cs="Arial"/>
          <w:sz w:val="24"/>
          <w:szCs w:val="24"/>
          <w:lang w:val="es-ES"/>
        </w:rPr>
        <w:t xml:space="preserve">capital natural, así como el uso de energías limpias, </w:t>
      </w:r>
      <w:r w:rsidR="007E5127" w:rsidRPr="27A11ED1">
        <w:rPr>
          <w:rFonts w:ascii="Verdana" w:hAnsi="Verdana" w:cs="Arial"/>
          <w:sz w:val="24"/>
          <w:szCs w:val="24"/>
          <w:lang w:val="es-ES"/>
        </w:rPr>
        <w:t>intensificar</w:t>
      </w:r>
      <w:r w:rsidRPr="27A11ED1">
        <w:rPr>
          <w:rFonts w:ascii="Verdana" w:hAnsi="Verdana" w:cs="Arial"/>
          <w:sz w:val="24"/>
          <w:szCs w:val="24"/>
          <w:lang w:val="es-ES"/>
        </w:rPr>
        <w:t xml:space="preserve"> </w:t>
      </w:r>
      <w:r w:rsidR="00C36080" w:rsidRPr="27A11ED1">
        <w:rPr>
          <w:rFonts w:ascii="Verdana" w:hAnsi="Verdana" w:cs="Arial"/>
          <w:sz w:val="24"/>
          <w:szCs w:val="24"/>
          <w:lang w:val="es-ES"/>
        </w:rPr>
        <w:t>el</w:t>
      </w:r>
      <w:r w:rsidRPr="27A11ED1">
        <w:rPr>
          <w:rFonts w:ascii="Verdana" w:hAnsi="Verdana" w:cs="Arial"/>
          <w:sz w:val="24"/>
          <w:szCs w:val="24"/>
          <w:lang w:val="es-ES"/>
        </w:rPr>
        <w:t xml:space="preserve"> conocimiento e innovación</w:t>
      </w:r>
      <w:r w:rsidR="007E5127" w:rsidRPr="27A11ED1">
        <w:rPr>
          <w:rFonts w:ascii="Verdana" w:hAnsi="Verdana" w:cs="Arial"/>
          <w:sz w:val="24"/>
          <w:szCs w:val="24"/>
          <w:lang w:val="es-ES"/>
        </w:rPr>
        <w:t>, respetar</w:t>
      </w:r>
      <w:r w:rsidRPr="27A11ED1">
        <w:rPr>
          <w:rFonts w:ascii="Verdana" w:hAnsi="Verdana" w:cs="Arial"/>
          <w:sz w:val="24"/>
          <w:szCs w:val="24"/>
          <w:lang w:val="es-ES"/>
        </w:rPr>
        <w:t xml:space="preserve"> y garanti</w:t>
      </w:r>
      <w:r w:rsidR="007E5127" w:rsidRPr="27A11ED1">
        <w:rPr>
          <w:rFonts w:ascii="Verdana" w:hAnsi="Verdana" w:cs="Arial"/>
          <w:sz w:val="24"/>
          <w:szCs w:val="24"/>
          <w:lang w:val="es-ES"/>
        </w:rPr>
        <w:t>zar</w:t>
      </w:r>
      <w:r w:rsidRPr="27A11ED1">
        <w:rPr>
          <w:rFonts w:ascii="Verdana" w:hAnsi="Verdana" w:cs="Arial"/>
          <w:sz w:val="24"/>
          <w:szCs w:val="24"/>
          <w:lang w:val="es-ES"/>
        </w:rPr>
        <w:t xml:space="preserve"> los derechos humanos, </w:t>
      </w:r>
      <w:r w:rsidR="007E5127" w:rsidRPr="27A11ED1">
        <w:rPr>
          <w:rFonts w:ascii="Verdana" w:hAnsi="Verdana" w:cs="Arial"/>
          <w:sz w:val="24"/>
          <w:szCs w:val="24"/>
          <w:lang w:val="es-ES"/>
        </w:rPr>
        <w:t>y aportar a la</w:t>
      </w:r>
      <w:r w:rsidRPr="27A11ED1">
        <w:rPr>
          <w:rFonts w:ascii="Verdana" w:hAnsi="Verdana" w:cs="Arial"/>
          <w:sz w:val="24"/>
          <w:szCs w:val="24"/>
          <w:lang w:val="es-ES"/>
        </w:rPr>
        <w:t xml:space="preserve"> construcción de la resiliencia ante los choques climáticos.</w:t>
      </w:r>
    </w:p>
    <w:p w14:paraId="247A0E4E" w14:textId="77777777" w:rsidR="00D02637" w:rsidRDefault="00D02637" w:rsidP="00C36080">
      <w:pPr>
        <w:jc w:val="both"/>
        <w:rPr>
          <w:rFonts w:ascii="Verdana" w:hAnsi="Verdana" w:cs="Arial"/>
          <w:sz w:val="24"/>
          <w:szCs w:val="24"/>
        </w:rPr>
      </w:pPr>
    </w:p>
    <w:p w14:paraId="76F8B125" w14:textId="6B7D2979" w:rsidR="00767619" w:rsidRPr="008B2EE6" w:rsidRDefault="008526AA" w:rsidP="00C36080">
      <w:pPr>
        <w:jc w:val="both"/>
        <w:rPr>
          <w:rFonts w:ascii="Verdana" w:hAnsi="Verdana" w:cs="Arial"/>
          <w:sz w:val="24"/>
          <w:szCs w:val="24"/>
        </w:rPr>
      </w:pPr>
      <w:r>
        <w:rPr>
          <w:rFonts w:ascii="Verdana" w:hAnsi="Verdana" w:cs="Arial"/>
          <w:sz w:val="24"/>
          <w:szCs w:val="24"/>
        </w:rPr>
        <w:lastRenderedPageBreak/>
        <w:t xml:space="preserve">En desarrollo de lo anterior, </w:t>
      </w:r>
      <w:r w:rsidR="00D02637">
        <w:rPr>
          <w:rFonts w:ascii="Verdana" w:hAnsi="Verdana" w:cs="Arial"/>
          <w:sz w:val="24"/>
          <w:szCs w:val="24"/>
        </w:rPr>
        <w:t xml:space="preserve">esta Superintendencia </w:t>
      </w:r>
      <w:r w:rsidR="00FD3377">
        <w:rPr>
          <w:rFonts w:ascii="Verdana" w:hAnsi="Verdana" w:cs="Arial"/>
          <w:sz w:val="24"/>
          <w:szCs w:val="24"/>
        </w:rPr>
        <w:t>considera</w:t>
      </w:r>
      <w:r w:rsidR="005C414D">
        <w:rPr>
          <w:rFonts w:ascii="Verdana" w:hAnsi="Verdana" w:cs="Arial"/>
          <w:sz w:val="24"/>
          <w:szCs w:val="24"/>
        </w:rPr>
        <w:t xml:space="preserve"> necesario que </w:t>
      </w:r>
      <w:r w:rsidR="00B106B6">
        <w:rPr>
          <w:rFonts w:ascii="Verdana" w:hAnsi="Verdana" w:cs="Arial"/>
          <w:sz w:val="24"/>
          <w:szCs w:val="24"/>
        </w:rPr>
        <w:t xml:space="preserve">las entidades vigiladas </w:t>
      </w:r>
      <w:r w:rsidR="00EF7D2A">
        <w:rPr>
          <w:rFonts w:ascii="Verdana" w:hAnsi="Verdana" w:cs="Arial"/>
          <w:sz w:val="24"/>
          <w:szCs w:val="24"/>
        </w:rPr>
        <w:t>definan</w:t>
      </w:r>
      <w:r w:rsidR="00D02637">
        <w:rPr>
          <w:rFonts w:ascii="Verdana" w:hAnsi="Verdana" w:cs="Arial"/>
          <w:sz w:val="24"/>
          <w:szCs w:val="24"/>
        </w:rPr>
        <w:t>, de manera autónoma y en aplicación de su carácter profesional,</w:t>
      </w:r>
      <w:r w:rsidR="00C3784A">
        <w:rPr>
          <w:rFonts w:ascii="Verdana" w:hAnsi="Verdana" w:cs="Arial"/>
          <w:sz w:val="24"/>
          <w:szCs w:val="24"/>
        </w:rPr>
        <w:t xml:space="preserve"> </w:t>
      </w:r>
      <w:r w:rsidR="00EF7D2A">
        <w:rPr>
          <w:rFonts w:ascii="Verdana" w:hAnsi="Verdana" w:cs="Arial"/>
          <w:sz w:val="24"/>
          <w:szCs w:val="24"/>
        </w:rPr>
        <w:t>objetivos ambientales y sociales, incluidos los climáticos</w:t>
      </w:r>
      <w:r w:rsidR="00E75097">
        <w:rPr>
          <w:rFonts w:ascii="Verdana" w:hAnsi="Verdana" w:cs="Arial"/>
          <w:sz w:val="24"/>
          <w:szCs w:val="24"/>
        </w:rPr>
        <w:t>.</w:t>
      </w:r>
    </w:p>
    <w:p w14:paraId="17D98C7A" w14:textId="77777777" w:rsidR="008B2EE6" w:rsidRPr="008B2EE6" w:rsidRDefault="008B2EE6" w:rsidP="008B2EE6">
      <w:pPr>
        <w:pStyle w:val="Piedepgina"/>
        <w:tabs>
          <w:tab w:val="right" w:pos="8789"/>
        </w:tabs>
        <w:jc w:val="both"/>
        <w:rPr>
          <w:rFonts w:ascii="Verdana" w:hAnsi="Verdana" w:cs="Arial"/>
          <w:b/>
          <w:bCs/>
          <w:sz w:val="24"/>
          <w:szCs w:val="24"/>
          <w:lang w:val="es-ES"/>
        </w:rPr>
      </w:pPr>
    </w:p>
    <w:p w14:paraId="0FEED0FB" w14:textId="3BD9ED5B" w:rsidR="008B2EE6" w:rsidRPr="008B2EE6" w:rsidRDefault="008B2EE6" w:rsidP="008B2EE6">
      <w:pPr>
        <w:pStyle w:val="Piedepgina"/>
        <w:tabs>
          <w:tab w:val="right" w:pos="8789"/>
        </w:tabs>
        <w:jc w:val="both"/>
        <w:rPr>
          <w:rFonts w:ascii="Verdana" w:hAnsi="Verdana" w:cs="Arial"/>
          <w:sz w:val="24"/>
          <w:szCs w:val="24"/>
          <w:lang w:val="es-ES"/>
        </w:rPr>
      </w:pPr>
      <w:r w:rsidRPr="008B2EE6">
        <w:rPr>
          <w:rFonts w:ascii="Verdana" w:hAnsi="Verdana" w:cs="Arial"/>
          <w:sz w:val="24"/>
          <w:szCs w:val="24"/>
          <w:lang w:val="es-ES"/>
        </w:rPr>
        <w:t xml:space="preserve">Adicionalmente, las entidades vigiladas se ven expuestas a potenciales riesgos financieros, reputaciones, legales, entre otros, derivados de los efectos adversos que podrían generar sus operaciones, los productos y servicios ofrecidos y prestados, así como los proyectos que financian sobre el medio ambiente y la sociedad. </w:t>
      </w:r>
      <w:r w:rsidR="0036480E" w:rsidRPr="008B2EE6">
        <w:rPr>
          <w:rFonts w:ascii="Verdana" w:hAnsi="Verdana" w:cs="Arial"/>
          <w:sz w:val="24"/>
          <w:szCs w:val="24"/>
          <w:lang w:val="es-ES"/>
        </w:rPr>
        <w:t>Estos riesgos pueden afectar significativamente la rentabilidad, liquidez y solvencia de las entidades vigiladas y pueden influir decisivamente en su viabilidad a largo plazo.</w:t>
      </w:r>
      <w:r w:rsidR="0036480E">
        <w:rPr>
          <w:rFonts w:ascii="Verdana" w:hAnsi="Verdana" w:cs="Arial"/>
          <w:sz w:val="24"/>
          <w:szCs w:val="24"/>
          <w:lang w:val="es-ES"/>
        </w:rPr>
        <w:t xml:space="preserve"> </w:t>
      </w:r>
      <w:r w:rsidRPr="008B2EE6">
        <w:rPr>
          <w:rFonts w:ascii="Verdana" w:hAnsi="Verdana" w:cs="Arial"/>
          <w:sz w:val="24"/>
          <w:szCs w:val="24"/>
          <w:lang w:val="es-ES"/>
        </w:rPr>
        <w:t xml:space="preserve">Por lo anterior, la gestión ambiental y social ha cobrado importancia creciente dentro de las buenas prácticas de gestión de riesgos del sector financiero, reconociendo a las entidades vigiladas como un </w:t>
      </w:r>
      <w:r w:rsidR="00C8617C">
        <w:rPr>
          <w:rFonts w:ascii="Verdana" w:hAnsi="Verdana" w:cs="Arial"/>
          <w:sz w:val="24"/>
          <w:szCs w:val="24"/>
          <w:lang w:val="es-ES"/>
        </w:rPr>
        <w:t>catalizador</w:t>
      </w:r>
      <w:r w:rsidRPr="008B2EE6">
        <w:rPr>
          <w:rFonts w:ascii="Verdana" w:hAnsi="Verdana" w:cs="Arial"/>
          <w:sz w:val="24"/>
          <w:szCs w:val="24"/>
          <w:lang w:val="es-ES"/>
        </w:rPr>
        <w:t xml:space="preserve"> para la construcción de resiliencia por parte de las personas, familias y empresas ante los impactos de distintos factores ambientales y sociales, particularmente los climáticos.</w:t>
      </w:r>
    </w:p>
    <w:p w14:paraId="57D3EA8C" w14:textId="77777777" w:rsidR="008B2EE6" w:rsidRPr="008B2EE6" w:rsidRDefault="008B2EE6" w:rsidP="008B2EE6">
      <w:pPr>
        <w:pStyle w:val="Piedepgina"/>
        <w:tabs>
          <w:tab w:val="right" w:pos="8789"/>
        </w:tabs>
        <w:jc w:val="both"/>
        <w:rPr>
          <w:rFonts w:ascii="Verdana" w:hAnsi="Verdana" w:cs="Arial"/>
          <w:sz w:val="24"/>
          <w:szCs w:val="24"/>
          <w:lang w:val="es-ES"/>
        </w:rPr>
      </w:pPr>
    </w:p>
    <w:p w14:paraId="77D9F3FE" w14:textId="327387E3" w:rsidR="008B2EE6" w:rsidRPr="008B2EE6" w:rsidRDefault="008B2EE6" w:rsidP="008B2EE6">
      <w:pPr>
        <w:pStyle w:val="Piedepgina"/>
        <w:tabs>
          <w:tab w:val="right" w:pos="8789"/>
        </w:tabs>
        <w:jc w:val="both"/>
        <w:rPr>
          <w:rFonts w:ascii="Verdana" w:hAnsi="Verdana" w:cs="Arial"/>
          <w:sz w:val="24"/>
          <w:szCs w:val="24"/>
          <w:lang w:val="es-ES"/>
        </w:rPr>
      </w:pPr>
      <w:r w:rsidRPr="008B2EE6">
        <w:rPr>
          <w:rFonts w:ascii="Verdana" w:hAnsi="Verdana" w:cs="Arial"/>
          <w:sz w:val="24"/>
          <w:szCs w:val="24"/>
          <w:lang w:val="es-ES"/>
        </w:rPr>
        <w:t>Atendiendo a los desafíos que supone el cambio climático en la resiliencia de las entidades vigiladas, la Superintendencia Financiera de Colombia diseñó y desarrolló la «Estrategia de Finanzas Verdes y Cambio Climático» con el fin de: (i) construir capacidades para la identificación y medición del cambio climático, (ii) promover la integración de los asuntos climáticos en la gestión de riesgos y el aprovechamiento de las oportunidades relacionadas con el clima, y (iii) complementar la supervisión basada en riesgos. En línea con la estrategia referida, en el 2020-2021 la Superintendencia Financiera realizó, con asistencia técnica del Banco Mundial, el primer análisis de vulnerabilidad frente a riesgos financieros relacionados con el cambio climático para los establecimientos bancarios en Colombia. Dicho ejercicio permitió evidenciar que el sector es vulnerable a los impactos del cambio climático que se presentan de la materialización de los riesgos físicos y los riesgos de transición.</w:t>
      </w:r>
    </w:p>
    <w:p w14:paraId="7F725021" w14:textId="77777777" w:rsidR="008B2EE6" w:rsidRPr="008B2EE6" w:rsidRDefault="008B2EE6" w:rsidP="008B2EE6">
      <w:pPr>
        <w:pStyle w:val="Piedepgina"/>
        <w:tabs>
          <w:tab w:val="right" w:pos="8789"/>
        </w:tabs>
        <w:jc w:val="both"/>
        <w:rPr>
          <w:rFonts w:ascii="Verdana" w:hAnsi="Verdana" w:cs="Arial"/>
          <w:sz w:val="24"/>
          <w:szCs w:val="24"/>
          <w:lang w:val="es-ES"/>
        </w:rPr>
      </w:pPr>
    </w:p>
    <w:p w14:paraId="5F7901BD" w14:textId="77777777" w:rsidR="008B2EE6" w:rsidRPr="008B2EE6" w:rsidRDefault="008B2EE6" w:rsidP="008B2EE6">
      <w:pPr>
        <w:pStyle w:val="Piedepgina"/>
        <w:tabs>
          <w:tab w:val="right" w:pos="8789"/>
        </w:tabs>
        <w:jc w:val="both"/>
        <w:rPr>
          <w:rFonts w:ascii="Verdana" w:hAnsi="Verdana" w:cs="Arial"/>
          <w:sz w:val="24"/>
          <w:szCs w:val="24"/>
          <w:lang w:val="es-ES"/>
        </w:rPr>
      </w:pPr>
      <w:r w:rsidRPr="008B2EE6">
        <w:rPr>
          <w:rFonts w:ascii="Verdana" w:hAnsi="Verdana" w:cs="Arial"/>
          <w:sz w:val="24"/>
          <w:szCs w:val="24"/>
          <w:lang w:val="es-ES"/>
        </w:rPr>
        <w:t>Como consecuencia de lo anterior, en el 2022 la Superintendencia Financiera publicó el Documento Técnico «Administración de Riesgos y Oportunidades Climáticas para los Establecimientos de Crédito». Posteriormente, en el 2023 se expidió el Documento Técnico «Administración de Riesgos y Oportunidades Climáticas para el Sector Asegurador». Los referidos documentos tenían como objetivo dar claridad frente a las expectativas de la Superintendencia Financiera frente a la administración de los riesgos financieros relacionados con el cambio climático por parte de los establecimientos de crédito, los bancos de desarrollo supervisados y las entidades aseguradoras. A pesar de que el alcance de los referidos documentos técnicos se circunscribe a la gestión de riesgos climáticos, estos señalan que nada obsta para que se apliquen los principios allí consignados en la administración de otros riesgos ambientales, así como de los riesgos sociales.</w:t>
      </w:r>
    </w:p>
    <w:p w14:paraId="4044A453" w14:textId="77777777" w:rsidR="008B2EE6" w:rsidRPr="008B2EE6" w:rsidRDefault="008B2EE6" w:rsidP="008B2EE6">
      <w:pPr>
        <w:pStyle w:val="Piedepgina"/>
        <w:tabs>
          <w:tab w:val="right" w:pos="8789"/>
        </w:tabs>
        <w:jc w:val="both"/>
        <w:rPr>
          <w:rFonts w:ascii="Verdana" w:hAnsi="Verdana" w:cs="Arial"/>
          <w:sz w:val="24"/>
          <w:szCs w:val="24"/>
          <w:lang w:val="es-ES"/>
        </w:rPr>
      </w:pPr>
    </w:p>
    <w:p w14:paraId="2460D6E0" w14:textId="1530E26A" w:rsidR="008B2EE6" w:rsidRPr="008B2EE6" w:rsidRDefault="008B2EE6" w:rsidP="008B2EE6">
      <w:pPr>
        <w:jc w:val="both"/>
        <w:rPr>
          <w:rFonts w:ascii="Verdana" w:eastAsia="Aptos" w:hAnsi="Verdana" w:cs="Arial"/>
          <w:kern w:val="2"/>
          <w:sz w:val="24"/>
          <w:szCs w:val="24"/>
          <w:lang w:val="es-ES" w:eastAsia="en-US"/>
        </w:rPr>
      </w:pPr>
      <w:r w:rsidRPr="27A11ED1">
        <w:rPr>
          <w:rFonts w:ascii="Verdana" w:hAnsi="Verdana" w:cs="Arial"/>
          <w:sz w:val="24"/>
          <w:szCs w:val="24"/>
          <w:lang w:val="es-ES"/>
        </w:rPr>
        <w:lastRenderedPageBreak/>
        <w:t>En desarrollo de lo anterior, continuando con el compromiso de la Superintendencia Financiera de Colombia de alinear los intereses financieros con la preservación del medio ambiente, la resiliencia ante eventos climáticos extremos o cambio climático y la promoción de la equidad social, se considera necesario impartir instrucciones para: (i) establecer los lineamientos que deben observar las entidades vigiladas en la definición de la Política Ambiental y Social, (ii) definir los mecanismos, herramientas y procedimientos para identificar, medir, controlar y monitorear los riesgos ambientales y sociales</w:t>
      </w:r>
      <w:r w:rsidR="00373B44" w:rsidRPr="27A11ED1">
        <w:rPr>
          <w:rFonts w:ascii="Verdana" w:hAnsi="Verdana" w:cs="Arial"/>
          <w:sz w:val="24"/>
          <w:szCs w:val="24"/>
          <w:lang w:val="es-ES"/>
        </w:rPr>
        <w:t>, incluidos los climáticos</w:t>
      </w:r>
      <w:r w:rsidRPr="27A11ED1">
        <w:rPr>
          <w:rFonts w:ascii="Verdana" w:hAnsi="Verdana" w:cs="Arial"/>
          <w:sz w:val="24"/>
          <w:szCs w:val="24"/>
          <w:lang w:val="es-ES"/>
        </w:rPr>
        <w:t xml:space="preserve">, y (iii) </w:t>
      </w:r>
      <w:r w:rsidRPr="27A11ED1">
        <w:rPr>
          <w:rFonts w:ascii="Verdana" w:eastAsia="Aptos" w:hAnsi="Verdana" w:cs="Arial"/>
          <w:kern w:val="2"/>
          <w:sz w:val="24"/>
          <w:szCs w:val="24"/>
          <w:lang w:val="es-ES" w:eastAsia="en-US"/>
        </w:rPr>
        <w:t>determinar las reglas particulares para la gestión del riesgo ambiental y social en las operaciones crediticias</w:t>
      </w:r>
      <w:r w:rsidR="00373B44" w:rsidRPr="27A11ED1">
        <w:rPr>
          <w:rFonts w:ascii="Verdana" w:eastAsia="Aptos" w:hAnsi="Verdana" w:cs="Arial"/>
          <w:kern w:val="2"/>
          <w:sz w:val="24"/>
          <w:szCs w:val="24"/>
          <w:lang w:val="es-ES" w:eastAsia="en-US"/>
        </w:rPr>
        <w:t>.</w:t>
      </w:r>
    </w:p>
    <w:p w14:paraId="3220173B" w14:textId="77777777" w:rsidR="008B2EE6" w:rsidRPr="008B2EE6" w:rsidRDefault="008B2EE6" w:rsidP="008B2EE6">
      <w:pPr>
        <w:pStyle w:val="Piedepgina"/>
        <w:tabs>
          <w:tab w:val="right" w:pos="8789"/>
        </w:tabs>
        <w:jc w:val="both"/>
        <w:rPr>
          <w:rFonts w:ascii="Verdana" w:hAnsi="Verdana" w:cs="Arial"/>
          <w:b/>
          <w:bCs/>
          <w:sz w:val="24"/>
          <w:szCs w:val="24"/>
          <w:lang w:val="es-ES"/>
        </w:rPr>
      </w:pPr>
    </w:p>
    <w:p w14:paraId="142813B2" w14:textId="298C765A" w:rsidR="008B2EE6" w:rsidRPr="008B2EE6" w:rsidRDefault="008B2EE6" w:rsidP="008B2EE6">
      <w:pPr>
        <w:pStyle w:val="Piedepgina"/>
        <w:tabs>
          <w:tab w:val="right" w:pos="8789"/>
        </w:tabs>
        <w:jc w:val="both"/>
        <w:rPr>
          <w:rFonts w:ascii="Verdana" w:hAnsi="Verdana" w:cs="Arial"/>
          <w:sz w:val="24"/>
          <w:szCs w:val="24"/>
          <w:lang w:val="es-ES"/>
        </w:rPr>
      </w:pPr>
      <w:r w:rsidRPr="008B2EE6">
        <w:rPr>
          <w:rFonts w:ascii="Verdana" w:hAnsi="Verdana" w:cs="Arial"/>
          <w:sz w:val="24"/>
          <w:szCs w:val="24"/>
          <w:lang w:val="es-ES"/>
        </w:rPr>
        <w:t xml:space="preserve">En virtud de lo expuesto, esta Superintendencia en </w:t>
      </w:r>
      <w:r w:rsidR="00A3204E">
        <w:rPr>
          <w:rFonts w:ascii="Verdana" w:hAnsi="Verdana" w:cs="Arial"/>
          <w:sz w:val="24"/>
          <w:szCs w:val="24"/>
          <w:lang w:val="es-ES"/>
        </w:rPr>
        <w:t xml:space="preserve">desarrollo de lo previsto </w:t>
      </w:r>
      <w:r w:rsidR="00BC783A">
        <w:rPr>
          <w:rFonts w:ascii="Verdana" w:hAnsi="Verdana" w:cs="Arial"/>
          <w:sz w:val="24"/>
          <w:szCs w:val="24"/>
          <w:lang w:val="es-ES"/>
        </w:rPr>
        <w:t xml:space="preserve">en </w:t>
      </w:r>
      <w:r w:rsidR="00592E86">
        <w:rPr>
          <w:rFonts w:ascii="Verdana" w:hAnsi="Verdana" w:cs="Arial"/>
          <w:sz w:val="24"/>
          <w:szCs w:val="24"/>
          <w:lang w:val="es-ES"/>
        </w:rPr>
        <w:t xml:space="preserve">el </w:t>
      </w:r>
      <w:r w:rsidR="00322ED9">
        <w:rPr>
          <w:rFonts w:ascii="Verdana" w:hAnsi="Verdana" w:cs="Arial"/>
          <w:sz w:val="24"/>
          <w:szCs w:val="24"/>
          <w:lang w:val="es-ES"/>
        </w:rPr>
        <w:t>numeral 4 del artículo 3 de</w:t>
      </w:r>
      <w:r w:rsidR="00BC783A">
        <w:rPr>
          <w:rFonts w:ascii="Verdana" w:hAnsi="Verdana" w:cs="Arial"/>
          <w:sz w:val="24"/>
          <w:szCs w:val="24"/>
          <w:lang w:val="es-ES"/>
        </w:rPr>
        <w:t xml:space="preserve"> </w:t>
      </w:r>
      <w:r w:rsidR="00747199">
        <w:rPr>
          <w:rFonts w:ascii="Verdana" w:hAnsi="Verdana" w:cs="Arial"/>
          <w:sz w:val="24"/>
          <w:szCs w:val="24"/>
          <w:lang w:val="es-ES"/>
        </w:rPr>
        <w:t xml:space="preserve">la </w:t>
      </w:r>
      <w:r w:rsidR="00BC783A">
        <w:rPr>
          <w:rFonts w:ascii="Verdana" w:hAnsi="Verdana" w:cs="Arial"/>
          <w:sz w:val="24"/>
          <w:szCs w:val="24"/>
        </w:rPr>
        <w:t>Ley 2294 de 2023</w:t>
      </w:r>
      <w:r w:rsidR="003169AF">
        <w:rPr>
          <w:rFonts w:ascii="Verdana" w:hAnsi="Verdana" w:cs="Arial"/>
          <w:sz w:val="24"/>
          <w:szCs w:val="24"/>
        </w:rPr>
        <w:t>,</w:t>
      </w:r>
      <w:r w:rsidR="00747199">
        <w:rPr>
          <w:rFonts w:ascii="Verdana" w:hAnsi="Verdana" w:cs="Arial"/>
          <w:sz w:val="24"/>
          <w:szCs w:val="24"/>
        </w:rPr>
        <w:t xml:space="preserve"> y en </w:t>
      </w:r>
      <w:r w:rsidRPr="008B2EE6">
        <w:rPr>
          <w:rFonts w:ascii="Verdana" w:hAnsi="Verdana" w:cs="Arial"/>
          <w:sz w:val="24"/>
          <w:szCs w:val="24"/>
          <w:lang w:val="es-ES"/>
        </w:rPr>
        <w:t>ejercicio de las facultades previstas en el numeral 3 del artículo 326 del Estatuto Orgánico del Sistema Financiero, así como en el numeral 5 del artículo 11.2.1.4.2. del Decreto 2555 de 2010, imparte las siguientes instrucciones:</w:t>
      </w:r>
    </w:p>
    <w:p w14:paraId="60883E4C" w14:textId="77777777" w:rsidR="008B2EE6" w:rsidRPr="008B2EE6" w:rsidRDefault="008B2EE6" w:rsidP="008B2EE6">
      <w:pPr>
        <w:jc w:val="both"/>
        <w:rPr>
          <w:rFonts w:ascii="Verdana" w:hAnsi="Verdana" w:cs="Arial"/>
          <w:sz w:val="24"/>
          <w:szCs w:val="24"/>
          <w:lang w:val="es-CO"/>
        </w:rPr>
      </w:pPr>
    </w:p>
    <w:p w14:paraId="7FC4461F" w14:textId="7ADA8D8F" w:rsidR="002758C1" w:rsidRPr="008B2EE6" w:rsidRDefault="008B2EE6" w:rsidP="002758C1">
      <w:pPr>
        <w:autoSpaceDE w:val="0"/>
        <w:autoSpaceDN w:val="0"/>
        <w:adjustRightInd w:val="0"/>
        <w:jc w:val="both"/>
        <w:rPr>
          <w:rFonts w:ascii="Verdana" w:hAnsi="Verdana" w:cs="Arial"/>
          <w:sz w:val="24"/>
          <w:szCs w:val="24"/>
          <w:lang w:val="es-ES"/>
        </w:rPr>
      </w:pPr>
      <w:r w:rsidRPr="27A11ED1">
        <w:rPr>
          <w:rFonts w:ascii="Verdana" w:hAnsi="Verdana" w:cs="Arial"/>
          <w:b/>
          <w:sz w:val="24"/>
          <w:szCs w:val="24"/>
          <w:lang w:val="es-ES"/>
        </w:rPr>
        <w:t xml:space="preserve">PRIMERA: </w:t>
      </w:r>
      <w:r w:rsidR="002758C1" w:rsidRPr="27A11ED1">
        <w:rPr>
          <w:rFonts w:ascii="Verdana" w:hAnsi="Verdana" w:cs="Arial"/>
          <w:sz w:val="24"/>
          <w:szCs w:val="24"/>
          <w:lang w:val="es-ES"/>
        </w:rPr>
        <w:t>A</w:t>
      </w:r>
      <w:r w:rsidRPr="27A11ED1">
        <w:rPr>
          <w:rFonts w:ascii="Verdana" w:hAnsi="Verdana" w:cs="Arial"/>
          <w:sz w:val="24"/>
          <w:szCs w:val="24"/>
          <w:lang w:val="es-ES"/>
        </w:rPr>
        <w:t>dicionar el Capítulo XXXIII «</w:t>
      </w:r>
      <w:r w:rsidR="002758C1" w:rsidRPr="27A11ED1">
        <w:rPr>
          <w:rFonts w:ascii="Verdana" w:hAnsi="Verdana" w:cs="Arial"/>
          <w:i/>
          <w:sz w:val="24"/>
          <w:szCs w:val="24"/>
          <w:lang w:val="es-ES"/>
        </w:rPr>
        <w:t>Reglas para la integración de factores ambientales, sociales, incluidos los climáticos</w:t>
      </w:r>
      <w:r w:rsidRPr="27A11ED1">
        <w:rPr>
          <w:rFonts w:ascii="Verdana" w:hAnsi="Verdana" w:cs="Arial"/>
          <w:sz w:val="24"/>
          <w:szCs w:val="24"/>
          <w:lang w:val="es-ES"/>
        </w:rPr>
        <w:t>» a la Circular Básica Contable y Financiera</w:t>
      </w:r>
      <w:r w:rsidR="000963E4" w:rsidRPr="27A11ED1">
        <w:rPr>
          <w:rFonts w:ascii="Verdana" w:hAnsi="Verdana" w:cs="Arial"/>
          <w:sz w:val="24"/>
          <w:szCs w:val="24"/>
          <w:lang w:val="es-ES"/>
        </w:rPr>
        <w:t xml:space="preserve"> (CBCF)</w:t>
      </w:r>
      <w:r w:rsidRPr="27A11ED1">
        <w:rPr>
          <w:rFonts w:ascii="Verdana" w:hAnsi="Verdana" w:cs="Arial"/>
          <w:sz w:val="24"/>
          <w:szCs w:val="24"/>
          <w:lang w:val="es-ES"/>
        </w:rPr>
        <w:t xml:space="preserve"> para incluir</w:t>
      </w:r>
      <w:r w:rsidR="002758C1" w:rsidRPr="27A11ED1">
        <w:rPr>
          <w:rFonts w:ascii="Verdana" w:hAnsi="Verdana" w:cs="Arial"/>
          <w:sz w:val="24"/>
          <w:szCs w:val="24"/>
          <w:lang w:val="es-ES"/>
        </w:rPr>
        <w:t>: (i)</w:t>
      </w:r>
      <w:r w:rsidRPr="27A11ED1">
        <w:rPr>
          <w:rFonts w:ascii="Verdana" w:hAnsi="Verdana" w:cs="Arial"/>
          <w:sz w:val="24"/>
          <w:szCs w:val="24"/>
          <w:lang w:val="es-ES"/>
        </w:rPr>
        <w:t xml:space="preserve"> los lineamientos y el contenido mínimo de la Política Ambiental y Social de las entidades vigiladas</w:t>
      </w:r>
      <w:r w:rsidR="002758C1" w:rsidRPr="27A11ED1">
        <w:rPr>
          <w:rFonts w:ascii="Verdana" w:hAnsi="Verdana" w:cs="Arial"/>
          <w:sz w:val="24"/>
          <w:szCs w:val="24"/>
          <w:lang w:val="es-ES"/>
        </w:rPr>
        <w:t>, (ii) las instrucciones sobre administración de riesgos ambientales y sociales</w:t>
      </w:r>
      <w:r w:rsidR="00226ACA" w:rsidRPr="27A11ED1">
        <w:rPr>
          <w:rFonts w:ascii="Verdana" w:hAnsi="Verdana" w:cs="Arial"/>
          <w:sz w:val="24"/>
          <w:szCs w:val="24"/>
          <w:lang w:val="es-ES"/>
        </w:rPr>
        <w:t>, incluido</w:t>
      </w:r>
      <w:r w:rsidR="00D15136" w:rsidRPr="27A11ED1">
        <w:rPr>
          <w:rFonts w:ascii="Verdana" w:hAnsi="Verdana" w:cs="Arial"/>
          <w:sz w:val="24"/>
          <w:szCs w:val="24"/>
          <w:lang w:val="es-ES"/>
        </w:rPr>
        <w:t>s</w:t>
      </w:r>
      <w:r w:rsidR="00226ACA" w:rsidRPr="27A11ED1">
        <w:rPr>
          <w:rFonts w:ascii="Verdana" w:hAnsi="Verdana" w:cs="Arial"/>
          <w:sz w:val="24"/>
          <w:szCs w:val="24"/>
          <w:lang w:val="es-ES"/>
        </w:rPr>
        <w:t xml:space="preserve"> </w:t>
      </w:r>
      <w:r w:rsidR="00D15136" w:rsidRPr="27A11ED1">
        <w:rPr>
          <w:rFonts w:ascii="Verdana" w:hAnsi="Verdana" w:cs="Arial"/>
          <w:sz w:val="24"/>
          <w:szCs w:val="24"/>
          <w:lang w:val="es-ES"/>
        </w:rPr>
        <w:t xml:space="preserve">los </w:t>
      </w:r>
      <w:r w:rsidR="00226ACA" w:rsidRPr="27A11ED1">
        <w:rPr>
          <w:rFonts w:ascii="Verdana" w:hAnsi="Verdana" w:cs="Arial"/>
          <w:sz w:val="24"/>
          <w:szCs w:val="24"/>
          <w:lang w:val="es-ES"/>
        </w:rPr>
        <w:t>climático</w:t>
      </w:r>
      <w:r w:rsidR="00BB62FB" w:rsidRPr="27A11ED1">
        <w:rPr>
          <w:rFonts w:ascii="Verdana" w:hAnsi="Verdana" w:cs="Arial"/>
          <w:sz w:val="24"/>
          <w:szCs w:val="24"/>
          <w:lang w:val="es-ES"/>
        </w:rPr>
        <w:t>s</w:t>
      </w:r>
      <w:r w:rsidR="002758C1" w:rsidRPr="27A11ED1">
        <w:rPr>
          <w:rFonts w:ascii="Verdana" w:hAnsi="Verdana" w:cs="Arial"/>
          <w:sz w:val="24"/>
          <w:szCs w:val="24"/>
          <w:lang w:val="es-ES"/>
        </w:rPr>
        <w:t xml:space="preserve"> y (iii) las reglas particulares para la gestión de</w:t>
      </w:r>
      <w:r w:rsidR="00403008" w:rsidRPr="27A11ED1">
        <w:rPr>
          <w:rFonts w:ascii="Verdana" w:hAnsi="Verdana" w:cs="Arial"/>
          <w:sz w:val="24"/>
          <w:szCs w:val="24"/>
          <w:lang w:val="es-ES"/>
        </w:rPr>
        <w:t>l</w:t>
      </w:r>
      <w:r w:rsidR="002758C1" w:rsidRPr="27A11ED1">
        <w:rPr>
          <w:rFonts w:ascii="Verdana" w:hAnsi="Verdana" w:cs="Arial"/>
          <w:sz w:val="24"/>
          <w:szCs w:val="24"/>
          <w:lang w:val="es-ES"/>
        </w:rPr>
        <w:t xml:space="preserve"> riesgo ambiental y social, incluido el climático, en las operaciones crediticias.</w:t>
      </w:r>
    </w:p>
    <w:p w14:paraId="27C308AD" w14:textId="77777777" w:rsidR="002758C1" w:rsidRPr="008B2EE6" w:rsidRDefault="002758C1" w:rsidP="008B2EE6">
      <w:pPr>
        <w:widowControl w:val="0"/>
        <w:autoSpaceDE w:val="0"/>
        <w:autoSpaceDN w:val="0"/>
        <w:adjustRightInd w:val="0"/>
        <w:jc w:val="both"/>
        <w:rPr>
          <w:rFonts w:ascii="Verdana" w:hAnsi="Verdana" w:cs="Arial"/>
          <w:sz w:val="24"/>
          <w:szCs w:val="24"/>
        </w:rPr>
      </w:pPr>
    </w:p>
    <w:p w14:paraId="0030A09B" w14:textId="3DB5710A" w:rsidR="008B2EE6" w:rsidRPr="008B2EE6" w:rsidRDefault="002758C1" w:rsidP="008B2EE6">
      <w:pPr>
        <w:widowControl w:val="0"/>
        <w:autoSpaceDE w:val="0"/>
        <w:autoSpaceDN w:val="0"/>
        <w:adjustRightInd w:val="0"/>
        <w:jc w:val="both"/>
        <w:rPr>
          <w:rFonts w:ascii="Verdana" w:hAnsi="Verdana" w:cs="Arial"/>
          <w:sz w:val="24"/>
          <w:szCs w:val="24"/>
        </w:rPr>
      </w:pPr>
      <w:r>
        <w:rPr>
          <w:rFonts w:ascii="Verdana" w:hAnsi="Verdana" w:cs="Arial"/>
          <w:b/>
          <w:bCs/>
          <w:sz w:val="24"/>
          <w:szCs w:val="24"/>
        </w:rPr>
        <w:t>SEGUNDA</w:t>
      </w:r>
      <w:r w:rsidR="008B2EE6" w:rsidRPr="008B2EE6">
        <w:rPr>
          <w:rFonts w:ascii="Verdana" w:hAnsi="Verdana" w:cs="Arial"/>
          <w:b/>
          <w:bCs/>
          <w:sz w:val="24"/>
          <w:szCs w:val="24"/>
        </w:rPr>
        <w:t xml:space="preserve">: RÉGIMEN DE TRANSICIÓN. </w:t>
      </w:r>
      <w:r w:rsidR="008B2EE6" w:rsidRPr="008B2EE6">
        <w:rPr>
          <w:rFonts w:ascii="Verdana" w:hAnsi="Verdana" w:cs="Arial"/>
          <w:sz w:val="24"/>
          <w:szCs w:val="24"/>
        </w:rPr>
        <w:t>Para efectos de la aplicación de las instrucciones de la presente Circular se tendrán en cuenta los siguientes lineamientos:</w:t>
      </w:r>
    </w:p>
    <w:p w14:paraId="648DFFEC" w14:textId="77777777" w:rsidR="008B2EE6" w:rsidRPr="008B2EE6" w:rsidRDefault="008B2EE6" w:rsidP="008B2EE6">
      <w:pPr>
        <w:widowControl w:val="0"/>
        <w:autoSpaceDE w:val="0"/>
        <w:autoSpaceDN w:val="0"/>
        <w:adjustRightInd w:val="0"/>
        <w:jc w:val="both"/>
        <w:rPr>
          <w:rFonts w:ascii="Verdana" w:hAnsi="Verdana" w:cs="Arial"/>
          <w:sz w:val="24"/>
          <w:szCs w:val="24"/>
        </w:rPr>
      </w:pPr>
    </w:p>
    <w:p w14:paraId="369FE19E" w14:textId="442C2AC3" w:rsidR="008B2EE6" w:rsidRPr="008B2EE6" w:rsidRDefault="002758C1" w:rsidP="008B2EE6">
      <w:pPr>
        <w:widowControl w:val="0"/>
        <w:autoSpaceDE w:val="0"/>
        <w:autoSpaceDN w:val="0"/>
        <w:adjustRightInd w:val="0"/>
        <w:jc w:val="both"/>
        <w:rPr>
          <w:rFonts w:ascii="Verdana" w:hAnsi="Verdana" w:cs="Arial"/>
          <w:sz w:val="24"/>
          <w:szCs w:val="24"/>
          <w:lang w:val="es-ES"/>
        </w:rPr>
      </w:pPr>
      <w:r w:rsidRPr="27A11ED1">
        <w:rPr>
          <w:rFonts w:ascii="Verdana" w:hAnsi="Verdana" w:cs="Arial"/>
          <w:sz w:val="24"/>
          <w:szCs w:val="24"/>
          <w:lang w:val="es-ES"/>
        </w:rPr>
        <w:t>2</w:t>
      </w:r>
      <w:r w:rsidR="008B2EE6" w:rsidRPr="27A11ED1">
        <w:rPr>
          <w:rFonts w:ascii="Verdana" w:hAnsi="Verdana" w:cs="Arial"/>
          <w:sz w:val="24"/>
          <w:szCs w:val="24"/>
          <w:lang w:val="es-ES"/>
        </w:rPr>
        <w:t xml:space="preserve">.1. Las disposiciones </w:t>
      </w:r>
      <w:r w:rsidR="00403008" w:rsidRPr="27A11ED1">
        <w:rPr>
          <w:rFonts w:ascii="Verdana" w:hAnsi="Verdana" w:cs="Arial"/>
          <w:sz w:val="24"/>
          <w:szCs w:val="24"/>
          <w:lang w:val="es-ES"/>
        </w:rPr>
        <w:t xml:space="preserve">a las que se refiere </w:t>
      </w:r>
      <w:r w:rsidR="00B30344" w:rsidRPr="27A11ED1">
        <w:rPr>
          <w:rFonts w:ascii="Verdana" w:hAnsi="Verdana" w:cs="Arial"/>
          <w:sz w:val="24"/>
          <w:szCs w:val="24"/>
          <w:lang w:val="es-ES"/>
        </w:rPr>
        <w:t>la Sección</w:t>
      </w:r>
      <w:r w:rsidR="00403008" w:rsidRPr="27A11ED1">
        <w:rPr>
          <w:rFonts w:ascii="Verdana" w:hAnsi="Verdana" w:cs="Arial"/>
          <w:sz w:val="24"/>
          <w:szCs w:val="24"/>
          <w:lang w:val="es-ES"/>
        </w:rPr>
        <w:t xml:space="preserve"> 1 del</w:t>
      </w:r>
      <w:r w:rsidR="008B2EE6" w:rsidRPr="27A11ED1">
        <w:rPr>
          <w:rFonts w:ascii="Verdana" w:hAnsi="Verdana" w:cs="Arial"/>
          <w:sz w:val="24"/>
          <w:szCs w:val="24"/>
          <w:lang w:val="es-ES"/>
        </w:rPr>
        <w:t xml:space="preserve"> Capítulo XXXIII «</w:t>
      </w:r>
      <w:r w:rsidR="00403008" w:rsidRPr="27A11ED1">
        <w:rPr>
          <w:rFonts w:ascii="Verdana" w:hAnsi="Verdana" w:cs="Arial"/>
          <w:i/>
          <w:sz w:val="24"/>
          <w:szCs w:val="24"/>
          <w:lang w:val="es-ES"/>
        </w:rPr>
        <w:t>Reglas para la integración de factores ambientales, sociales, incluidos los climáticos</w:t>
      </w:r>
      <w:r w:rsidR="008B2EE6" w:rsidRPr="27A11ED1">
        <w:rPr>
          <w:rFonts w:ascii="Verdana" w:hAnsi="Verdana" w:cs="Arial"/>
          <w:sz w:val="24"/>
          <w:szCs w:val="24"/>
          <w:lang w:val="es-ES"/>
        </w:rPr>
        <w:t xml:space="preserve">» de la </w:t>
      </w:r>
      <w:r w:rsidR="000963E4" w:rsidRPr="27A11ED1">
        <w:rPr>
          <w:rFonts w:ascii="Verdana" w:hAnsi="Verdana" w:cs="Arial"/>
          <w:sz w:val="24"/>
          <w:szCs w:val="24"/>
          <w:lang w:val="es-ES"/>
        </w:rPr>
        <w:t>CBCF</w:t>
      </w:r>
      <w:r w:rsidR="008B2EE6" w:rsidRPr="27A11ED1">
        <w:rPr>
          <w:rFonts w:ascii="Verdana" w:hAnsi="Verdana" w:cs="Arial"/>
          <w:sz w:val="24"/>
          <w:szCs w:val="24"/>
          <w:lang w:val="es-ES"/>
        </w:rPr>
        <w:t>,</w:t>
      </w:r>
      <w:r w:rsidRPr="27A11ED1">
        <w:rPr>
          <w:rFonts w:ascii="Verdana" w:hAnsi="Verdana" w:cs="Arial"/>
          <w:sz w:val="24"/>
          <w:szCs w:val="24"/>
          <w:lang w:val="es-ES"/>
        </w:rPr>
        <w:t xml:space="preserve"> sobre</w:t>
      </w:r>
      <w:r w:rsidR="008B2EE6" w:rsidRPr="27A11ED1">
        <w:rPr>
          <w:rFonts w:ascii="Verdana" w:hAnsi="Verdana" w:cs="Arial"/>
          <w:sz w:val="24"/>
          <w:szCs w:val="24"/>
          <w:lang w:val="es-ES"/>
        </w:rPr>
        <w:t xml:space="preserve"> </w:t>
      </w:r>
      <w:r w:rsidRPr="27A11ED1">
        <w:rPr>
          <w:rFonts w:ascii="Verdana" w:hAnsi="Verdana" w:cs="Arial"/>
          <w:sz w:val="24"/>
          <w:szCs w:val="24"/>
          <w:lang w:val="es-ES"/>
        </w:rPr>
        <w:t>los lineamientos y el contenido mínimo de la Política Ambiental y Social de las entidades vigiladas</w:t>
      </w:r>
      <w:r w:rsidR="00403008" w:rsidRPr="27A11ED1">
        <w:rPr>
          <w:rFonts w:ascii="Verdana" w:hAnsi="Verdana" w:cs="Arial"/>
          <w:sz w:val="24"/>
          <w:szCs w:val="24"/>
          <w:lang w:val="es-ES"/>
        </w:rPr>
        <w:t>,</w:t>
      </w:r>
      <w:r w:rsidRPr="27A11ED1">
        <w:rPr>
          <w:rFonts w:ascii="Verdana" w:hAnsi="Verdana" w:cs="Arial"/>
          <w:sz w:val="24"/>
          <w:szCs w:val="24"/>
          <w:lang w:val="es-ES"/>
        </w:rPr>
        <w:t xml:space="preserve"> </w:t>
      </w:r>
      <w:r w:rsidR="008B2EE6" w:rsidRPr="27A11ED1">
        <w:rPr>
          <w:rFonts w:ascii="Verdana" w:hAnsi="Verdana" w:cs="Arial"/>
          <w:sz w:val="24"/>
          <w:szCs w:val="24"/>
          <w:lang w:val="es-ES"/>
        </w:rPr>
        <w:t>deberán implementarse en un plazo no mayor a 6 meses contados a partir de la fecha de publicación de la presente Circular.</w:t>
      </w:r>
    </w:p>
    <w:p w14:paraId="2E9F4D4E" w14:textId="77777777" w:rsidR="008B2EE6" w:rsidRPr="008B2EE6" w:rsidRDefault="008B2EE6" w:rsidP="008B2EE6">
      <w:pPr>
        <w:widowControl w:val="0"/>
        <w:autoSpaceDE w:val="0"/>
        <w:autoSpaceDN w:val="0"/>
        <w:adjustRightInd w:val="0"/>
        <w:jc w:val="both"/>
        <w:rPr>
          <w:rFonts w:ascii="Verdana" w:hAnsi="Verdana" w:cs="Arial"/>
          <w:bCs/>
          <w:sz w:val="24"/>
          <w:szCs w:val="24"/>
        </w:rPr>
      </w:pPr>
    </w:p>
    <w:p w14:paraId="30657A2F" w14:textId="2CC544BC" w:rsidR="002758C1" w:rsidRDefault="002758C1" w:rsidP="008B2EE6">
      <w:pPr>
        <w:widowControl w:val="0"/>
        <w:autoSpaceDE w:val="0"/>
        <w:autoSpaceDN w:val="0"/>
        <w:adjustRightInd w:val="0"/>
        <w:jc w:val="both"/>
        <w:rPr>
          <w:rFonts w:ascii="Verdana" w:hAnsi="Verdana" w:cs="Arial"/>
          <w:sz w:val="24"/>
          <w:szCs w:val="24"/>
          <w:lang w:val="es-ES"/>
        </w:rPr>
      </w:pPr>
      <w:r w:rsidRPr="27A11ED1">
        <w:rPr>
          <w:rFonts w:ascii="Verdana" w:hAnsi="Verdana" w:cs="Arial"/>
          <w:sz w:val="24"/>
          <w:szCs w:val="24"/>
          <w:lang w:val="es-ES"/>
        </w:rPr>
        <w:t>2</w:t>
      </w:r>
      <w:r w:rsidR="008B2EE6" w:rsidRPr="27A11ED1">
        <w:rPr>
          <w:rFonts w:ascii="Verdana" w:hAnsi="Verdana" w:cs="Arial"/>
          <w:sz w:val="24"/>
          <w:szCs w:val="24"/>
          <w:lang w:val="es-ES"/>
        </w:rPr>
        <w:t xml:space="preserve">.2. </w:t>
      </w:r>
      <w:r w:rsidRPr="27A11ED1">
        <w:rPr>
          <w:rFonts w:ascii="Verdana" w:hAnsi="Verdana" w:cs="Arial"/>
          <w:sz w:val="24"/>
          <w:szCs w:val="24"/>
          <w:lang w:val="es-ES"/>
        </w:rPr>
        <w:t xml:space="preserve">Las disposiciones contenidas en </w:t>
      </w:r>
      <w:r w:rsidR="00B30344" w:rsidRPr="27A11ED1">
        <w:rPr>
          <w:rFonts w:ascii="Verdana" w:hAnsi="Verdana" w:cs="Arial"/>
          <w:sz w:val="24"/>
          <w:szCs w:val="24"/>
          <w:lang w:val="es-ES"/>
        </w:rPr>
        <w:t>la Sección</w:t>
      </w:r>
      <w:r w:rsidR="00403008" w:rsidRPr="27A11ED1">
        <w:rPr>
          <w:rFonts w:ascii="Verdana" w:hAnsi="Verdana" w:cs="Arial"/>
          <w:sz w:val="24"/>
          <w:szCs w:val="24"/>
          <w:lang w:val="es-ES"/>
        </w:rPr>
        <w:t xml:space="preserve"> 2 d</w:t>
      </w:r>
      <w:r w:rsidRPr="27A11ED1">
        <w:rPr>
          <w:rFonts w:ascii="Verdana" w:hAnsi="Verdana" w:cs="Arial"/>
          <w:sz w:val="24"/>
          <w:szCs w:val="24"/>
          <w:lang w:val="es-ES"/>
        </w:rPr>
        <w:t>el Capítulo XXXIII «</w:t>
      </w:r>
      <w:r w:rsidRPr="27A11ED1">
        <w:rPr>
          <w:rFonts w:ascii="Verdana" w:hAnsi="Verdana" w:cs="Arial"/>
          <w:i/>
          <w:sz w:val="24"/>
          <w:szCs w:val="24"/>
          <w:lang w:val="es-ES"/>
        </w:rPr>
        <w:t>Política Ambiental y Social</w:t>
      </w:r>
      <w:r w:rsidRPr="27A11ED1">
        <w:rPr>
          <w:rFonts w:ascii="Verdana" w:hAnsi="Verdana" w:cs="Arial"/>
          <w:sz w:val="24"/>
          <w:szCs w:val="24"/>
          <w:lang w:val="es-ES"/>
        </w:rPr>
        <w:t xml:space="preserve">» de la </w:t>
      </w:r>
      <w:r w:rsidR="000963E4" w:rsidRPr="27A11ED1">
        <w:rPr>
          <w:rFonts w:ascii="Verdana" w:hAnsi="Verdana" w:cs="Arial"/>
          <w:sz w:val="24"/>
          <w:szCs w:val="24"/>
          <w:lang w:val="es-ES"/>
        </w:rPr>
        <w:t>CBCF</w:t>
      </w:r>
      <w:r w:rsidRPr="27A11ED1">
        <w:rPr>
          <w:rFonts w:ascii="Verdana" w:hAnsi="Verdana" w:cs="Arial"/>
          <w:sz w:val="24"/>
          <w:szCs w:val="24"/>
          <w:lang w:val="es-ES"/>
        </w:rPr>
        <w:t>, sobre administración de riesgos ambientales y sociales</w:t>
      </w:r>
      <w:r w:rsidR="00B46A2A" w:rsidRPr="27A11ED1">
        <w:rPr>
          <w:rFonts w:ascii="Verdana" w:hAnsi="Verdana" w:cs="Arial"/>
          <w:sz w:val="24"/>
          <w:szCs w:val="24"/>
          <w:lang w:val="es-ES"/>
        </w:rPr>
        <w:t>, incluidos los climáticos</w:t>
      </w:r>
      <w:r w:rsidR="00B30344" w:rsidRPr="27A11ED1">
        <w:rPr>
          <w:rFonts w:ascii="Verdana" w:hAnsi="Verdana" w:cs="Arial"/>
          <w:sz w:val="24"/>
          <w:szCs w:val="24"/>
          <w:lang w:val="es-ES"/>
        </w:rPr>
        <w:t>,</w:t>
      </w:r>
      <w:r w:rsidRPr="27A11ED1">
        <w:rPr>
          <w:rFonts w:ascii="Verdana" w:hAnsi="Verdana" w:cs="Arial"/>
          <w:sz w:val="24"/>
          <w:szCs w:val="24"/>
          <w:lang w:val="es-ES"/>
        </w:rPr>
        <w:t xml:space="preserve"> deberán implementarse en un plazo no mayor a 18 meses contados a partir de la fecha de publicación de la presente Circular.</w:t>
      </w:r>
    </w:p>
    <w:p w14:paraId="400D368A" w14:textId="77777777" w:rsidR="00403008" w:rsidRDefault="00403008" w:rsidP="008B2EE6">
      <w:pPr>
        <w:widowControl w:val="0"/>
        <w:autoSpaceDE w:val="0"/>
        <w:autoSpaceDN w:val="0"/>
        <w:adjustRightInd w:val="0"/>
        <w:jc w:val="both"/>
        <w:rPr>
          <w:rFonts w:ascii="Verdana" w:hAnsi="Verdana" w:cs="Arial"/>
          <w:bCs/>
          <w:sz w:val="24"/>
          <w:szCs w:val="24"/>
        </w:rPr>
      </w:pPr>
    </w:p>
    <w:p w14:paraId="55F22153" w14:textId="77777777" w:rsidR="00403008" w:rsidRDefault="00403008" w:rsidP="00403008">
      <w:pPr>
        <w:widowControl w:val="0"/>
        <w:autoSpaceDE w:val="0"/>
        <w:autoSpaceDN w:val="0"/>
        <w:adjustRightInd w:val="0"/>
        <w:jc w:val="both"/>
        <w:rPr>
          <w:rFonts w:ascii="Verdana" w:hAnsi="Verdana" w:cs="Arial"/>
          <w:sz w:val="24"/>
          <w:szCs w:val="24"/>
          <w:lang w:val="es-ES"/>
        </w:rPr>
      </w:pPr>
      <w:r w:rsidRPr="27A11ED1">
        <w:rPr>
          <w:rFonts w:ascii="Verdana" w:hAnsi="Verdana" w:cs="Arial"/>
          <w:sz w:val="24"/>
          <w:szCs w:val="24"/>
          <w:lang w:val="es-ES"/>
        </w:rPr>
        <w:t>2.3. Las disposiciones contenidas en el numeral 3 del Capítulo XXXIII «</w:t>
      </w:r>
      <w:r w:rsidRPr="27A11ED1">
        <w:rPr>
          <w:rFonts w:ascii="Verdana" w:hAnsi="Verdana" w:cs="Arial"/>
          <w:i/>
          <w:sz w:val="24"/>
          <w:szCs w:val="24"/>
          <w:lang w:val="es-ES"/>
        </w:rPr>
        <w:t>Política Ambiental y Social</w:t>
      </w:r>
      <w:r w:rsidRPr="27A11ED1">
        <w:rPr>
          <w:rFonts w:ascii="Verdana" w:hAnsi="Verdana" w:cs="Arial"/>
          <w:sz w:val="24"/>
          <w:szCs w:val="24"/>
          <w:lang w:val="es-ES"/>
        </w:rPr>
        <w:t xml:space="preserve">» de la Circular Básica Contable y Financiera, sobre las reglas particulares para la gestión de riesgo ambiental y social, incluido el climático, en las operaciones crediticias, deberán implementarse en un plazo no mayor a 18 meses contados a partir de la </w:t>
      </w:r>
      <w:r w:rsidRPr="27A11ED1">
        <w:rPr>
          <w:rFonts w:ascii="Verdana" w:hAnsi="Verdana" w:cs="Arial"/>
          <w:sz w:val="24"/>
          <w:szCs w:val="24"/>
          <w:lang w:val="es-ES"/>
        </w:rPr>
        <w:lastRenderedPageBreak/>
        <w:t>fecha de publicación de la presente Circular.</w:t>
      </w:r>
    </w:p>
    <w:p w14:paraId="44F55B26" w14:textId="77777777" w:rsidR="002758C1" w:rsidRPr="00BD2212" w:rsidRDefault="002758C1" w:rsidP="008B2EE6">
      <w:pPr>
        <w:widowControl w:val="0"/>
        <w:autoSpaceDE w:val="0"/>
        <w:autoSpaceDN w:val="0"/>
        <w:adjustRightInd w:val="0"/>
        <w:jc w:val="both"/>
        <w:rPr>
          <w:rFonts w:ascii="Verdana" w:hAnsi="Verdana" w:cs="Arial"/>
          <w:b/>
          <w:sz w:val="24"/>
          <w:szCs w:val="24"/>
        </w:rPr>
      </w:pPr>
    </w:p>
    <w:p w14:paraId="30F8551B" w14:textId="0D631407" w:rsidR="00B30344" w:rsidRPr="008B2EE6" w:rsidRDefault="002758C1" w:rsidP="008B2EE6">
      <w:pPr>
        <w:widowControl w:val="0"/>
        <w:autoSpaceDE w:val="0"/>
        <w:autoSpaceDN w:val="0"/>
        <w:adjustRightInd w:val="0"/>
        <w:jc w:val="both"/>
        <w:rPr>
          <w:rFonts w:ascii="Verdana" w:hAnsi="Verdana" w:cs="Arial"/>
          <w:bCs/>
          <w:sz w:val="24"/>
          <w:szCs w:val="24"/>
        </w:rPr>
      </w:pPr>
      <w:r w:rsidRPr="00BD2212">
        <w:rPr>
          <w:rFonts w:ascii="Verdana" w:hAnsi="Verdana" w:cs="Arial"/>
          <w:b/>
          <w:sz w:val="24"/>
          <w:szCs w:val="24"/>
        </w:rPr>
        <w:t>TERCERA:</w:t>
      </w:r>
      <w:r w:rsidR="00403008">
        <w:rPr>
          <w:rFonts w:ascii="Verdana" w:hAnsi="Verdana" w:cs="Arial"/>
          <w:b/>
          <w:sz w:val="24"/>
          <w:szCs w:val="24"/>
        </w:rPr>
        <w:t xml:space="preserve"> PLAN DE IMPLEMENTACIÓN.</w:t>
      </w:r>
      <w:r w:rsidRPr="00BD2212">
        <w:rPr>
          <w:rFonts w:ascii="Verdana" w:hAnsi="Verdana" w:cs="Arial"/>
          <w:b/>
          <w:sz w:val="24"/>
          <w:szCs w:val="24"/>
        </w:rPr>
        <w:t xml:space="preserve"> </w:t>
      </w:r>
      <w:r>
        <w:rPr>
          <w:rFonts w:ascii="Verdana" w:hAnsi="Verdana" w:cs="Arial"/>
          <w:bCs/>
          <w:sz w:val="24"/>
          <w:szCs w:val="24"/>
        </w:rPr>
        <w:t xml:space="preserve">Las </w:t>
      </w:r>
      <w:r w:rsidRPr="002758C1">
        <w:rPr>
          <w:rFonts w:ascii="Verdana" w:hAnsi="Verdana" w:cs="Arial"/>
          <w:bCs/>
          <w:sz w:val="24"/>
          <w:szCs w:val="24"/>
        </w:rPr>
        <w:t xml:space="preserve">entidades vigiladas deberán remitir a la Superintendencia Financiera de Colombia un plan de </w:t>
      </w:r>
      <w:r>
        <w:rPr>
          <w:rFonts w:ascii="Verdana" w:hAnsi="Verdana" w:cs="Arial"/>
          <w:bCs/>
          <w:sz w:val="24"/>
          <w:szCs w:val="24"/>
        </w:rPr>
        <w:t>implementación</w:t>
      </w:r>
      <w:r w:rsidRPr="002758C1">
        <w:rPr>
          <w:rFonts w:ascii="Verdana" w:hAnsi="Verdana" w:cs="Arial"/>
          <w:bCs/>
          <w:sz w:val="24"/>
          <w:szCs w:val="24"/>
        </w:rPr>
        <w:t xml:space="preserve"> </w:t>
      </w:r>
      <w:r>
        <w:rPr>
          <w:rFonts w:ascii="Verdana" w:hAnsi="Verdana" w:cs="Arial"/>
          <w:bCs/>
          <w:sz w:val="24"/>
          <w:szCs w:val="24"/>
        </w:rPr>
        <w:t xml:space="preserve">de las instrucciones </w:t>
      </w:r>
      <w:r w:rsidR="00B30344">
        <w:rPr>
          <w:rFonts w:ascii="Verdana" w:hAnsi="Verdana" w:cs="Arial"/>
          <w:bCs/>
          <w:sz w:val="24"/>
          <w:szCs w:val="24"/>
        </w:rPr>
        <w:t>de la Sección 1 del nuevo capítulo XXXIII de la CBCF (</w:t>
      </w:r>
      <w:r>
        <w:rPr>
          <w:rFonts w:ascii="Verdana" w:hAnsi="Verdana" w:cs="Arial"/>
          <w:bCs/>
          <w:sz w:val="24"/>
          <w:szCs w:val="24"/>
        </w:rPr>
        <w:t>sobre</w:t>
      </w:r>
      <w:r w:rsidRPr="008B2EE6">
        <w:rPr>
          <w:rFonts w:ascii="Verdana" w:hAnsi="Verdana" w:cs="Arial"/>
          <w:bCs/>
          <w:sz w:val="24"/>
          <w:szCs w:val="24"/>
        </w:rPr>
        <w:t xml:space="preserve"> administración de riesgos ambientales y sociales</w:t>
      </w:r>
      <w:r w:rsidR="00B30344">
        <w:rPr>
          <w:rFonts w:ascii="Verdana" w:hAnsi="Verdana" w:cs="Arial"/>
          <w:bCs/>
          <w:sz w:val="24"/>
          <w:szCs w:val="24"/>
        </w:rPr>
        <w:t>)</w:t>
      </w:r>
      <w:r>
        <w:rPr>
          <w:rFonts w:ascii="Verdana" w:hAnsi="Verdana" w:cs="Arial"/>
          <w:bCs/>
          <w:sz w:val="24"/>
          <w:szCs w:val="24"/>
        </w:rPr>
        <w:t xml:space="preserve"> y</w:t>
      </w:r>
      <w:r w:rsidR="009C48E0">
        <w:rPr>
          <w:rFonts w:ascii="Verdana" w:hAnsi="Verdana" w:cs="Arial"/>
          <w:bCs/>
          <w:sz w:val="24"/>
          <w:szCs w:val="24"/>
        </w:rPr>
        <w:t xml:space="preserve"> </w:t>
      </w:r>
      <w:r w:rsidR="00B30344">
        <w:rPr>
          <w:rFonts w:ascii="Verdana" w:hAnsi="Verdana" w:cs="Arial"/>
          <w:bCs/>
          <w:sz w:val="24"/>
          <w:szCs w:val="24"/>
        </w:rPr>
        <w:t>de la Sección 2 del mismo Capítulo (</w:t>
      </w:r>
      <w:r w:rsidR="00403008">
        <w:rPr>
          <w:rFonts w:ascii="Verdana" w:hAnsi="Verdana" w:cs="Arial"/>
          <w:bCs/>
          <w:sz w:val="24"/>
          <w:szCs w:val="24"/>
        </w:rPr>
        <w:t>sobre</w:t>
      </w:r>
      <w:r>
        <w:rPr>
          <w:rFonts w:ascii="Verdana" w:hAnsi="Verdana" w:cs="Arial"/>
          <w:bCs/>
          <w:sz w:val="24"/>
          <w:szCs w:val="24"/>
        </w:rPr>
        <w:t xml:space="preserve"> las r</w:t>
      </w:r>
      <w:r w:rsidRPr="002758C1">
        <w:rPr>
          <w:rFonts w:ascii="Verdana" w:hAnsi="Verdana" w:cs="Arial"/>
          <w:bCs/>
          <w:sz w:val="24"/>
          <w:szCs w:val="24"/>
        </w:rPr>
        <w:t>eglas particulares para la gestión de</w:t>
      </w:r>
      <w:r w:rsidR="00403008">
        <w:rPr>
          <w:rFonts w:ascii="Verdana" w:hAnsi="Verdana" w:cs="Arial"/>
          <w:bCs/>
          <w:sz w:val="24"/>
          <w:szCs w:val="24"/>
        </w:rPr>
        <w:t>l</w:t>
      </w:r>
      <w:r w:rsidRPr="002758C1">
        <w:rPr>
          <w:rFonts w:ascii="Verdana" w:hAnsi="Verdana" w:cs="Arial"/>
          <w:bCs/>
          <w:sz w:val="24"/>
          <w:szCs w:val="24"/>
        </w:rPr>
        <w:t xml:space="preserve"> riesgo ambiental y social, incluido el climático, en las operaciones crediticia</w:t>
      </w:r>
      <w:r>
        <w:rPr>
          <w:rFonts w:ascii="Verdana" w:hAnsi="Verdana" w:cs="Arial"/>
          <w:bCs/>
          <w:sz w:val="24"/>
          <w:szCs w:val="24"/>
        </w:rPr>
        <w:t>s</w:t>
      </w:r>
      <w:r w:rsidR="00B30344">
        <w:rPr>
          <w:rFonts w:ascii="Verdana" w:hAnsi="Verdana" w:cs="Arial"/>
          <w:bCs/>
          <w:sz w:val="24"/>
          <w:szCs w:val="24"/>
        </w:rPr>
        <w:t>)</w:t>
      </w:r>
      <w:r>
        <w:rPr>
          <w:rFonts w:ascii="Verdana" w:hAnsi="Verdana" w:cs="Arial"/>
          <w:bCs/>
          <w:sz w:val="24"/>
          <w:szCs w:val="24"/>
        </w:rPr>
        <w:t xml:space="preserve">, </w:t>
      </w:r>
      <w:r w:rsidRPr="002758C1">
        <w:rPr>
          <w:rFonts w:ascii="Verdana" w:hAnsi="Verdana" w:cs="Arial"/>
          <w:bCs/>
          <w:sz w:val="24"/>
          <w:szCs w:val="24"/>
        </w:rPr>
        <w:t xml:space="preserve">a más tardar el </w:t>
      </w:r>
      <w:r>
        <w:rPr>
          <w:rFonts w:ascii="Verdana" w:hAnsi="Verdana" w:cs="Arial"/>
          <w:bCs/>
          <w:sz w:val="24"/>
          <w:szCs w:val="24"/>
        </w:rPr>
        <w:t>30</w:t>
      </w:r>
      <w:r w:rsidRPr="002758C1">
        <w:rPr>
          <w:rFonts w:ascii="Verdana" w:hAnsi="Verdana" w:cs="Arial"/>
          <w:bCs/>
          <w:sz w:val="24"/>
          <w:szCs w:val="24"/>
        </w:rPr>
        <w:t xml:space="preserve"> de </w:t>
      </w:r>
      <w:r>
        <w:rPr>
          <w:rFonts w:ascii="Verdana" w:hAnsi="Verdana" w:cs="Arial"/>
          <w:bCs/>
          <w:sz w:val="24"/>
          <w:szCs w:val="24"/>
        </w:rPr>
        <w:t xml:space="preserve">enero de </w:t>
      </w:r>
      <w:r w:rsidRPr="002758C1">
        <w:rPr>
          <w:rFonts w:ascii="Verdana" w:hAnsi="Verdana" w:cs="Arial"/>
          <w:bCs/>
          <w:sz w:val="24"/>
          <w:szCs w:val="24"/>
        </w:rPr>
        <w:t>202</w:t>
      </w:r>
      <w:r>
        <w:rPr>
          <w:rFonts w:ascii="Verdana" w:hAnsi="Verdana" w:cs="Arial"/>
          <w:bCs/>
          <w:sz w:val="24"/>
          <w:szCs w:val="24"/>
        </w:rPr>
        <w:t>6</w:t>
      </w:r>
      <w:r w:rsidRPr="002758C1">
        <w:rPr>
          <w:rFonts w:ascii="Verdana" w:hAnsi="Verdana" w:cs="Arial"/>
          <w:bCs/>
          <w:sz w:val="24"/>
          <w:szCs w:val="24"/>
        </w:rPr>
        <w:t>.</w:t>
      </w:r>
    </w:p>
    <w:p w14:paraId="41E5C453" w14:textId="77777777" w:rsidR="008B2EE6" w:rsidRPr="008B2EE6" w:rsidRDefault="008B2EE6" w:rsidP="008B2EE6">
      <w:pPr>
        <w:widowControl w:val="0"/>
        <w:autoSpaceDE w:val="0"/>
        <w:autoSpaceDN w:val="0"/>
        <w:adjustRightInd w:val="0"/>
        <w:jc w:val="both"/>
        <w:rPr>
          <w:rFonts w:ascii="Verdana" w:hAnsi="Verdana" w:cs="Arial"/>
          <w:bCs/>
          <w:sz w:val="24"/>
          <w:szCs w:val="24"/>
        </w:rPr>
      </w:pPr>
    </w:p>
    <w:p w14:paraId="50394099" w14:textId="083667AB" w:rsidR="002758C1" w:rsidRDefault="002758C1" w:rsidP="008B2EE6">
      <w:pPr>
        <w:widowControl w:val="0"/>
        <w:autoSpaceDE w:val="0"/>
        <w:autoSpaceDN w:val="0"/>
        <w:adjustRightInd w:val="0"/>
        <w:jc w:val="both"/>
        <w:rPr>
          <w:rFonts w:ascii="Verdana" w:hAnsi="Verdana" w:cs="Arial"/>
          <w:b/>
          <w:sz w:val="24"/>
          <w:szCs w:val="24"/>
          <w:lang w:val="es-ES"/>
        </w:rPr>
      </w:pPr>
      <w:r w:rsidRPr="27A11ED1">
        <w:rPr>
          <w:rFonts w:ascii="Verdana" w:hAnsi="Verdana" w:cs="Arial"/>
          <w:b/>
          <w:sz w:val="24"/>
          <w:szCs w:val="24"/>
          <w:lang w:val="es-ES"/>
        </w:rPr>
        <w:t xml:space="preserve">CUARTA: APLICACIÓN ANTICIPADA. </w:t>
      </w:r>
      <w:r w:rsidRPr="27A11ED1">
        <w:rPr>
          <w:rFonts w:ascii="Verdana" w:hAnsi="Verdana" w:cs="Arial"/>
          <w:sz w:val="24"/>
          <w:szCs w:val="24"/>
          <w:lang w:val="es-ES"/>
        </w:rPr>
        <w:t>Las entidades vigiladas podrán implementar de manera anticipada las instrucciones contenidas en el Capítulo XXXIII «</w:t>
      </w:r>
      <w:r w:rsidRPr="27A11ED1">
        <w:rPr>
          <w:rFonts w:ascii="Verdana" w:hAnsi="Verdana" w:cs="Arial"/>
          <w:i/>
          <w:sz w:val="24"/>
          <w:szCs w:val="24"/>
          <w:lang w:val="es-ES"/>
        </w:rPr>
        <w:t>Reglas para la integración de factores ambientales, sociales, incluidos los climáticos</w:t>
      </w:r>
      <w:r w:rsidRPr="27A11ED1">
        <w:rPr>
          <w:rFonts w:ascii="Verdana" w:hAnsi="Verdana" w:cs="Arial"/>
          <w:sz w:val="24"/>
          <w:szCs w:val="24"/>
          <w:lang w:val="es-ES"/>
        </w:rPr>
        <w:t xml:space="preserve">» de la </w:t>
      </w:r>
      <w:r w:rsidR="00B30344" w:rsidRPr="27A11ED1">
        <w:rPr>
          <w:rFonts w:ascii="Verdana" w:hAnsi="Verdana" w:cs="Arial"/>
          <w:sz w:val="24"/>
          <w:szCs w:val="24"/>
          <w:lang w:val="es-ES"/>
        </w:rPr>
        <w:t>CBCF</w:t>
      </w:r>
      <w:r w:rsidR="00403008" w:rsidRPr="27A11ED1">
        <w:rPr>
          <w:rFonts w:ascii="Verdana" w:hAnsi="Verdana" w:cs="Arial"/>
          <w:sz w:val="24"/>
          <w:szCs w:val="24"/>
          <w:lang w:val="es-ES"/>
        </w:rPr>
        <w:t>, antes del vencimiento de los plazos a los que hace referencia el régimen de transición previsto en la instrucción segunda de la presente Circular.</w:t>
      </w:r>
      <w:r w:rsidRPr="27A11ED1">
        <w:rPr>
          <w:rFonts w:ascii="Verdana" w:hAnsi="Verdana" w:cs="Arial"/>
          <w:sz w:val="24"/>
          <w:szCs w:val="24"/>
          <w:lang w:val="es-ES"/>
        </w:rPr>
        <w:t xml:space="preserve"> En tal caso, la Superintendencia Financiera </w:t>
      </w:r>
      <w:r w:rsidR="00B30344" w:rsidRPr="27A11ED1">
        <w:rPr>
          <w:rFonts w:ascii="Verdana" w:hAnsi="Verdana" w:cs="Arial"/>
          <w:sz w:val="24"/>
          <w:szCs w:val="24"/>
          <w:lang w:val="es-ES"/>
        </w:rPr>
        <w:t xml:space="preserve">podrá adoptar medidas </w:t>
      </w:r>
      <w:r w:rsidR="00BD2212" w:rsidRPr="27A11ED1">
        <w:rPr>
          <w:rFonts w:ascii="Verdana" w:hAnsi="Verdana" w:cs="Arial"/>
          <w:sz w:val="24"/>
          <w:szCs w:val="24"/>
          <w:lang w:val="es-ES"/>
        </w:rPr>
        <w:t xml:space="preserve">para </w:t>
      </w:r>
      <w:r w:rsidR="00B30344" w:rsidRPr="27A11ED1">
        <w:rPr>
          <w:rFonts w:ascii="Verdana" w:hAnsi="Verdana" w:cs="Arial"/>
          <w:sz w:val="24"/>
          <w:szCs w:val="24"/>
          <w:lang w:val="es-ES"/>
        </w:rPr>
        <w:t xml:space="preserve">reconocer </w:t>
      </w:r>
      <w:r w:rsidRPr="27A11ED1">
        <w:rPr>
          <w:rFonts w:ascii="Verdana" w:hAnsi="Verdana" w:cs="Arial"/>
          <w:sz w:val="24"/>
          <w:szCs w:val="24"/>
          <w:lang w:val="es-ES"/>
        </w:rPr>
        <w:t xml:space="preserve">públicamente </w:t>
      </w:r>
      <w:r w:rsidR="00B30344" w:rsidRPr="27A11ED1">
        <w:rPr>
          <w:rFonts w:ascii="Verdana" w:hAnsi="Verdana" w:cs="Arial"/>
          <w:sz w:val="24"/>
          <w:szCs w:val="24"/>
          <w:lang w:val="es-ES"/>
        </w:rPr>
        <w:t xml:space="preserve">y resaltar </w:t>
      </w:r>
      <w:r w:rsidRPr="27A11ED1">
        <w:rPr>
          <w:rFonts w:ascii="Verdana" w:hAnsi="Verdana" w:cs="Arial"/>
          <w:sz w:val="24"/>
          <w:szCs w:val="24"/>
          <w:lang w:val="es-ES"/>
        </w:rPr>
        <w:t>los esfuerzos realizados por dichas entidades.</w:t>
      </w:r>
    </w:p>
    <w:p w14:paraId="3F70168F" w14:textId="77777777" w:rsidR="002758C1" w:rsidRPr="00BD2212" w:rsidRDefault="002758C1" w:rsidP="008B2EE6">
      <w:pPr>
        <w:widowControl w:val="0"/>
        <w:autoSpaceDE w:val="0"/>
        <w:autoSpaceDN w:val="0"/>
        <w:adjustRightInd w:val="0"/>
        <w:jc w:val="both"/>
        <w:rPr>
          <w:rFonts w:ascii="Verdana" w:hAnsi="Verdana" w:cs="Arial"/>
          <w:b/>
          <w:sz w:val="24"/>
          <w:szCs w:val="24"/>
        </w:rPr>
      </w:pPr>
    </w:p>
    <w:p w14:paraId="0368AA97" w14:textId="55E18577" w:rsidR="008B2EE6" w:rsidRDefault="002758C1" w:rsidP="008B2EE6">
      <w:pPr>
        <w:widowControl w:val="0"/>
        <w:autoSpaceDE w:val="0"/>
        <w:autoSpaceDN w:val="0"/>
        <w:adjustRightInd w:val="0"/>
        <w:jc w:val="both"/>
        <w:rPr>
          <w:rFonts w:ascii="Verdana" w:hAnsi="Verdana" w:cs="Arial"/>
          <w:sz w:val="24"/>
          <w:szCs w:val="24"/>
        </w:rPr>
      </w:pPr>
      <w:r>
        <w:rPr>
          <w:rFonts w:ascii="Verdana" w:hAnsi="Verdana" w:cs="Arial"/>
          <w:b/>
          <w:sz w:val="24"/>
          <w:szCs w:val="24"/>
        </w:rPr>
        <w:t>QUINTA</w:t>
      </w:r>
      <w:r w:rsidR="008B2EE6" w:rsidRPr="008B2EE6">
        <w:rPr>
          <w:rFonts w:ascii="Verdana" w:hAnsi="Verdana" w:cs="Arial"/>
          <w:b/>
          <w:sz w:val="24"/>
          <w:szCs w:val="24"/>
        </w:rPr>
        <w:t xml:space="preserve">: VIGENCIA. </w:t>
      </w:r>
      <w:r w:rsidR="008B2EE6" w:rsidRPr="008B2EE6">
        <w:rPr>
          <w:rFonts w:ascii="Verdana" w:hAnsi="Verdana" w:cs="Arial"/>
          <w:sz w:val="24"/>
          <w:szCs w:val="24"/>
        </w:rPr>
        <w:t xml:space="preserve">La presente Circular rige a partir de su publicación, </w:t>
      </w:r>
      <w:r w:rsidR="000963E4">
        <w:rPr>
          <w:rFonts w:ascii="Verdana" w:hAnsi="Verdana" w:cs="Arial"/>
          <w:sz w:val="24"/>
          <w:szCs w:val="24"/>
        </w:rPr>
        <w:t xml:space="preserve">sin perjuicio del régimen de transición </w:t>
      </w:r>
      <w:r w:rsidR="008B2EE6" w:rsidRPr="008B2EE6">
        <w:rPr>
          <w:rFonts w:ascii="Verdana" w:hAnsi="Verdana" w:cs="Arial"/>
          <w:sz w:val="24"/>
          <w:szCs w:val="24"/>
        </w:rPr>
        <w:t xml:space="preserve">previsto en la instrucción </w:t>
      </w:r>
      <w:r w:rsidR="00403008">
        <w:rPr>
          <w:rFonts w:ascii="Verdana" w:hAnsi="Verdana" w:cs="Arial"/>
          <w:sz w:val="24"/>
          <w:szCs w:val="24"/>
        </w:rPr>
        <w:t>segunda.</w:t>
      </w:r>
    </w:p>
    <w:p w14:paraId="7C30C267" w14:textId="77777777" w:rsidR="008B2EE6" w:rsidRPr="008B2EE6" w:rsidRDefault="008B2EE6" w:rsidP="008B2EE6">
      <w:pPr>
        <w:widowControl w:val="0"/>
        <w:autoSpaceDE w:val="0"/>
        <w:autoSpaceDN w:val="0"/>
        <w:adjustRightInd w:val="0"/>
        <w:jc w:val="both"/>
        <w:rPr>
          <w:rFonts w:ascii="Verdana" w:hAnsi="Verdana" w:cs="Arial"/>
          <w:b/>
          <w:sz w:val="24"/>
          <w:szCs w:val="24"/>
        </w:rPr>
      </w:pPr>
    </w:p>
    <w:p w14:paraId="759EEF16" w14:textId="77777777" w:rsidR="008B2EE6" w:rsidRPr="008B2EE6" w:rsidRDefault="008B2EE6" w:rsidP="008B2EE6">
      <w:pPr>
        <w:widowControl w:val="0"/>
        <w:autoSpaceDE w:val="0"/>
        <w:autoSpaceDN w:val="0"/>
        <w:adjustRightInd w:val="0"/>
        <w:jc w:val="both"/>
        <w:rPr>
          <w:rFonts w:ascii="Verdana" w:hAnsi="Verdana" w:cs="Arial"/>
          <w:bCs/>
          <w:sz w:val="24"/>
          <w:szCs w:val="24"/>
        </w:rPr>
      </w:pPr>
      <w:r w:rsidRPr="008B2EE6">
        <w:rPr>
          <w:rFonts w:ascii="Verdana" w:hAnsi="Verdana" w:cs="Arial"/>
          <w:bCs/>
          <w:sz w:val="24"/>
          <w:szCs w:val="24"/>
        </w:rPr>
        <w:t xml:space="preserve">Se adjunta los anexos correspondientes. </w:t>
      </w:r>
    </w:p>
    <w:p w14:paraId="6D4720FE" w14:textId="77777777" w:rsidR="008B2EE6" w:rsidRPr="008B2EE6" w:rsidRDefault="008B2EE6" w:rsidP="008B2EE6">
      <w:pPr>
        <w:widowControl w:val="0"/>
        <w:autoSpaceDE w:val="0"/>
        <w:autoSpaceDN w:val="0"/>
        <w:adjustRightInd w:val="0"/>
        <w:jc w:val="both"/>
        <w:rPr>
          <w:rFonts w:ascii="Verdana" w:hAnsi="Verdana" w:cs="Arial"/>
          <w:sz w:val="24"/>
          <w:szCs w:val="24"/>
        </w:rPr>
      </w:pPr>
    </w:p>
    <w:p w14:paraId="5CC98FCE" w14:textId="77777777" w:rsidR="008B2EE6" w:rsidRDefault="008B2EE6" w:rsidP="008B2EE6">
      <w:pPr>
        <w:widowControl w:val="0"/>
        <w:autoSpaceDE w:val="0"/>
        <w:autoSpaceDN w:val="0"/>
        <w:adjustRightInd w:val="0"/>
        <w:jc w:val="both"/>
        <w:rPr>
          <w:rFonts w:ascii="Verdana" w:hAnsi="Verdana" w:cs="Arial"/>
          <w:sz w:val="24"/>
          <w:szCs w:val="24"/>
        </w:rPr>
      </w:pPr>
    </w:p>
    <w:p w14:paraId="3B9EC274" w14:textId="77777777" w:rsidR="000963E4" w:rsidRDefault="000963E4" w:rsidP="008B2EE6">
      <w:pPr>
        <w:widowControl w:val="0"/>
        <w:autoSpaceDE w:val="0"/>
        <w:autoSpaceDN w:val="0"/>
        <w:adjustRightInd w:val="0"/>
        <w:jc w:val="both"/>
        <w:rPr>
          <w:rFonts w:ascii="Verdana" w:hAnsi="Verdana" w:cs="Arial"/>
          <w:sz w:val="24"/>
          <w:szCs w:val="24"/>
        </w:rPr>
      </w:pPr>
    </w:p>
    <w:p w14:paraId="5496B634" w14:textId="77777777" w:rsidR="000963E4" w:rsidRPr="008B2EE6" w:rsidRDefault="000963E4" w:rsidP="008B2EE6">
      <w:pPr>
        <w:widowControl w:val="0"/>
        <w:autoSpaceDE w:val="0"/>
        <w:autoSpaceDN w:val="0"/>
        <w:adjustRightInd w:val="0"/>
        <w:jc w:val="both"/>
        <w:rPr>
          <w:rFonts w:ascii="Verdana" w:hAnsi="Verdana" w:cs="Arial"/>
          <w:sz w:val="24"/>
          <w:szCs w:val="24"/>
        </w:rPr>
      </w:pPr>
    </w:p>
    <w:p w14:paraId="34D8CF78" w14:textId="77777777" w:rsidR="008B2EE6" w:rsidRPr="008B2EE6" w:rsidRDefault="008B2EE6" w:rsidP="008B2EE6">
      <w:pPr>
        <w:widowControl w:val="0"/>
        <w:autoSpaceDE w:val="0"/>
        <w:autoSpaceDN w:val="0"/>
        <w:adjustRightInd w:val="0"/>
        <w:jc w:val="both"/>
        <w:rPr>
          <w:rFonts w:ascii="Verdana" w:hAnsi="Verdana" w:cs="Arial"/>
          <w:sz w:val="24"/>
          <w:szCs w:val="24"/>
        </w:rPr>
      </w:pPr>
    </w:p>
    <w:p w14:paraId="7C9BFB9E" w14:textId="77777777" w:rsidR="008B2EE6" w:rsidRPr="008B2EE6" w:rsidRDefault="008B2EE6" w:rsidP="008B2EE6">
      <w:pPr>
        <w:widowControl w:val="0"/>
        <w:adjustRightInd w:val="0"/>
        <w:outlineLvl w:val="0"/>
        <w:rPr>
          <w:rFonts w:ascii="Verdana" w:hAnsi="Verdana" w:cs="Arial"/>
          <w:b/>
          <w:bCs/>
          <w:sz w:val="24"/>
          <w:szCs w:val="24"/>
          <w:lang w:val="pt-BR" w:eastAsia="es-CO"/>
        </w:rPr>
      </w:pPr>
      <w:r w:rsidRPr="008B2EE6">
        <w:rPr>
          <w:rFonts w:ascii="Verdana" w:hAnsi="Verdana" w:cs="Arial"/>
          <w:b/>
          <w:bCs/>
          <w:sz w:val="24"/>
          <w:szCs w:val="24"/>
          <w:lang w:val="pt-BR" w:eastAsia="es-CO"/>
        </w:rPr>
        <w:t>CÉSAR FERARI Ph.D.</w:t>
      </w:r>
    </w:p>
    <w:p w14:paraId="0710D21D" w14:textId="77777777" w:rsidR="008B2EE6" w:rsidRPr="008B2EE6" w:rsidRDefault="008B2EE6" w:rsidP="008B2EE6">
      <w:pPr>
        <w:widowControl w:val="0"/>
        <w:autoSpaceDE w:val="0"/>
        <w:autoSpaceDN w:val="0"/>
        <w:adjustRightInd w:val="0"/>
        <w:jc w:val="both"/>
        <w:rPr>
          <w:rFonts w:ascii="Verdana" w:hAnsi="Verdana" w:cs="Arial"/>
          <w:sz w:val="24"/>
          <w:szCs w:val="24"/>
        </w:rPr>
      </w:pPr>
      <w:r w:rsidRPr="008B2EE6">
        <w:rPr>
          <w:rFonts w:ascii="Verdana" w:hAnsi="Verdana" w:cs="Arial"/>
          <w:sz w:val="24"/>
          <w:szCs w:val="24"/>
        </w:rPr>
        <w:t xml:space="preserve">Superintendente Financiero de Colombia </w:t>
      </w:r>
    </w:p>
    <w:p w14:paraId="2B5963CD" w14:textId="77777777" w:rsidR="008B2EE6" w:rsidRPr="008B2EE6" w:rsidRDefault="008B2EE6" w:rsidP="008B2EE6">
      <w:pPr>
        <w:widowControl w:val="0"/>
        <w:autoSpaceDE w:val="0"/>
        <w:autoSpaceDN w:val="0"/>
        <w:adjustRightInd w:val="0"/>
        <w:jc w:val="both"/>
        <w:rPr>
          <w:rFonts w:ascii="Verdana" w:hAnsi="Verdana" w:cs="Arial"/>
          <w:color w:val="808080"/>
          <w:sz w:val="24"/>
          <w:szCs w:val="24"/>
        </w:rPr>
      </w:pPr>
      <w:r w:rsidRPr="008B2EE6">
        <w:rPr>
          <w:rFonts w:ascii="Verdana" w:hAnsi="Verdana" w:cs="Arial"/>
          <w:color w:val="808080"/>
          <w:sz w:val="24"/>
          <w:szCs w:val="24"/>
        </w:rPr>
        <w:t>50000</w:t>
      </w:r>
    </w:p>
    <w:p w14:paraId="1F566AF8" w14:textId="77777777" w:rsidR="008B2EE6" w:rsidRPr="008B2EE6" w:rsidRDefault="008B2EE6" w:rsidP="008B2EE6">
      <w:pPr>
        <w:widowControl w:val="0"/>
        <w:autoSpaceDE w:val="0"/>
        <w:autoSpaceDN w:val="0"/>
        <w:adjustRightInd w:val="0"/>
        <w:jc w:val="both"/>
        <w:rPr>
          <w:rFonts w:ascii="Verdana" w:hAnsi="Verdana" w:cs="Arial"/>
          <w:color w:val="808080"/>
          <w:sz w:val="24"/>
          <w:szCs w:val="24"/>
        </w:rPr>
      </w:pPr>
    </w:p>
    <w:p w14:paraId="5152681C" w14:textId="77777777" w:rsidR="008B2EE6" w:rsidRPr="008B2EE6" w:rsidRDefault="008B2EE6" w:rsidP="008B2EE6">
      <w:pPr>
        <w:rPr>
          <w:rFonts w:ascii="Verdana" w:hAnsi="Verdana"/>
          <w:sz w:val="24"/>
          <w:szCs w:val="24"/>
        </w:rPr>
      </w:pPr>
    </w:p>
    <w:p w14:paraId="6170E6F7" w14:textId="77777777" w:rsidR="008B2EE6" w:rsidRPr="008B2EE6" w:rsidRDefault="008B2EE6" w:rsidP="008B2EE6">
      <w:pPr>
        <w:rPr>
          <w:rFonts w:ascii="Verdana" w:hAnsi="Verdana"/>
          <w:sz w:val="24"/>
          <w:szCs w:val="24"/>
        </w:rPr>
      </w:pPr>
    </w:p>
    <w:p w14:paraId="4359880B" w14:textId="77777777" w:rsidR="00B51F39" w:rsidRPr="008B2EE6" w:rsidRDefault="00B51F39">
      <w:pPr>
        <w:jc w:val="center"/>
        <w:rPr>
          <w:rFonts w:ascii="Verdana" w:hAnsi="Verdana" w:cs="Arial"/>
          <w:b/>
          <w:bCs/>
          <w:sz w:val="24"/>
          <w:szCs w:val="24"/>
        </w:rPr>
      </w:pPr>
    </w:p>
    <w:sectPr w:rsidR="00B51F39" w:rsidRPr="008B2EE6" w:rsidSect="008B2EE6">
      <w:headerReference w:type="default" r:id="rId16"/>
      <w:footerReference w:type="default" r:id="rId17"/>
      <w:pgSz w:w="12240" w:h="18720" w:code="14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6DB5" w14:textId="77777777" w:rsidR="00CB35F8" w:rsidRDefault="00CB35F8">
      <w:r>
        <w:separator/>
      </w:r>
    </w:p>
  </w:endnote>
  <w:endnote w:type="continuationSeparator" w:id="0">
    <w:p w14:paraId="381C6A10" w14:textId="77777777" w:rsidR="00CB35F8" w:rsidRDefault="00CB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D83C" w14:textId="77777777" w:rsidR="00564B20" w:rsidRDefault="00564B20">
    <w:pPr>
      <w:widowControl w:val="0"/>
      <w:autoSpaceDE w:val="0"/>
      <w:autoSpaceDN w:val="0"/>
      <w:adjustRightInd w:val="0"/>
      <w:jc w:val="both"/>
      <w:rPr>
        <w:rFonts w:ascii="Arial" w:hAnsi="Arial" w:cs="Arial"/>
        <w:sz w:val="22"/>
        <w:szCs w:val="22"/>
      </w:rPr>
    </w:pPr>
  </w:p>
  <w:p w14:paraId="2219344A" w14:textId="77777777" w:rsidR="00564B20" w:rsidRDefault="00564B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AD55" w14:textId="77777777" w:rsidR="00564B20" w:rsidRDefault="00564B20">
    <w:pPr>
      <w:widowControl w:val="0"/>
      <w:autoSpaceDE w:val="0"/>
      <w:autoSpaceDN w:val="0"/>
      <w:adjustRightInd w:val="0"/>
      <w:jc w:val="both"/>
      <w:rPr>
        <w:rFonts w:ascii="Arial" w:hAnsi="Arial" w:cs="Arial"/>
        <w:sz w:val="22"/>
        <w:szCs w:val="22"/>
      </w:rPr>
    </w:pPr>
  </w:p>
  <w:p w14:paraId="70C28538" w14:textId="77777777" w:rsidR="00564B20" w:rsidRDefault="00564B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F4D1" w14:textId="536D9F54" w:rsidR="00BB296E" w:rsidRPr="00160630" w:rsidRDefault="00B862CB">
    <w:pPr>
      <w:pStyle w:val="Piedepgina"/>
      <w:jc w:val="right"/>
      <w:rPr>
        <w:rFonts w:ascii="Verdana" w:hAnsi="Verdana"/>
      </w:rPr>
    </w:pPr>
    <w:r>
      <w:rPr>
        <w:noProof/>
      </w:rPr>
      <mc:AlternateContent>
        <mc:Choice Requires="wps">
          <w:drawing>
            <wp:anchor distT="0" distB="0" distL="114300" distR="114300" simplePos="0" relativeHeight="251658240" behindDoc="0" locked="0" layoutInCell="1" allowOverlap="1" wp14:anchorId="43EC0B2C" wp14:editId="4E4BF7C8">
              <wp:simplePos x="0" y="0"/>
              <wp:positionH relativeFrom="margin">
                <wp:posOffset>-95885</wp:posOffset>
              </wp:positionH>
              <wp:positionV relativeFrom="paragraph">
                <wp:posOffset>-245745</wp:posOffset>
              </wp:positionV>
              <wp:extent cx="6019800" cy="1229995"/>
              <wp:effectExtent l="0" t="0" r="0" b="0"/>
              <wp:wrapNone/>
              <wp:docPr id="6786876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1229995"/>
                      </a:xfrm>
                      <a:prstGeom prst="rect">
                        <a:avLst/>
                      </a:prstGeom>
                      <a:noFill/>
                      <a:ln w="6350">
                        <a:noFill/>
                      </a:ln>
                    </wps:spPr>
                    <wps:txbx>
                      <w:txbxContent>
                        <w:p w14:paraId="517582BC" w14:textId="77777777" w:rsidR="00BB296E" w:rsidRPr="00256928" w:rsidRDefault="00BB296E" w:rsidP="00BB296E">
                          <w:pPr>
                            <w:spacing w:line="276" w:lineRule="auto"/>
                            <w:jc w:val="both"/>
                            <w:rPr>
                              <w:rFonts w:ascii="Helvetica" w:hAnsi="Helvetica"/>
                            </w:rPr>
                          </w:pPr>
                          <w:r w:rsidRPr="00256928">
                            <w:rPr>
                              <w:rFonts w:ascii="Helvetica" w:hAnsi="Helvetica"/>
                            </w:rPr>
                            <w:t>________________________________________________________________________</w:t>
                          </w:r>
                          <w:r>
                            <w:rPr>
                              <w:rFonts w:ascii="Helvetica" w:hAnsi="Helvetica"/>
                            </w:rPr>
                            <w:t>________</w:t>
                          </w:r>
                        </w:p>
                        <w:p w14:paraId="2425386C" w14:textId="77777777" w:rsidR="00BB296E" w:rsidRPr="00160630" w:rsidRDefault="00BB296E" w:rsidP="00BB296E">
                          <w:pPr>
                            <w:spacing w:line="276" w:lineRule="auto"/>
                            <w:jc w:val="both"/>
                            <w:rPr>
                              <w:rFonts w:ascii="Verdana" w:hAnsi="Verdana"/>
                              <w:sz w:val="4"/>
                              <w:szCs w:val="4"/>
                            </w:rPr>
                          </w:pPr>
                        </w:p>
                        <w:p w14:paraId="42F23DB5" w14:textId="77777777" w:rsidR="00BB296E" w:rsidRPr="00284759" w:rsidRDefault="00BB296E" w:rsidP="00BB296E">
                          <w:pPr>
                            <w:spacing w:line="276" w:lineRule="auto"/>
                            <w:jc w:val="both"/>
                            <w:rPr>
                              <w:rFonts w:ascii="Verdana" w:hAnsi="Verdana"/>
                            </w:rPr>
                          </w:pPr>
                          <w:r w:rsidRPr="00284759">
                            <w:rPr>
                              <w:rFonts w:ascii="Verdana" w:hAnsi="Verdana"/>
                            </w:rPr>
                            <w:t xml:space="preserve">Dirección: </w:t>
                          </w:r>
                          <w:r w:rsidRPr="00AA1AA8">
                            <w:rPr>
                              <w:rFonts w:ascii="Verdana" w:hAnsi="Verdana" w:cs="Arial"/>
                              <w:bCs/>
                              <w:lang w:val="es-MX"/>
                            </w:rPr>
                            <w:t xml:space="preserve">Calle 7 No. 4 - 49 </w:t>
                          </w:r>
                          <w:r w:rsidRPr="00284759">
                            <w:rPr>
                              <w:rFonts w:ascii="Verdana" w:hAnsi="Verdana"/>
                            </w:rPr>
                            <w:t>Bogotá D.C., Colombia</w:t>
                          </w:r>
                        </w:p>
                        <w:p w14:paraId="6236249D" w14:textId="77777777" w:rsidR="00BB296E" w:rsidRPr="00284759" w:rsidRDefault="00BB296E" w:rsidP="00BB296E">
                          <w:pPr>
                            <w:spacing w:line="276" w:lineRule="auto"/>
                            <w:jc w:val="both"/>
                            <w:rPr>
                              <w:rFonts w:ascii="Verdana" w:hAnsi="Verdana"/>
                            </w:rPr>
                          </w:pPr>
                          <w:r w:rsidRPr="00284759">
                            <w:rPr>
                              <w:rFonts w:ascii="Verdana" w:hAnsi="Verdana"/>
                            </w:rPr>
                            <w:t>Conmutador: (+57) 601 5</w:t>
                          </w:r>
                          <w:r>
                            <w:rPr>
                              <w:rFonts w:ascii="Verdana" w:hAnsi="Verdana"/>
                            </w:rPr>
                            <w:t>94</w:t>
                          </w:r>
                          <w:r w:rsidRPr="00284759">
                            <w:rPr>
                              <w:rFonts w:ascii="Verdana" w:hAnsi="Verdana"/>
                            </w:rPr>
                            <w:t xml:space="preserve"> </w:t>
                          </w:r>
                          <w:r>
                            <w:rPr>
                              <w:rFonts w:ascii="Verdana" w:hAnsi="Verdana"/>
                            </w:rPr>
                            <w:t>02</w:t>
                          </w:r>
                          <w:r w:rsidRPr="00284759">
                            <w:rPr>
                              <w:rFonts w:ascii="Verdana" w:hAnsi="Verdana"/>
                            </w:rPr>
                            <w:t xml:space="preserve">00 - 601 </w:t>
                          </w:r>
                          <w:r>
                            <w:rPr>
                              <w:rFonts w:ascii="Verdana" w:hAnsi="Verdana"/>
                            </w:rPr>
                            <w:t>594</w:t>
                          </w:r>
                          <w:r w:rsidRPr="00284759">
                            <w:rPr>
                              <w:rFonts w:ascii="Verdana" w:hAnsi="Verdana"/>
                            </w:rPr>
                            <w:t xml:space="preserve"> </w:t>
                          </w:r>
                          <w:r>
                            <w:rPr>
                              <w:rFonts w:ascii="Verdana" w:hAnsi="Verdana"/>
                            </w:rPr>
                            <w:t>0201</w:t>
                          </w:r>
                        </w:p>
                        <w:p w14:paraId="52278F66" w14:textId="77777777" w:rsidR="00BB296E" w:rsidRPr="00284759" w:rsidRDefault="00BB296E" w:rsidP="00BB296E">
                          <w:pPr>
                            <w:spacing w:line="276" w:lineRule="auto"/>
                            <w:jc w:val="both"/>
                            <w:rPr>
                              <w:rFonts w:ascii="Verdana" w:hAnsi="Verdana"/>
                            </w:rPr>
                          </w:pPr>
                          <w:r w:rsidRPr="00F8640E">
                            <w:rPr>
                              <w:rFonts w:ascii="Verdana" w:hAnsi="Verdana"/>
                            </w:rPr>
                            <w:t>www.superfinanciera.gov.co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C0B2C" id="_x0000_t202" coordsize="21600,21600" o:spt="202" path="m,l,21600r21600,l21600,xe">
              <v:stroke joinstyle="miter"/>
              <v:path gradientshapeok="t" o:connecttype="rect"/>
            </v:shapetype>
            <v:shape id="Cuadro de texto 2" o:spid="_x0000_s1026" type="#_x0000_t202" style="position:absolute;left:0;text-align:left;margin-left:-7.55pt;margin-top:-19.35pt;width:474pt;height:96.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" filled="f" stroked="f" strokeweight=".5pt">
              <v:textbox>
                <w:txbxContent>
                  <w:p w14:paraId="517582BC" w14:textId="77777777" w:rsidR="00BB296E" w:rsidRPr="00256928" w:rsidRDefault="00BB296E" w:rsidP="00BB296E">
                    <w:pPr>
                      <w:spacing w:line="276" w:lineRule="auto"/>
                      <w:jc w:val="both"/>
                      <w:rPr>
                        <w:rFonts w:ascii="Helvetica" w:hAnsi="Helvetica"/>
                      </w:rPr>
                    </w:pPr>
                    <w:r w:rsidRPr="00256928">
                      <w:rPr>
                        <w:rFonts w:ascii="Helvetica" w:hAnsi="Helvetica"/>
                      </w:rPr>
                      <w:t>________________________________________________________________________</w:t>
                    </w:r>
                    <w:r>
                      <w:rPr>
                        <w:rFonts w:ascii="Helvetica" w:hAnsi="Helvetica"/>
                      </w:rPr>
                      <w:t>________</w:t>
                    </w:r>
                  </w:p>
                  <w:p w14:paraId="2425386C" w14:textId="77777777" w:rsidR="00BB296E" w:rsidRPr="00160630" w:rsidRDefault="00BB296E" w:rsidP="00BB296E">
                    <w:pPr>
                      <w:spacing w:line="276" w:lineRule="auto"/>
                      <w:jc w:val="both"/>
                      <w:rPr>
                        <w:rFonts w:ascii="Verdana" w:hAnsi="Verdana"/>
                        <w:sz w:val="4"/>
                        <w:szCs w:val="4"/>
                      </w:rPr>
                    </w:pPr>
                  </w:p>
                  <w:p w14:paraId="42F23DB5" w14:textId="77777777" w:rsidR="00BB296E" w:rsidRPr="00284759" w:rsidRDefault="00BB296E" w:rsidP="00BB296E">
                    <w:pPr>
                      <w:spacing w:line="276" w:lineRule="auto"/>
                      <w:jc w:val="both"/>
                      <w:rPr>
                        <w:rFonts w:ascii="Verdana" w:hAnsi="Verdana"/>
                      </w:rPr>
                    </w:pPr>
                    <w:r w:rsidRPr="00284759">
                      <w:rPr>
                        <w:rFonts w:ascii="Verdana" w:hAnsi="Verdana"/>
                      </w:rPr>
                      <w:t xml:space="preserve">Dirección: </w:t>
                    </w:r>
                    <w:r w:rsidRPr="00AA1AA8">
                      <w:rPr>
                        <w:rFonts w:ascii="Verdana" w:hAnsi="Verdana" w:cs="Arial"/>
                        <w:bCs/>
                        <w:lang w:val="es-MX"/>
                      </w:rPr>
                      <w:t xml:space="preserve">Calle 7 No. 4 - 49 </w:t>
                    </w:r>
                    <w:r w:rsidRPr="00284759">
                      <w:rPr>
                        <w:rFonts w:ascii="Verdana" w:hAnsi="Verdana"/>
                      </w:rPr>
                      <w:t>Bogotá D.C., Colombia</w:t>
                    </w:r>
                  </w:p>
                  <w:p w14:paraId="6236249D" w14:textId="77777777" w:rsidR="00BB296E" w:rsidRPr="00284759" w:rsidRDefault="00BB296E" w:rsidP="00BB296E">
                    <w:pPr>
                      <w:spacing w:line="276" w:lineRule="auto"/>
                      <w:jc w:val="both"/>
                      <w:rPr>
                        <w:rFonts w:ascii="Verdana" w:hAnsi="Verdana"/>
                      </w:rPr>
                    </w:pPr>
                    <w:r w:rsidRPr="00284759">
                      <w:rPr>
                        <w:rFonts w:ascii="Verdana" w:hAnsi="Verdana"/>
                      </w:rPr>
                      <w:t>Conmutador: (+57) 601 5</w:t>
                    </w:r>
                    <w:r>
                      <w:rPr>
                        <w:rFonts w:ascii="Verdana" w:hAnsi="Verdana"/>
                      </w:rPr>
                      <w:t>94</w:t>
                    </w:r>
                    <w:r w:rsidRPr="00284759">
                      <w:rPr>
                        <w:rFonts w:ascii="Verdana" w:hAnsi="Verdana"/>
                      </w:rPr>
                      <w:t xml:space="preserve"> </w:t>
                    </w:r>
                    <w:r>
                      <w:rPr>
                        <w:rFonts w:ascii="Verdana" w:hAnsi="Verdana"/>
                      </w:rPr>
                      <w:t>02</w:t>
                    </w:r>
                    <w:r w:rsidRPr="00284759">
                      <w:rPr>
                        <w:rFonts w:ascii="Verdana" w:hAnsi="Verdana"/>
                      </w:rPr>
                      <w:t xml:space="preserve">00 - 601 </w:t>
                    </w:r>
                    <w:r>
                      <w:rPr>
                        <w:rFonts w:ascii="Verdana" w:hAnsi="Verdana"/>
                      </w:rPr>
                      <w:t>594</w:t>
                    </w:r>
                    <w:r w:rsidRPr="00284759">
                      <w:rPr>
                        <w:rFonts w:ascii="Verdana" w:hAnsi="Verdana"/>
                      </w:rPr>
                      <w:t xml:space="preserve"> </w:t>
                    </w:r>
                    <w:r>
                      <w:rPr>
                        <w:rFonts w:ascii="Verdana" w:hAnsi="Verdana"/>
                      </w:rPr>
                      <w:t>0201</w:t>
                    </w:r>
                  </w:p>
                  <w:p w14:paraId="52278F66" w14:textId="77777777" w:rsidR="00BB296E" w:rsidRPr="00284759" w:rsidRDefault="00BB296E" w:rsidP="00BB296E">
                    <w:pPr>
                      <w:spacing w:line="276" w:lineRule="auto"/>
                      <w:jc w:val="both"/>
                      <w:rPr>
                        <w:rFonts w:ascii="Verdana" w:hAnsi="Verdana"/>
                      </w:rPr>
                    </w:pPr>
                    <w:r w:rsidRPr="00F8640E">
                      <w:rPr>
                        <w:rFonts w:ascii="Verdana" w:hAnsi="Verdana"/>
                      </w:rPr>
                      <w:t>www.superfinanciera.gov.co</w:t>
                    </w:r>
                  </w:p>
                </w:txbxContent>
              </v:textbox>
              <w10:wrap anchorx="margin"/>
            </v:shape>
          </w:pict>
        </mc:Fallback>
      </mc:AlternateContent>
    </w:r>
    <w:r w:rsidR="00BB296E" w:rsidRPr="00160630">
      <w:rPr>
        <w:rFonts w:ascii="Verdana" w:hAnsi="Verdana"/>
        <w:lang w:val="es-ES"/>
      </w:rPr>
      <w:t xml:space="preserve">Página | </w:t>
    </w:r>
    <w:r w:rsidR="00BB296E" w:rsidRPr="00160630">
      <w:rPr>
        <w:rFonts w:ascii="Verdana" w:hAnsi="Verdana"/>
      </w:rPr>
      <w:fldChar w:fldCharType="begin"/>
    </w:r>
    <w:r w:rsidR="00BB296E" w:rsidRPr="00160630">
      <w:rPr>
        <w:rFonts w:ascii="Verdana" w:hAnsi="Verdana"/>
      </w:rPr>
      <w:instrText>PAGE   \* MERGEFORMAT</w:instrText>
    </w:r>
    <w:r w:rsidR="00BB296E" w:rsidRPr="00160630">
      <w:rPr>
        <w:rFonts w:ascii="Verdana" w:hAnsi="Verdana"/>
      </w:rPr>
      <w:fldChar w:fldCharType="separate"/>
    </w:r>
    <w:r w:rsidR="00BB296E" w:rsidRPr="00160630">
      <w:rPr>
        <w:rFonts w:ascii="Verdana" w:hAnsi="Verdana"/>
        <w:noProof/>
        <w:lang w:val="es-ES"/>
      </w:rPr>
      <w:t>1</w:t>
    </w:r>
    <w:r w:rsidR="00BB296E" w:rsidRPr="00160630">
      <w:rPr>
        <w:rFonts w:ascii="Verdana" w:hAnsi="Verdana"/>
      </w:rPr>
      <w:fldChar w:fldCharType="end"/>
    </w:r>
    <w:r w:rsidR="00BB296E" w:rsidRPr="00160630">
      <w:rPr>
        <w:rFonts w:ascii="Verdana" w:hAnsi="Verdana"/>
        <w:lang w:val="es-ES"/>
      </w:rPr>
      <w:t xml:space="preserve"> </w:t>
    </w:r>
  </w:p>
  <w:p w14:paraId="5D6CE737" w14:textId="77777777" w:rsidR="00BB296E" w:rsidRPr="00D34D20" w:rsidRDefault="00BB296E" w:rsidP="00BB296E">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9088" w14:textId="77777777" w:rsidR="00CB35F8" w:rsidRDefault="00CB35F8">
      <w:r>
        <w:separator/>
      </w:r>
    </w:p>
  </w:footnote>
  <w:footnote w:type="continuationSeparator" w:id="0">
    <w:p w14:paraId="33636A7C" w14:textId="77777777" w:rsidR="00CB35F8" w:rsidRDefault="00CB3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AD4B" w14:textId="77777777" w:rsidR="00564B20" w:rsidRDefault="00564B20">
    <w:pPr>
      <w:pStyle w:val="Encabezado"/>
      <w:jc w:val="center"/>
      <w:rPr>
        <w:rFonts w:ascii="Arial" w:hAnsi="Arial" w:cs="Arial"/>
        <w:b/>
        <w:sz w:val="24"/>
        <w:szCs w:val="24"/>
      </w:rPr>
    </w:pPr>
  </w:p>
  <w:p w14:paraId="2EF2EF0A" w14:textId="77777777" w:rsidR="00564B20" w:rsidRDefault="00564B20">
    <w:pPr>
      <w:pStyle w:val="Encabezado"/>
      <w:jc w:val="center"/>
      <w:rPr>
        <w:rFonts w:ascii="Arial" w:hAnsi="Arial" w:cs="Arial"/>
        <w:b/>
        <w:sz w:val="24"/>
        <w:szCs w:val="24"/>
      </w:rPr>
    </w:pPr>
  </w:p>
  <w:p w14:paraId="38C90F7A" w14:textId="77777777" w:rsidR="00564B20" w:rsidRDefault="00564B20">
    <w:pPr>
      <w:pStyle w:val="Encabezado"/>
      <w:jc w:val="center"/>
      <w:rPr>
        <w:rFonts w:ascii="Arial" w:hAnsi="Arial" w:cs="Arial"/>
        <w:b/>
        <w:sz w:val="24"/>
        <w:szCs w:val="24"/>
      </w:rPr>
    </w:pPr>
  </w:p>
  <w:p w14:paraId="146381AE" w14:textId="77777777" w:rsidR="00564B20" w:rsidRDefault="00564B20">
    <w:pPr>
      <w:pStyle w:val="Encabezado"/>
      <w:jc w:val="center"/>
      <w:rPr>
        <w:rFonts w:ascii="Arial" w:hAnsi="Arial" w:cs="Arial"/>
        <w:b/>
        <w:sz w:val="24"/>
        <w:szCs w:val="24"/>
      </w:rPr>
    </w:pPr>
    <w:r>
      <w:rPr>
        <w:rFonts w:ascii="Arial" w:hAnsi="Arial" w:cs="Arial"/>
        <w:b/>
        <w:sz w:val="24"/>
        <w:szCs w:val="24"/>
      </w:rPr>
      <w:t>SUPERINTENDENCIA FINANCIERA DE COLOMBIA</w:t>
    </w:r>
  </w:p>
  <w:p w14:paraId="4872B931" w14:textId="77777777" w:rsidR="00564B20" w:rsidRDefault="00564B20">
    <w:pPr>
      <w:pStyle w:val="Encabezado"/>
      <w:jc w:val="center"/>
      <w:rPr>
        <w:rFonts w:ascii="Arial" w:hAnsi="Arial" w:cs="Arial"/>
        <w:b/>
        <w:bCs/>
        <w:sz w:val="24"/>
        <w:szCs w:val="24"/>
        <w:lang w:val="es-CO"/>
      </w:rPr>
    </w:pPr>
  </w:p>
  <w:p w14:paraId="7437637D" w14:textId="77777777" w:rsidR="00564B20" w:rsidRDefault="00564B20">
    <w:pPr>
      <w:pStyle w:val="Encabezado"/>
      <w:jc w:val="both"/>
      <w:rPr>
        <w:rFonts w:ascii="Arial" w:hAnsi="Arial" w:cs="Arial"/>
        <w:b/>
        <w:bCs/>
        <w:sz w:val="24"/>
        <w:szCs w:val="24"/>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637"/>
      <w:gridCol w:w="4399"/>
      <w:gridCol w:w="2052"/>
    </w:tblGrid>
    <w:tr w:rsidR="00564B20" w14:paraId="2CA175BE" w14:textId="77777777" w:rsidTr="0044428D">
      <w:trPr>
        <w:cantSplit/>
        <w:trHeight w:val="699"/>
      </w:trPr>
      <w:tc>
        <w:tcPr>
          <w:tcW w:w="2055" w:type="dxa"/>
          <w:vMerge w:val="restart"/>
          <w:noWrap/>
          <w:vAlign w:val="bottom"/>
        </w:tcPr>
        <w:p w14:paraId="2AB770C4" w14:textId="6918B222" w:rsidR="00564B20" w:rsidRDefault="00B862CB" w:rsidP="000F6CB5">
          <w:pPr>
            <w:rPr>
              <w:rFonts w:cs="Arial"/>
              <w:sz w:val="2"/>
              <w:szCs w:val="2"/>
              <w:lang w:val="es-CO"/>
            </w:rPr>
          </w:pPr>
          <w:r>
            <w:rPr>
              <w:rFonts w:ascii="Arial" w:hAnsi="Arial" w:cs="Arial"/>
              <w:noProof/>
              <w:color w:val="000000"/>
              <w:lang w:eastAsia="es-419"/>
            </w:rPr>
            <w:drawing>
              <wp:inline distT="0" distB="0" distL="0" distR="0" wp14:anchorId="227879E5" wp14:editId="4E8F4361">
                <wp:extent cx="1585595" cy="554990"/>
                <wp:effectExtent l="0" t="0" r="0" b="0"/>
                <wp:docPr id="1" name="Imagen 190"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0"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595" cy="554990"/>
                        </a:xfrm>
                        <a:prstGeom prst="rect">
                          <a:avLst/>
                        </a:prstGeom>
                        <a:noFill/>
                        <a:ln>
                          <a:noFill/>
                        </a:ln>
                      </pic:spPr>
                    </pic:pic>
                  </a:graphicData>
                </a:graphic>
              </wp:inline>
            </w:drawing>
          </w:r>
        </w:p>
        <w:p w14:paraId="5A6DC7C6" w14:textId="77777777" w:rsidR="00564B20" w:rsidRDefault="00564B20" w:rsidP="000F6CB5">
          <w:pPr>
            <w:rPr>
              <w:rFonts w:cs="Arial"/>
              <w:sz w:val="2"/>
              <w:szCs w:val="2"/>
              <w:lang w:val="es-CO"/>
            </w:rPr>
          </w:pPr>
        </w:p>
        <w:p w14:paraId="4095D617" w14:textId="77777777" w:rsidR="00564B20" w:rsidRDefault="00564B20" w:rsidP="000F6CB5">
          <w:pPr>
            <w:rPr>
              <w:rFonts w:cs="Arial"/>
              <w:sz w:val="2"/>
              <w:szCs w:val="2"/>
              <w:lang w:val="es-CO"/>
            </w:rPr>
          </w:pPr>
        </w:p>
        <w:p w14:paraId="4F42FE0E" w14:textId="77777777" w:rsidR="00564B20" w:rsidRDefault="00564B20" w:rsidP="000F6CB5">
          <w:pPr>
            <w:rPr>
              <w:rFonts w:cs="Arial"/>
              <w:sz w:val="2"/>
              <w:szCs w:val="2"/>
              <w:lang w:val="es-CO"/>
            </w:rPr>
          </w:pPr>
        </w:p>
        <w:p w14:paraId="581946C9" w14:textId="77777777" w:rsidR="00564B20" w:rsidRDefault="00564B20" w:rsidP="000F6CB5">
          <w:pPr>
            <w:rPr>
              <w:rFonts w:cs="Arial"/>
              <w:sz w:val="2"/>
              <w:szCs w:val="2"/>
              <w:lang w:val="es-CO"/>
            </w:rPr>
          </w:pPr>
        </w:p>
      </w:tc>
      <w:tc>
        <w:tcPr>
          <w:tcW w:w="4399" w:type="dxa"/>
          <w:shd w:val="clear" w:color="auto" w:fill="FFFFFF"/>
          <w:noWrap/>
          <w:vAlign w:val="center"/>
        </w:tcPr>
        <w:p w14:paraId="5CBD75D8" w14:textId="77777777" w:rsidR="00564B20" w:rsidRDefault="00564B20" w:rsidP="000F6CB5">
          <w:pPr>
            <w:jc w:val="center"/>
            <w:rPr>
              <w:rFonts w:ascii="Arial" w:hAnsi="Arial" w:cs="Arial"/>
              <w:b/>
              <w:sz w:val="32"/>
              <w:szCs w:val="32"/>
              <w:lang w:val="es-CO"/>
            </w:rPr>
          </w:pPr>
          <w:r>
            <w:rPr>
              <w:rFonts w:ascii="Arial" w:hAnsi="Arial" w:cs="Arial"/>
              <w:b/>
              <w:sz w:val="32"/>
              <w:szCs w:val="32"/>
              <w:lang w:val="es-CO"/>
            </w:rPr>
            <w:t>PROFORMA INTERNA</w:t>
          </w:r>
        </w:p>
      </w:tc>
      <w:tc>
        <w:tcPr>
          <w:tcW w:w="2052" w:type="dxa"/>
          <w:shd w:val="clear" w:color="auto" w:fill="FFFFFF"/>
          <w:noWrap/>
          <w:vAlign w:val="center"/>
        </w:tcPr>
        <w:p w14:paraId="6B5EBDBA" w14:textId="77777777" w:rsidR="00564B20" w:rsidRDefault="00564B20" w:rsidP="000F6CB5">
          <w:pPr>
            <w:jc w:val="center"/>
            <w:rPr>
              <w:rFonts w:ascii="Arial" w:hAnsi="Arial" w:cs="Arial"/>
              <w:lang w:val="es-CO"/>
            </w:rPr>
          </w:pPr>
          <w:r>
            <w:rPr>
              <w:rFonts w:ascii="Arial" w:hAnsi="Arial" w:cs="Arial"/>
              <w:bCs/>
            </w:rPr>
            <w:t>E-PI-DDS-002</w:t>
          </w:r>
        </w:p>
      </w:tc>
    </w:tr>
    <w:tr w:rsidR="00564B20" w14:paraId="09B342D4" w14:textId="77777777" w:rsidTr="00043B3D">
      <w:trPr>
        <w:cantSplit/>
        <w:trHeight w:val="378"/>
      </w:trPr>
      <w:tc>
        <w:tcPr>
          <w:tcW w:w="2055" w:type="dxa"/>
          <w:vMerge/>
          <w:noWrap/>
          <w:vAlign w:val="bottom"/>
        </w:tcPr>
        <w:p w14:paraId="492EC686" w14:textId="77777777" w:rsidR="00564B20" w:rsidRDefault="00564B20" w:rsidP="000F6CB5">
          <w:pPr>
            <w:rPr>
              <w:rFonts w:cs="Arial"/>
              <w:color w:val="FFFFFF"/>
              <w:lang w:val="es-CO"/>
            </w:rPr>
          </w:pPr>
        </w:p>
      </w:tc>
      <w:tc>
        <w:tcPr>
          <w:tcW w:w="4399" w:type="dxa"/>
          <w:vAlign w:val="center"/>
        </w:tcPr>
        <w:p w14:paraId="2282EDFB" w14:textId="77777777" w:rsidR="00564B20" w:rsidRDefault="00564B20" w:rsidP="00564B20">
          <w:pPr>
            <w:pStyle w:val="Ttulo2"/>
            <w:jc w:val="center"/>
            <w:rPr>
              <w:rFonts w:cs="Arial"/>
            </w:rPr>
          </w:pPr>
          <w:r>
            <w:rPr>
              <w:rFonts w:cs="Arial"/>
            </w:rPr>
            <w:t>PUBLICACIÓN PARA COMENTARIOS</w:t>
          </w:r>
          <w:r w:rsidR="002B6E99">
            <w:rPr>
              <w:rFonts w:cs="Arial"/>
            </w:rPr>
            <w:t xml:space="preserve"> NORMA</w:t>
          </w:r>
        </w:p>
      </w:tc>
      <w:tc>
        <w:tcPr>
          <w:tcW w:w="2052" w:type="dxa"/>
          <w:shd w:val="clear" w:color="auto" w:fill="FFFFFF"/>
          <w:noWrap/>
          <w:vAlign w:val="center"/>
        </w:tcPr>
        <w:p w14:paraId="13F06DDC" w14:textId="77777777" w:rsidR="00564B20" w:rsidRDefault="00564B20" w:rsidP="000F6CB5">
          <w:pPr>
            <w:jc w:val="center"/>
            <w:rPr>
              <w:rFonts w:ascii="Arial" w:hAnsi="Arial" w:cs="Arial"/>
              <w:lang w:val="es-CO"/>
            </w:rPr>
          </w:pPr>
          <w:r>
            <w:rPr>
              <w:rFonts w:ascii="Arial" w:hAnsi="Arial" w:cs="Arial"/>
              <w:bCs/>
            </w:rPr>
            <w:t xml:space="preserve">Versión </w:t>
          </w:r>
          <w:r w:rsidR="001922C8">
            <w:rPr>
              <w:rFonts w:ascii="Arial" w:hAnsi="Arial" w:cs="Arial"/>
              <w:bCs/>
            </w:rPr>
            <w:t>5</w:t>
          </w:r>
        </w:p>
      </w:tc>
    </w:tr>
  </w:tbl>
  <w:p w14:paraId="3D177171" w14:textId="77777777" w:rsidR="00564B20" w:rsidRDefault="00564B20" w:rsidP="00564B20">
    <w:pPr>
      <w:pStyle w:val="Encabezado"/>
      <w:rPr>
        <w:rFonts w:ascii="Arial" w:hAnsi="Arial" w:cs="Arial"/>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92C7" w14:textId="0865E656" w:rsidR="00BB296E" w:rsidRDefault="00B862CB" w:rsidP="00BB296E">
    <w:pPr>
      <w:pStyle w:val="Encabezado"/>
      <w:jc w:val="center"/>
    </w:pPr>
    <w:r>
      <w:rPr>
        <w:noProof/>
      </w:rPr>
      <w:drawing>
        <wp:inline distT="0" distB="0" distL="0" distR="0" wp14:anchorId="02E91C37" wp14:editId="1CD3E787">
          <wp:extent cx="1903095" cy="83502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095" cy="835025"/>
                  </a:xfrm>
                  <a:prstGeom prst="rect">
                    <a:avLst/>
                  </a:prstGeom>
                  <a:noFill/>
                  <a:ln>
                    <a:noFill/>
                  </a:ln>
                </pic:spPr>
              </pic:pic>
            </a:graphicData>
          </a:graphic>
        </wp:inline>
      </w:drawing>
    </w:r>
  </w:p>
  <w:p w14:paraId="3506C81E" w14:textId="77777777" w:rsidR="00BB296E" w:rsidRDefault="00BB296E">
    <w:pPr>
      <w:pStyle w:val="Encabezado"/>
    </w:pPr>
  </w:p>
  <w:p w14:paraId="6037E90F" w14:textId="77777777" w:rsidR="00BB296E" w:rsidRDefault="00BB296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DF2FD7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E8C2D0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8E663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9B34927"/>
    <w:multiLevelType w:val="hybridMultilevel"/>
    <w:tmpl w:val="30DCF93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A3A01D9"/>
    <w:multiLevelType w:val="hybridMultilevel"/>
    <w:tmpl w:val="0B922468"/>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612D9E"/>
    <w:multiLevelType w:val="hybridMultilevel"/>
    <w:tmpl w:val="6BB0E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3D0B79"/>
    <w:multiLevelType w:val="hybridMultilevel"/>
    <w:tmpl w:val="E44CFC80"/>
    <w:lvl w:ilvl="0" w:tplc="0C0A0013">
      <w:start w:val="1"/>
      <w:numFmt w:val="upperRoman"/>
      <w:lvlText w:val="%1."/>
      <w:lvlJc w:val="right"/>
      <w:pPr>
        <w:tabs>
          <w:tab w:val="num" w:pos="888"/>
        </w:tabs>
        <w:ind w:left="888" w:hanging="18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172A512A"/>
    <w:multiLevelType w:val="hybridMultilevel"/>
    <w:tmpl w:val="8A0E9EF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8191A1E"/>
    <w:multiLevelType w:val="hybridMultilevel"/>
    <w:tmpl w:val="53F436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9FA44CB"/>
    <w:multiLevelType w:val="hybridMultilevel"/>
    <w:tmpl w:val="CF5C7240"/>
    <w:lvl w:ilvl="0" w:tplc="BF164162">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AF134F7"/>
    <w:multiLevelType w:val="hybridMultilevel"/>
    <w:tmpl w:val="3E8E1808"/>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D3A7546"/>
    <w:multiLevelType w:val="hybridMultilevel"/>
    <w:tmpl w:val="B2C8346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D8104C5"/>
    <w:multiLevelType w:val="hybridMultilevel"/>
    <w:tmpl w:val="2CF89FE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9A0E11"/>
    <w:multiLevelType w:val="hybridMultilevel"/>
    <w:tmpl w:val="B430025A"/>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E4728A8"/>
    <w:multiLevelType w:val="hybridMultilevel"/>
    <w:tmpl w:val="CAD03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01D7CDD"/>
    <w:multiLevelType w:val="hybridMultilevel"/>
    <w:tmpl w:val="E72E6E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DF4013"/>
    <w:multiLevelType w:val="multilevel"/>
    <w:tmpl w:val="8A0E9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4D21AAD"/>
    <w:multiLevelType w:val="hybridMultilevel"/>
    <w:tmpl w:val="44862A6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4F85712"/>
    <w:multiLevelType w:val="hybridMultilevel"/>
    <w:tmpl w:val="A54CEF9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B443EF"/>
    <w:multiLevelType w:val="hybridMultilevel"/>
    <w:tmpl w:val="EFCE72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2D43CF"/>
    <w:multiLevelType w:val="hybridMultilevel"/>
    <w:tmpl w:val="445AA5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87B0AFD"/>
    <w:multiLevelType w:val="hybridMultilevel"/>
    <w:tmpl w:val="9722749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AFF01A2"/>
    <w:multiLevelType w:val="hybridMultilevel"/>
    <w:tmpl w:val="8B5E31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CBA6D62"/>
    <w:multiLevelType w:val="multilevel"/>
    <w:tmpl w:val="5C7ED5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080"/>
        </w:tabs>
        <w:ind w:left="792" w:hanging="792"/>
      </w:pPr>
      <w:rPr>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DAD693B"/>
    <w:multiLevelType w:val="hybridMultilevel"/>
    <w:tmpl w:val="AE50D61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4A70876"/>
    <w:multiLevelType w:val="hybridMultilevel"/>
    <w:tmpl w:val="938E1D16"/>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6CC4116"/>
    <w:multiLevelType w:val="hybridMultilevel"/>
    <w:tmpl w:val="5B54FC5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7624985"/>
    <w:multiLevelType w:val="hybridMultilevel"/>
    <w:tmpl w:val="5E8EE62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84006FA"/>
    <w:multiLevelType w:val="hybridMultilevel"/>
    <w:tmpl w:val="C64849B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973088C"/>
    <w:multiLevelType w:val="hybridMultilevel"/>
    <w:tmpl w:val="4498F6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9CC629C"/>
    <w:multiLevelType w:val="hybridMultilevel"/>
    <w:tmpl w:val="9D9A84E6"/>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F5CA5"/>
    <w:multiLevelType w:val="hybridMultilevel"/>
    <w:tmpl w:val="F6245BB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02B513A"/>
    <w:multiLevelType w:val="hybridMultilevel"/>
    <w:tmpl w:val="1904FB1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0551AEE"/>
    <w:multiLevelType w:val="hybridMultilevel"/>
    <w:tmpl w:val="C7A4767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5" w15:restartNumberingAfterBreak="0">
    <w:nsid w:val="516C7077"/>
    <w:multiLevelType w:val="hybridMultilevel"/>
    <w:tmpl w:val="6106BD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7464E09"/>
    <w:multiLevelType w:val="hybridMultilevel"/>
    <w:tmpl w:val="C7F48FBC"/>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D113109"/>
    <w:multiLevelType w:val="hybridMultilevel"/>
    <w:tmpl w:val="CC52EFAA"/>
    <w:lvl w:ilvl="0" w:tplc="0C0A000F">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E216F8F"/>
    <w:multiLevelType w:val="hybridMultilevel"/>
    <w:tmpl w:val="25CC76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F504CF4"/>
    <w:multiLevelType w:val="hybridMultilevel"/>
    <w:tmpl w:val="F09C19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00E4B8E"/>
    <w:multiLevelType w:val="hybridMultilevel"/>
    <w:tmpl w:val="6AB2C958"/>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76B3339"/>
    <w:multiLevelType w:val="multilevel"/>
    <w:tmpl w:val="03A07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7C28A3"/>
    <w:multiLevelType w:val="hybridMultilevel"/>
    <w:tmpl w:val="A3FA5AAA"/>
    <w:lvl w:ilvl="0" w:tplc="80140466">
      <w:start w:val="1"/>
      <w:numFmt w:val="decimal"/>
      <w:lvlText w:val="%1."/>
      <w:lvlJc w:val="left"/>
      <w:pPr>
        <w:tabs>
          <w:tab w:val="num" w:pos="705"/>
        </w:tabs>
        <w:ind w:left="705" w:hanging="705"/>
      </w:pPr>
      <w:rPr>
        <w:rFonts w:hint="default"/>
      </w:rPr>
    </w:lvl>
    <w:lvl w:ilvl="1" w:tplc="314ECA26">
      <w:numFmt w:val="none"/>
      <w:lvlText w:val=""/>
      <w:lvlJc w:val="left"/>
      <w:pPr>
        <w:tabs>
          <w:tab w:val="num" w:pos="360"/>
        </w:tabs>
      </w:pPr>
    </w:lvl>
    <w:lvl w:ilvl="2" w:tplc="CB1A406C">
      <w:numFmt w:val="none"/>
      <w:lvlText w:val=""/>
      <w:lvlJc w:val="left"/>
      <w:pPr>
        <w:tabs>
          <w:tab w:val="num" w:pos="360"/>
        </w:tabs>
      </w:pPr>
    </w:lvl>
    <w:lvl w:ilvl="3" w:tplc="E1AC11EE">
      <w:numFmt w:val="none"/>
      <w:lvlText w:val=""/>
      <w:lvlJc w:val="left"/>
      <w:pPr>
        <w:tabs>
          <w:tab w:val="num" w:pos="360"/>
        </w:tabs>
      </w:pPr>
    </w:lvl>
    <w:lvl w:ilvl="4" w:tplc="48262BF2">
      <w:numFmt w:val="none"/>
      <w:lvlText w:val=""/>
      <w:lvlJc w:val="left"/>
      <w:pPr>
        <w:tabs>
          <w:tab w:val="num" w:pos="360"/>
        </w:tabs>
      </w:pPr>
    </w:lvl>
    <w:lvl w:ilvl="5" w:tplc="2BACD2E4">
      <w:numFmt w:val="none"/>
      <w:lvlText w:val=""/>
      <w:lvlJc w:val="left"/>
      <w:pPr>
        <w:tabs>
          <w:tab w:val="num" w:pos="360"/>
        </w:tabs>
      </w:pPr>
    </w:lvl>
    <w:lvl w:ilvl="6" w:tplc="F32ED814">
      <w:numFmt w:val="none"/>
      <w:lvlText w:val=""/>
      <w:lvlJc w:val="left"/>
      <w:pPr>
        <w:tabs>
          <w:tab w:val="num" w:pos="360"/>
        </w:tabs>
      </w:pPr>
    </w:lvl>
    <w:lvl w:ilvl="7" w:tplc="F6106BE8">
      <w:numFmt w:val="none"/>
      <w:lvlText w:val=""/>
      <w:lvlJc w:val="left"/>
      <w:pPr>
        <w:tabs>
          <w:tab w:val="num" w:pos="360"/>
        </w:tabs>
      </w:pPr>
    </w:lvl>
    <w:lvl w:ilvl="8" w:tplc="328ED670">
      <w:numFmt w:val="none"/>
      <w:lvlText w:val=""/>
      <w:lvlJc w:val="left"/>
      <w:pPr>
        <w:tabs>
          <w:tab w:val="num" w:pos="360"/>
        </w:tabs>
      </w:pPr>
    </w:lvl>
  </w:abstractNum>
  <w:abstractNum w:abstractNumId="43" w15:restartNumberingAfterBreak="0">
    <w:nsid w:val="756862E7"/>
    <w:multiLevelType w:val="hybridMultilevel"/>
    <w:tmpl w:val="FA3680B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8D31AA8"/>
    <w:multiLevelType w:val="hybridMultilevel"/>
    <w:tmpl w:val="8AE025F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5" w15:restartNumberingAfterBreak="0">
    <w:nsid w:val="7ED3412C"/>
    <w:multiLevelType w:val="hybridMultilevel"/>
    <w:tmpl w:val="9B2A11D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61099396">
    <w:abstractNumId w:val="10"/>
  </w:num>
  <w:num w:numId="2" w16cid:durableId="276646797">
    <w:abstractNumId w:val="42"/>
  </w:num>
  <w:num w:numId="3" w16cid:durableId="304314182">
    <w:abstractNumId w:val="27"/>
  </w:num>
  <w:num w:numId="4" w16cid:durableId="128016209">
    <w:abstractNumId w:val="2"/>
  </w:num>
  <w:num w:numId="5" w16cid:durableId="1797482680">
    <w:abstractNumId w:val="1"/>
  </w:num>
  <w:num w:numId="6" w16cid:durableId="371199657">
    <w:abstractNumId w:val="0"/>
  </w:num>
  <w:num w:numId="7" w16cid:durableId="259025343">
    <w:abstractNumId w:val="43"/>
  </w:num>
  <w:num w:numId="8" w16cid:durableId="294681252">
    <w:abstractNumId w:val="12"/>
  </w:num>
  <w:num w:numId="9" w16cid:durableId="994333713">
    <w:abstractNumId w:val="36"/>
  </w:num>
  <w:num w:numId="10" w16cid:durableId="1728215070">
    <w:abstractNumId w:val="14"/>
  </w:num>
  <w:num w:numId="11" w16cid:durableId="1755323154">
    <w:abstractNumId w:val="26"/>
  </w:num>
  <w:num w:numId="12" w16cid:durableId="1088884568">
    <w:abstractNumId w:val="5"/>
  </w:num>
  <w:num w:numId="13" w16cid:durableId="1284192740">
    <w:abstractNumId w:val="18"/>
  </w:num>
  <w:num w:numId="14" w16cid:durableId="333803806">
    <w:abstractNumId w:val="25"/>
  </w:num>
  <w:num w:numId="15" w16cid:durableId="1373967229">
    <w:abstractNumId w:val="11"/>
  </w:num>
  <w:num w:numId="16" w16cid:durableId="1207984793">
    <w:abstractNumId w:val="13"/>
  </w:num>
  <w:num w:numId="17" w16cid:durableId="1278028133">
    <w:abstractNumId w:val="8"/>
  </w:num>
  <w:num w:numId="18" w16cid:durableId="1025791798">
    <w:abstractNumId w:val="45"/>
  </w:num>
  <w:num w:numId="19" w16cid:durableId="48892057">
    <w:abstractNumId w:val="38"/>
  </w:num>
  <w:num w:numId="20" w16cid:durableId="316036704">
    <w:abstractNumId w:val="20"/>
  </w:num>
  <w:num w:numId="21" w16cid:durableId="1707945384">
    <w:abstractNumId w:val="15"/>
  </w:num>
  <w:num w:numId="22" w16cid:durableId="895970252">
    <w:abstractNumId w:val="16"/>
  </w:num>
  <w:num w:numId="23" w16cid:durableId="1189028956">
    <w:abstractNumId w:val="7"/>
  </w:num>
  <w:num w:numId="24" w16cid:durableId="182984977">
    <w:abstractNumId w:val="24"/>
  </w:num>
  <w:num w:numId="25" w16cid:durableId="1308046467">
    <w:abstractNumId w:val="37"/>
  </w:num>
  <w:num w:numId="26" w16cid:durableId="988627901">
    <w:abstractNumId w:val="23"/>
  </w:num>
  <w:num w:numId="27" w16cid:durableId="1750541855">
    <w:abstractNumId w:val="44"/>
  </w:num>
  <w:num w:numId="28" w16cid:durableId="464785227">
    <w:abstractNumId w:val="6"/>
  </w:num>
  <w:num w:numId="29" w16cid:durableId="1779983345">
    <w:abstractNumId w:val="21"/>
  </w:num>
  <w:num w:numId="30" w16cid:durableId="1708144449">
    <w:abstractNumId w:val="19"/>
  </w:num>
  <w:num w:numId="31" w16cid:durableId="1893760586">
    <w:abstractNumId w:val="39"/>
  </w:num>
  <w:num w:numId="32" w16cid:durableId="650601886">
    <w:abstractNumId w:val="32"/>
  </w:num>
  <w:num w:numId="33" w16cid:durableId="742991959">
    <w:abstractNumId w:val="4"/>
  </w:num>
  <w:num w:numId="34" w16cid:durableId="1335104870">
    <w:abstractNumId w:val="29"/>
  </w:num>
  <w:num w:numId="35" w16cid:durableId="528878318">
    <w:abstractNumId w:val="9"/>
  </w:num>
  <w:num w:numId="36" w16cid:durableId="228005336">
    <w:abstractNumId w:val="28"/>
  </w:num>
  <w:num w:numId="37" w16cid:durableId="608124896">
    <w:abstractNumId w:val="34"/>
  </w:num>
  <w:num w:numId="38" w16cid:durableId="1109928529">
    <w:abstractNumId w:val="22"/>
  </w:num>
  <w:num w:numId="39" w16cid:durableId="467360707">
    <w:abstractNumId w:val="31"/>
  </w:num>
  <w:num w:numId="40" w16cid:durableId="180974853">
    <w:abstractNumId w:val="41"/>
  </w:num>
  <w:num w:numId="41" w16cid:durableId="53547020">
    <w:abstractNumId w:val="17"/>
  </w:num>
  <w:num w:numId="42" w16cid:durableId="1324893765">
    <w:abstractNumId w:val="30"/>
  </w:num>
  <w:num w:numId="43" w16cid:durableId="50541982">
    <w:abstractNumId w:val="3"/>
  </w:num>
  <w:num w:numId="44" w16cid:durableId="837692453">
    <w:abstractNumId w:val="35"/>
  </w:num>
  <w:num w:numId="45" w16cid:durableId="1421677342">
    <w:abstractNumId w:val="40"/>
  </w:num>
  <w:num w:numId="46" w16cid:durableId="5031317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43B3D"/>
    <w:rsid w:val="00047316"/>
    <w:rsid w:val="000779CA"/>
    <w:rsid w:val="000963E4"/>
    <w:rsid w:val="000A2DEC"/>
    <w:rsid w:val="000D147B"/>
    <w:rsid w:val="000E6E7F"/>
    <w:rsid w:val="000F1EAE"/>
    <w:rsid w:val="000F5BC5"/>
    <w:rsid w:val="000F6CB5"/>
    <w:rsid w:val="00100406"/>
    <w:rsid w:val="00120DA4"/>
    <w:rsid w:val="001258E1"/>
    <w:rsid w:val="001543F0"/>
    <w:rsid w:val="00161ADD"/>
    <w:rsid w:val="00190EE7"/>
    <w:rsid w:val="001922C8"/>
    <w:rsid w:val="001A6B7D"/>
    <w:rsid w:val="001D4738"/>
    <w:rsid w:val="001E14C4"/>
    <w:rsid w:val="001E1C67"/>
    <w:rsid w:val="001E59F1"/>
    <w:rsid w:val="00226ACA"/>
    <w:rsid w:val="00240408"/>
    <w:rsid w:val="00255C68"/>
    <w:rsid w:val="002728EF"/>
    <w:rsid w:val="002758C1"/>
    <w:rsid w:val="00292B16"/>
    <w:rsid w:val="00295A62"/>
    <w:rsid w:val="002A4C86"/>
    <w:rsid w:val="002B6E99"/>
    <w:rsid w:val="002F4A2A"/>
    <w:rsid w:val="002F6612"/>
    <w:rsid w:val="002F6F95"/>
    <w:rsid w:val="003169AF"/>
    <w:rsid w:val="00316E05"/>
    <w:rsid w:val="00322ED9"/>
    <w:rsid w:val="003264C0"/>
    <w:rsid w:val="00344BA0"/>
    <w:rsid w:val="00355744"/>
    <w:rsid w:val="0035735E"/>
    <w:rsid w:val="0036480E"/>
    <w:rsid w:val="00373B44"/>
    <w:rsid w:val="0037411F"/>
    <w:rsid w:val="00374F5A"/>
    <w:rsid w:val="003760B7"/>
    <w:rsid w:val="00380FDD"/>
    <w:rsid w:val="003918C3"/>
    <w:rsid w:val="003C2C56"/>
    <w:rsid w:val="003E3CC3"/>
    <w:rsid w:val="003E43C9"/>
    <w:rsid w:val="003F7BBD"/>
    <w:rsid w:val="00403008"/>
    <w:rsid w:val="004041C8"/>
    <w:rsid w:val="00404235"/>
    <w:rsid w:val="004043B0"/>
    <w:rsid w:val="0040661C"/>
    <w:rsid w:val="00410CAB"/>
    <w:rsid w:val="00422A19"/>
    <w:rsid w:val="00431967"/>
    <w:rsid w:val="0044428D"/>
    <w:rsid w:val="00451E47"/>
    <w:rsid w:val="00473840"/>
    <w:rsid w:val="004747B1"/>
    <w:rsid w:val="00476770"/>
    <w:rsid w:val="004940E7"/>
    <w:rsid w:val="004A41A3"/>
    <w:rsid w:val="004C0848"/>
    <w:rsid w:val="004C2087"/>
    <w:rsid w:val="004D16C9"/>
    <w:rsid w:val="004D5BBF"/>
    <w:rsid w:val="004F111A"/>
    <w:rsid w:val="004F3364"/>
    <w:rsid w:val="00513233"/>
    <w:rsid w:val="0051487C"/>
    <w:rsid w:val="0051507D"/>
    <w:rsid w:val="00536044"/>
    <w:rsid w:val="005543FD"/>
    <w:rsid w:val="00563755"/>
    <w:rsid w:val="00564B20"/>
    <w:rsid w:val="00575B0E"/>
    <w:rsid w:val="00581497"/>
    <w:rsid w:val="00592E86"/>
    <w:rsid w:val="005C414D"/>
    <w:rsid w:val="005D0569"/>
    <w:rsid w:val="005D51F0"/>
    <w:rsid w:val="005D6B9C"/>
    <w:rsid w:val="00621A24"/>
    <w:rsid w:val="0064423D"/>
    <w:rsid w:val="0065471F"/>
    <w:rsid w:val="00655C9D"/>
    <w:rsid w:val="00661C6F"/>
    <w:rsid w:val="00664B83"/>
    <w:rsid w:val="00695D88"/>
    <w:rsid w:val="006B29A5"/>
    <w:rsid w:val="006B4443"/>
    <w:rsid w:val="006B56BB"/>
    <w:rsid w:val="006C2208"/>
    <w:rsid w:val="006D2615"/>
    <w:rsid w:val="006D6A16"/>
    <w:rsid w:val="006E30A8"/>
    <w:rsid w:val="006F70A6"/>
    <w:rsid w:val="006F7746"/>
    <w:rsid w:val="0072574B"/>
    <w:rsid w:val="00734232"/>
    <w:rsid w:val="00747199"/>
    <w:rsid w:val="0075215C"/>
    <w:rsid w:val="00767619"/>
    <w:rsid w:val="007901D8"/>
    <w:rsid w:val="00796791"/>
    <w:rsid w:val="007A55C7"/>
    <w:rsid w:val="007C0F8A"/>
    <w:rsid w:val="007E4209"/>
    <w:rsid w:val="007E5127"/>
    <w:rsid w:val="008078CF"/>
    <w:rsid w:val="00821E44"/>
    <w:rsid w:val="00824B7C"/>
    <w:rsid w:val="00826455"/>
    <w:rsid w:val="0082668E"/>
    <w:rsid w:val="00831F1E"/>
    <w:rsid w:val="00835176"/>
    <w:rsid w:val="00836A72"/>
    <w:rsid w:val="0084010C"/>
    <w:rsid w:val="00847F09"/>
    <w:rsid w:val="008526AA"/>
    <w:rsid w:val="00872F1E"/>
    <w:rsid w:val="0089369A"/>
    <w:rsid w:val="008B2EE6"/>
    <w:rsid w:val="008B3176"/>
    <w:rsid w:val="008B697F"/>
    <w:rsid w:val="008C78C6"/>
    <w:rsid w:val="008C7DC1"/>
    <w:rsid w:val="008D1DF6"/>
    <w:rsid w:val="008E4990"/>
    <w:rsid w:val="008E625A"/>
    <w:rsid w:val="00903F36"/>
    <w:rsid w:val="00904A52"/>
    <w:rsid w:val="009343D1"/>
    <w:rsid w:val="00941E2B"/>
    <w:rsid w:val="00954543"/>
    <w:rsid w:val="00954717"/>
    <w:rsid w:val="00997CB7"/>
    <w:rsid w:val="009A55F6"/>
    <w:rsid w:val="009C48E0"/>
    <w:rsid w:val="009D11AF"/>
    <w:rsid w:val="009E59F4"/>
    <w:rsid w:val="00A164B8"/>
    <w:rsid w:val="00A3204E"/>
    <w:rsid w:val="00A57330"/>
    <w:rsid w:val="00A61CAF"/>
    <w:rsid w:val="00A95AF9"/>
    <w:rsid w:val="00AC0FDE"/>
    <w:rsid w:val="00AE3FFE"/>
    <w:rsid w:val="00B03CDF"/>
    <w:rsid w:val="00B05C8F"/>
    <w:rsid w:val="00B106B6"/>
    <w:rsid w:val="00B12FDA"/>
    <w:rsid w:val="00B155D0"/>
    <w:rsid w:val="00B30344"/>
    <w:rsid w:val="00B46A2A"/>
    <w:rsid w:val="00B46BEC"/>
    <w:rsid w:val="00B51F39"/>
    <w:rsid w:val="00B55CDF"/>
    <w:rsid w:val="00B62131"/>
    <w:rsid w:val="00B862CB"/>
    <w:rsid w:val="00B9493C"/>
    <w:rsid w:val="00BA4714"/>
    <w:rsid w:val="00BB296E"/>
    <w:rsid w:val="00BB3603"/>
    <w:rsid w:val="00BB37DA"/>
    <w:rsid w:val="00BB62FB"/>
    <w:rsid w:val="00BC13D7"/>
    <w:rsid w:val="00BC783A"/>
    <w:rsid w:val="00BD2212"/>
    <w:rsid w:val="00C21A18"/>
    <w:rsid w:val="00C340E1"/>
    <w:rsid w:val="00C36080"/>
    <w:rsid w:val="00C370A1"/>
    <w:rsid w:val="00C3784A"/>
    <w:rsid w:val="00C70296"/>
    <w:rsid w:val="00C8617C"/>
    <w:rsid w:val="00C8742D"/>
    <w:rsid w:val="00CA499F"/>
    <w:rsid w:val="00CB35F8"/>
    <w:rsid w:val="00CC0132"/>
    <w:rsid w:val="00CD33D4"/>
    <w:rsid w:val="00D02637"/>
    <w:rsid w:val="00D05C33"/>
    <w:rsid w:val="00D071C4"/>
    <w:rsid w:val="00D15136"/>
    <w:rsid w:val="00D215AE"/>
    <w:rsid w:val="00D42D4C"/>
    <w:rsid w:val="00D6760F"/>
    <w:rsid w:val="00D847B2"/>
    <w:rsid w:val="00D85126"/>
    <w:rsid w:val="00DA7BB1"/>
    <w:rsid w:val="00DC1B94"/>
    <w:rsid w:val="00DC5264"/>
    <w:rsid w:val="00DF3624"/>
    <w:rsid w:val="00E416CF"/>
    <w:rsid w:val="00E435E8"/>
    <w:rsid w:val="00E47C9B"/>
    <w:rsid w:val="00E530A0"/>
    <w:rsid w:val="00E66DC8"/>
    <w:rsid w:val="00E75097"/>
    <w:rsid w:val="00E77E01"/>
    <w:rsid w:val="00E87477"/>
    <w:rsid w:val="00E927F7"/>
    <w:rsid w:val="00E93C1D"/>
    <w:rsid w:val="00E979D9"/>
    <w:rsid w:val="00EA1049"/>
    <w:rsid w:val="00EA6303"/>
    <w:rsid w:val="00EB26B9"/>
    <w:rsid w:val="00EC341B"/>
    <w:rsid w:val="00EC6395"/>
    <w:rsid w:val="00ED37AC"/>
    <w:rsid w:val="00EE3537"/>
    <w:rsid w:val="00EF7D2A"/>
    <w:rsid w:val="00F10676"/>
    <w:rsid w:val="00F325F8"/>
    <w:rsid w:val="00F32DEC"/>
    <w:rsid w:val="00F5386F"/>
    <w:rsid w:val="00F552E5"/>
    <w:rsid w:val="00F6044F"/>
    <w:rsid w:val="00F70A31"/>
    <w:rsid w:val="00F71F49"/>
    <w:rsid w:val="00F822C8"/>
    <w:rsid w:val="00F9082E"/>
    <w:rsid w:val="00FA34E3"/>
    <w:rsid w:val="00FC3F04"/>
    <w:rsid w:val="00FD3377"/>
    <w:rsid w:val="00FD5FEC"/>
    <w:rsid w:val="00FE2B60"/>
    <w:rsid w:val="00FF2589"/>
    <w:rsid w:val="27A11ED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602D42"/>
  <w15:chartTrackingRefBased/>
  <w15:docId w15:val="{1CAFB5FF-94F4-498C-85B5-4E2751D1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419" w:eastAsia="es-419"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after="120" w:line="480" w:lineRule="auto"/>
    </w:pPr>
  </w:style>
  <w:style w:type="paragraph" w:customStyle="1" w:styleId="Puesto">
    <w:name w:val="Puesto"/>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semiHidden/>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3"/>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pPr>
      <w:spacing w:after="120"/>
      <w:ind w:left="283"/>
    </w:pPr>
    <w:rPr>
      <w:sz w:val="24"/>
      <w:szCs w:val="24"/>
      <w:lang w:val="es-ES"/>
    </w:rPr>
  </w:style>
  <w:style w:type="paragraph" w:customStyle="1" w:styleId="Textoindependiente21">
    <w:name w:val="Texto independiente 21"/>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4"/>
      </w:numPr>
    </w:pPr>
    <w:rPr>
      <w:sz w:val="24"/>
      <w:szCs w:val="24"/>
      <w:lang w:val="es-ES"/>
    </w:rPr>
  </w:style>
  <w:style w:type="paragraph" w:styleId="Listaconvietas3">
    <w:name w:val="List Bullet 3"/>
    <w:basedOn w:val="Normal"/>
    <w:pPr>
      <w:numPr>
        <w:numId w:val="5"/>
      </w:numPr>
    </w:pPr>
    <w:rPr>
      <w:sz w:val="24"/>
      <w:szCs w:val="24"/>
      <w:lang w:val="es-ES"/>
    </w:rPr>
  </w:style>
  <w:style w:type="paragraph" w:styleId="Listaconvietas4">
    <w:name w:val="List Bullet 4"/>
    <w:basedOn w:val="Normal"/>
    <w:pPr>
      <w:numPr>
        <w:numId w:val="6"/>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character" w:customStyle="1" w:styleId="EncabezadoCar">
    <w:name w:val="Encabezado Car"/>
    <w:link w:val="Encabezado"/>
    <w:rsid w:val="008B2EE6"/>
    <w:rPr>
      <w:lang w:val="es-ES_tradnl" w:eastAsia="es-ES"/>
    </w:rPr>
  </w:style>
  <w:style w:type="character" w:customStyle="1" w:styleId="PiedepginaCar">
    <w:name w:val="Pie de página Car"/>
    <w:link w:val="Piedepgina"/>
    <w:rsid w:val="008B2EE6"/>
    <w:rPr>
      <w:lang w:val="es-ES_tradnl" w:eastAsia="es-ES"/>
    </w:rPr>
  </w:style>
  <w:style w:type="paragraph" w:styleId="Revisin">
    <w:name w:val="Revision"/>
    <w:hidden/>
    <w:uiPriority w:val="99"/>
    <w:semiHidden/>
    <w:rsid w:val="002758C1"/>
    <w:rPr>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4936">
      <w:bodyDiv w:val="1"/>
      <w:marLeft w:val="0"/>
      <w:marRight w:val="0"/>
      <w:marTop w:val="0"/>
      <w:marBottom w:val="0"/>
      <w:divBdr>
        <w:top w:val="none" w:sz="0" w:space="0" w:color="auto"/>
        <w:left w:val="none" w:sz="0" w:space="0" w:color="auto"/>
        <w:bottom w:val="none" w:sz="0" w:space="0" w:color="auto"/>
        <w:right w:val="none" w:sz="0" w:space="0" w:color="auto"/>
      </w:divBdr>
    </w:div>
    <w:div w:id="207719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290EDD85D54448945021AB426BB1AA" ma:contentTypeVersion="3" ma:contentTypeDescription="Create a new document." ma:contentTypeScope="" ma:versionID="f134d41051c10ab3a1bbb930b02d3b6a">
  <xsd:schema xmlns:xsd="http://www.w3.org/2001/XMLSchema" xmlns:xs="http://www.w3.org/2001/XMLSchema" xmlns:p="http://schemas.microsoft.com/office/2006/metadata/properties" xmlns:ns2="2a2b5300-3ccb-49f7-9f7a-17baa5e872e9" targetNamespace="http://schemas.microsoft.com/office/2006/metadata/properties" ma:root="true" ma:fieldsID="7e9b3a6b95ebbe6ef51de603c4af8a6b" ns2:_="">
    <xsd:import namespace="2a2b5300-3ccb-49f7-9f7a-17baa5e872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b5300-3ccb-49f7-9f7a-17baa5e87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15023-2523-4FD1-9823-30A42CFB6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b5300-3ccb-49f7-9f7a-17baa5e87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9E7AF-65D6-47B1-862E-70831C2C5793}">
  <ds:schemaRefs>
    <ds:schemaRef ds:uri="http://schemas.openxmlformats.org/officeDocument/2006/bibliography"/>
  </ds:schemaRefs>
</ds:datastoreItem>
</file>

<file path=customXml/itemProps3.xml><?xml version="1.0" encoding="utf-8"?>
<ds:datastoreItem xmlns:ds="http://schemas.openxmlformats.org/officeDocument/2006/customXml" ds:itemID="{0CB6BE6F-2563-4603-A501-124B53462AD4}">
  <ds:schemaRefs>
    <ds:schemaRef ds:uri="http://schemas.microsoft.com/sharepoint/v3/contenttype/forms"/>
  </ds:schemaRefs>
</ds:datastoreItem>
</file>

<file path=customXml/itemProps4.xml><?xml version="1.0" encoding="utf-8"?>
<ds:datastoreItem xmlns:ds="http://schemas.openxmlformats.org/officeDocument/2006/customXml" ds:itemID="{34E8A351-8C8F-48CE-872E-699961DDD259}">
  <ds:schemaRefs>
    <ds:schemaRef ds:uri="http://purl.org/dc/dcmitype/"/>
    <ds:schemaRef ds:uri="http://schemas.microsoft.com/office/infopath/2007/PartnerControls"/>
    <ds:schemaRef ds:uri="http://purl.org/dc/terms/"/>
    <ds:schemaRef ds:uri="http://purl.org/dc/elements/1.1/"/>
    <ds:schemaRef ds:uri="2a2b5300-3ccb-49f7-9f7a-17baa5e872e9"/>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1631</Words>
  <Characters>9691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Proy CE</vt:lpstr>
    </vt:vector>
  </TitlesOfParts>
  <Company>superfinanciera</Company>
  <LinksUpToDate>false</LinksUpToDate>
  <CharactersWithSpaces>11300</CharactersWithSpaces>
  <SharedDoc>false</SharedDoc>
  <HLinks>
    <vt:vector size="6" baseType="variant">
      <vt:variant>
        <vt:i4>8060936</vt:i4>
      </vt:variant>
      <vt:variant>
        <vt:i4>0</vt:i4>
      </vt:variant>
      <vt:variant>
        <vt:i4>0</vt:i4>
      </vt:variant>
      <vt:variant>
        <vt:i4>5</vt:i4>
      </vt:variant>
      <vt:variant>
        <vt:lpwstr>mailto:normativa@superfinanciera.gov.co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cp:lastModifiedBy>Sebastián Durán Méndez</cp:lastModifiedBy>
  <cp:revision>5</cp:revision>
  <cp:lastPrinted>2016-09-26T14:13:00Z</cp:lastPrinted>
  <dcterms:created xsi:type="dcterms:W3CDTF">2025-06-01T16:44:00Z</dcterms:created>
  <dcterms:modified xsi:type="dcterms:W3CDTF">2025-06-01T16:46:00Z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Estado de aprobación">
    <vt:lpwstr/>
  </property>
  <property fmtid="{D5CDD505-2E9C-101B-9397-08002B2CF9AE}" pid="4" name="lcf76f155ced4ddcb4097134ff3c332f">
    <vt:lpwstr/>
  </property>
  <property fmtid="{D5CDD505-2E9C-101B-9397-08002B2CF9AE}" pid="5" name="ContentTypeId">
    <vt:lpwstr>0x0101003F290EDD85D54448945021AB426BB1AA</vt:lpwstr>
  </property>
</Properties>
</file>