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70E9" w14:textId="77777777" w:rsidR="00B51F39" w:rsidRDefault="00B51F39" w:rsidP="00A33C80">
      <w:pPr>
        <w:pBdr>
          <w:top w:val="single" w:sz="4" w:space="0" w:color="auto"/>
          <w:left w:val="single" w:sz="4" w:space="4" w:color="auto"/>
          <w:bottom w:val="single" w:sz="4" w:space="1" w:color="auto"/>
          <w:right w:val="single" w:sz="4" w:space="4" w:color="auto"/>
        </w:pBdr>
        <w:rPr>
          <w:rFonts w:ascii="Arial" w:hAnsi="Arial" w:cs="Arial"/>
          <w:b/>
          <w:sz w:val="28"/>
          <w:szCs w:val="28"/>
        </w:rPr>
      </w:pPr>
    </w:p>
    <w:p w14:paraId="0D85661A" w14:textId="77777777" w:rsidR="00B51F39" w:rsidRPr="004B7F1B"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sidRPr="004B7F1B">
        <w:rPr>
          <w:rFonts w:ascii="Arial" w:hAnsi="Arial" w:cs="Arial"/>
          <w:b/>
          <w:sz w:val="28"/>
          <w:szCs w:val="28"/>
        </w:rPr>
        <w:t>Se publica para comentarios del público el siguiente:</w:t>
      </w:r>
    </w:p>
    <w:p w14:paraId="776D6B01" w14:textId="77777777" w:rsidR="00A33C80" w:rsidRPr="004B7F1B" w:rsidRDefault="00A33C80"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p>
    <w:p w14:paraId="1A51233A" w14:textId="77777777" w:rsidR="00B51F39" w:rsidRPr="004B7F1B"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3F09ADC4" w14:textId="5D3B8187" w:rsidR="006F70A6" w:rsidRPr="004B7F1B"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sidRPr="004B7F1B">
        <w:rPr>
          <w:rFonts w:ascii="Arial" w:hAnsi="Arial" w:cs="Arial"/>
          <w:b/>
          <w:bCs/>
          <w:sz w:val="24"/>
          <w:szCs w:val="24"/>
        </w:rPr>
        <w:t>PROYECTO D</w:t>
      </w:r>
      <w:r w:rsidR="00831BFE" w:rsidRPr="004B7F1B">
        <w:rPr>
          <w:rFonts w:ascii="Arial" w:hAnsi="Arial" w:cs="Arial"/>
          <w:b/>
          <w:bCs/>
          <w:sz w:val="24"/>
          <w:szCs w:val="24"/>
        </w:rPr>
        <w:t>E CIRCULAR EXTERNA</w:t>
      </w:r>
      <w:r w:rsidRPr="004B7F1B">
        <w:rPr>
          <w:rFonts w:ascii="Arial" w:hAnsi="Arial" w:cs="Arial"/>
          <w:b/>
          <w:bCs/>
          <w:sz w:val="24"/>
          <w:szCs w:val="24"/>
        </w:rPr>
        <w:t xml:space="preserve">: </w:t>
      </w:r>
      <w:r w:rsidR="00831BFE" w:rsidRPr="004B7F1B">
        <w:rPr>
          <w:rFonts w:ascii="Arial" w:hAnsi="Arial" w:cs="Arial"/>
          <w:bCs/>
          <w:sz w:val="24"/>
          <w:szCs w:val="24"/>
        </w:rPr>
        <w:t>Instrucciones para la prestación de productos y servicios financieros a personas con antecedentes penales o investigaciones penales en curso, en cumplimiento de la orden proferida por la Corte Constitucional en la sentencia T-113 de 2025.</w:t>
      </w:r>
    </w:p>
    <w:p w14:paraId="40093DCF" w14:textId="77777777" w:rsidR="00831BFE" w:rsidRPr="004B7F1B" w:rsidRDefault="00831BFE">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18820365" w14:textId="77777777" w:rsidR="00831BFE" w:rsidRPr="004B7F1B" w:rsidRDefault="00831BFE">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15C0AB2" w14:textId="2C4A4C89" w:rsidR="00B51F39" w:rsidRPr="004B7F1B"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4B7F1B">
        <w:rPr>
          <w:rFonts w:ascii="Arial" w:hAnsi="Arial" w:cs="Arial"/>
          <w:b/>
          <w:bCs/>
          <w:sz w:val="24"/>
          <w:szCs w:val="24"/>
        </w:rPr>
        <w:t xml:space="preserve">PROPÓSITO: </w:t>
      </w:r>
      <w:r w:rsidR="002C34D0" w:rsidRPr="004B7F1B">
        <w:rPr>
          <w:rFonts w:ascii="Arial" w:hAnsi="Arial" w:cs="Arial"/>
          <w:sz w:val="24"/>
          <w:szCs w:val="24"/>
        </w:rPr>
        <w:t>Impartir lineamientos a las entidades vigiladas para que realicen un análisis individualizado del riesgo de LA/FT en el marco del acceso a productos y servicios financieros por parte de personas con antecedentes penales o investigaciones penales en curso en cumplimiento de la orden de la Corte Constitucional en sentencia T-113 de 2025</w:t>
      </w:r>
      <w:r w:rsidR="00016D19" w:rsidRPr="004B7F1B">
        <w:rPr>
          <w:rFonts w:ascii="Arial" w:hAnsi="Arial" w:cs="Arial"/>
          <w:sz w:val="24"/>
          <w:szCs w:val="24"/>
        </w:rPr>
        <w:t>.</w:t>
      </w:r>
    </w:p>
    <w:p w14:paraId="73134E57" w14:textId="77777777" w:rsidR="00B51F39" w:rsidRPr="004B7F1B"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6B14D3A" w14:textId="77777777" w:rsidR="00564B20" w:rsidRPr="004B7F1B"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1AEC7A05" w14:textId="6046914E" w:rsidR="00B51F39" w:rsidRPr="004B7F1B"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sidRPr="004B7F1B">
        <w:rPr>
          <w:rFonts w:ascii="Arial" w:hAnsi="Arial" w:cs="Arial"/>
          <w:b/>
          <w:bCs/>
          <w:sz w:val="24"/>
          <w:szCs w:val="24"/>
        </w:rPr>
        <w:t xml:space="preserve">PLAZO PARA COMENTARIOS: </w:t>
      </w:r>
      <w:r w:rsidR="00016D19" w:rsidRPr="004B7F1B">
        <w:rPr>
          <w:rFonts w:ascii="Arial" w:hAnsi="Arial" w:cs="Arial"/>
          <w:bCs/>
          <w:sz w:val="24"/>
          <w:szCs w:val="24"/>
        </w:rPr>
        <w:t>Hasta las 5:00 p.m. del miércoles 16 de julio de 2025</w:t>
      </w:r>
    </w:p>
    <w:p w14:paraId="7D11E462" w14:textId="77777777" w:rsidR="00B51F39" w:rsidRPr="004B7F1B"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2738A40" w14:textId="77777777" w:rsidR="006F7746" w:rsidRPr="004B7F1B"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158B7C77" w14:textId="77777777" w:rsidR="006F7746" w:rsidRPr="004B7F1B"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sidRPr="004B7F1B">
        <w:rPr>
          <w:rFonts w:ascii="Arial" w:hAnsi="Arial" w:cs="Arial"/>
          <w:b/>
          <w:bCs/>
          <w:sz w:val="24"/>
          <w:szCs w:val="24"/>
        </w:rPr>
        <w:t xml:space="preserve">REMISIÓN DE COMENTARIOS: </w:t>
      </w:r>
      <w:r w:rsidRPr="004B7F1B">
        <w:rPr>
          <w:rFonts w:ascii="Arial" w:hAnsi="Arial" w:cs="Arial"/>
          <w:bCs/>
          <w:sz w:val="24"/>
          <w:szCs w:val="24"/>
        </w:rPr>
        <w:t xml:space="preserve">Por favor diligenciar la proforma adjunta “MATRIZ PARA COMENTARIOS EXTERNOS - PUBLICACION WEB”. </w:t>
      </w:r>
    </w:p>
    <w:p w14:paraId="23329216" w14:textId="77777777" w:rsidR="006F7746" w:rsidRPr="004B7F1B"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sidRPr="004B7F1B">
        <w:rPr>
          <w:rFonts w:ascii="Arial" w:hAnsi="Arial" w:cs="Arial"/>
          <w:bCs/>
          <w:sz w:val="24"/>
          <w:szCs w:val="24"/>
        </w:rPr>
        <w:t xml:space="preserve"> </w:t>
      </w:r>
    </w:p>
    <w:p w14:paraId="661B19F3" w14:textId="77777777" w:rsidR="006F7746" w:rsidRPr="004B7F1B"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sidRPr="004B7F1B">
        <w:rPr>
          <w:rFonts w:ascii="Arial" w:hAnsi="Arial" w:cs="Arial"/>
          <w:bCs/>
          <w:sz w:val="24"/>
          <w:szCs w:val="24"/>
        </w:rPr>
        <w:t xml:space="preserve">La proforma en formato Word puede ser radicada vía e-mail por medio del correo electrónico </w:t>
      </w:r>
      <w:hyperlink r:id="rId11" w:history="1">
        <w:r w:rsidRPr="004B7F1B">
          <w:rPr>
            <w:rStyle w:val="Hipervnculo"/>
            <w:rFonts w:ascii="Arial" w:hAnsi="Arial" w:cs="Arial"/>
            <w:bCs/>
            <w:sz w:val="24"/>
            <w:szCs w:val="24"/>
            <w:lang w:val="es-ES"/>
          </w:rPr>
          <w:t>normativa@superfinanciera.gov.co</w:t>
        </w:r>
      </w:hyperlink>
      <w:r w:rsidRPr="004B7F1B">
        <w:rPr>
          <w:rFonts w:ascii="Arial" w:hAnsi="Arial" w:cs="Arial"/>
          <w:bCs/>
          <w:sz w:val="24"/>
          <w:szCs w:val="24"/>
          <w:lang w:val="es-ES"/>
        </w:rPr>
        <w:t xml:space="preserve">. En el asunto </w:t>
      </w:r>
      <w:r w:rsidRPr="004B7F1B">
        <w:rPr>
          <w:rFonts w:ascii="Arial" w:hAnsi="Arial" w:cs="Arial"/>
          <w:b/>
          <w:bCs/>
          <w:sz w:val="24"/>
          <w:szCs w:val="24"/>
          <w:lang w:val="es-ES"/>
        </w:rPr>
        <w:t>únicamente</w:t>
      </w:r>
      <w:r w:rsidRPr="004B7F1B">
        <w:rPr>
          <w:rFonts w:ascii="Arial" w:hAnsi="Arial" w:cs="Arial"/>
          <w:bCs/>
          <w:sz w:val="24"/>
          <w:szCs w:val="24"/>
          <w:lang w:val="es-ES"/>
        </w:rPr>
        <w:t xml:space="preserve"> incluir el siguiente número de radicación: </w:t>
      </w:r>
      <w:r w:rsidRPr="004B7F1B">
        <w:rPr>
          <w:rFonts w:ascii="Arial" w:hAnsi="Arial" w:cs="Arial"/>
          <w:b/>
          <w:bCs/>
          <w:sz w:val="24"/>
          <w:szCs w:val="24"/>
          <w:lang w:val="es-ES"/>
        </w:rPr>
        <w:tab/>
        <w:t xml:space="preserve"> </w:t>
      </w:r>
    </w:p>
    <w:p w14:paraId="38BF75D1" w14:textId="77777777" w:rsidR="00B51F39" w:rsidRPr="004B7F1B"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4B7F1B">
        <w:rPr>
          <w:rFonts w:ascii="Arial" w:hAnsi="Arial" w:cs="Arial"/>
          <w:b/>
          <w:bCs/>
          <w:sz w:val="24"/>
          <w:szCs w:val="24"/>
          <w:lang w:val="es-ES"/>
        </w:rPr>
        <w:tab/>
      </w:r>
      <w:r w:rsidR="0064423D" w:rsidRPr="004B7F1B">
        <w:rPr>
          <w:rFonts w:ascii="Arial" w:hAnsi="Arial" w:cs="Arial"/>
          <w:b/>
          <w:bCs/>
          <w:sz w:val="24"/>
          <w:szCs w:val="24"/>
          <w:lang w:val="es-ES"/>
        </w:rPr>
        <w:t xml:space="preserve"> </w:t>
      </w:r>
    </w:p>
    <w:p w14:paraId="2417940A" w14:textId="77777777" w:rsidR="006F70A6" w:rsidRPr="004B7F1B"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3A6F66D9" w14:textId="19D8BF52" w:rsidR="00B51F39" w:rsidRPr="004B7F1B" w:rsidRDefault="006F70A6" w:rsidP="008260C5">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sidRPr="004B7F1B">
        <w:rPr>
          <w:rFonts w:ascii="Arial" w:hAnsi="Arial" w:cs="Arial"/>
          <w:b/>
          <w:bCs/>
          <w:sz w:val="24"/>
          <w:szCs w:val="24"/>
          <w:lang w:val="es-ES"/>
        </w:rPr>
        <w:t>RADICADO No</w:t>
      </w:r>
      <w:r w:rsidR="008260C5" w:rsidRPr="004B7F1B">
        <w:rPr>
          <w:rFonts w:ascii="Arial" w:hAnsi="Arial" w:cs="Arial"/>
          <w:b/>
          <w:bCs/>
          <w:sz w:val="24"/>
          <w:szCs w:val="24"/>
          <w:lang w:val="es-ES"/>
        </w:rPr>
        <w:t>. 2025105588</w:t>
      </w:r>
    </w:p>
    <w:p w14:paraId="4416E78C" w14:textId="77777777" w:rsidR="008260C5" w:rsidRPr="004B7F1B" w:rsidRDefault="008260C5" w:rsidP="008260C5">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p>
    <w:p w14:paraId="5EC95884" w14:textId="77777777" w:rsidR="00B51F39" w:rsidRPr="004B7F1B"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sidRPr="004B7F1B">
        <w:rPr>
          <w:rFonts w:ascii="Arial" w:hAnsi="Arial" w:cs="Arial"/>
          <w:b/>
          <w:bCs/>
          <w:sz w:val="24"/>
          <w:szCs w:val="24"/>
        </w:rPr>
        <w:t>POR ESCRITO A:</w:t>
      </w:r>
      <w:r w:rsidRPr="004B7F1B">
        <w:rPr>
          <w:rFonts w:ascii="Arial" w:hAnsi="Arial" w:cs="Arial"/>
          <w:b/>
          <w:bCs/>
          <w:sz w:val="24"/>
          <w:szCs w:val="24"/>
        </w:rPr>
        <w:tab/>
      </w:r>
      <w:r w:rsidR="00824B7C" w:rsidRPr="004B7F1B">
        <w:rPr>
          <w:rFonts w:ascii="Arial" w:hAnsi="Arial" w:cs="Arial"/>
          <w:b/>
          <w:bCs/>
          <w:sz w:val="24"/>
          <w:szCs w:val="24"/>
        </w:rPr>
        <w:t xml:space="preserve">Subdirector de </w:t>
      </w:r>
      <w:r w:rsidR="00AC0FDE" w:rsidRPr="004B7F1B">
        <w:rPr>
          <w:rFonts w:ascii="Arial" w:hAnsi="Arial" w:cs="Arial"/>
          <w:b/>
          <w:bCs/>
          <w:sz w:val="24"/>
          <w:szCs w:val="24"/>
        </w:rPr>
        <w:t>Regulación</w:t>
      </w:r>
      <w:r w:rsidR="00A164B8" w:rsidRPr="004B7F1B">
        <w:rPr>
          <w:rFonts w:ascii="Arial" w:hAnsi="Arial" w:cs="Arial"/>
          <w:bCs/>
          <w:sz w:val="24"/>
          <w:szCs w:val="24"/>
        </w:rPr>
        <w:t>, con el número de radicación.</w:t>
      </w:r>
    </w:p>
    <w:p w14:paraId="6D5596F1" w14:textId="77777777" w:rsidR="00043B3D" w:rsidRPr="004B7F1B"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078C9756" w14:textId="77777777" w:rsidR="00B51F39" w:rsidRPr="004B7F1B"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4B7F1B">
        <w:rPr>
          <w:rFonts w:ascii="Arial" w:hAnsi="Arial" w:cs="Arial"/>
          <w:bCs/>
          <w:sz w:val="24"/>
          <w:szCs w:val="24"/>
        </w:rPr>
        <w:tab/>
      </w:r>
      <w:r w:rsidRPr="004B7F1B">
        <w:rPr>
          <w:rFonts w:ascii="Arial" w:hAnsi="Arial" w:cs="Arial"/>
          <w:bCs/>
          <w:sz w:val="24"/>
          <w:szCs w:val="24"/>
        </w:rPr>
        <w:tab/>
        <w:t xml:space="preserve"> </w:t>
      </w:r>
    </w:p>
    <w:p w14:paraId="3796746B" w14:textId="77777777" w:rsidR="00B51F39" w:rsidRPr="004B7F1B"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21FCECDD" w14:textId="77777777" w:rsidR="00564B20" w:rsidRPr="004B7F1B"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4B7F1B">
        <w:rPr>
          <w:rFonts w:ascii="Arial" w:hAnsi="Arial" w:cs="Arial"/>
          <w:b/>
          <w:bCs/>
          <w:sz w:val="24"/>
          <w:szCs w:val="24"/>
        </w:rPr>
        <w:t xml:space="preserve">Nota: </w:t>
      </w:r>
      <w:r w:rsidRPr="004B7F1B">
        <w:rPr>
          <w:rFonts w:ascii="Arial" w:hAnsi="Arial" w:cs="Arial"/>
          <w:bCs/>
          <w:sz w:val="24"/>
          <w:szCs w:val="24"/>
        </w:rPr>
        <w:t>Para la remisión de los comentarios por favor citar en el asunto del correo electrónico, la referencia señalada, así como por escrito.</w:t>
      </w:r>
    </w:p>
    <w:p w14:paraId="7F179267" w14:textId="77777777" w:rsidR="00564B20" w:rsidRPr="004B7F1B"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6587B7E" w14:textId="77777777" w:rsidR="00564B20" w:rsidRPr="004B7F1B"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B867733" w14:textId="77777777" w:rsidR="00564B20" w:rsidRPr="004B7F1B"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097C4FC" w14:textId="77777777" w:rsidR="00564B20" w:rsidRPr="004B7F1B"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96CA8C6" w14:textId="77777777" w:rsidR="00564B20" w:rsidRPr="004B7F1B"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8939ABC" w14:textId="77777777" w:rsidR="00564B20" w:rsidRPr="004B7F1B"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1A3E555" w14:textId="77777777" w:rsidR="00B51F39" w:rsidRPr="004B7F1B"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57A1A8D9" w14:textId="77777777" w:rsidR="00B51F39" w:rsidRPr="004B7F1B"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5E34CEBA" w14:textId="77088799" w:rsidR="00E77E01" w:rsidRPr="004B7F1B" w:rsidRDefault="00B51F39" w:rsidP="008260C5">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sidRPr="004B7F1B">
        <w:rPr>
          <w:rFonts w:ascii="Arial" w:hAnsi="Arial" w:cs="Arial"/>
          <w:b/>
          <w:bCs/>
          <w:sz w:val="28"/>
          <w:szCs w:val="28"/>
        </w:rPr>
        <w:t xml:space="preserve">* Consulte en este archivo el texto del proyecto de </w:t>
      </w:r>
      <w:r w:rsidR="008260C5" w:rsidRPr="004B7F1B">
        <w:rPr>
          <w:rFonts w:ascii="Arial" w:hAnsi="Arial" w:cs="Arial"/>
          <w:b/>
          <w:bCs/>
          <w:sz w:val="28"/>
          <w:szCs w:val="28"/>
        </w:rPr>
        <w:t>circular externa</w:t>
      </w:r>
    </w:p>
    <w:p w14:paraId="2AEBA7C3" w14:textId="77777777" w:rsidR="00E77E01" w:rsidRPr="004B7F1B"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365FC89F" w14:textId="77777777" w:rsidR="00831BFE" w:rsidRPr="004B7F1B" w:rsidRDefault="00831BFE">
      <w:pPr>
        <w:jc w:val="center"/>
        <w:rPr>
          <w:rFonts w:cs="Arial"/>
          <w:b/>
          <w:bCs/>
          <w:sz w:val="22"/>
          <w:szCs w:val="22"/>
        </w:rPr>
        <w:sectPr w:rsidR="00831BFE" w:rsidRPr="004B7F1B" w:rsidSect="00EE3537">
          <w:headerReference w:type="default" r:id="rId12"/>
          <w:footerReference w:type="default" r:id="rId13"/>
          <w:headerReference w:type="first" r:id="rId14"/>
          <w:footerReference w:type="first" r:id="rId15"/>
          <w:pgSz w:w="12242" w:h="18722" w:code="14"/>
          <w:pgMar w:top="2977" w:right="1701" w:bottom="1701" w:left="2268" w:header="709" w:footer="709" w:gutter="0"/>
          <w:paperSrc w:first="2" w:other="2"/>
          <w:cols w:space="708"/>
          <w:titlePg/>
          <w:docGrid w:linePitch="360"/>
        </w:sectPr>
      </w:pPr>
    </w:p>
    <w:p w14:paraId="78F9BB19" w14:textId="77777777" w:rsidR="00831BFE" w:rsidRPr="004B7F1B" w:rsidRDefault="00831BFE" w:rsidP="00831BFE">
      <w:pPr>
        <w:widowControl w:val="0"/>
        <w:autoSpaceDE w:val="0"/>
        <w:autoSpaceDN w:val="0"/>
        <w:adjustRightInd w:val="0"/>
        <w:ind w:firstLine="708"/>
        <w:jc w:val="center"/>
        <w:rPr>
          <w:rFonts w:ascii="Verdana" w:hAnsi="Verdana" w:cs="Arial"/>
          <w:b/>
          <w:sz w:val="24"/>
          <w:szCs w:val="24"/>
        </w:rPr>
      </w:pPr>
      <w:r w:rsidRPr="004B7F1B">
        <w:rPr>
          <w:rFonts w:ascii="Verdana" w:hAnsi="Verdana" w:cs="Arial"/>
          <w:b/>
          <w:sz w:val="24"/>
          <w:szCs w:val="24"/>
        </w:rPr>
        <w:lastRenderedPageBreak/>
        <w:t xml:space="preserve">CIRCULAR EXTERNA         </w:t>
      </w:r>
      <w:r w:rsidRPr="004B7F1B">
        <w:rPr>
          <w:rFonts w:ascii="Verdana" w:hAnsi="Verdana" w:cs="Arial"/>
          <w:b/>
          <w:color w:val="999999"/>
          <w:sz w:val="24"/>
          <w:szCs w:val="24"/>
        </w:rPr>
        <w:t xml:space="preserve">    </w:t>
      </w:r>
      <w:r w:rsidRPr="004B7F1B">
        <w:rPr>
          <w:rFonts w:ascii="Verdana" w:hAnsi="Verdana" w:cs="Arial"/>
          <w:b/>
          <w:sz w:val="24"/>
          <w:szCs w:val="24"/>
        </w:rPr>
        <w:t xml:space="preserve">  DE </w:t>
      </w:r>
      <w:r w:rsidRPr="004B7F1B">
        <w:rPr>
          <w:rFonts w:ascii="Verdana" w:hAnsi="Verdana" w:cs="Arial"/>
          <w:b/>
          <w:color w:val="999999"/>
          <w:sz w:val="24"/>
          <w:szCs w:val="24"/>
        </w:rPr>
        <w:t xml:space="preserve">       </w:t>
      </w:r>
    </w:p>
    <w:p w14:paraId="1F8BA6F2" w14:textId="77777777" w:rsidR="00831BFE" w:rsidRPr="004B7F1B" w:rsidRDefault="00831BFE" w:rsidP="00831BFE">
      <w:pPr>
        <w:widowControl w:val="0"/>
        <w:autoSpaceDE w:val="0"/>
        <w:autoSpaceDN w:val="0"/>
        <w:adjustRightInd w:val="0"/>
        <w:jc w:val="center"/>
        <w:rPr>
          <w:rFonts w:ascii="Verdana" w:hAnsi="Verdana" w:cs="Arial"/>
          <w:b/>
          <w:sz w:val="24"/>
          <w:szCs w:val="24"/>
        </w:rPr>
      </w:pPr>
      <w:r w:rsidRPr="004B7F1B">
        <w:rPr>
          <w:rFonts w:ascii="Verdana" w:hAnsi="Verdana" w:cs="Arial"/>
          <w:b/>
          <w:sz w:val="24"/>
          <w:szCs w:val="24"/>
        </w:rPr>
        <w:t>(                                        )</w:t>
      </w:r>
    </w:p>
    <w:p w14:paraId="4B9044F1" w14:textId="77777777" w:rsidR="00831BFE" w:rsidRPr="004B7F1B" w:rsidRDefault="00831BFE" w:rsidP="00831BFE">
      <w:pPr>
        <w:widowControl w:val="0"/>
        <w:autoSpaceDE w:val="0"/>
        <w:autoSpaceDN w:val="0"/>
        <w:adjustRightInd w:val="0"/>
        <w:jc w:val="both"/>
        <w:rPr>
          <w:rFonts w:ascii="Verdana" w:hAnsi="Verdana" w:cs="Arial"/>
          <w:sz w:val="24"/>
          <w:szCs w:val="24"/>
        </w:rPr>
      </w:pPr>
    </w:p>
    <w:p w14:paraId="78B19FC6" w14:textId="77777777" w:rsidR="00831BFE" w:rsidRPr="004B7F1B" w:rsidRDefault="00831BFE" w:rsidP="00831BFE">
      <w:pPr>
        <w:widowControl w:val="0"/>
        <w:autoSpaceDE w:val="0"/>
        <w:autoSpaceDN w:val="0"/>
        <w:adjustRightInd w:val="0"/>
        <w:jc w:val="both"/>
        <w:rPr>
          <w:rFonts w:ascii="Verdana" w:hAnsi="Verdana" w:cs="Arial"/>
          <w:b/>
          <w:sz w:val="24"/>
          <w:szCs w:val="24"/>
        </w:rPr>
      </w:pPr>
      <w:r w:rsidRPr="004B7F1B">
        <w:rPr>
          <w:rFonts w:ascii="Verdana" w:hAnsi="Verdana" w:cs="Arial"/>
          <w:b/>
          <w:sz w:val="24"/>
          <w:szCs w:val="24"/>
        </w:rPr>
        <w:t>Señores</w:t>
      </w:r>
    </w:p>
    <w:p w14:paraId="514B610B" w14:textId="77777777" w:rsidR="00831BFE" w:rsidRPr="004B7F1B" w:rsidRDefault="00831BFE" w:rsidP="00831BFE">
      <w:pPr>
        <w:widowControl w:val="0"/>
        <w:tabs>
          <w:tab w:val="left" w:pos="0"/>
        </w:tabs>
        <w:autoSpaceDE w:val="0"/>
        <w:autoSpaceDN w:val="0"/>
        <w:adjustRightInd w:val="0"/>
        <w:jc w:val="both"/>
        <w:rPr>
          <w:rFonts w:ascii="Verdana" w:hAnsi="Verdana" w:cs="Arial"/>
          <w:b/>
          <w:sz w:val="24"/>
          <w:szCs w:val="24"/>
        </w:rPr>
      </w:pPr>
      <w:r w:rsidRPr="004B7F1B">
        <w:rPr>
          <w:rFonts w:ascii="Verdana" w:hAnsi="Verdana" w:cs="Arial"/>
          <w:sz w:val="24"/>
          <w:szCs w:val="24"/>
        </w:rPr>
        <w:t>REPRESENTANTES LEGALES, REVISORES FISCALES Y OFICIALES DE CUMPLIMIENTO DE LAS ENTIDADES VIGILADAS POR LA SUPERINTENDENCIA FINANCIERA DE COLOMBIA</w:t>
      </w:r>
    </w:p>
    <w:p w14:paraId="53D6D569" w14:textId="77777777" w:rsidR="00831BFE" w:rsidRPr="004B7F1B" w:rsidRDefault="00831BFE" w:rsidP="00831BFE">
      <w:pPr>
        <w:widowControl w:val="0"/>
        <w:autoSpaceDE w:val="0"/>
        <w:autoSpaceDN w:val="0"/>
        <w:adjustRightInd w:val="0"/>
        <w:ind w:left="1560" w:hanging="1560"/>
        <w:jc w:val="both"/>
        <w:rPr>
          <w:rFonts w:ascii="Verdana" w:hAnsi="Verdana" w:cs="Arial"/>
          <w:b/>
          <w:sz w:val="24"/>
          <w:szCs w:val="24"/>
        </w:rPr>
      </w:pPr>
    </w:p>
    <w:p w14:paraId="73C604FE" w14:textId="77777777" w:rsidR="00831BFE" w:rsidRPr="004B7F1B" w:rsidRDefault="00831BFE" w:rsidP="00831BFE">
      <w:pPr>
        <w:widowControl w:val="0"/>
        <w:autoSpaceDE w:val="0"/>
        <w:autoSpaceDN w:val="0"/>
        <w:adjustRightInd w:val="0"/>
        <w:jc w:val="both"/>
        <w:rPr>
          <w:rFonts w:ascii="Verdana" w:hAnsi="Verdana" w:cs="Arial"/>
          <w:b/>
          <w:bCs/>
          <w:sz w:val="24"/>
          <w:szCs w:val="24"/>
        </w:rPr>
      </w:pPr>
      <w:r w:rsidRPr="004B7F1B">
        <w:rPr>
          <w:rFonts w:ascii="Verdana" w:hAnsi="Verdana" w:cs="Arial"/>
          <w:b/>
          <w:sz w:val="24"/>
          <w:szCs w:val="24"/>
        </w:rPr>
        <w:t xml:space="preserve">Referencia: </w:t>
      </w:r>
      <w:r w:rsidRPr="004B7F1B">
        <w:rPr>
          <w:rFonts w:ascii="Verdana" w:hAnsi="Verdana" w:cs="Arial"/>
          <w:b/>
          <w:bCs/>
          <w:sz w:val="24"/>
          <w:szCs w:val="24"/>
        </w:rPr>
        <w:t>Instrucciones para la prestación de productos y servicios financieros a personas con antecedentes penales o investigaciones penales en curso, en cumplimiento de la orden proferida por la Corte Constitucional en la sentencia T-113 de 2025</w:t>
      </w:r>
    </w:p>
    <w:p w14:paraId="0EBA7B0A" w14:textId="77777777" w:rsidR="00831BFE" w:rsidRPr="004B7F1B" w:rsidRDefault="00831BFE" w:rsidP="00831BFE">
      <w:pPr>
        <w:widowControl w:val="0"/>
        <w:adjustRightInd w:val="0"/>
        <w:jc w:val="both"/>
        <w:rPr>
          <w:rFonts w:ascii="Verdana" w:hAnsi="Verdana" w:cs="Arial"/>
          <w:b/>
          <w:bCs/>
          <w:sz w:val="24"/>
          <w:szCs w:val="24"/>
        </w:rPr>
      </w:pPr>
    </w:p>
    <w:p w14:paraId="230EDE5D" w14:textId="77777777" w:rsidR="00831BFE" w:rsidRPr="004B7F1B" w:rsidRDefault="00831BFE" w:rsidP="00831BFE">
      <w:pPr>
        <w:widowControl w:val="0"/>
        <w:adjustRightInd w:val="0"/>
        <w:jc w:val="both"/>
        <w:rPr>
          <w:rFonts w:ascii="Verdana" w:hAnsi="Verdana"/>
          <w:color w:val="000000"/>
          <w:sz w:val="24"/>
        </w:rPr>
      </w:pPr>
    </w:p>
    <w:p w14:paraId="0C756450" w14:textId="77777777" w:rsidR="00831BFE" w:rsidRPr="004B7F1B" w:rsidRDefault="00831BFE" w:rsidP="00831BFE">
      <w:pPr>
        <w:widowControl w:val="0"/>
        <w:adjustRightInd w:val="0"/>
        <w:jc w:val="both"/>
        <w:rPr>
          <w:rFonts w:ascii="Verdana" w:hAnsi="Verdana" w:cs="Arial"/>
          <w:color w:val="000000"/>
          <w:sz w:val="24"/>
          <w:szCs w:val="24"/>
        </w:rPr>
      </w:pPr>
      <w:r w:rsidRPr="004B7F1B">
        <w:rPr>
          <w:rFonts w:ascii="Verdana" w:hAnsi="Verdana" w:cs="Arial"/>
          <w:color w:val="000000"/>
          <w:sz w:val="24"/>
          <w:szCs w:val="24"/>
        </w:rPr>
        <w:t>Apreciados señores:</w:t>
      </w:r>
    </w:p>
    <w:p w14:paraId="0E961254" w14:textId="77777777" w:rsidR="00831BFE" w:rsidRPr="004B7F1B" w:rsidRDefault="00831BFE" w:rsidP="00831BFE">
      <w:pPr>
        <w:widowControl w:val="0"/>
        <w:adjustRightInd w:val="0"/>
        <w:jc w:val="both"/>
        <w:rPr>
          <w:rFonts w:ascii="Verdana" w:hAnsi="Verdana" w:cs="Arial"/>
          <w:color w:val="000000"/>
          <w:sz w:val="24"/>
          <w:szCs w:val="24"/>
        </w:rPr>
      </w:pPr>
    </w:p>
    <w:p w14:paraId="2E49DC03" w14:textId="77777777" w:rsidR="00831BFE" w:rsidRPr="004B7F1B" w:rsidRDefault="00831BFE" w:rsidP="00831BFE">
      <w:pPr>
        <w:pStyle w:val="NormalWeb"/>
        <w:spacing w:before="0" w:beforeAutospacing="0" w:after="0" w:afterAutospacing="0"/>
        <w:jc w:val="both"/>
        <w:rPr>
          <w:rFonts w:ascii="Verdana" w:hAnsi="Verdana"/>
          <w:color w:val="000000"/>
          <w:lang w:val="es-ES_tradnl"/>
        </w:rPr>
      </w:pPr>
      <w:r w:rsidRPr="004B7F1B">
        <w:rPr>
          <w:rFonts w:ascii="Verdana" w:eastAsia="Arial" w:hAnsi="Verdana" w:cs="Arial"/>
          <w:color w:val="000000"/>
          <w:u w:color="000000"/>
          <w:bdr w:val="nil"/>
          <w:lang w:eastAsia="es-CO"/>
        </w:rPr>
        <w:t xml:space="preserve">Como es de su conocimiento, la jurisprudencia constitucional ha señalado que la actividad financiera, aseguradora y bursátil </w:t>
      </w:r>
      <w:r w:rsidRPr="004B7F1B" w:rsidDel="00FB1CFE">
        <w:rPr>
          <w:rFonts w:ascii="Verdana" w:eastAsia="Arial" w:hAnsi="Verdana" w:cs="Arial"/>
          <w:color w:val="000000"/>
          <w:u w:color="000000"/>
          <w:bdr w:val="nil"/>
          <w:lang w:eastAsia="es-CO"/>
        </w:rPr>
        <w:t>es</w:t>
      </w:r>
      <w:r w:rsidRPr="004B7F1B">
        <w:rPr>
          <w:rFonts w:ascii="Verdana" w:eastAsia="Arial" w:hAnsi="Verdana" w:cs="Arial"/>
          <w:color w:val="000000"/>
          <w:u w:color="000000"/>
          <w:bdr w:val="nil"/>
          <w:lang w:val="es-ES_tradnl" w:eastAsia="es-CO"/>
        </w:rPr>
        <w:t xml:space="preserve"> de interés público, y, en particular, ha reiterado que «</w:t>
      </w:r>
      <w:r w:rsidRPr="004B7F1B">
        <w:rPr>
          <w:rFonts w:ascii="Verdana" w:eastAsia="Arial" w:hAnsi="Verdana" w:cs="Arial"/>
          <w:i/>
          <w:iCs/>
          <w:color w:val="000000"/>
          <w:u w:color="000000"/>
          <w:bdr w:val="nil"/>
          <w:lang w:val="es-ES_tradnl" w:eastAsia="es-CO"/>
        </w:rPr>
        <w:t>que el acceso a los servicios financieros debe basarse en criterios objetivos y razonables, para así evitar restricciones arbitrarias que vulneren derechos fundamentales</w:t>
      </w:r>
      <w:r w:rsidRPr="004B7F1B">
        <w:rPr>
          <w:rFonts w:ascii="Verdana" w:eastAsia="Arial" w:hAnsi="Verdana" w:cs="Arial"/>
          <w:color w:val="000000"/>
          <w:u w:color="000000"/>
          <w:bdr w:val="nil"/>
          <w:lang w:val="es-ES_tradnl" w:eastAsia="es-CO"/>
        </w:rPr>
        <w:t>»</w:t>
      </w:r>
      <w:r w:rsidRPr="004B7F1B">
        <w:rPr>
          <w:rStyle w:val="Refdenotaalpie"/>
          <w:rFonts w:ascii="Verdana" w:eastAsia="Arial" w:hAnsi="Verdana" w:cs="Arial"/>
          <w:color w:val="000000"/>
          <w:u w:color="000000"/>
          <w:bdr w:val="nil"/>
          <w:lang w:val="es-ES_tradnl" w:eastAsia="es-CO"/>
        </w:rPr>
        <w:footnoteReference w:id="1"/>
      </w:r>
      <w:r w:rsidRPr="004B7F1B">
        <w:rPr>
          <w:rFonts w:ascii="Verdana" w:eastAsia="Arial" w:hAnsi="Verdana" w:cs="Arial"/>
          <w:color w:val="000000"/>
          <w:u w:color="000000"/>
          <w:bdr w:val="nil"/>
          <w:lang w:val="es-ES_tradnl" w:eastAsia="es-CO"/>
        </w:rPr>
        <w:t>.</w:t>
      </w:r>
    </w:p>
    <w:p w14:paraId="628A1B1B" w14:textId="77777777" w:rsidR="00831BFE" w:rsidRPr="004B7F1B" w:rsidRDefault="00831BFE" w:rsidP="00831BFE">
      <w:pPr>
        <w:pBdr>
          <w:top w:val="nil"/>
          <w:left w:val="nil"/>
          <w:bottom w:val="nil"/>
          <w:right w:val="nil"/>
          <w:between w:val="nil"/>
          <w:bar w:val="nil"/>
        </w:pBdr>
        <w:jc w:val="both"/>
        <w:rPr>
          <w:rFonts w:ascii="Verdana" w:eastAsia="Arial" w:hAnsi="Verdana" w:cs="Arial"/>
          <w:color w:val="000000"/>
          <w:sz w:val="24"/>
          <w:szCs w:val="24"/>
          <w:u w:color="000000"/>
          <w:bdr w:val="nil"/>
          <w:lang w:eastAsia="es-CO"/>
        </w:rPr>
      </w:pPr>
    </w:p>
    <w:p w14:paraId="673EC79A" w14:textId="77777777" w:rsidR="00831BFE" w:rsidRPr="004B7F1B" w:rsidRDefault="00831BFE" w:rsidP="00831BFE">
      <w:pPr>
        <w:pBdr>
          <w:top w:val="nil"/>
          <w:left w:val="nil"/>
          <w:bottom w:val="nil"/>
          <w:right w:val="nil"/>
          <w:between w:val="nil"/>
          <w:bar w:val="nil"/>
        </w:pBdr>
        <w:jc w:val="both"/>
        <w:rPr>
          <w:rFonts w:ascii="Verdana" w:eastAsia="Arial" w:hAnsi="Verdana" w:cs="Arial"/>
          <w:color w:val="000000"/>
          <w:sz w:val="24"/>
          <w:szCs w:val="24"/>
          <w:u w:color="000000"/>
          <w:bdr w:val="nil"/>
          <w:lang w:eastAsia="es-CO"/>
        </w:rPr>
      </w:pPr>
      <w:r w:rsidRPr="004B7F1B">
        <w:rPr>
          <w:rFonts w:ascii="Verdana" w:eastAsia="Arial" w:hAnsi="Verdana" w:cs="Arial"/>
          <w:color w:val="000000"/>
          <w:sz w:val="24"/>
          <w:szCs w:val="24"/>
          <w:u w:color="000000"/>
          <w:bdr w:val="nil"/>
          <w:lang w:eastAsia="es-CO"/>
        </w:rPr>
        <w:t>Por su parte, el literal b. del artículo 3 de la Ley 1328 del 2009 establece que «</w:t>
      </w:r>
      <w:r w:rsidRPr="004B7F1B">
        <w:rPr>
          <w:rFonts w:ascii="Verdana" w:eastAsia="Arial" w:hAnsi="Verdana" w:cs="Arial"/>
          <w:i/>
          <w:color w:val="000000"/>
          <w:sz w:val="24"/>
          <w:szCs w:val="24"/>
          <w:bdr w:val="nil"/>
          <w:lang w:eastAsia="es-CO"/>
        </w:rPr>
        <w:t>La</w:t>
      </w:r>
      <w:r w:rsidRPr="004B7F1B">
        <w:rPr>
          <w:rFonts w:ascii="Verdana" w:eastAsia="Arial" w:hAnsi="Verdana" w:cs="Arial"/>
          <w:i/>
          <w:iCs/>
          <w:color w:val="000000"/>
          <w:sz w:val="24"/>
          <w:szCs w:val="24"/>
          <w:bdr w:val="nil"/>
          <w:lang w:eastAsia="es-CO"/>
        </w:rPr>
        <w:t xml:space="preserve"> negativa en la prestación de servicios o en el ofrecimiento de productos deberá fundamentarse en causas objetivas y no podrá establecerse tratamiento diferente injustificado a los consumidores financieros</w:t>
      </w:r>
      <w:r w:rsidRPr="004B7F1B">
        <w:rPr>
          <w:rFonts w:ascii="Verdana" w:eastAsia="Arial" w:hAnsi="Verdana" w:cs="Arial"/>
          <w:color w:val="000000"/>
          <w:sz w:val="24"/>
          <w:szCs w:val="24"/>
          <w:bdr w:val="nil"/>
          <w:lang w:eastAsia="es-CO"/>
        </w:rPr>
        <w:t>».</w:t>
      </w:r>
    </w:p>
    <w:p w14:paraId="6E7C5541" w14:textId="77777777" w:rsidR="00831BFE" w:rsidRPr="004B7F1B" w:rsidRDefault="00831BFE" w:rsidP="00831BFE">
      <w:pPr>
        <w:pBdr>
          <w:top w:val="nil"/>
          <w:left w:val="nil"/>
          <w:bottom w:val="nil"/>
          <w:right w:val="nil"/>
          <w:between w:val="nil"/>
          <w:bar w:val="nil"/>
        </w:pBdr>
        <w:jc w:val="both"/>
        <w:rPr>
          <w:rFonts w:ascii="Verdana" w:eastAsia="Arial" w:hAnsi="Verdana" w:cs="Arial"/>
          <w:color w:val="000000"/>
          <w:sz w:val="24"/>
          <w:szCs w:val="24"/>
          <w:u w:color="000000"/>
          <w:bdr w:val="nil"/>
          <w:lang w:eastAsia="es-CO"/>
        </w:rPr>
      </w:pPr>
    </w:p>
    <w:p w14:paraId="32DF978C" w14:textId="77777777" w:rsidR="00831BFE" w:rsidRPr="004B7F1B" w:rsidRDefault="00831BFE" w:rsidP="00831BFE">
      <w:pPr>
        <w:pBdr>
          <w:top w:val="nil"/>
          <w:left w:val="nil"/>
          <w:bottom w:val="nil"/>
          <w:right w:val="nil"/>
          <w:between w:val="nil"/>
          <w:bar w:val="nil"/>
        </w:pBdr>
        <w:jc w:val="both"/>
        <w:rPr>
          <w:rFonts w:ascii="Verdana" w:eastAsia="Arial" w:hAnsi="Verdana" w:cs="Arial"/>
          <w:color w:val="000000"/>
          <w:sz w:val="24"/>
          <w:szCs w:val="24"/>
          <w:u w:color="000000"/>
          <w:bdr w:val="nil"/>
          <w:lang w:eastAsia="es-CO"/>
        </w:rPr>
      </w:pPr>
      <w:r w:rsidRPr="004B7F1B">
        <w:rPr>
          <w:rFonts w:ascii="Verdana" w:eastAsia="Arial" w:hAnsi="Verdana" w:cs="Arial"/>
          <w:color w:val="000000"/>
          <w:sz w:val="24"/>
          <w:szCs w:val="24"/>
          <w:u w:color="000000"/>
          <w:bdr w:val="nil"/>
          <w:lang w:eastAsia="es-CO"/>
        </w:rPr>
        <w:t>En concordancia con lo anterior, el numeral 1.1. del Capítulo I del Título III de la Parte I de la Circular Básica Jurídica dispone que: «</w:t>
      </w:r>
      <w:r w:rsidRPr="004B7F1B">
        <w:rPr>
          <w:rFonts w:ascii="Verdana" w:eastAsia="Arial" w:hAnsi="Verdana" w:cs="Arial"/>
          <w:i/>
          <w:color w:val="000000"/>
          <w:sz w:val="24"/>
          <w:szCs w:val="24"/>
          <w:u w:color="000000"/>
          <w:bdr w:val="nil"/>
          <w:lang w:eastAsia="es-CO"/>
        </w:rPr>
        <w:t>Cuando</w:t>
      </w:r>
      <w:r w:rsidRPr="004B7F1B">
        <w:rPr>
          <w:rFonts w:ascii="Verdana" w:eastAsia="Arial" w:hAnsi="Verdana" w:cs="Arial"/>
          <w:i/>
          <w:iCs/>
          <w:color w:val="000000"/>
          <w:sz w:val="24"/>
          <w:szCs w:val="24"/>
          <w:u w:color="000000"/>
          <w:bdr w:val="nil"/>
          <w:lang w:eastAsia="es-CO"/>
        </w:rPr>
        <w:t xml:space="preserve"> la prestación de un servicio no sea impuesta obligatoriamente por el régimen legal, la negativa para suministrarlo o su terminación unilateral debe basarse en la evaluación de condiciones objetivas y en los riesgos inherentes a las operaciones que se realizan o se realizarían con cada consumidor. En efecto, la abstención de prestar un servicio debe estar plenamente justificada en criterios objetivos y razonables que deben ponerse en conocimiento del consumidor</w:t>
      </w:r>
      <w:r w:rsidRPr="004B7F1B">
        <w:rPr>
          <w:rFonts w:ascii="Verdana" w:eastAsia="Arial" w:hAnsi="Verdana" w:cs="Arial"/>
          <w:color w:val="000000"/>
          <w:sz w:val="24"/>
          <w:szCs w:val="24"/>
          <w:u w:color="000000"/>
          <w:bdr w:val="nil"/>
          <w:lang w:eastAsia="es-CO"/>
        </w:rPr>
        <w:t xml:space="preserve">». </w:t>
      </w:r>
    </w:p>
    <w:p w14:paraId="46C5B64B" w14:textId="77777777" w:rsidR="00831BFE" w:rsidRPr="004B7F1B" w:rsidRDefault="00831BFE" w:rsidP="00831BFE">
      <w:pPr>
        <w:pBdr>
          <w:top w:val="nil"/>
          <w:left w:val="nil"/>
          <w:bottom w:val="nil"/>
          <w:right w:val="nil"/>
          <w:between w:val="nil"/>
          <w:bar w:val="nil"/>
        </w:pBdr>
        <w:jc w:val="both"/>
        <w:rPr>
          <w:rFonts w:ascii="Verdana" w:eastAsia="Arial" w:hAnsi="Verdana" w:cs="Arial"/>
          <w:color w:val="000000"/>
          <w:sz w:val="24"/>
          <w:szCs w:val="24"/>
          <w:u w:color="000000"/>
          <w:bdr w:val="nil"/>
          <w:lang w:eastAsia="es-CO"/>
        </w:rPr>
      </w:pPr>
    </w:p>
    <w:p w14:paraId="29EF2C52" w14:textId="77777777" w:rsidR="00831BFE" w:rsidRPr="004B7F1B" w:rsidRDefault="00831BFE" w:rsidP="00831BFE">
      <w:pPr>
        <w:pBdr>
          <w:top w:val="nil"/>
          <w:left w:val="nil"/>
          <w:bottom w:val="nil"/>
          <w:right w:val="nil"/>
          <w:between w:val="nil"/>
          <w:bar w:val="nil"/>
        </w:pBdr>
        <w:jc w:val="both"/>
        <w:rPr>
          <w:rFonts w:ascii="Verdana" w:eastAsia="Arial" w:hAnsi="Verdana" w:cs="Arial"/>
          <w:color w:val="000000"/>
          <w:sz w:val="24"/>
          <w:szCs w:val="24"/>
          <w:u w:color="000000"/>
          <w:bdr w:val="nil"/>
          <w:lang w:eastAsia="es-CO"/>
        </w:rPr>
      </w:pPr>
      <w:r w:rsidRPr="004B7F1B">
        <w:rPr>
          <w:rFonts w:ascii="Verdana" w:eastAsia="Arial" w:hAnsi="Verdana" w:cs="Arial"/>
          <w:color w:val="000000"/>
          <w:sz w:val="24"/>
          <w:szCs w:val="24"/>
          <w:u w:color="000000"/>
          <w:bdr w:val="nil"/>
          <w:lang w:eastAsia="es-CO"/>
        </w:rPr>
        <w:t xml:space="preserve">Ahora bien, </w:t>
      </w:r>
      <w:r w:rsidRPr="004B7F1B">
        <w:rPr>
          <w:rFonts w:ascii="Verdana" w:hAnsi="Verdana" w:cs="Arial"/>
          <w:sz w:val="24"/>
          <w:szCs w:val="24"/>
        </w:rPr>
        <w:t xml:space="preserve">el Capítulo IV del Título IV de la Parte I de la Circular Básica Jurídica </w:t>
      </w:r>
      <w:r w:rsidRPr="004B7F1B">
        <w:rPr>
          <w:rFonts w:ascii="Verdana" w:eastAsia="Arial" w:hAnsi="Verdana" w:cs="Arial"/>
          <w:color w:val="000000"/>
          <w:sz w:val="24"/>
          <w:szCs w:val="24"/>
          <w:u w:color="000000"/>
          <w:bdr w:val="nil"/>
          <w:lang w:eastAsia="es-CO"/>
        </w:rPr>
        <w:t>contempla el marco de prevención del riesgo de lavado de activos y de la financiación del terrorismo (LA/FT). En este sentido, las entidades vigiladas deben tomar medidas para prevenir el riesgo de LA/FT, sin que ello implique la imposición de restricciones absolutas para el acceso de personas al sector financiero, ya que dichas instrucciones les permiten a las entidades vigiladas aplicar criterios basados en riesgo para evaluar las particularidades de cada caso en concreto.</w:t>
      </w:r>
    </w:p>
    <w:p w14:paraId="57840DCB" w14:textId="77777777" w:rsidR="00831BFE" w:rsidRPr="004B7F1B" w:rsidRDefault="00831BFE" w:rsidP="00831BFE">
      <w:pPr>
        <w:jc w:val="both"/>
        <w:rPr>
          <w:rFonts w:ascii="Verdana" w:hAnsi="Verdana"/>
          <w:color w:val="000000"/>
          <w:sz w:val="24"/>
          <w:szCs w:val="24"/>
        </w:rPr>
      </w:pPr>
    </w:p>
    <w:p w14:paraId="001213F2" w14:textId="77777777" w:rsidR="00831BFE" w:rsidRPr="004B7F1B" w:rsidRDefault="00831BFE" w:rsidP="00831BFE">
      <w:pPr>
        <w:widowControl w:val="0"/>
        <w:adjustRightInd w:val="0"/>
        <w:jc w:val="both"/>
        <w:rPr>
          <w:rFonts w:ascii="Verdana" w:hAnsi="Verdana" w:cs="Arial"/>
          <w:color w:val="000000"/>
          <w:sz w:val="24"/>
          <w:szCs w:val="24"/>
        </w:rPr>
      </w:pPr>
      <w:r w:rsidRPr="004B7F1B">
        <w:rPr>
          <w:rFonts w:ascii="Verdana" w:hAnsi="Verdana" w:cs="Arial"/>
          <w:color w:val="000000"/>
          <w:sz w:val="24"/>
          <w:szCs w:val="24"/>
        </w:rPr>
        <w:lastRenderedPageBreak/>
        <w:t xml:space="preserve">Bajo este contexto, la Corte Constitucional, en sentencia T-113 del 28 de marzo de 2025, le ordenó a esta Superintendencia que: </w:t>
      </w:r>
    </w:p>
    <w:p w14:paraId="5093CD4E" w14:textId="77777777" w:rsidR="00831BFE" w:rsidRPr="004B7F1B" w:rsidRDefault="00831BFE" w:rsidP="00831BFE">
      <w:pPr>
        <w:widowControl w:val="0"/>
        <w:adjustRightInd w:val="0"/>
        <w:jc w:val="both"/>
        <w:rPr>
          <w:rFonts w:ascii="Verdana" w:hAnsi="Verdana" w:cs="Arial"/>
          <w:color w:val="000000"/>
          <w:sz w:val="24"/>
          <w:szCs w:val="24"/>
        </w:rPr>
      </w:pPr>
    </w:p>
    <w:p w14:paraId="5138117D" w14:textId="77777777" w:rsidR="00831BFE" w:rsidRPr="004B7F1B" w:rsidRDefault="00831BFE" w:rsidP="00831BFE">
      <w:pPr>
        <w:widowControl w:val="0"/>
        <w:adjustRightInd w:val="0"/>
        <w:ind w:left="360"/>
        <w:jc w:val="both"/>
        <w:rPr>
          <w:rFonts w:ascii="Verdana" w:hAnsi="Verdana" w:cs="Arial"/>
          <w:color w:val="000000"/>
          <w:sz w:val="24"/>
          <w:szCs w:val="24"/>
        </w:rPr>
      </w:pPr>
      <w:r w:rsidRPr="004B7F1B">
        <w:rPr>
          <w:rFonts w:ascii="Verdana" w:hAnsi="Verdana" w:cs="Arial"/>
          <w:color w:val="000000"/>
          <w:sz w:val="24"/>
          <w:szCs w:val="24"/>
        </w:rPr>
        <w:t xml:space="preserve">«[…] </w:t>
      </w:r>
      <w:r w:rsidRPr="004B7F1B">
        <w:rPr>
          <w:rFonts w:ascii="Verdana" w:hAnsi="Verdana" w:cs="Arial"/>
          <w:i/>
          <w:iCs/>
          <w:color w:val="000000"/>
          <w:sz w:val="24"/>
          <w:szCs w:val="24"/>
        </w:rPr>
        <w:t>dentro del término de noventa (90) días contados a partir de la notificación de esta decisión, expida una circular dirigida a las entidades financieras vigiladas, con lineamientos claros que garanticen un equilibrio entre la prevención de riesgos financieros y la garantía de acceso al sistema financiero para personas con antecedentes penales. Estos lineamientos deberán basarse en los criterios objetivos y razonables señalados en los fundamentos jurídicos de esta decisión, de modo que se delimiten y expongan de manera precisa las razones objetivamente justificadas para la negativa de acceso a servicios financieros. Dicha circular deberá incluir medidas de supervisión y control que permitan verificar su aplicación efectiva, asegurando que las entidades financieras armonicen el ejercicio de su autonomía de la voluntad privada con los principios constitucionales de igualdad, no discriminación y el interés público inherente a la actividad financiera</w:t>
      </w:r>
      <w:r w:rsidRPr="004B7F1B">
        <w:rPr>
          <w:rFonts w:ascii="Verdana" w:hAnsi="Verdana" w:cs="Arial"/>
          <w:color w:val="000000"/>
          <w:sz w:val="24"/>
          <w:szCs w:val="24"/>
        </w:rPr>
        <w:t>.»</w:t>
      </w:r>
    </w:p>
    <w:p w14:paraId="6F03BBF4" w14:textId="77777777" w:rsidR="00831BFE" w:rsidRPr="004B7F1B" w:rsidRDefault="00831BFE" w:rsidP="00831BFE">
      <w:pPr>
        <w:widowControl w:val="0"/>
        <w:adjustRightInd w:val="0"/>
        <w:jc w:val="both"/>
        <w:rPr>
          <w:rFonts w:ascii="Verdana" w:hAnsi="Verdana" w:cs="Arial"/>
          <w:color w:val="000000"/>
          <w:sz w:val="24"/>
          <w:szCs w:val="24"/>
        </w:rPr>
      </w:pPr>
    </w:p>
    <w:p w14:paraId="7D4E6DC8" w14:textId="3BAF0B30" w:rsidR="00831BFE" w:rsidRPr="004B7F1B" w:rsidRDefault="00831BFE" w:rsidP="00831BFE">
      <w:pPr>
        <w:pStyle w:val="Prrafodelista"/>
        <w:ind w:left="0"/>
        <w:jc w:val="both"/>
        <w:rPr>
          <w:rFonts w:ascii="Verdana" w:hAnsi="Verdana" w:cs="Arial"/>
          <w:color w:val="000000"/>
          <w:sz w:val="24"/>
          <w:szCs w:val="24"/>
        </w:rPr>
      </w:pPr>
      <w:r w:rsidRPr="004B7F1B">
        <w:rPr>
          <w:rFonts w:ascii="Verdana" w:hAnsi="Verdana" w:cs="Arial"/>
          <w:color w:val="000000"/>
          <w:sz w:val="24"/>
          <w:szCs w:val="24"/>
        </w:rPr>
        <w:t>En desarrollo de dicha orden, esta Superintendencia debe impartir lineamientos a las entidades vigiladas para que realicen un análisis individualizado del riesgo de LA/FT en el marco del acceso a productos y servicios financieros por parte de personas con antecedentes penales o investigaciones penales en curso. Lo anterior, con el propósito de que l</w:t>
      </w:r>
      <w:r w:rsidRPr="004B7F1B">
        <w:rPr>
          <w:rFonts w:ascii="Verdana" w:eastAsia="Aptos" w:hAnsi="Verdana"/>
          <w:color w:val="000000"/>
          <w:sz w:val="24"/>
          <w:szCs w:val="24"/>
          <w:shd w:val="clear" w:color="auto" w:fill="FFFFFF"/>
        </w:rPr>
        <w:t xml:space="preserve">a aplicación de las políticas en materia de LA/FT se soporte en criterios de proporcionalidad y razonabilidad, para así evitar la imposición de barreras automáticas en el acceso al sistema financiero. </w:t>
      </w:r>
      <w:r w:rsidRPr="004B7F1B">
        <w:rPr>
          <w:rFonts w:ascii="Verdana" w:hAnsi="Verdana"/>
          <w:color w:val="000000"/>
          <w:sz w:val="24"/>
          <w:szCs w:val="24"/>
        </w:rPr>
        <w:t>Por lo tanto, las entidades deben abstenerse de adoptar interpretaciones restrictivas o desproporcionadas que puedan traducirse en barreras injustificadas para la inclusión de personas con antecedentes penales o investigacionespenales en curso, ya que tales circunstancias no pueden constituir, por sí solas, una limitación al acceso a productos y servicios financieros.</w:t>
      </w:r>
    </w:p>
    <w:p w14:paraId="44D69275" w14:textId="77777777" w:rsidR="00831BFE" w:rsidRPr="004B7F1B" w:rsidRDefault="00831BFE" w:rsidP="00831BFE">
      <w:pPr>
        <w:widowControl w:val="0"/>
        <w:adjustRightInd w:val="0"/>
        <w:jc w:val="both"/>
        <w:rPr>
          <w:rFonts w:ascii="Verdana" w:hAnsi="Verdana" w:cs="Arial"/>
          <w:color w:val="000000"/>
          <w:sz w:val="24"/>
          <w:szCs w:val="24"/>
        </w:rPr>
      </w:pPr>
    </w:p>
    <w:p w14:paraId="76BD75A2" w14:textId="25454BB1" w:rsidR="00831BFE" w:rsidRPr="004B7F1B" w:rsidRDefault="00831BFE" w:rsidP="00DF7C28">
      <w:pPr>
        <w:pStyle w:val="Prrafodelista"/>
        <w:ind w:left="0"/>
        <w:jc w:val="both"/>
        <w:rPr>
          <w:rFonts w:ascii="Verdana" w:hAnsi="Verdana" w:cs="Arial"/>
          <w:color w:val="000000"/>
          <w:sz w:val="24"/>
          <w:szCs w:val="24"/>
        </w:rPr>
      </w:pPr>
      <w:r w:rsidRPr="004B7F1B">
        <w:rPr>
          <w:rFonts w:ascii="Verdana" w:hAnsi="Verdana" w:cs="Arial"/>
          <w:color w:val="000000"/>
          <w:sz w:val="24"/>
          <w:szCs w:val="24"/>
        </w:rPr>
        <w:t>En consecuencia, este Despacho, en cumplimiento de la orden contenid</w:t>
      </w:r>
      <w:r w:rsidR="00DF7C28" w:rsidRPr="004B7F1B">
        <w:rPr>
          <w:rFonts w:ascii="Verdana" w:hAnsi="Verdana" w:cs="Arial"/>
          <w:color w:val="000000"/>
          <w:sz w:val="24"/>
          <w:szCs w:val="24"/>
        </w:rPr>
        <w:t>a</w:t>
      </w:r>
      <w:r w:rsidRPr="004B7F1B">
        <w:rPr>
          <w:rFonts w:ascii="Verdana" w:hAnsi="Verdana" w:cs="Arial"/>
          <w:color w:val="000000"/>
          <w:sz w:val="24"/>
          <w:szCs w:val="24"/>
        </w:rPr>
        <w:t xml:space="preserve"> en el numeral cuarto de la parte resolutiva de la Sentencia T-113 de 2025, y en ejercicio de las facultades previstas en el numeral 3 del artículo 326 del Estatuto Orgánico del Sistema Financiero, el literal e. del artículo 11 y el literal d. del artículo 12 de la Ley 1328 de 2009 y el numeral 5 del artículo 11.2.1.4.2. del Decreto 2555 de 2010, imparte las siguientes instrucciones:</w:t>
      </w:r>
    </w:p>
    <w:p w14:paraId="5D56AD9A" w14:textId="77777777" w:rsidR="00831BFE" w:rsidRPr="004B7F1B" w:rsidRDefault="00831BFE" w:rsidP="00DF7C28">
      <w:pPr>
        <w:jc w:val="both"/>
        <w:rPr>
          <w:rFonts w:ascii="Verdana" w:hAnsi="Verdana" w:cs="Arial"/>
          <w:sz w:val="24"/>
          <w:szCs w:val="24"/>
          <w:lang w:val="es-CO"/>
        </w:rPr>
      </w:pPr>
    </w:p>
    <w:p w14:paraId="614EE08F" w14:textId="77777777" w:rsidR="00831BFE" w:rsidRPr="004B7F1B" w:rsidRDefault="00831BFE" w:rsidP="00831BFE">
      <w:pPr>
        <w:autoSpaceDE w:val="0"/>
        <w:autoSpaceDN w:val="0"/>
        <w:adjustRightInd w:val="0"/>
        <w:jc w:val="both"/>
        <w:rPr>
          <w:rFonts w:ascii="Verdana" w:hAnsi="Verdana" w:cs="Arial"/>
          <w:b/>
          <w:sz w:val="24"/>
          <w:szCs w:val="24"/>
          <w:lang w:val="es-ES"/>
        </w:rPr>
      </w:pPr>
    </w:p>
    <w:p w14:paraId="2A09B234" w14:textId="77777777" w:rsidR="00831BFE" w:rsidRPr="004B7F1B" w:rsidRDefault="00831BFE" w:rsidP="00831BFE">
      <w:pPr>
        <w:autoSpaceDE w:val="0"/>
        <w:autoSpaceDN w:val="0"/>
        <w:adjustRightInd w:val="0"/>
        <w:jc w:val="both"/>
        <w:rPr>
          <w:rFonts w:ascii="Verdana" w:hAnsi="Verdana" w:cs="Arial"/>
          <w:sz w:val="24"/>
          <w:szCs w:val="24"/>
          <w:lang w:val="es-ES"/>
        </w:rPr>
      </w:pPr>
      <w:r w:rsidRPr="004B7F1B">
        <w:rPr>
          <w:rFonts w:ascii="Verdana" w:hAnsi="Verdana" w:cs="Arial"/>
          <w:b/>
          <w:sz w:val="24"/>
          <w:szCs w:val="24"/>
          <w:lang w:val="es-ES"/>
        </w:rPr>
        <w:t>PRIMERA: Lineamientos para garantizar un equilibrio entre la prevención del riesgo de LA/FT y la garantía de acceso al sistema financiero para personas con antecedentes penales o investigaciones penales en curso</w:t>
      </w:r>
    </w:p>
    <w:p w14:paraId="51065014" w14:textId="77777777" w:rsidR="00831BFE" w:rsidRPr="004B7F1B" w:rsidRDefault="00831BFE" w:rsidP="00831BFE">
      <w:pPr>
        <w:autoSpaceDE w:val="0"/>
        <w:autoSpaceDN w:val="0"/>
        <w:adjustRightInd w:val="0"/>
        <w:jc w:val="both"/>
        <w:rPr>
          <w:rFonts w:ascii="Verdana" w:hAnsi="Verdana" w:cs="Arial"/>
          <w:sz w:val="24"/>
          <w:szCs w:val="24"/>
          <w:lang w:val="es-ES"/>
        </w:rPr>
      </w:pPr>
    </w:p>
    <w:p w14:paraId="7A3AEB46" w14:textId="77777777" w:rsidR="00831BFE" w:rsidRPr="004B7F1B" w:rsidRDefault="00831BFE" w:rsidP="00831BFE">
      <w:pPr>
        <w:widowControl w:val="0"/>
        <w:adjustRightInd w:val="0"/>
        <w:jc w:val="both"/>
        <w:rPr>
          <w:rFonts w:ascii="Verdana" w:hAnsi="Verdana" w:cs="Arial"/>
          <w:color w:val="000000"/>
          <w:sz w:val="24"/>
          <w:szCs w:val="24"/>
        </w:rPr>
      </w:pPr>
      <w:r w:rsidRPr="004B7F1B">
        <w:rPr>
          <w:rFonts w:ascii="Verdana" w:hAnsi="Verdana" w:cs="Arial"/>
          <w:color w:val="000000"/>
          <w:sz w:val="24"/>
          <w:szCs w:val="24"/>
        </w:rPr>
        <w:t xml:space="preserve">1.1. Las entidades vigiladas deben abstenerse de aplicar restricciones automáticas, sin sustento en causales objetivas y razonables, para la vinculación de clientes y la prestación de productos y servicios financieros, </w:t>
      </w:r>
      <w:r w:rsidRPr="004B7F1B">
        <w:rPr>
          <w:rFonts w:ascii="Verdana" w:hAnsi="Verdana" w:cs="Arial"/>
          <w:color w:val="000000"/>
          <w:sz w:val="24"/>
          <w:szCs w:val="24"/>
        </w:rPr>
        <w:lastRenderedPageBreak/>
        <w:t>con base exclusivamente en la existencia de antecedentes penales o investigaciones penales en curso, y sin haber realizado un análisis individualizado de su perfil de riesgo de LA/FT.</w:t>
      </w:r>
    </w:p>
    <w:p w14:paraId="4160DEBB" w14:textId="77777777" w:rsidR="00831BFE" w:rsidRPr="004B7F1B" w:rsidRDefault="00831BFE" w:rsidP="00831BFE">
      <w:pPr>
        <w:widowControl w:val="0"/>
        <w:adjustRightInd w:val="0"/>
        <w:jc w:val="both"/>
        <w:rPr>
          <w:rFonts w:ascii="Verdana" w:hAnsi="Verdana" w:cs="Arial"/>
          <w:color w:val="000000"/>
          <w:sz w:val="24"/>
          <w:szCs w:val="24"/>
        </w:rPr>
      </w:pPr>
    </w:p>
    <w:p w14:paraId="3C4D80FA" w14:textId="77777777" w:rsidR="00831BFE" w:rsidRPr="004B7F1B" w:rsidRDefault="00831BFE" w:rsidP="00831BFE">
      <w:pPr>
        <w:widowControl w:val="0"/>
        <w:adjustRightInd w:val="0"/>
        <w:jc w:val="both"/>
        <w:rPr>
          <w:rFonts w:ascii="Verdana" w:eastAsia="Verdana" w:hAnsi="Verdana" w:cs="Verdana"/>
          <w:sz w:val="24"/>
          <w:szCs w:val="24"/>
        </w:rPr>
      </w:pPr>
      <w:r w:rsidRPr="004B7F1B">
        <w:rPr>
          <w:rFonts w:ascii="Verdana" w:hAnsi="Verdana" w:cs="Arial"/>
          <w:color w:val="000000"/>
          <w:sz w:val="24"/>
          <w:szCs w:val="24"/>
        </w:rPr>
        <w:t>1.2. En desarrollo de lo anterior, las entidades vigiladas deben cumplir con las siguientes instrucciones para realizar el conocimiento del cliente de personas con antecedentes penales o investigaciones penales en curso, en el marco de su Sistema de Administración del Riesgo de Lavado de Activos y Financiación del Terrorismo (</w:t>
      </w:r>
      <w:r w:rsidRPr="004B7F1B">
        <w:rPr>
          <w:rFonts w:ascii="Verdana" w:eastAsia="Verdana" w:hAnsi="Verdana" w:cs="Verdana"/>
          <w:sz w:val="24"/>
          <w:szCs w:val="24"/>
        </w:rPr>
        <w:t>SARLAFT):</w:t>
      </w:r>
    </w:p>
    <w:p w14:paraId="0459D6E2" w14:textId="77777777" w:rsidR="00831BFE" w:rsidRPr="004B7F1B" w:rsidRDefault="00831BFE" w:rsidP="00831BFE">
      <w:pPr>
        <w:pStyle w:val="Prrafodelista"/>
        <w:rPr>
          <w:rFonts w:ascii="Verdana" w:hAnsi="Verdana"/>
          <w:color w:val="000000"/>
          <w:sz w:val="24"/>
          <w:szCs w:val="24"/>
        </w:rPr>
      </w:pPr>
    </w:p>
    <w:p w14:paraId="05954A56" w14:textId="77777777" w:rsidR="00831BFE" w:rsidRPr="004B7F1B" w:rsidRDefault="00831BFE" w:rsidP="00831BFE">
      <w:pPr>
        <w:pStyle w:val="Prrafodelista"/>
        <w:numPr>
          <w:ilvl w:val="0"/>
          <w:numId w:val="47"/>
        </w:numPr>
        <w:ind w:left="1134" w:hanging="567"/>
        <w:jc w:val="both"/>
        <w:rPr>
          <w:rFonts w:ascii="Verdana" w:hAnsi="Verdana"/>
          <w:color w:val="000000"/>
          <w:sz w:val="24"/>
          <w:szCs w:val="24"/>
        </w:rPr>
      </w:pPr>
      <w:r w:rsidRPr="004B7F1B">
        <w:rPr>
          <w:rFonts w:ascii="Verdana" w:hAnsi="Verdana"/>
          <w:color w:val="000000"/>
          <w:sz w:val="24"/>
          <w:szCs w:val="24"/>
        </w:rPr>
        <w:t xml:space="preserve">Aplicar las medidas de conocimiento del cliente </w:t>
      </w:r>
      <w:r w:rsidRPr="004B7F1B">
        <w:rPr>
          <w:rFonts w:ascii="Verdana" w:hAnsi="Verdana" w:cs="Arial"/>
          <w:sz w:val="24"/>
          <w:szCs w:val="24"/>
        </w:rPr>
        <w:t>establecidas en el Capítulo IV del Título IV de la Parte I de la Circular Básica Jurídica «</w:t>
      </w:r>
      <w:r w:rsidRPr="004B7F1B">
        <w:rPr>
          <w:rFonts w:ascii="Verdana" w:hAnsi="Verdana"/>
          <w:i/>
          <w:sz w:val="24"/>
        </w:rPr>
        <w:t>Instrucciones relativas a la administración de riesgo de lavado de activos y de la financiación de terrorismo</w:t>
      </w:r>
      <w:r w:rsidRPr="004B7F1B">
        <w:rPr>
          <w:rFonts w:ascii="Verdana" w:hAnsi="Verdana" w:cs="Arial"/>
          <w:sz w:val="24"/>
          <w:szCs w:val="24"/>
        </w:rPr>
        <w:t>»</w:t>
      </w:r>
      <w:r w:rsidRPr="004B7F1B">
        <w:rPr>
          <w:rFonts w:ascii="Verdana" w:hAnsi="Verdana"/>
          <w:color w:val="000000"/>
          <w:sz w:val="24"/>
          <w:szCs w:val="24"/>
        </w:rPr>
        <w:t>, de acuerdo con el procedimiento de conocimiento del cliente aplicable, sin imponer restricciones innecesarias al momento de su vinculación.</w:t>
      </w:r>
    </w:p>
    <w:p w14:paraId="4B517B7D" w14:textId="77777777" w:rsidR="00831BFE" w:rsidRPr="004B7F1B" w:rsidRDefault="00831BFE" w:rsidP="00831BFE">
      <w:pPr>
        <w:pStyle w:val="Prrafodelista"/>
        <w:ind w:left="1134"/>
        <w:jc w:val="both"/>
        <w:rPr>
          <w:rFonts w:ascii="Verdana" w:hAnsi="Verdana"/>
          <w:color w:val="000000"/>
          <w:sz w:val="24"/>
          <w:szCs w:val="24"/>
        </w:rPr>
      </w:pPr>
    </w:p>
    <w:p w14:paraId="0FFB57BC" w14:textId="77777777" w:rsidR="00831BFE" w:rsidRPr="004B7F1B" w:rsidRDefault="00831BFE" w:rsidP="00831BFE">
      <w:pPr>
        <w:pStyle w:val="Prrafodelista"/>
        <w:ind w:left="1134"/>
        <w:jc w:val="both"/>
        <w:rPr>
          <w:rFonts w:ascii="Verdana" w:hAnsi="Verdana"/>
          <w:color w:val="000000"/>
          <w:sz w:val="24"/>
          <w:szCs w:val="24"/>
        </w:rPr>
      </w:pPr>
      <w:r w:rsidRPr="004B7F1B">
        <w:rPr>
          <w:rFonts w:ascii="Verdana" w:hAnsi="Verdana"/>
          <w:color w:val="000000"/>
          <w:sz w:val="24"/>
          <w:szCs w:val="24"/>
        </w:rPr>
        <w:t xml:space="preserve">Cuando la entidad lo estime necesario, podrá adelantar las gestiones adicionales para conocer la actividad económica y el origen de los ingresos de la persona. </w:t>
      </w:r>
    </w:p>
    <w:p w14:paraId="38617B4C" w14:textId="77777777" w:rsidR="00831BFE" w:rsidRPr="004B7F1B" w:rsidRDefault="00831BFE" w:rsidP="00831BFE">
      <w:pPr>
        <w:pStyle w:val="Prrafodelista"/>
        <w:ind w:left="1134"/>
        <w:jc w:val="both"/>
        <w:rPr>
          <w:rFonts w:ascii="Verdana" w:hAnsi="Verdana"/>
          <w:color w:val="000000"/>
          <w:sz w:val="24"/>
          <w:szCs w:val="24"/>
        </w:rPr>
      </w:pPr>
    </w:p>
    <w:p w14:paraId="0EC3EEB3" w14:textId="77777777" w:rsidR="00831BFE" w:rsidRPr="004B7F1B" w:rsidRDefault="00831BFE" w:rsidP="00831BFE">
      <w:pPr>
        <w:pStyle w:val="Prrafodelista"/>
        <w:numPr>
          <w:ilvl w:val="0"/>
          <w:numId w:val="47"/>
        </w:numPr>
        <w:ind w:left="1134" w:hanging="567"/>
        <w:jc w:val="both"/>
        <w:rPr>
          <w:rFonts w:ascii="Verdana" w:hAnsi="Verdana"/>
          <w:color w:val="000000"/>
          <w:sz w:val="24"/>
          <w:szCs w:val="24"/>
        </w:rPr>
      </w:pPr>
      <w:r w:rsidRPr="004B7F1B">
        <w:rPr>
          <w:rFonts w:ascii="Verdana" w:hAnsi="Verdana"/>
          <w:color w:val="000000"/>
          <w:sz w:val="24"/>
          <w:szCs w:val="24"/>
        </w:rPr>
        <w:t>Identificar el perfil de riesgo individualizado de LA/FT de la persona, así como el nivel de exposición de riesgo que la persona representa para la entidad. De igual forma, la entidad debe ejercer los controles respectivos en la fase de monitoreo del SARLAFT, incluyendo la detección y reporte de operaciones sospechosas.</w:t>
      </w:r>
    </w:p>
    <w:p w14:paraId="0DA90593" w14:textId="77777777" w:rsidR="00831BFE" w:rsidRPr="004B7F1B" w:rsidRDefault="00831BFE" w:rsidP="00831BFE">
      <w:pPr>
        <w:pStyle w:val="Prrafodelista"/>
        <w:ind w:left="1134"/>
        <w:jc w:val="both"/>
        <w:rPr>
          <w:rFonts w:ascii="Verdana" w:hAnsi="Verdana"/>
          <w:color w:val="000000"/>
          <w:sz w:val="24"/>
          <w:szCs w:val="24"/>
        </w:rPr>
      </w:pPr>
    </w:p>
    <w:p w14:paraId="284782E3" w14:textId="77777777" w:rsidR="00831BFE" w:rsidRPr="004B7F1B" w:rsidRDefault="00831BFE" w:rsidP="00831BFE">
      <w:pPr>
        <w:pStyle w:val="Prrafodelista"/>
        <w:ind w:left="1134"/>
        <w:jc w:val="both"/>
        <w:rPr>
          <w:rFonts w:ascii="Verdana" w:hAnsi="Verdana"/>
          <w:color w:val="000000"/>
          <w:sz w:val="24"/>
          <w:szCs w:val="24"/>
        </w:rPr>
      </w:pPr>
      <w:r w:rsidRPr="004B7F1B">
        <w:rPr>
          <w:rFonts w:ascii="Verdana" w:hAnsi="Verdana"/>
          <w:color w:val="000000"/>
          <w:sz w:val="24"/>
          <w:szCs w:val="24"/>
        </w:rPr>
        <w:t>Dichos controles pueden corresponder al monitoreo transaccional, actualización de información y seguimiento de las operaciones para gestionar el riesgo de LA/FT, sin impedir el acceso a productos y servicios financieros esenciales. El proceso de seguimiento efectivo que establezcan internamente las entidades vigiladas, para las relaciones comerciales establecidas con personas con antecedentes penales o investigaciones penales en curso, debe tener una periodicidad razonable y ser acorde con el perfil de riesgo de los clientes.</w:t>
      </w:r>
    </w:p>
    <w:p w14:paraId="5A7517EE" w14:textId="77777777" w:rsidR="00831BFE" w:rsidRPr="004B7F1B" w:rsidRDefault="00831BFE" w:rsidP="00831BFE">
      <w:pPr>
        <w:rPr>
          <w:rFonts w:ascii="Verdana" w:hAnsi="Verdana"/>
          <w:sz w:val="24"/>
          <w:szCs w:val="24"/>
        </w:rPr>
      </w:pPr>
    </w:p>
    <w:p w14:paraId="5923DAA7" w14:textId="77777777" w:rsidR="00831BFE" w:rsidRPr="004B7F1B" w:rsidRDefault="00831BFE" w:rsidP="00831BFE">
      <w:pPr>
        <w:widowControl w:val="0"/>
        <w:adjustRightInd w:val="0"/>
        <w:jc w:val="both"/>
        <w:rPr>
          <w:rFonts w:ascii="Verdana" w:hAnsi="Verdana"/>
          <w:color w:val="000000"/>
          <w:sz w:val="24"/>
          <w:szCs w:val="24"/>
        </w:rPr>
      </w:pPr>
      <w:r w:rsidRPr="004B7F1B">
        <w:rPr>
          <w:rFonts w:ascii="Verdana" w:hAnsi="Verdana" w:cs="Arial"/>
          <w:color w:val="000000"/>
          <w:sz w:val="24"/>
          <w:szCs w:val="24"/>
        </w:rPr>
        <w:t xml:space="preserve">1.3. En el evento en que la entidad vigilada niegue la vinculación o la prestación de un producto o servicio financiero como resultado del análisis individualizado del perfil de riesgo integral de la persona, la entidad debe informarle de forma suficiente, clara y detallada el análisis realizado y los fundamentos objetivos que sustentaron su decisión, sin perjuicio de lo previsto en el subnumeral </w:t>
      </w:r>
      <w:r w:rsidRPr="004B7F1B">
        <w:rPr>
          <w:rFonts w:ascii="Verdana" w:hAnsi="Verdana"/>
          <w:color w:val="000000"/>
          <w:sz w:val="24"/>
          <w:szCs w:val="24"/>
        </w:rPr>
        <w:t xml:space="preserve">4.2.7.2.1. del </w:t>
      </w:r>
      <w:r w:rsidRPr="004B7F1B">
        <w:rPr>
          <w:rFonts w:ascii="Verdana" w:hAnsi="Verdana" w:cs="Arial"/>
          <w:sz w:val="24"/>
          <w:szCs w:val="24"/>
        </w:rPr>
        <w:t>Capítulo IV del Título IV de la Parte I de la Circular Básica Jurídica «</w:t>
      </w:r>
      <w:r w:rsidRPr="004B7F1B">
        <w:rPr>
          <w:rFonts w:ascii="Verdana" w:hAnsi="Verdana" w:cs="Arial"/>
          <w:i/>
          <w:sz w:val="24"/>
          <w:szCs w:val="24"/>
        </w:rPr>
        <w:t>Instrucciones relativas a la administración de riesgo de lavado de activos y de la financiación de terrorismo</w:t>
      </w:r>
      <w:r w:rsidRPr="004B7F1B">
        <w:rPr>
          <w:rFonts w:ascii="Verdana" w:hAnsi="Verdana" w:cs="Arial"/>
          <w:sz w:val="24"/>
          <w:szCs w:val="24"/>
        </w:rPr>
        <w:t>»</w:t>
      </w:r>
      <w:r w:rsidRPr="004B7F1B" w:rsidDel="006400CF">
        <w:rPr>
          <w:rFonts w:ascii="Verdana" w:hAnsi="Verdana" w:cs="Arial"/>
          <w:sz w:val="24"/>
          <w:szCs w:val="24"/>
        </w:rPr>
        <w:t xml:space="preserve">. </w:t>
      </w:r>
    </w:p>
    <w:p w14:paraId="4F8826A9" w14:textId="77777777" w:rsidR="00831BFE" w:rsidRPr="004B7F1B" w:rsidRDefault="00831BFE" w:rsidP="00831BFE">
      <w:pPr>
        <w:pStyle w:val="Prrafodelista"/>
        <w:ind w:left="0"/>
        <w:jc w:val="both"/>
        <w:rPr>
          <w:rFonts w:ascii="Verdana" w:hAnsi="Verdana"/>
          <w:sz w:val="24"/>
          <w:szCs w:val="24"/>
          <w:lang w:val="es-ES"/>
        </w:rPr>
      </w:pPr>
    </w:p>
    <w:p w14:paraId="76505388" w14:textId="77777777" w:rsidR="00831BFE" w:rsidRPr="004B7F1B" w:rsidRDefault="00831BFE" w:rsidP="00831BFE">
      <w:pPr>
        <w:jc w:val="both"/>
        <w:rPr>
          <w:rFonts w:ascii="Verdana" w:hAnsi="Verdana" w:cs="Arial"/>
          <w:b/>
          <w:sz w:val="24"/>
          <w:szCs w:val="24"/>
        </w:rPr>
      </w:pPr>
    </w:p>
    <w:p w14:paraId="7DF289F4" w14:textId="77777777" w:rsidR="00BD1A61" w:rsidRPr="004B7F1B" w:rsidRDefault="00BD1A61" w:rsidP="00831BFE">
      <w:pPr>
        <w:jc w:val="both"/>
        <w:rPr>
          <w:rFonts w:ascii="Verdana" w:hAnsi="Verdana" w:cs="Arial"/>
          <w:b/>
          <w:sz w:val="24"/>
          <w:szCs w:val="24"/>
        </w:rPr>
      </w:pPr>
    </w:p>
    <w:p w14:paraId="7F63852F" w14:textId="77777777" w:rsidR="00BD1A61" w:rsidRPr="004B7F1B" w:rsidRDefault="00BD1A61" w:rsidP="00831BFE">
      <w:pPr>
        <w:jc w:val="both"/>
        <w:rPr>
          <w:rFonts w:ascii="Verdana" w:hAnsi="Verdana" w:cs="Arial"/>
          <w:b/>
          <w:sz w:val="24"/>
          <w:szCs w:val="24"/>
        </w:rPr>
      </w:pPr>
    </w:p>
    <w:p w14:paraId="02A16EB0" w14:textId="77777777" w:rsidR="00831BFE" w:rsidRPr="004B7F1B" w:rsidRDefault="00831BFE" w:rsidP="00831BFE">
      <w:pPr>
        <w:jc w:val="both"/>
        <w:rPr>
          <w:rFonts w:ascii="Verdana" w:hAnsi="Verdana" w:cs="Arial"/>
          <w:b/>
          <w:sz w:val="24"/>
          <w:szCs w:val="24"/>
        </w:rPr>
      </w:pPr>
      <w:r w:rsidRPr="004B7F1B">
        <w:rPr>
          <w:rFonts w:ascii="Verdana" w:hAnsi="Verdana" w:cs="Arial"/>
          <w:b/>
          <w:sz w:val="24"/>
          <w:szCs w:val="24"/>
        </w:rPr>
        <w:t>SEGUNDA: Prácticas abusivas</w:t>
      </w:r>
    </w:p>
    <w:p w14:paraId="0620072B" w14:textId="77777777" w:rsidR="00831BFE" w:rsidRPr="004B7F1B" w:rsidRDefault="00831BFE" w:rsidP="00831BFE">
      <w:pPr>
        <w:jc w:val="both"/>
        <w:rPr>
          <w:rFonts w:ascii="Verdana" w:hAnsi="Verdana" w:cs="Arial"/>
          <w:b/>
          <w:sz w:val="24"/>
          <w:szCs w:val="24"/>
        </w:rPr>
      </w:pPr>
    </w:p>
    <w:p w14:paraId="15BFBD11" w14:textId="77777777" w:rsidR="00831BFE" w:rsidRPr="004B7F1B" w:rsidRDefault="00831BFE" w:rsidP="00831BFE">
      <w:pPr>
        <w:jc w:val="both"/>
        <w:rPr>
          <w:rFonts w:ascii="Verdana" w:hAnsi="Verdana" w:cs="Arial"/>
          <w:sz w:val="24"/>
          <w:szCs w:val="24"/>
          <w:lang w:val="es-ES"/>
        </w:rPr>
      </w:pPr>
      <w:r w:rsidRPr="004B7F1B">
        <w:rPr>
          <w:rFonts w:ascii="Verdana" w:hAnsi="Verdana" w:cs="Arial"/>
          <w:sz w:val="24"/>
          <w:szCs w:val="24"/>
          <w:lang w:val="es-ES"/>
        </w:rPr>
        <w:t>Adicionar el subnumeral 6.2.66. al Capítulo I del Título III de la Parte I «</w:t>
      </w:r>
      <w:r w:rsidRPr="004B7F1B">
        <w:rPr>
          <w:rFonts w:ascii="Verdana" w:hAnsi="Verdana" w:cs="Arial"/>
          <w:i/>
          <w:sz w:val="24"/>
          <w:szCs w:val="24"/>
          <w:lang w:val="es-ES"/>
        </w:rPr>
        <w:t>Acceso e información al consumidor financiero</w:t>
      </w:r>
      <w:r w:rsidRPr="004B7F1B">
        <w:rPr>
          <w:rFonts w:ascii="Verdana" w:hAnsi="Verdana" w:cs="Arial"/>
          <w:sz w:val="24"/>
          <w:szCs w:val="24"/>
          <w:lang w:val="es-ES"/>
        </w:rPr>
        <w:t xml:space="preserve">» de la Circular Básica Jurídica, el cual quedará así: </w:t>
      </w:r>
    </w:p>
    <w:p w14:paraId="77C4E15F" w14:textId="77777777" w:rsidR="00831BFE" w:rsidRPr="004B7F1B" w:rsidRDefault="00831BFE" w:rsidP="00831BFE">
      <w:pPr>
        <w:widowControl w:val="0"/>
        <w:autoSpaceDE w:val="0"/>
        <w:autoSpaceDN w:val="0"/>
        <w:adjustRightInd w:val="0"/>
        <w:jc w:val="both"/>
        <w:rPr>
          <w:rFonts w:ascii="Verdana" w:hAnsi="Verdana" w:cs="Arial"/>
          <w:b/>
          <w:sz w:val="24"/>
          <w:szCs w:val="24"/>
        </w:rPr>
      </w:pPr>
    </w:p>
    <w:p w14:paraId="5706F0E9" w14:textId="77777777" w:rsidR="00831BFE" w:rsidRPr="004B7F1B" w:rsidRDefault="00831BFE" w:rsidP="00831BFE">
      <w:pPr>
        <w:widowControl w:val="0"/>
        <w:adjustRightInd w:val="0"/>
        <w:jc w:val="both"/>
        <w:rPr>
          <w:rFonts w:ascii="Verdana" w:eastAsia="Verdana" w:hAnsi="Verdana" w:cs="Verdana"/>
          <w:sz w:val="24"/>
          <w:szCs w:val="24"/>
        </w:rPr>
      </w:pPr>
      <w:r w:rsidRPr="004B7F1B">
        <w:rPr>
          <w:rFonts w:ascii="Verdana" w:hAnsi="Verdana"/>
          <w:sz w:val="24"/>
          <w:szCs w:val="24"/>
        </w:rPr>
        <w:t>«6.2.66. Aplicar</w:t>
      </w:r>
      <w:r w:rsidRPr="004B7F1B">
        <w:rPr>
          <w:rFonts w:ascii="Verdana" w:eastAsia="Verdana" w:hAnsi="Verdana" w:cs="Verdana"/>
          <w:sz w:val="24"/>
          <w:szCs w:val="24"/>
        </w:rPr>
        <w:t xml:space="preserve"> restricciones automáticas </w:t>
      </w:r>
      <w:r w:rsidRPr="004B7F1B" w:rsidDel="00156DEC">
        <w:rPr>
          <w:rFonts w:ascii="Verdana" w:eastAsia="Verdana" w:hAnsi="Verdana" w:cs="Verdana"/>
          <w:sz w:val="24"/>
          <w:szCs w:val="24"/>
        </w:rPr>
        <w:t xml:space="preserve">en la </w:t>
      </w:r>
      <w:r w:rsidRPr="004B7F1B">
        <w:rPr>
          <w:rFonts w:ascii="Verdana" w:eastAsia="Verdana" w:hAnsi="Verdana" w:cs="Verdana"/>
          <w:sz w:val="24"/>
          <w:szCs w:val="24"/>
        </w:rPr>
        <w:t xml:space="preserve">prestación de productos y servicios financieros personas </w:t>
      </w:r>
      <w:r w:rsidRPr="004B7F1B">
        <w:rPr>
          <w:rFonts w:ascii="Verdana" w:hAnsi="Verdana" w:cs="Arial"/>
          <w:color w:val="000000"/>
          <w:sz w:val="24"/>
          <w:szCs w:val="24"/>
        </w:rPr>
        <w:t>con base en la existencia de antecedentes penales o investigaciones penales en curso</w:t>
      </w:r>
      <w:r w:rsidRPr="004B7F1B">
        <w:rPr>
          <w:rFonts w:ascii="Verdana" w:eastAsia="Verdana" w:hAnsi="Verdana" w:cs="Verdana"/>
          <w:sz w:val="24"/>
          <w:szCs w:val="24"/>
        </w:rPr>
        <w:t xml:space="preserve">, sin haber realizado un análisis individualizado de su perfil de riesgo de LA/FT </w:t>
      </w:r>
      <w:r w:rsidRPr="004B7F1B">
        <w:rPr>
          <w:rFonts w:ascii="Verdana" w:hAnsi="Verdana" w:cs="Arial"/>
          <w:color w:val="000000"/>
          <w:sz w:val="24"/>
          <w:szCs w:val="24"/>
        </w:rPr>
        <w:t>de conformidad con las instrucciones aplicables</w:t>
      </w:r>
      <w:r w:rsidRPr="004B7F1B">
        <w:rPr>
          <w:rFonts w:ascii="Verdana" w:eastAsia="Verdana" w:hAnsi="Verdana" w:cs="Verdana"/>
          <w:sz w:val="24"/>
          <w:szCs w:val="24"/>
        </w:rPr>
        <w:t xml:space="preserve">». </w:t>
      </w:r>
    </w:p>
    <w:p w14:paraId="4054F263" w14:textId="77777777" w:rsidR="00831BFE" w:rsidRPr="004B7F1B" w:rsidRDefault="00831BFE" w:rsidP="00831BFE">
      <w:pPr>
        <w:widowControl w:val="0"/>
        <w:autoSpaceDE w:val="0"/>
        <w:autoSpaceDN w:val="0"/>
        <w:adjustRightInd w:val="0"/>
        <w:jc w:val="both"/>
        <w:rPr>
          <w:rFonts w:ascii="Verdana" w:hAnsi="Verdana" w:cs="Arial"/>
          <w:b/>
          <w:sz w:val="24"/>
          <w:szCs w:val="24"/>
        </w:rPr>
      </w:pPr>
    </w:p>
    <w:p w14:paraId="74835999" w14:textId="77777777" w:rsidR="00D25167" w:rsidRPr="004B7F1B" w:rsidRDefault="00D25167" w:rsidP="00831BFE">
      <w:pPr>
        <w:widowControl w:val="0"/>
        <w:autoSpaceDE w:val="0"/>
        <w:autoSpaceDN w:val="0"/>
        <w:adjustRightInd w:val="0"/>
        <w:jc w:val="both"/>
        <w:rPr>
          <w:rFonts w:ascii="Verdana" w:hAnsi="Verdana" w:cs="Arial"/>
          <w:b/>
          <w:sz w:val="24"/>
          <w:szCs w:val="24"/>
        </w:rPr>
      </w:pPr>
    </w:p>
    <w:p w14:paraId="15E38E58" w14:textId="77777777" w:rsidR="00831BFE" w:rsidRPr="004B7F1B" w:rsidRDefault="00831BFE" w:rsidP="00831BFE">
      <w:pPr>
        <w:jc w:val="both"/>
        <w:rPr>
          <w:rFonts w:ascii="Verdana" w:hAnsi="Verdana" w:cs="Arial"/>
          <w:b/>
          <w:sz w:val="24"/>
          <w:szCs w:val="24"/>
        </w:rPr>
      </w:pPr>
      <w:r w:rsidRPr="004B7F1B" w:rsidDel="00237C1C">
        <w:rPr>
          <w:rFonts w:ascii="Verdana" w:hAnsi="Verdana" w:cs="Arial"/>
          <w:b/>
          <w:sz w:val="24"/>
          <w:szCs w:val="24"/>
        </w:rPr>
        <w:t>TERCERA</w:t>
      </w:r>
      <w:r w:rsidRPr="004B7F1B">
        <w:rPr>
          <w:rFonts w:ascii="Verdana" w:hAnsi="Verdana" w:cs="Arial"/>
          <w:b/>
          <w:sz w:val="24"/>
          <w:szCs w:val="24"/>
        </w:rPr>
        <w:t xml:space="preserve">: Cláusulas abusivas </w:t>
      </w:r>
    </w:p>
    <w:p w14:paraId="55D8794B" w14:textId="77777777" w:rsidR="00831BFE" w:rsidRPr="004B7F1B" w:rsidRDefault="00831BFE" w:rsidP="00831BFE">
      <w:pPr>
        <w:jc w:val="both"/>
        <w:rPr>
          <w:rFonts w:ascii="Verdana" w:hAnsi="Verdana" w:cs="Arial"/>
          <w:sz w:val="24"/>
          <w:szCs w:val="24"/>
          <w:lang w:val="es-ES"/>
        </w:rPr>
      </w:pPr>
    </w:p>
    <w:p w14:paraId="6CB21C58" w14:textId="77777777" w:rsidR="00831BFE" w:rsidRPr="004B7F1B" w:rsidRDefault="00831BFE" w:rsidP="00831BFE">
      <w:pPr>
        <w:jc w:val="both"/>
        <w:rPr>
          <w:rFonts w:ascii="Verdana" w:hAnsi="Verdana" w:cs="Arial"/>
          <w:sz w:val="24"/>
          <w:szCs w:val="24"/>
          <w:lang w:val="es-ES"/>
        </w:rPr>
      </w:pPr>
      <w:r w:rsidRPr="004B7F1B">
        <w:rPr>
          <w:rFonts w:ascii="Verdana" w:hAnsi="Verdana" w:cs="Arial"/>
          <w:sz w:val="24"/>
          <w:szCs w:val="24"/>
          <w:lang w:val="es-ES"/>
        </w:rPr>
        <w:t>Adicionar el subnumeral 6.1.5.11. al Capítulo I del Título III de la Parte I «</w:t>
      </w:r>
      <w:r w:rsidRPr="004B7F1B">
        <w:rPr>
          <w:rFonts w:ascii="Verdana" w:hAnsi="Verdana" w:cs="Arial"/>
          <w:i/>
          <w:sz w:val="24"/>
          <w:szCs w:val="24"/>
          <w:lang w:val="es-ES"/>
        </w:rPr>
        <w:t>Acceso e información al consumidor financiero</w:t>
      </w:r>
      <w:r w:rsidRPr="004B7F1B">
        <w:rPr>
          <w:rFonts w:ascii="Verdana" w:hAnsi="Verdana" w:cs="Arial"/>
          <w:sz w:val="24"/>
          <w:szCs w:val="24"/>
          <w:lang w:val="es-ES"/>
        </w:rPr>
        <w:t xml:space="preserve">» de la Circular Básica Jurídica, el cual quedará así:  </w:t>
      </w:r>
    </w:p>
    <w:p w14:paraId="07F63D9B" w14:textId="77777777" w:rsidR="00831BFE" w:rsidRPr="004B7F1B" w:rsidRDefault="00831BFE" w:rsidP="00831BFE">
      <w:pPr>
        <w:jc w:val="both"/>
        <w:rPr>
          <w:rFonts w:ascii="Verdana" w:hAnsi="Verdana" w:cs="Arial"/>
          <w:sz w:val="24"/>
          <w:szCs w:val="24"/>
          <w:lang w:val="es-ES"/>
        </w:rPr>
      </w:pPr>
    </w:p>
    <w:p w14:paraId="0CA60A80" w14:textId="77777777" w:rsidR="00831BFE" w:rsidRPr="004B7F1B" w:rsidRDefault="00831BFE" w:rsidP="00831BFE">
      <w:pPr>
        <w:jc w:val="both"/>
        <w:rPr>
          <w:rFonts w:ascii="Verdana" w:hAnsi="Verdana" w:cs="Arial"/>
          <w:sz w:val="24"/>
          <w:szCs w:val="24"/>
          <w:lang w:val="es-ES"/>
        </w:rPr>
      </w:pPr>
      <w:r w:rsidRPr="004B7F1B">
        <w:rPr>
          <w:rFonts w:ascii="Verdana" w:hAnsi="Verdana"/>
          <w:sz w:val="24"/>
          <w:szCs w:val="24"/>
        </w:rPr>
        <w:t>«</w:t>
      </w:r>
      <w:r w:rsidRPr="004B7F1B">
        <w:rPr>
          <w:rFonts w:ascii="Verdana" w:hAnsi="Verdana" w:cs="Arial"/>
          <w:sz w:val="24"/>
          <w:szCs w:val="24"/>
          <w:lang w:val="es-ES"/>
        </w:rPr>
        <w:t>6.1.5.11. Las que incorporan causales de terminación automática del contrato por la existencia de antecedentes penales o investigaciones penales en curso del cliente, sin hacer un análisis individualizado de su perfil de riesgo de LA/FT</w:t>
      </w:r>
      <w:r w:rsidRPr="004B7F1B">
        <w:rPr>
          <w:rFonts w:ascii="Verdana" w:hAnsi="Verdana" w:cs="Arial"/>
          <w:color w:val="000000"/>
          <w:sz w:val="24"/>
          <w:szCs w:val="24"/>
        </w:rPr>
        <w:t xml:space="preserve"> de conformidad con las instrucciones aplicables</w:t>
      </w:r>
      <w:r w:rsidRPr="004B7F1B">
        <w:rPr>
          <w:rFonts w:ascii="Verdana" w:hAnsi="Verdana" w:cs="Arial"/>
          <w:sz w:val="24"/>
          <w:szCs w:val="24"/>
          <w:lang w:val="es-ES"/>
        </w:rPr>
        <w:t>.</w:t>
      </w:r>
      <w:r w:rsidRPr="004B7F1B">
        <w:rPr>
          <w:rFonts w:ascii="Verdana" w:eastAsia="Verdana" w:hAnsi="Verdana" w:cs="Verdana"/>
          <w:sz w:val="24"/>
          <w:szCs w:val="24"/>
        </w:rPr>
        <w:t>»</w:t>
      </w:r>
    </w:p>
    <w:p w14:paraId="58ED83E6" w14:textId="77777777" w:rsidR="00831BFE" w:rsidRPr="004B7F1B" w:rsidRDefault="00831BFE" w:rsidP="00831BFE">
      <w:pPr>
        <w:widowControl w:val="0"/>
        <w:autoSpaceDE w:val="0"/>
        <w:autoSpaceDN w:val="0"/>
        <w:adjustRightInd w:val="0"/>
        <w:jc w:val="both"/>
        <w:rPr>
          <w:rFonts w:ascii="Verdana" w:hAnsi="Verdana" w:cs="Arial"/>
          <w:b/>
          <w:sz w:val="24"/>
          <w:szCs w:val="24"/>
        </w:rPr>
      </w:pPr>
    </w:p>
    <w:p w14:paraId="285B5DD6" w14:textId="77777777" w:rsidR="00D25167" w:rsidRPr="004B7F1B" w:rsidRDefault="00D25167" w:rsidP="00831BFE">
      <w:pPr>
        <w:widowControl w:val="0"/>
        <w:autoSpaceDE w:val="0"/>
        <w:autoSpaceDN w:val="0"/>
        <w:adjustRightInd w:val="0"/>
        <w:jc w:val="both"/>
        <w:rPr>
          <w:rFonts w:ascii="Verdana" w:hAnsi="Verdana" w:cs="Arial"/>
          <w:b/>
          <w:sz w:val="24"/>
          <w:szCs w:val="24"/>
        </w:rPr>
      </w:pPr>
    </w:p>
    <w:p w14:paraId="2AE9FFA0" w14:textId="77777777" w:rsidR="00831BFE" w:rsidRPr="004B7F1B" w:rsidRDefault="00831BFE" w:rsidP="00831BFE">
      <w:pPr>
        <w:jc w:val="both"/>
        <w:rPr>
          <w:rFonts w:ascii="Verdana" w:hAnsi="Verdana" w:cs="Arial"/>
          <w:b/>
          <w:sz w:val="24"/>
          <w:szCs w:val="24"/>
        </w:rPr>
      </w:pPr>
      <w:r w:rsidRPr="004B7F1B">
        <w:rPr>
          <w:rFonts w:ascii="Verdana" w:hAnsi="Verdana" w:cs="Arial"/>
          <w:b/>
          <w:sz w:val="24"/>
          <w:szCs w:val="24"/>
        </w:rPr>
        <w:t xml:space="preserve">CUARTA Medidas de supervisión y de control </w:t>
      </w:r>
    </w:p>
    <w:p w14:paraId="6E005445" w14:textId="77777777" w:rsidR="00831BFE" w:rsidRPr="004B7F1B" w:rsidRDefault="00831BFE" w:rsidP="00831BFE">
      <w:pPr>
        <w:jc w:val="both"/>
        <w:rPr>
          <w:rFonts w:ascii="Verdana" w:hAnsi="Verdana" w:cs="Arial"/>
          <w:b/>
          <w:sz w:val="24"/>
          <w:szCs w:val="24"/>
        </w:rPr>
      </w:pPr>
    </w:p>
    <w:p w14:paraId="1DADCF48" w14:textId="77777777" w:rsidR="00831BFE" w:rsidRPr="004B7F1B" w:rsidRDefault="00831BFE" w:rsidP="00831BFE">
      <w:pPr>
        <w:jc w:val="both"/>
        <w:rPr>
          <w:rFonts w:ascii="Verdana" w:hAnsi="Verdana" w:cs="Arial"/>
          <w:sz w:val="24"/>
          <w:szCs w:val="24"/>
        </w:rPr>
      </w:pPr>
      <w:r w:rsidRPr="004B7F1B">
        <w:rPr>
          <w:rFonts w:ascii="Verdana" w:hAnsi="Verdana" w:cs="Arial"/>
          <w:sz w:val="24"/>
          <w:szCs w:val="24"/>
        </w:rPr>
        <w:t xml:space="preserve">De acuerdo con las facultades de inspección, vigilancia y control otorgadas a esta autoridad, la SFC supervisará el cumplimiento de las instrucciones impartidas a través de la presente circular por medio de los diferentes mecanismos establecidos en el ordenamiento jurídico en el marco de sus funciones. </w:t>
      </w:r>
    </w:p>
    <w:p w14:paraId="2FF5CC82" w14:textId="77777777" w:rsidR="00831BFE" w:rsidRPr="004B7F1B" w:rsidRDefault="00831BFE" w:rsidP="00831BFE">
      <w:pPr>
        <w:jc w:val="both"/>
        <w:rPr>
          <w:rFonts w:ascii="Verdana" w:hAnsi="Verdana" w:cs="Arial"/>
          <w:b/>
          <w:sz w:val="24"/>
          <w:szCs w:val="24"/>
        </w:rPr>
      </w:pPr>
    </w:p>
    <w:p w14:paraId="28742F91" w14:textId="77777777" w:rsidR="00D25167" w:rsidRPr="004B7F1B" w:rsidRDefault="00D25167" w:rsidP="00831BFE">
      <w:pPr>
        <w:jc w:val="both"/>
        <w:rPr>
          <w:rFonts w:ascii="Verdana" w:hAnsi="Verdana" w:cs="Arial"/>
          <w:b/>
          <w:sz w:val="24"/>
          <w:szCs w:val="24"/>
        </w:rPr>
      </w:pPr>
    </w:p>
    <w:p w14:paraId="03B3586B" w14:textId="77777777" w:rsidR="00831BFE" w:rsidRPr="004B7F1B" w:rsidRDefault="00831BFE" w:rsidP="00831BFE">
      <w:pPr>
        <w:jc w:val="both"/>
        <w:rPr>
          <w:rFonts w:ascii="Verdana" w:hAnsi="Verdana" w:cs="Arial"/>
          <w:sz w:val="24"/>
          <w:szCs w:val="24"/>
        </w:rPr>
      </w:pPr>
      <w:r w:rsidRPr="004B7F1B">
        <w:rPr>
          <w:rFonts w:ascii="Verdana" w:hAnsi="Verdana" w:cs="Arial"/>
          <w:b/>
          <w:sz w:val="24"/>
          <w:szCs w:val="24"/>
        </w:rPr>
        <w:t>QUINTA: Cumplimiento de compromisos internacionales de Colombia</w:t>
      </w:r>
    </w:p>
    <w:p w14:paraId="1253B566" w14:textId="77777777" w:rsidR="00831BFE" w:rsidRPr="004B7F1B" w:rsidRDefault="00831BFE" w:rsidP="00831BFE">
      <w:pPr>
        <w:jc w:val="both"/>
        <w:rPr>
          <w:rFonts w:ascii="Verdana" w:hAnsi="Verdana" w:cs="Arial"/>
          <w:b/>
          <w:sz w:val="24"/>
          <w:szCs w:val="24"/>
        </w:rPr>
      </w:pPr>
    </w:p>
    <w:p w14:paraId="3062CA32" w14:textId="77777777" w:rsidR="00831BFE" w:rsidRPr="004B7F1B" w:rsidRDefault="00831BFE" w:rsidP="00831BFE">
      <w:pPr>
        <w:jc w:val="both"/>
        <w:rPr>
          <w:rFonts w:ascii="Verdana" w:hAnsi="Verdana" w:cs="Arial"/>
          <w:sz w:val="24"/>
          <w:szCs w:val="24"/>
        </w:rPr>
      </w:pPr>
      <w:r w:rsidRPr="004B7F1B">
        <w:rPr>
          <w:rFonts w:ascii="Verdana" w:hAnsi="Verdana" w:cs="Arial"/>
          <w:sz w:val="24"/>
          <w:szCs w:val="24"/>
        </w:rPr>
        <w:t>Las entidades vigiladas por la SFC deben continuar consultando de manera previa a la vinculación del consumidor, las listas internacionales vinculantes para Colombia y dar cumplimiento a las obligaciones derivadas de estas listas.</w:t>
      </w:r>
    </w:p>
    <w:p w14:paraId="58F3A639" w14:textId="77777777" w:rsidR="00831BFE" w:rsidRPr="004B7F1B" w:rsidRDefault="00831BFE" w:rsidP="00831BFE">
      <w:pPr>
        <w:jc w:val="both"/>
        <w:rPr>
          <w:rFonts w:ascii="Verdana" w:hAnsi="Verdana" w:cs="Arial"/>
          <w:sz w:val="24"/>
          <w:szCs w:val="24"/>
        </w:rPr>
      </w:pPr>
    </w:p>
    <w:p w14:paraId="163CAC2E" w14:textId="77777777" w:rsidR="00831BFE" w:rsidRPr="004B7F1B" w:rsidRDefault="00831BFE" w:rsidP="00831BFE">
      <w:pPr>
        <w:jc w:val="both"/>
        <w:rPr>
          <w:rFonts w:ascii="Verdana" w:hAnsi="Verdana" w:cs="Arial"/>
          <w:b/>
          <w:sz w:val="24"/>
          <w:szCs w:val="24"/>
        </w:rPr>
      </w:pPr>
      <w:r w:rsidRPr="004B7F1B">
        <w:rPr>
          <w:rFonts w:ascii="Verdana" w:hAnsi="Verdana" w:cs="Arial"/>
          <w:sz w:val="24"/>
          <w:szCs w:val="24"/>
        </w:rPr>
        <w:t xml:space="preserve">Cuando el consumidor se encuentre designado en las listas restrictivas, las entidades vigiladas tienen la discrecionalidad para establecer la viabilidad de la relación contractual con el mismo, para lo cual podrán establecer mecanismos que les permitan administrar el riesgo de LA/FT en cada caso. </w:t>
      </w:r>
    </w:p>
    <w:p w14:paraId="30A62186" w14:textId="77777777" w:rsidR="00831BFE" w:rsidRPr="004B7F1B" w:rsidRDefault="00831BFE" w:rsidP="00831BFE">
      <w:pPr>
        <w:jc w:val="both"/>
        <w:rPr>
          <w:rFonts w:ascii="Verdana" w:hAnsi="Verdana" w:cs="Arial"/>
          <w:b/>
          <w:sz w:val="24"/>
          <w:szCs w:val="24"/>
        </w:rPr>
      </w:pPr>
    </w:p>
    <w:p w14:paraId="2FDFAF4E" w14:textId="77777777" w:rsidR="00D25167" w:rsidRPr="004B7F1B" w:rsidRDefault="00D25167" w:rsidP="00831BFE">
      <w:pPr>
        <w:jc w:val="both"/>
        <w:rPr>
          <w:rFonts w:ascii="Verdana" w:hAnsi="Verdana" w:cs="Arial"/>
          <w:b/>
          <w:sz w:val="24"/>
          <w:szCs w:val="24"/>
        </w:rPr>
      </w:pPr>
    </w:p>
    <w:p w14:paraId="7060F016" w14:textId="77777777" w:rsidR="00831BFE" w:rsidRPr="004B7F1B" w:rsidRDefault="00831BFE" w:rsidP="00831BFE">
      <w:pPr>
        <w:widowControl w:val="0"/>
        <w:autoSpaceDE w:val="0"/>
        <w:autoSpaceDN w:val="0"/>
        <w:adjustRightInd w:val="0"/>
        <w:jc w:val="both"/>
        <w:rPr>
          <w:rFonts w:ascii="Verdana" w:hAnsi="Verdana" w:cs="Arial"/>
          <w:sz w:val="24"/>
          <w:szCs w:val="24"/>
        </w:rPr>
      </w:pPr>
      <w:r w:rsidRPr="004B7F1B">
        <w:rPr>
          <w:rFonts w:ascii="Verdana" w:hAnsi="Verdana" w:cs="Arial"/>
          <w:b/>
          <w:sz w:val="24"/>
          <w:szCs w:val="24"/>
        </w:rPr>
        <w:t xml:space="preserve">SÉPTIMA: Vigencia. </w:t>
      </w:r>
      <w:r w:rsidRPr="004B7F1B">
        <w:rPr>
          <w:rFonts w:ascii="Verdana" w:hAnsi="Verdana" w:cs="Arial"/>
          <w:sz w:val="24"/>
          <w:szCs w:val="24"/>
        </w:rPr>
        <w:t xml:space="preserve">La presente Circular rige a partir de la fecha de su publicación. </w:t>
      </w:r>
    </w:p>
    <w:p w14:paraId="51E77719" w14:textId="77777777" w:rsidR="00831BFE" w:rsidRPr="004B7F1B" w:rsidRDefault="00831BFE" w:rsidP="00831BFE">
      <w:pPr>
        <w:widowControl w:val="0"/>
        <w:autoSpaceDE w:val="0"/>
        <w:autoSpaceDN w:val="0"/>
        <w:adjustRightInd w:val="0"/>
        <w:jc w:val="both"/>
        <w:rPr>
          <w:rFonts w:ascii="Verdana" w:hAnsi="Verdana" w:cs="Arial"/>
          <w:sz w:val="24"/>
          <w:szCs w:val="24"/>
        </w:rPr>
      </w:pPr>
    </w:p>
    <w:p w14:paraId="37D0E4B5" w14:textId="77777777" w:rsidR="00831BFE" w:rsidRPr="004B7F1B" w:rsidRDefault="00831BFE" w:rsidP="00831BFE">
      <w:pPr>
        <w:widowControl w:val="0"/>
        <w:autoSpaceDE w:val="0"/>
        <w:autoSpaceDN w:val="0"/>
        <w:adjustRightInd w:val="0"/>
        <w:jc w:val="both"/>
        <w:rPr>
          <w:rFonts w:ascii="Verdana" w:hAnsi="Verdana" w:cs="Arial"/>
          <w:sz w:val="24"/>
          <w:szCs w:val="24"/>
        </w:rPr>
      </w:pPr>
    </w:p>
    <w:p w14:paraId="63E2B96F" w14:textId="77777777" w:rsidR="00831BFE" w:rsidRPr="004B7F1B" w:rsidRDefault="00831BFE" w:rsidP="00831BFE">
      <w:pPr>
        <w:widowControl w:val="0"/>
        <w:autoSpaceDE w:val="0"/>
        <w:autoSpaceDN w:val="0"/>
        <w:adjustRightInd w:val="0"/>
        <w:jc w:val="both"/>
        <w:rPr>
          <w:rFonts w:ascii="Verdana" w:hAnsi="Verdana" w:cs="Arial"/>
          <w:sz w:val="24"/>
          <w:szCs w:val="24"/>
        </w:rPr>
      </w:pPr>
    </w:p>
    <w:p w14:paraId="0BF0D4AF" w14:textId="77777777" w:rsidR="00831BFE" w:rsidRPr="004B7F1B" w:rsidRDefault="00831BFE" w:rsidP="00831BFE">
      <w:pPr>
        <w:widowControl w:val="0"/>
        <w:autoSpaceDE w:val="0"/>
        <w:autoSpaceDN w:val="0"/>
        <w:adjustRightInd w:val="0"/>
        <w:jc w:val="both"/>
        <w:rPr>
          <w:rFonts w:ascii="Verdana" w:hAnsi="Verdana" w:cs="Arial"/>
          <w:sz w:val="24"/>
          <w:szCs w:val="24"/>
        </w:rPr>
      </w:pPr>
    </w:p>
    <w:p w14:paraId="311BECA1" w14:textId="77777777" w:rsidR="00831BFE" w:rsidRPr="004B7F1B" w:rsidRDefault="00831BFE" w:rsidP="00831BFE">
      <w:pPr>
        <w:widowControl w:val="0"/>
        <w:autoSpaceDE w:val="0"/>
        <w:autoSpaceDN w:val="0"/>
        <w:adjustRightInd w:val="0"/>
        <w:jc w:val="both"/>
        <w:rPr>
          <w:rFonts w:ascii="Verdana" w:hAnsi="Verdana" w:cs="Arial"/>
          <w:sz w:val="24"/>
          <w:szCs w:val="24"/>
        </w:rPr>
      </w:pPr>
    </w:p>
    <w:p w14:paraId="1751B907" w14:textId="77777777" w:rsidR="00831BFE" w:rsidRPr="004B7F1B" w:rsidRDefault="00831BFE" w:rsidP="00831BFE">
      <w:pPr>
        <w:widowControl w:val="0"/>
        <w:adjustRightInd w:val="0"/>
        <w:outlineLvl w:val="0"/>
        <w:rPr>
          <w:rFonts w:ascii="Verdana" w:hAnsi="Verdana" w:cs="Arial"/>
          <w:b/>
          <w:bCs/>
          <w:sz w:val="24"/>
          <w:szCs w:val="24"/>
          <w:lang w:val="es-CO" w:eastAsia="es-CO"/>
        </w:rPr>
      </w:pPr>
      <w:r w:rsidRPr="004B7F1B">
        <w:rPr>
          <w:rFonts w:ascii="Verdana" w:hAnsi="Verdana" w:cs="Arial"/>
          <w:b/>
          <w:bCs/>
          <w:sz w:val="24"/>
          <w:szCs w:val="24"/>
          <w:lang w:val="es-CO" w:eastAsia="es-CO"/>
        </w:rPr>
        <w:t>CÉSAR FERRARI Ph.D.</w:t>
      </w:r>
    </w:p>
    <w:p w14:paraId="35340188" w14:textId="77777777" w:rsidR="00831BFE" w:rsidRPr="004B7F1B" w:rsidRDefault="00831BFE" w:rsidP="00831BFE">
      <w:pPr>
        <w:widowControl w:val="0"/>
        <w:autoSpaceDE w:val="0"/>
        <w:autoSpaceDN w:val="0"/>
        <w:adjustRightInd w:val="0"/>
        <w:jc w:val="both"/>
        <w:rPr>
          <w:rFonts w:ascii="Verdana" w:hAnsi="Verdana" w:cs="Arial"/>
          <w:sz w:val="24"/>
          <w:szCs w:val="24"/>
        </w:rPr>
      </w:pPr>
      <w:r w:rsidRPr="004B7F1B">
        <w:rPr>
          <w:rFonts w:ascii="Verdana" w:hAnsi="Verdana" w:cs="Arial"/>
          <w:sz w:val="24"/>
          <w:szCs w:val="24"/>
        </w:rPr>
        <w:t xml:space="preserve">Superintendente Financiero de Colombia </w:t>
      </w:r>
    </w:p>
    <w:p w14:paraId="272B9CE5" w14:textId="77777777" w:rsidR="00831BFE" w:rsidRPr="00306E33" w:rsidRDefault="00831BFE" w:rsidP="00831BFE">
      <w:pPr>
        <w:widowControl w:val="0"/>
        <w:autoSpaceDE w:val="0"/>
        <w:autoSpaceDN w:val="0"/>
        <w:adjustRightInd w:val="0"/>
        <w:jc w:val="both"/>
        <w:rPr>
          <w:rFonts w:ascii="Verdana" w:hAnsi="Verdana" w:cs="Arial"/>
          <w:color w:val="808080"/>
          <w:sz w:val="24"/>
          <w:szCs w:val="24"/>
        </w:rPr>
      </w:pPr>
      <w:r w:rsidRPr="004B7F1B">
        <w:rPr>
          <w:rFonts w:ascii="Verdana" w:hAnsi="Verdana" w:cs="Arial"/>
          <w:color w:val="808080"/>
          <w:sz w:val="24"/>
          <w:szCs w:val="24"/>
        </w:rPr>
        <w:t>50000</w:t>
      </w:r>
    </w:p>
    <w:p w14:paraId="4F2EB28A" w14:textId="77777777" w:rsidR="00831BFE" w:rsidRPr="00306E33" w:rsidRDefault="00831BFE" w:rsidP="00831BFE">
      <w:pPr>
        <w:widowControl w:val="0"/>
        <w:autoSpaceDE w:val="0"/>
        <w:autoSpaceDN w:val="0"/>
        <w:adjustRightInd w:val="0"/>
        <w:jc w:val="both"/>
        <w:rPr>
          <w:rFonts w:ascii="Verdana" w:hAnsi="Verdana" w:cs="Arial"/>
          <w:color w:val="808080"/>
          <w:sz w:val="24"/>
          <w:szCs w:val="24"/>
        </w:rPr>
      </w:pPr>
    </w:p>
    <w:p w14:paraId="4D843E8F" w14:textId="77777777" w:rsidR="00831BFE" w:rsidRPr="00306E33" w:rsidRDefault="00831BFE" w:rsidP="00831BFE">
      <w:pPr>
        <w:rPr>
          <w:rFonts w:ascii="Verdana" w:hAnsi="Verdana"/>
          <w:sz w:val="24"/>
          <w:szCs w:val="24"/>
        </w:rPr>
      </w:pPr>
    </w:p>
    <w:p w14:paraId="6560D966" w14:textId="77777777" w:rsidR="00831BFE" w:rsidRPr="00306E33" w:rsidRDefault="00831BFE" w:rsidP="00831BFE">
      <w:pPr>
        <w:rPr>
          <w:rFonts w:ascii="Verdana" w:hAnsi="Verdana"/>
          <w:sz w:val="24"/>
          <w:szCs w:val="24"/>
        </w:rPr>
      </w:pPr>
    </w:p>
    <w:p w14:paraId="4F811C02" w14:textId="77777777" w:rsidR="00831BFE" w:rsidRPr="00306E33" w:rsidRDefault="00831BFE" w:rsidP="00831BFE">
      <w:pPr>
        <w:jc w:val="center"/>
        <w:rPr>
          <w:rFonts w:ascii="Verdana" w:hAnsi="Verdana" w:cs="Arial"/>
          <w:b/>
          <w:bCs/>
          <w:sz w:val="24"/>
          <w:szCs w:val="24"/>
        </w:rPr>
      </w:pPr>
    </w:p>
    <w:p w14:paraId="2D8FB6C9" w14:textId="77777777" w:rsidR="00B51F39" w:rsidRDefault="00B51F39">
      <w:pPr>
        <w:jc w:val="center"/>
        <w:rPr>
          <w:rFonts w:cs="Arial"/>
          <w:b/>
          <w:bCs/>
          <w:sz w:val="22"/>
          <w:szCs w:val="22"/>
        </w:rPr>
      </w:pPr>
    </w:p>
    <w:sectPr w:rsidR="00B51F39" w:rsidSect="00831BFE">
      <w:headerReference w:type="default" r:id="rId16"/>
      <w:footerReference w:type="default" r:id="rId17"/>
      <w:pgSz w:w="12240" w:h="18720" w:code="14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6B23" w14:textId="77777777" w:rsidR="00696650" w:rsidRDefault="00696650">
      <w:r>
        <w:separator/>
      </w:r>
    </w:p>
  </w:endnote>
  <w:endnote w:type="continuationSeparator" w:id="0">
    <w:p w14:paraId="188616C7" w14:textId="77777777" w:rsidR="00696650" w:rsidRDefault="0069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B08A" w14:textId="77777777" w:rsidR="00564B20" w:rsidRDefault="00564B20">
    <w:pPr>
      <w:widowControl w:val="0"/>
      <w:autoSpaceDE w:val="0"/>
      <w:autoSpaceDN w:val="0"/>
      <w:adjustRightInd w:val="0"/>
      <w:jc w:val="both"/>
      <w:rPr>
        <w:rFonts w:ascii="Arial" w:hAnsi="Arial" w:cs="Arial"/>
        <w:sz w:val="22"/>
        <w:szCs w:val="22"/>
      </w:rPr>
    </w:pPr>
  </w:p>
  <w:p w14:paraId="205E51D6"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9669" w14:textId="77777777" w:rsidR="00564B20" w:rsidRDefault="00564B20">
    <w:pPr>
      <w:widowControl w:val="0"/>
      <w:autoSpaceDE w:val="0"/>
      <w:autoSpaceDN w:val="0"/>
      <w:adjustRightInd w:val="0"/>
      <w:jc w:val="both"/>
      <w:rPr>
        <w:rFonts w:ascii="Arial" w:hAnsi="Arial" w:cs="Arial"/>
        <w:sz w:val="22"/>
        <w:szCs w:val="22"/>
      </w:rPr>
    </w:pPr>
  </w:p>
  <w:p w14:paraId="2B14E860"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A931" w14:textId="00B2DBD9" w:rsidR="00E4587B" w:rsidRPr="00160630" w:rsidRDefault="000B3BF7">
    <w:pPr>
      <w:pStyle w:val="Piedepgina"/>
      <w:jc w:val="right"/>
      <w:rPr>
        <w:rFonts w:ascii="Verdana" w:hAnsi="Verdana"/>
      </w:rPr>
    </w:pPr>
    <w:r>
      <w:rPr>
        <w:noProof/>
      </w:rPr>
      <mc:AlternateContent>
        <mc:Choice Requires="wps">
          <w:drawing>
            <wp:anchor distT="0" distB="0" distL="114300" distR="114300" simplePos="0" relativeHeight="251657728" behindDoc="0" locked="0" layoutInCell="1" allowOverlap="1" wp14:anchorId="5AF913D0" wp14:editId="79244D35">
              <wp:simplePos x="0" y="0"/>
              <wp:positionH relativeFrom="margin">
                <wp:posOffset>-95885</wp:posOffset>
              </wp:positionH>
              <wp:positionV relativeFrom="paragraph">
                <wp:posOffset>-245745</wp:posOffset>
              </wp:positionV>
              <wp:extent cx="6019800" cy="1229995"/>
              <wp:effectExtent l="0" t="0" r="0" b="0"/>
              <wp:wrapNone/>
              <wp:docPr id="38122691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229995"/>
                      </a:xfrm>
                      <a:prstGeom prst="rect">
                        <a:avLst/>
                      </a:prstGeom>
                      <a:noFill/>
                      <a:ln w="6350">
                        <a:noFill/>
                      </a:ln>
                    </wps:spPr>
                    <wps:txbx>
                      <w:txbxContent>
                        <w:p w14:paraId="06899FFA" w14:textId="77777777" w:rsidR="00E4587B" w:rsidRPr="00256928" w:rsidRDefault="00E4587B"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68CAFCCE" w14:textId="77777777" w:rsidR="00E4587B" w:rsidRPr="00160630" w:rsidRDefault="00E4587B" w:rsidP="00BB296E">
                          <w:pPr>
                            <w:spacing w:line="276" w:lineRule="auto"/>
                            <w:jc w:val="both"/>
                            <w:rPr>
                              <w:rFonts w:ascii="Verdana" w:hAnsi="Verdana"/>
                              <w:sz w:val="4"/>
                              <w:szCs w:val="4"/>
                            </w:rPr>
                          </w:pPr>
                        </w:p>
                        <w:p w14:paraId="4E515383" w14:textId="77777777" w:rsidR="00E4587B" w:rsidRPr="00284759" w:rsidRDefault="00E4587B"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20FD98EA" w14:textId="77777777" w:rsidR="00E4587B" w:rsidRPr="00284759" w:rsidRDefault="00E4587B"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3BE0180F" w14:textId="77777777" w:rsidR="00E4587B" w:rsidRPr="00284759" w:rsidRDefault="00E4587B" w:rsidP="00BB296E">
                          <w:pPr>
                            <w:spacing w:line="276" w:lineRule="auto"/>
                            <w:jc w:val="both"/>
                            <w:rPr>
                              <w:rFonts w:ascii="Verdana" w:hAnsi="Verdana"/>
                            </w:rPr>
                          </w:pPr>
                          <w:r w:rsidRPr="00F8640E">
                            <w:rPr>
                              <w:rFonts w:ascii="Verdana" w:hAnsi="Verdana"/>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913D0"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" filled="f" stroked="f" strokeweight=".5pt">
              <v:textbox>
                <w:txbxContent>
                  <w:p w14:paraId="06899FFA" w14:textId="77777777" w:rsidR="00E4587B" w:rsidRPr="00256928" w:rsidRDefault="00E4587B"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68CAFCCE" w14:textId="77777777" w:rsidR="00E4587B" w:rsidRPr="00160630" w:rsidRDefault="00E4587B" w:rsidP="00BB296E">
                    <w:pPr>
                      <w:spacing w:line="276" w:lineRule="auto"/>
                      <w:jc w:val="both"/>
                      <w:rPr>
                        <w:rFonts w:ascii="Verdana" w:hAnsi="Verdana"/>
                        <w:sz w:val="4"/>
                        <w:szCs w:val="4"/>
                      </w:rPr>
                    </w:pPr>
                  </w:p>
                  <w:p w14:paraId="4E515383" w14:textId="77777777" w:rsidR="00E4587B" w:rsidRPr="00284759" w:rsidRDefault="00E4587B"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20FD98EA" w14:textId="77777777" w:rsidR="00E4587B" w:rsidRPr="00284759" w:rsidRDefault="00E4587B"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3BE0180F" w14:textId="77777777" w:rsidR="00E4587B" w:rsidRPr="00284759" w:rsidRDefault="00E4587B" w:rsidP="00BB296E">
                    <w:pPr>
                      <w:spacing w:line="276" w:lineRule="auto"/>
                      <w:jc w:val="both"/>
                      <w:rPr>
                        <w:rFonts w:ascii="Verdana" w:hAnsi="Verdana"/>
                      </w:rPr>
                    </w:pPr>
                    <w:r w:rsidRPr="00F8640E">
                      <w:rPr>
                        <w:rFonts w:ascii="Verdana" w:hAnsi="Verdana"/>
                      </w:rPr>
                      <w:t>www.superfinanciera.gov.co</w:t>
                    </w:r>
                  </w:p>
                </w:txbxContent>
              </v:textbox>
              <w10:wrap anchorx="margin"/>
            </v:shape>
          </w:pict>
        </mc:Fallback>
      </mc:AlternateContent>
    </w:r>
    <w:r w:rsidR="00E4587B" w:rsidRPr="00160630">
      <w:rPr>
        <w:rFonts w:ascii="Verdana" w:hAnsi="Verdana"/>
        <w:lang w:val="es-ES"/>
      </w:rPr>
      <w:t xml:space="preserve">Página | </w:t>
    </w:r>
    <w:r w:rsidR="00E4587B" w:rsidRPr="00160630">
      <w:rPr>
        <w:rFonts w:ascii="Verdana" w:hAnsi="Verdana"/>
      </w:rPr>
      <w:fldChar w:fldCharType="begin"/>
    </w:r>
    <w:r w:rsidR="00E4587B" w:rsidRPr="00160630">
      <w:rPr>
        <w:rFonts w:ascii="Verdana" w:hAnsi="Verdana"/>
      </w:rPr>
      <w:instrText>PAGE   \* MERGEFORMAT</w:instrText>
    </w:r>
    <w:r w:rsidR="00E4587B" w:rsidRPr="00160630">
      <w:rPr>
        <w:rFonts w:ascii="Verdana" w:hAnsi="Verdana"/>
      </w:rPr>
      <w:fldChar w:fldCharType="separate"/>
    </w:r>
    <w:r w:rsidR="00E4587B" w:rsidRPr="00160630">
      <w:rPr>
        <w:rFonts w:ascii="Verdana" w:hAnsi="Verdana"/>
        <w:noProof/>
        <w:lang w:val="es-ES"/>
      </w:rPr>
      <w:t>1</w:t>
    </w:r>
    <w:r w:rsidR="00E4587B" w:rsidRPr="00160630">
      <w:rPr>
        <w:rFonts w:ascii="Verdana" w:hAnsi="Verdana"/>
      </w:rPr>
      <w:fldChar w:fldCharType="end"/>
    </w:r>
    <w:r w:rsidR="00E4587B" w:rsidRPr="00160630">
      <w:rPr>
        <w:rFonts w:ascii="Verdana" w:hAnsi="Verdana"/>
        <w:lang w:val="es-ES"/>
      </w:rPr>
      <w:t xml:space="preserve"> </w:t>
    </w:r>
  </w:p>
  <w:p w14:paraId="62C2BB5A" w14:textId="77777777" w:rsidR="00E4587B" w:rsidRPr="00D34D20" w:rsidRDefault="00E4587B" w:rsidP="00BB296E">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A9C1" w14:textId="77777777" w:rsidR="00696650" w:rsidRDefault="00696650">
      <w:r>
        <w:separator/>
      </w:r>
    </w:p>
  </w:footnote>
  <w:footnote w:type="continuationSeparator" w:id="0">
    <w:p w14:paraId="2587801A" w14:textId="77777777" w:rsidR="00696650" w:rsidRDefault="00696650">
      <w:r>
        <w:continuationSeparator/>
      </w:r>
    </w:p>
  </w:footnote>
  <w:footnote w:id="1">
    <w:p w14:paraId="271C5F88" w14:textId="77777777" w:rsidR="00831BFE" w:rsidRPr="009D16D1" w:rsidRDefault="00831BFE" w:rsidP="00831BFE">
      <w:pPr>
        <w:pStyle w:val="Textonotapie"/>
        <w:rPr>
          <w:rFonts w:ascii="Verdana" w:hAnsi="Verdana"/>
          <w:lang w:val="es-MX"/>
        </w:rPr>
      </w:pPr>
      <w:r w:rsidRPr="009D16D1">
        <w:rPr>
          <w:rStyle w:val="Refdenotaalpie"/>
          <w:rFonts w:ascii="Verdana" w:hAnsi="Verdana"/>
        </w:rPr>
        <w:footnoteRef/>
      </w:r>
      <w:r w:rsidRPr="009D16D1">
        <w:rPr>
          <w:rFonts w:ascii="Verdana" w:hAnsi="Verdana"/>
        </w:rPr>
        <w:t xml:space="preserve"> </w:t>
      </w:r>
      <w:r w:rsidRPr="009D16D1">
        <w:rPr>
          <w:rFonts w:ascii="Verdana" w:hAnsi="Verdana"/>
          <w:lang w:val="es-MX"/>
        </w:rPr>
        <w:t xml:space="preserve">Corte Constitucional, </w:t>
      </w:r>
      <w:r>
        <w:rPr>
          <w:rFonts w:ascii="Verdana" w:hAnsi="Verdana"/>
          <w:lang w:val="es-MX"/>
        </w:rPr>
        <w:t xml:space="preserve">Sentencia T-113 del 28 de marzo de 2025, Magistrado Ponente: </w:t>
      </w:r>
      <w:r w:rsidRPr="00C34C4C">
        <w:rPr>
          <w:rFonts w:ascii="Verdana" w:hAnsi="Verdana"/>
          <w:lang w:val="es-MX"/>
        </w:rPr>
        <w:t>Natalia Ángel Cabo. Expediente T-10.564.535.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190" w14:textId="77777777" w:rsidR="00564B20" w:rsidRDefault="00564B20">
    <w:pPr>
      <w:pStyle w:val="Encabezado"/>
      <w:jc w:val="center"/>
      <w:rPr>
        <w:rFonts w:ascii="Arial" w:hAnsi="Arial" w:cs="Arial"/>
        <w:b/>
        <w:sz w:val="24"/>
        <w:szCs w:val="24"/>
      </w:rPr>
    </w:pPr>
  </w:p>
  <w:p w14:paraId="3432F41C" w14:textId="77777777" w:rsidR="00564B20" w:rsidRDefault="00564B20">
    <w:pPr>
      <w:pStyle w:val="Encabezado"/>
      <w:jc w:val="center"/>
      <w:rPr>
        <w:rFonts w:ascii="Arial" w:hAnsi="Arial" w:cs="Arial"/>
        <w:b/>
        <w:sz w:val="24"/>
        <w:szCs w:val="24"/>
      </w:rPr>
    </w:pPr>
  </w:p>
  <w:p w14:paraId="21CBA500" w14:textId="77777777" w:rsidR="00564B20" w:rsidRDefault="00564B20">
    <w:pPr>
      <w:pStyle w:val="Encabezado"/>
      <w:jc w:val="center"/>
      <w:rPr>
        <w:rFonts w:ascii="Arial" w:hAnsi="Arial" w:cs="Arial"/>
        <w:b/>
        <w:sz w:val="24"/>
        <w:szCs w:val="24"/>
      </w:rPr>
    </w:pPr>
  </w:p>
  <w:p w14:paraId="1C85A7C6"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4E82284D" w14:textId="77777777" w:rsidR="00564B20" w:rsidRDefault="00564B20">
    <w:pPr>
      <w:pStyle w:val="Encabezado"/>
      <w:jc w:val="center"/>
      <w:rPr>
        <w:rFonts w:ascii="Arial" w:hAnsi="Arial" w:cs="Arial"/>
        <w:b/>
        <w:bCs/>
        <w:sz w:val="24"/>
        <w:szCs w:val="24"/>
        <w:lang w:val="es-CO"/>
      </w:rPr>
    </w:pPr>
  </w:p>
  <w:p w14:paraId="7250F5D9"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640"/>
      <w:gridCol w:w="4399"/>
      <w:gridCol w:w="2052"/>
    </w:tblGrid>
    <w:tr w:rsidR="00564B20" w14:paraId="5AE83346" w14:textId="77777777" w:rsidTr="0044428D">
      <w:trPr>
        <w:cantSplit/>
        <w:trHeight w:val="699"/>
      </w:trPr>
      <w:tc>
        <w:tcPr>
          <w:tcW w:w="2055" w:type="dxa"/>
          <w:vMerge w:val="restart"/>
          <w:noWrap/>
          <w:vAlign w:val="bottom"/>
        </w:tcPr>
        <w:p w14:paraId="1C5A0A08" w14:textId="6DB1288D" w:rsidR="00564B20" w:rsidRDefault="000B3BF7" w:rsidP="000F6CB5">
          <w:pPr>
            <w:rPr>
              <w:rFonts w:cs="Arial"/>
              <w:sz w:val="2"/>
              <w:szCs w:val="2"/>
              <w:lang w:val="es-CO"/>
            </w:rPr>
          </w:pPr>
          <w:r>
            <w:rPr>
              <w:rFonts w:ascii="Arial" w:hAnsi="Arial" w:cs="Arial"/>
              <w:noProof/>
              <w:color w:val="000000"/>
              <w:lang w:eastAsia="es-419"/>
            </w:rPr>
            <w:drawing>
              <wp:inline distT="0" distB="0" distL="0" distR="0" wp14:anchorId="6E692982" wp14:editId="7B725EF0">
                <wp:extent cx="1587500" cy="552450"/>
                <wp:effectExtent l="0" t="0" r="0" b="0"/>
                <wp:docPr id="1" name="Imagen 19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0"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52450"/>
                        </a:xfrm>
                        <a:prstGeom prst="rect">
                          <a:avLst/>
                        </a:prstGeom>
                        <a:noFill/>
                        <a:ln>
                          <a:noFill/>
                        </a:ln>
                      </pic:spPr>
                    </pic:pic>
                  </a:graphicData>
                </a:graphic>
              </wp:inline>
            </w:drawing>
          </w:r>
        </w:p>
        <w:p w14:paraId="453FA441" w14:textId="77777777" w:rsidR="00564B20" w:rsidRDefault="00564B20" w:rsidP="000F6CB5">
          <w:pPr>
            <w:rPr>
              <w:rFonts w:cs="Arial"/>
              <w:sz w:val="2"/>
              <w:szCs w:val="2"/>
              <w:lang w:val="es-CO"/>
            </w:rPr>
          </w:pPr>
        </w:p>
        <w:p w14:paraId="358D392A" w14:textId="77777777" w:rsidR="00564B20" w:rsidRDefault="00564B20" w:rsidP="000F6CB5">
          <w:pPr>
            <w:rPr>
              <w:rFonts w:cs="Arial"/>
              <w:sz w:val="2"/>
              <w:szCs w:val="2"/>
              <w:lang w:val="es-CO"/>
            </w:rPr>
          </w:pPr>
        </w:p>
        <w:p w14:paraId="05D6DB26" w14:textId="77777777" w:rsidR="00564B20" w:rsidRDefault="00564B20" w:rsidP="000F6CB5">
          <w:pPr>
            <w:rPr>
              <w:rFonts w:cs="Arial"/>
              <w:sz w:val="2"/>
              <w:szCs w:val="2"/>
              <w:lang w:val="es-CO"/>
            </w:rPr>
          </w:pPr>
        </w:p>
        <w:p w14:paraId="1EA200F2" w14:textId="77777777" w:rsidR="00564B20" w:rsidRDefault="00564B20" w:rsidP="000F6CB5">
          <w:pPr>
            <w:rPr>
              <w:rFonts w:cs="Arial"/>
              <w:sz w:val="2"/>
              <w:szCs w:val="2"/>
              <w:lang w:val="es-CO"/>
            </w:rPr>
          </w:pPr>
        </w:p>
      </w:tc>
      <w:tc>
        <w:tcPr>
          <w:tcW w:w="4399" w:type="dxa"/>
          <w:shd w:val="clear" w:color="auto" w:fill="FFFFFF"/>
          <w:noWrap/>
          <w:vAlign w:val="center"/>
        </w:tcPr>
        <w:p w14:paraId="480B09F9"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6A8A68ED" w14:textId="77777777" w:rsidR="00564B20" w:rsidRDefault="00564B20" w:rsidP="000F6CB5">
          <w:pPr>
            <w:jc w:val="center"/>
            <w:rPr>
              <w:rFonts w:ascii="Arial" w:hAnsi="Arial" w:cs="Arial"/>
              <w:lang w:val="es-CO"/>
            </w:rPr>
          </w:pPr>
          <w:r>
            <w:rPr>
              <w:rFonts w:ascii="Arial" w:hAnsi="Arial" w:cs="Arial"/>
              <w:bCs/>
            </w:rPr>
            <w:t>E-PI-DDS-002</w:t>
          </w:r>
        </w:p>
      </w:tc>
    </w:tr>
    <w:tr w:rsidR="00564B20" w14:paraId="10F49752" w14:textId="77777777" w:rsidTr="00043B3D">
      <w:trPr>
        <w:cantSplit/>
        <w:trHeight w:val="378"/>
      </w:trPr>
      <w:tc>
        <w:tcPr>
          <w:tcW w:w="2055" w:type="dxa"/>
          <w:vMerge/>
          <w:noWrap/>
          <w:vAlign w:val="bottom"/>
        </w:tcPr>
        <w:p w14:paraId="1903E2D8" w14:textId="77777777" w:rsidR="00564B20" w:rsidRDefault="00564B20" w:rsidP="000F6CB5">
          <w:pPr>
            <w:rPr>
              <w:rFonts w:cs="Arial"/>
              <w:color w:val="FFFFFF"/>
              <w:lang w:val="es-CO"/>
            </w:rPr>
          </w:pPr>
        </w:p>
      </w:tc>
      <w:tc>
        <w:tcPr>
          <w:tcW w:w="4399" w:type="dxa"/>
          <w:vAlign w:val="center"/>
        </w:tcPr>
        <w:p w14:paraId="452226D9"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4A393D61"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125DD98B"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8E00" w14:textId="7247E3D4" w:rsidR="00E4587B" w:rsidRDefault="000B3BF7" w:rsidP="00BB296E">
    <w:pPr>
      <w:pStyle w:val="Encabezado"/>
      <w:jc w:val="center"/>
    </w:pPr>
    <w:r>
      <w:rPr>
        <w:noProof/>
      </w:rPr>
      <w:drawing>
        <wp:inline distT="0" distB="0" distL="0" distR="0" wp14:anchorId="7A3F4FB1" wp14:editId="1C6BE549">
          <wp:extent cx="1905000" cy="8445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44550"/>
                  </a:xfrm>
                  <a:prstGeom prst="rect">
                    <a:avLst/>
                  </a:prstGeom>
                  <a:noFill/>
                  <a:ln>
                    <a:noFill/>
                  </a:ln>
                </pic:spPr>
              </pic:pic>
            </a:graphicData>
          </a:graphic>
        </wp:inline>
      </w:drawing>
    </w:r>
  </w:p>
  <w:p w14:paraId="26B554A4" w14:textId="77777777" w:rsidR="00E4587B" w:rsidRDefault="00E4587B">
    <w:pPr>
      <w:pStyle w:val="Encabezado"/>
    </w:pPr>
  </w:p>
  <w:p w14:paraId="157CEBBA" w14:textId="77777777" w:rsidR="00E4587B" w:rsidRDefault="00E458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19B6788"/>
    <w:multiLevelType w:val="hybridMultilevel"/>
    <w:tmpl w:val="9FA27A30"/>
    <w:lvl w:ilvl="0" w:tplc="FC34FED4">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4"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6"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847257129">
    <w:abstractNumId w:val="10"/>
  </w:num>
  <w:num w:numId="2" w16cid:durableId="1170288919">
    <w:abstractNumId w:val="43"/>
  </w:num>
  <w:num w:numId="3" w16cid:durableId="1813717202">
    <w:abstractNumId w:val="27"/>
  </w:num>
  <w:num w:numId="4" w16cid:durableId="1402101393">
    <w:abstractNumId w:val="2"/>
  </w:num>
  <w:num w:numId="5" w16cid:durableId="410664809">
    <w:abstractNumId w:val="1"/>
  </w:num>
  <w:num w:numId="6" w16cid:durableId="1887449994">
    <w:abstractNumId w:val="0"/>
  </w:num>
  <w:num w:numId="7" w16cid:durableId="1806654935">
    <w:abstractNumId w:val="44"/>
  </w:num>
  <w:num w:numId="8" w16cid:durableId="1570536654">
    <w:abstractNumId w:val="12"/>
  </w:num>
  <w:num w:numId="9" w16cid:durableId="1264848835">
    <w:abstractNumId w:val="37"/>
  </w:num>
  <w:num w:numId="10" w16cid:durableId="1605533562">
    <w:abstractNumId w:val="14"/>
  </w:num>
  <w:num w:numId="11" w16cid:durableId="1100301065">
    <w:abstractNumId w:val="26"/>
  </w:num>
  <w:num w:numId="12" w16cid:durableId="1671253387">
    <w:abstractNumId w:val="5"/>
  </w:num>
  <w:num w:numId="13" w16cid:durableId="194002321">
    <w:abstractNumId w:val="18"/>
  </w:num>
  <w:num w:numId="14" w16cid:durableId="288707698">
    <w:abstractNumId w:val="25"/>
  </w:num>
  <w:num w:numId="15" w16cid:durableId="1416169885">
    <w:abstractNumId w:val="11"/>
  </w:num>
  <w:num w:numId="16" w16cid:durableId="1864437743">
    <w:abstractNumId w:val="13"/>
  </w:num>
  <w:num w:numId="17" w16cid:durableId="1758136290">
    <w:abstractNumId w:val="8"/>
  </w:num>
  <w:num w:numId="18" w16cid:durableId="708265075">
    <w:abstractNumId w:val="46"/>
  </w:num>
  <w:num w:numId="19" w16cid:durableId="600643924">
    <w:abstractNumId w:val="39"/>
  </w:num>
  <w:num w:numId="20" w16cid:durableId="1446920380">
    <w:abstractNumId w:val="20"/>
  </w:num>
  <w:num w:numId="21" w16cid:durableId="1012413861">
    <w:abstractNumId w:val="15"/>
  </w:num>
  <w:num w:numId="22" w16cid:durableId="952325851">
    <w:abstractNumId w:val="16"/>
  </w:num>
  <w:num w:numId="23" w16cid:durableId="1741559116">
    <w:abstractNumId w:val="7"/>
  </w:num>
  <w:num w:numId="24" w16cid:durableId="1008757295">
    <w:abstractNumId w:val="24"/>
  </w:num>
  <w:num w:numId="25" w16cid:durableId="1501772977">
    <w:abstractNumId w:val="38"/>
  </w:num>
  <w:num w:numId="26" w16cid:durableId="438254854">
    <w:abstractNumId w:val="23"/>
  </w:num>
  <w:num w:numId="27" w16cid:durableId="1029374436">
    <w:abstractNumId w:val="45"/>
  </w:num>
  <w:num w:numId="28" w16cid:durableId="1025836163">
    <w:abstractNumId w:val="6"/>
  </w:num>
  <w:num w:numId="29" w16cid:durableId="902907726">
    <w:abstractNumId w:val="21"/>
  </w:num>
  <w:num w:numId="30" w16cid:durableId="1279408915">
    <w:abstractNumId w:val="19"/>
  </w:num>
  <w:num w:numId="31" w16cid:durableId="2042778441">
    <w:abstractNumId w:val="40"/>
  </w:num>
  <w:num w:numId="32" w16cid:durableId="1770857730">
    <w:abstractNumId w:val="32"/>
  </w:num>
  <w:num w:numId="33" w16cid:durableId="102190156">
    <w:abstractNumId w:val="4"/>
  </w:num>
  <w:num w:numId="34" w16cid:durableId="1127624314">
    <w:abstractNumId w:val="29"/>
  </w:num>
  <w:num w:numId="35" w16cid:durableId="1004435997">
    <w:abstractNumId w:val="9"/>
  </w:num>
  <w:num w:numId="36" w16cid:durableId="78530102">
    <w:abstractNumId w:val="28"/>
  </w:num>
  <w:num w:numId="37" w16cid:durableId="1011025400">
    <w:abstractNumId w:val="34"/>
  </w:num>
  <w:num w:numId="38" w16cid:durableId="616759623">
    <w:abstractNumId w:val="22"/>
  </w:num>
  <w:num w:numId="39" w16cid:durableId="899024127">
    <w:abstractNumId w:val="31"/>
  </w:num>
  <w:num w:numId="40" w16cid:durableId="1708872763">
    <w:abstractNumId w:val="42"/>
  </w:num>
  <w:num w:numId="41" w16cid:durableId="377048193">
    <w:abstractNumId w:val="17"/>
  </w:num>
  <w:num w:numId="42" w16cid:durableId="618218131">
    <w:abstractNumId w:val="30"/>
  </w:num>
  <w:num w:numId="43" w16cid:durableId="910895703">
    <w:abstractNumId w:val="3"/>
  </w:num>
  <w:num w:numId="44" w16cid:durableId="419302175">
    <w:abstractNumId w:val="35"/>
  </w:num>
  <w:num w:numId="45" w16cid:durableId="1639189245">
    <w:abstractNumId w:val="41"/>
  </w:num>
  <w:num w:numId="46" w16cid:durableId="885919209">
    <w:abstractNumId w:val="33"/>
  </w:num>
  <w:num w:numId="47" w16cid:durableId="17330010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16D19"/>
    <w:rsid w:val="00043B3D"/>
    <w:rsid w:val="00047316"/>
    <w:rsid w:val="000779CA"/>
    <w:rsid w:val="000B3BF7"/>
    <w:rsid w:val="000D147B"/>
    <w:rsid w:val="000F6CB5"/>
    <w:rsid w:val="00120DA4"/>
    <w:rsid w:val="001258E1"/>
    <w:rsid w:val="001543F0"/>
    <w:rsid w:val="00190EE7"/>
    <w:rsid w:val="001922C8"/>
    <w:rsid w:val="001A6B7D"/>
    <w:rsid w:val="002728EF"/>
    <w:rsid w:val="002B6E99"/>
    <w:rsid w:val="002C34D0"/>
    <w:rsid w:val="002F4A2A"/>
    <w:rsid w:val="00316E05"/>
    <w:rsid w:val="0037411F"/>
    <w:rsid w:val="00374F5A"/>
    <w:rsid w:val="003760B7"/>
    <w:rsid w:val="003918C3"/>
    <w:rsid w:val="003A0834"/>
    <w:rsid w:val="003D0751"/>
    <w:rsid w:val="003E3CC3"/>
    <w:rsid w:val="003F7BBD"/>
    <w:rsid w:val="00404235"/>
    <w:rsid w:val="004043B0"/>
    <w:rsid w:val="0040661C"/>
    <w:rsid w:val="00410CAB"/>
    <w:rsid w:val="0044428D"/>
    <w:rsid w:val="00451E47"/>
    <w:rsid w:val="00467782"/>
    <w:rsid w:val="004B7F1B"/>
    <w:rsid w:val="004C2087"/>
    <w:rsid w:val="004D5BBF"/>
    <w:rsid w:val="004F111A"/>
    <w:rsid w:val="004F6101"/>
    <w:rsid w:val="00513233"/>
    <w:rsid w:val="00564B20"/>
    <w:rsid w:val="00581497"/>
    <w:rsid w:val="005D51F0"/>
    <w:rsid w:val="00621A24"/>
    <w:rsid w:val="00621D1B"/>
    <w:rsid w:val="0064423D"/>
    <w:rsid w:val="00655C9D"/>
    <w:rsid w:val="00664B83"/>
    <w:rsid w:val="00696650"/>
    <w:rsid w:val="006B29A5"/>
    <w:rsid w:val="006B56BB"/>
    <w:rsid w:val="006C2208"/>
    <w:rsid w:val="006C67DD"/>
    <w:rsid w:val="006D2615"/>
    <w:rsid w:val="006F70A6"/>
    <w:rsid w:val="006F76EF"/>
    <w:rsid w:val="006F7746"/>
    <w:rsid w:val="0075060A"/>
    <w:rsid w:val="0075215C"/>
    <w:rsid w:val="007A55C7"/>
    <w:rsid w:val="007C0F8A"/>
    <w:rsid w:val="007E4209"/>
    <w:rsid w:val="008056DB"/>
    <w:rsid w:val="008078CF"/>
    <w:rsid w:val="00821E44"/>
    <w:rsid w:val="00824B7C"/>
    <w:rsid w:val="008260C5"/>
    <w:rsid w:val="00831BFE"/>
    <w:rsid w:val="00836A72"/>
    <w:rsid w:val="0084010C"/>
    <w:rsid w:val="008B697F"/>
    <w:rsid w:val="008C78C6"/>
    <w:rsid w:val="008D1DF6"/>
    <w:rsid w:val="008E4990"/>
    <w:rsid w:val="00903F36"/>
    <w:rsid w:val="00904A52"/>
    <w:rsid w:val="00997CB7"/>
    <w:rsid w:val="009A55F6"/>
    <w:rsid w:val="00A164B8"/>
    <w:rsid w:val="00A33C80"/>
    <w:rsid w:val="00A57330"/>
    <w:rsid w:val="00A61CAF"/>
    <w:rsid w:val="00AC0FDE"/>
    <w:rsid w:val="00B03CDF"/>
    <w:rsid w:val="00B05C8F"/>
    <w:rsid w:val="00B51F39"/>
    <w:rsid w:val="00BB3603"/>
    <w:rsid w:val="00BB37DA"/>
    <w:rsid w:val="00BC13D7"/>
    <w:rsid w:val="00BD1A61"/>
    <w:rsid w:val="00C21A18"/>
    <w:rsid w:val="00C340E1"/>
    <w:rsid w:val="00C600F9"/>
    <w:rsid w:val="00C8742D"/>
    <w:rsid w:val="00CD33D4"/>
    <w:rsid w:val="00D071C4"/>
    <w:rsid w:val="00D25167"/>
    <w:rsid w:val="00D42D4C"/>
    <w:rsid w:val="00DD7481"/>
    <w:rsid w:val="00DF3624"/>
    <w:rsid w:val="00DF7C28"/>
    <w:rsid w:val="00E416CF"/>
    <w:rsid w:val="00E435E8"/>
    <w:rsid w:val="00E4542B"/>
    <w:rsid w:val="00E4587B"/>
    <w:rsid w:val="00E47C9B"/>
    <w:rsid w:val="00E530A0"/>
    <w:rsid w:val="00E66DC8"/>
    <w:rsid w:val="00E77E01"/>
    <w:rsid w:val="00E93C1D"/>
    <w:rsid w:val="00E979D9"/>
    <w:rsid w:val="00EA1049"/>
    <w:rsid w:val="00EB26B9"/>
    <w:rsid w:val="00EC6395"/>
    <w:rsid w:val="00ED37AC"/>
    <w:rsid w:val="00ED6D50"/>
    <w:rsid w:val="00EE3537"/>
    <w:rsid w:val="00F32DEC"/>
    <w:rsid w:val="00F6044F"/>
    <w:rsid w:val="00F70A31"/>
    <w:rsid w:val="00F822C8"/>
    <w:rsid w:val="00F9082E"/>
    <w:rsid w:val="00FC3F04"/>
    <w:rsid w:val="00FD094C"/>
    <w:rsid w:val="00FE2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869D4"/>
  <w15:chartTrackingRefBased/>
  <w15:docId w15:val="{22D3F420-89C9-4B94-AFA5-A292DCA3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rsid w:val="00831BFE"/>
    <w:rPr>
      <w:lang w:val="es-ES_tradnl" w:eastAsia="es-ES"/>
    </w:rPr>
  </w:style>
  <w:style w:type="character" w:customStyle="1" w:styleId="PiedepginaCar">
    <w:name w:val="Pie de página Car"/>
    <w:link w:val="Piedepgina"/>
    <w:rsid w:val="00831BFE"/>
    <w:rPr>
      <w:lang w:val="es-ES_tradnl" w:eastAsia="es-ES"/>
    </w:rPr>
  </w:style>
  <w:style w:type="paragraph" w:styleId="Prrafodelista">
    <w:name w:val="List Paragraph"/>
    <w:aliases w:val="titulo 3,Párrafo de lista1,Bolita,Bullets,Ha,List Paragraph_0,List Paragraph_1,List Paragraph1,lp1,parrafo,Párrafo de lista Numerado,Segundo nivel de viñetas,Lista vistosa - Énfasis 11,List Paragraph 1,HOJA,BOLADEF,BOLA,párrafo numerado"/>
    <w:basedOn w:val="Normal"/>
    <w:link w:val="PrrafodelistaCar"/>
    <w:uiPriority w:val="34"/>
    <w:qFormat/>
    <w:rsid w:val="00831BFE"/>
    <w:pPr>
      <w:ind w:left="720"/>
      <w:contextualSpacing/>
    </w:pPr>
  </w:style>
  <w:style w:type="character" w:customStyle="1" w:styleId="PrrafodelistaCar">
    <w:name w:val="Párrafo de lista Car"/>
    <w:aliases w:val="titulo 3 Car,Párrafo de lista1 Car,Bolita Car,Bullets Car,Ha Car,List Paragraph_0 Car,List Paragraph_1 Car,List Paragraph1 Car,lp1 Car,parrafo Car,Párrafo de lista Numerado Car,Segundo nivel de viñetas Car,List Paragraph 1 Car"/>
    <w:link w:val="Prrafodelista"/>
    <w:uiPriority w:val="34"/>
    <w:qFormat/>
    <w:locked/>
    <w:rsid w:val="00831BFE"/>
    <w:rPr>
      <w:lang w:val="es-ES_tradnl" w:eastAsia="es-ES"/>
    </w:rPr>
  </w:style>
  <w:style w:type="paragraph" w:styleId="NormalWeb">
    <w:name w:val="Normal (Web)"/>
    <w:basedOn w:val="Normal"/>
    <w:uiPriority w:val="99"/>
    <w:unhideWhenUsed/>
    <w:rsid w:val="00831BFE"/>
    <w:pPr>
      <w:spacing w:before="100" w:beforeAutospacing="1" w:after="100" w:afterAutospacing="1"/>
    </w:pPr>
    <w:rPr>
      <w:sz w:val="24"/>
      <w:szCs w:val="24"/>
      <w:lang w:val="es-CO" w:eastAsia="es-MX"/>
    </w:rPr>
  </w:style>
  <w:style w:type="paragraph" w:styleId="Textonotapie">
    <w:name w:val="footnote text"/>
    <w:basedOn w:val="Normal"/>
    <w:link w:val="TextonotapieCar"/>
    <w:rsid w:val="00831BFE"/>
  </w:style>
  <w:style w:type="character" w:customStyle="1" w:styleId="TextonotapieCar">
    <w:name w:val="Texto nota pie Car"/>
    <w:link w:val="Textonotapie"/>
    <w:rsid w:val="00831BFE"/>
    <w:rPr>
      <w:lang w:val="es-ES_tradnl" w:eastAsia="es-ES"/>
    </w:rPr>
  </w:style>
  <w:style w:type="character" w:styleId="Refdenotaalpie">
    <w:name w:val="footnote reference"/>
    <w:rsid w:val="00831B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5C7D833103DA948882CC9C85F0951CC" ma:contentTypeVersion="19" ma:contentTypeDescription="Crear nuevo documento." ma:contentTypeScope="" ma:versionID="aafcf96c09107ca40a744495af14e3d9">
  <xsd:schema xmlns:xsd="http://www.w3.org/2001/XMLSchema" xmlns:xs="http://www.w3.org/2001/XMLSchema" xmlns:p="http://schemas.microsoft.com/office/2006/metadata/properties" xmlns:ns2="0cc94e5e-fdc2-43dd-8819-d32bb5cdc256" xmlns:ns3="c1f7d1b3-3fa0-4e24-9db4-a26085bdffe2" targetNamespace="http://schemas.microsoft.com/office/2006/metadata/properties" ma:root="true" ma:fieldsID="4e02d78e05ba47f4b704d42a686dfd39" ns2:_="" ns3:_="">
    <xsd:import namespace="0cc94e5e-fdc2-43dd-8819-d32bb5cdc256"/>
    <xsd:import namespace="c1f7d1b3-3fa0-4e24-9db4-a26085bdf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94e5e-fdc2-43dd-8819-d32bb5cdc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e3ece026-1153-4486-bc0e-f284fdb491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7d1b3-3fa0-4e24-9db4-a26085bdffe2"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747d59c4-3e08-4a82-8b5b-87d8110df87a}" ma:internalName="TaxCatchAll" ma:showField="CatchAllData" ma:web="c1f7d1b3-3fa0-4e24-9db4-a26085bdf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f7d1b3-3fa0-4e24-9db4-a26085bdffe2"/>
    <_Flow_SignoffStatus xmlns="0cc94e5e-fdc2-43dd-8819-d32bb5cdc256" xsi:nil="true"/>
    <lcf76f155ced4ddcb4097134ff3c332f xmlns="0cc94e5e-fdc2-43dd-8819-d32bb5cdc2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0A33C-DE78-4CE3-9EDE-A2966214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94e5e-fdc2-43dd-8819-d32bb5cdc256"/>
    <ds:schemaRef ds:uri="c1f7d1b3-3fa0-4e24-9db4-a26085bdf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64263-88ED-4D30-87D9-DC4FB59AD059}">
  <ds:schemaRefs>
    <ds:schemaRef ds:uri="http://schemas.openxmlformats.org/officeDocument/2006/bibliography"/>
  </ds:schemaRefs>
</ds:datastoreItem>
</file>

<file path=customXml/itemProps3.xml><?xml version="1.0" encoding="utf-8"?>
<ds:datastoreItem xmlns:ds="http://schemas.openxmlformats.org/officeDocument/2006/customXml" ds:itemID="{A3D8341A-E338-48AD-AD5A-E41E05425171}">
  <ds:schemaRefs>
    <ds:schemaRef ds:uri="http://schemas.microsoft.com/office/2006/metadata/properties"/>
    <ds:schemaRef ds:uri="http://schemas.microsoft.com/office/infopath/2007/PartnerControls"/>
    <ds:schemaRef ds:uri="c1f7d1b3-3fa0-4e24-9db4-a26085bdffe2"/>
    <ds:schemaRef ds:uri="0cc94e5e-fdc2-43dd-8819-d32bb5cdc256"/>
  </ds:schemaRefs>
</ds:datastoreItem>
</file>

<file path=customXml/itemProps4.xml><?xml version="1.0" encoding="utf-8"?>
<ds:datastoreItem xmlns:ds="http://schemas.openxmlformats.org/officeDocument/2006/customXml" ds:itemID="{6BCD964E-F7B2-4FF7-B4AB-5F33C9BB6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1753</Words>
  <Characters>9645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11376</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Maria Jose Rodriguez Gomez</cp:lastModifiedBy>
  <cp:revision>2</cp:revision>
  <cp:lastPrinted>2016-09-26T16:13:00Z</cp:lastPrinted>
  <dcterms:created xsi:type="dcterms:W3CDTF">2025-07-16T03:34:00Z</dcterms:created>
  <dcterms:modified xsi:type="dcterms:W3CDTF">2025-07-16T03:34:00Z</dcterms:modified>
</cp:coreProperties>
</file>