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A291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08FF92EF" w14:textId="7777777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4FB490C6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D22CD60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B2DC6BA" w14:textId="0079CBD8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PROYECTO </w:t>
      </w:r>
      <w:r w:rsidRPr="008B2EE6">
        <w:rPr>
          <w:rFonts w:ascii="Arial" w:hAnsi="Arial" w:cs="Arial"/>
          <w:b/>
          <w:bCs/>
          <w:sz w:val="24"/>
          <w:szCs w:val="24"/>
        </w:rPr>
        <w:t xml:space="preserve">DE </w:t>
      </w:r>
      <w:r w:rsidR="008B2EE6" w:rsidRPr="008B2EE6">
        <w:rPr>
          <w:rFonts w:ascii="Arial" w:hAnsi="Arial" w:cs="Arial"/>
          <w:b/>
          <w:bCs/>
          <w:sz w:val="24"/>
          <w:szCs w:val="24"/>
        </w:rPr>
        <w:t>CIRCULAR EXTERNA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B29A5">
        <w:rPr>
          <w:rFonts w:ascii="Arial" w:hAnsi="Arial" w:cs="Arial"/>
          <w:b/>
          <w:bCs/>
          <w:sz w:val="24"/>
          <w:szCs w:val="24"/>
        </w:rPr>
        <w:t xml:space="preserve"> </w:t>
      </w:r>
      <w:r w:rsidR="008B2EE6" w:rsidRPr="008B2EE6">
        <w:rPr>
          <w:rFonts w:ascii="Arial" w:hAnsi="Arial" w:cs="Arial"/>
          <w:sz w:val="24"/>
          <w:szCs w:val="24"/>
        </w:rPr>
        <w:t>Instrucciones para la gestión de los riesgos ambientales y sociales</w:t>
      </w:r>
      <w:r w:rsidR="00563755">
        <w:rPr>
          <w:rFonts w:ascii="Arial" w:hAnsi="Arial" w:cs="Arial"/>
          <w:sz w:val="24"/>
          <w:szCs w:val="24"/>
        </w:rPr>
        <w:t>, incluido el climático,</w:t>
      </w:r>
      <w:r w:rsidR="008B2EE6" w:rsidRPr="008B2EE6">
        <w:rPr>
          <w:rFonts w:ascii="Arial" w:hAnsi="Arial" w:cs="Arial"/>
          <w:sz w:val="24"/>
          <w:szCs w:val="24"/>
        </w:rPr>
        <w:t xml:space="preserve"> en las entidades vigiladas por la Superintendencia Financiera de Colombia</w:t>
      </w:r>
    </w:p>
    <w:p w14:paraId="462D81CC" w14:textId="77777777" w:rsidR="006F70A6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5AD939BD" w14:textId="282A8026" w:rsidR="00B51F39" w:rsidRPr="00E77E0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  <w:lang w:val="es-ES"/>
        </w:rPr>
      </w:pPr>
      <w:r w:rsidRPr="27A11ED1">
        <w:rPr>
          <w:rFonts w:ascii="Arial" w:hAnsi="Arial" w:cs="Arial"/>
          <w:b/>
          <w:sz w:val="24"/>
          <w:szCs w:val="24"/>
          <w:lang w:val="es-ES"/>
        </w:rPr>
        <w:t xml:space="preserve">PROPÓSITO: </w:t>
      </w:r>
      <w:r w:rsidR="008B2EE6" w:rsidRPr="27A11ED1">
        <w:rPr>
          <w:rFonts w:ascii="Arial" w:hAnsi="Arial" w:cs="Arial"/>
          <w:sz w:val="24"/>
          <w:szCs w:val="24"/>
          <w:lang w:val="es-ES"/>
        </w:rPr>
        <w:t xml:space="preserve">Establecer los lineamientos que deben observar las entidades vigiladas </w:t>
      </w:r>
      <w:r w:rsidR="00E92EAC">
        <w:rPr>
          <w:rFonts w:ascii="Arial" w:hAnsi="Arial" w:cs="Arial"/>
          <w:sz w:val="24"/>
          <w:szCs w:val="24"/>
          <w:lang w:val="es-ES"/>
        </w:rPr>
        <w:t>en</w:t>
      </w:r>
      <w:r w:rsidR="00EA73C3">
        <w:rPr>
          <w:rFonts w:ascii="Arial" w:hAnsi="Arial" w:cs="Arial"/>
          <w:sz w:val="24"/>
          <w:szCs w:val="24"/>
          <w:lang w:val="es-ES"/>
        </w:rPr>
        <w:t xml:space="preserve"> la definición de</w:t>
      </w:r>
      <w:r w:rsidR="008B2EE6" w:rsidRPr="27A11ED1">
        <w:rPr>
          <w:rFonts w:ascii="Arial" w:hAnsi="Arial" w:cs="Arial"/>
          <w:sz w:val="24"/>
          <w:szCs w:val="24"/>
          <w:lang w:val="es-ES"/>
        </w:rPr>
        <w:t xml:space="preserve"> los mecanismos, herramientas y procedimientos para identificar, medir, controlar y monitorear los riesgos ambientales y sociales</w:t>
      </w:r>
      <w:r w:rsidR="00563755" w:rsidRPr="27A11ED1">
        <w:rPr>
          <w:rFonts w:ascii="Arial" w:hAnsi="Arial" w:cs="Arial"/>
          <w:sz w:val="24"/>
          <w:szCs w:val="24"/>
          <w:lang w:val="es-ES"/>
        </w:rPr>
        <w:t>, incluido</w:t>
      </w:r>
      <w:r w:rsidR="00BA4714" w:rsidRPr="27A11ED1">
        <w:rPr>
          <w:rFonts w:ascii="Arial" w:hAnsi="Arial" w:cs="Arial"/>
          <w:sz w:val="24"/>
          <w:szCs w:val="24"/>
          <w:lang w:val="es-ES"/>
        </w:rPr>
        <w:t>s</w:t>
      </w:r>
      <w:r w:rsidR="00563755" w:rsidRPr="27A11ED1">
        <w:rPr>
          <w:rFonts w:ascii="Arial" w:hAnsi="Arial" w:cs="Arial"/>
          <w:sz w:val="24"/>
          <w:szCs w:val="24"/>
          <w:lang w:val="es-ES"/>
        </w:rPr>
        <w:t xml:space="preserve"> </w:t>
      </w:r>
      <w:r w:rsidR="00BA4714" w:rsidRPr="27A11ED1">
        <w:rPr>
          <w:rFonts w:ascii="Arial" w:hAnsi="Arial" w:cs="Arial"/>
          <w:sz w:val="24"/>
          <w:szCs w:val="24"/>
          <w:lang w:val="es-ES"/>
        </w:rPr>
        <w:t>los</w:t>
      </w:r>
      <w:r w:rsidR="00563755" w:rsidRPr="27A11ED1">
        <w:rPr>
          <w:rFonts w:ascii="Arial" w:hAnsi="Arial" w:cs="Arial"/>
          <w:sz w:val="24"/>
          <w:szCs w:val="24"/>
          <w:lang w:val="es-ES"/>
        </w:rPr>
        <w:t xml:space="preserve"> climático</w:t>
      </w:r>
      <w:r w:rsidR="00BA4714" w:rsidRPr="27A11ED1">
        <w:rPr>
          <w:rFonts w:ascii="Arial" w:hAnsi="Arial" w:cs="Arial"/>
          <w:sz w:val="24"/>
          <w:szCs w:val="24"/>
          <w:lang w:val="es-ES"/>
        </w:rPr>
        <w:t>s</w:t>
      </w:r>
      <w:r w:rsidR="008B2EE6" w:rsidRPr="27A11ED1">
        <w:rPr>
          <w:rFonts w:ascii="Arial" w:hAnsi="Arial" w:cs="Arial"/>
          <w:sz w:val="24"/>
          <w:szCs w:val="24"/>
          <w:lang w:val="es-ES"/>
        </w:rPr>
        <w:t xml:space="preserve">, </w:t>
      </w:r>
      <w:r w:rsidR="00E92EAC">
        <w:rPr>
          <w:rFonts w:ascii="Arial" w:hAnsi="Arial" w:cs="Arial"/>
          <w:sz w:val="24"/>
          <w:szCs w:val="24"/>
          <w:lang w:val="es-ES"/>
        </w:rPr>
        <w:t xml:space="preserve">así como </w:t>
      </w:r>
      <w:r w:rsidR="008B2EE6" w:rsidRPr="27A11ED1">
        <w:rPr>
          <w:rFonts w:ascii="Arial" w:hAnsi="Arial" w:cs="Arial"/>
          <w:sz w:val="24"/>
          <w:szCs w:val="24"/>
          <w:lang w:val="es-ES"/>
        </w:rPr>
        <w:t>las reglas particulares para la gestión del riesgo ambiental y social</w:t>
      </w:r>
      <w:r w:rsidR="00563755" w:rsidRPr="27A11ED1">
        <w:rPr>
          <w:rFonts w:ascii="Arial" w:hAnsi="Arial" w:cs="Arial"/>
          <w:sz w:val="24"/>
          <w:szCs w:val="24"/>
          <w:lang w:val="es-ES"/>
        </w:rPr>
        <w:t>, incluido el climático,</w:t>
      </w:r>
      <w:r w:rsidR="008B2EE6" w:rsidRPr="27A11ED1">
        <w:rPr>
          <w:rFonts w:ascii="Arial" w:hAnsi="Arial" w:cs="Arial"/>
          <w:sz w:val="24"/>
          <w:szCs w:val="24"/>
          <w:lang w:val="es-ES"/>
        </w:rPr>
        <w:t xml:space="preserve"> en las operaciones crediticias que respaldan obligaciones crediticias.</w:t>
      </w:r>
    </w:p>
    <w:p w14:paraId="5A88DE33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FC142DD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42EE72F" w14:textId="504E5939" w:rsidR="00B51F39" w:rsidRDefault="00B51F39" w:rsidP="008E62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outlineLvl w:val="0"/>
        <w:rPr>
          <w:rFonts w:ascii="Arial" w:hAnsi="Arial" w:cs="Arial"/>
          <w:b/>
          <w:sz w:val="24"/>
          <w:szCs w:val="24"/>
          <w:lang w:val="es-ES"/>
        </w:rPr>
      </w:pPr>
      <w:r w:rsidRPr="27A11ED1">
        <w:rPr>
          <w:rFonts w:ascii="Arial" w:hAnsi="Arial" w:cs="Arial"/>
          <w:b/>
          <w:sz w:val="24"/>
          <w:szCs w:val="24"/>
          <w:lang w:val="es-ES"/>
        </w:rPr>
        <w:t xml:space="preserve">PLAZO PARA COMENTARIOS: </w:t>
      </w:r>
      <w:r w:rsidR="008B2EE6" w:rsidRPr="27A11ED1">
        <w:rPr>
          <w:rFonts w:ascii="Arial" w:hAnsi="Arial" w:cs="Arial"/>
          <w:sz w:val="24"/>
          <w:szCs w:val="24"/>
          <w:lang w:val="es-ES"/>
        </w:rPr>
        <w:t xml:space="preserve">Hasta </w:t>
      </w:r>
      <w:r w:rsidR="00A30E9C">
        <w:rPr>
          <w:rFonts w:ascii="Arial" w:hAnsi="Arial" w:cs="Arial"/>
          <w:sz w:val="24"/>
          <w:szCs w:val="24"/>
          <w:lang w:val="es-ES"/>
        </w:rPr>
        <w:t>las 5:00 p.m. del viernes 5 de septiembre de 2025</w:t>
      </w:r>
    </w:p>
    <w:p w14:paraId="5667DA2D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929E3F6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071B38A0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>
        <w:rPr>
          <w:rFonts w:ascii="Arial" w:hAnsi="Arial" w:cs="Arial"/>
          <w:bCs/>
          <w:sz w:val="24"/>
          <w:szCs w:val="24"/>
        </w:rPr>
        <w:t>Por favor diligenciar la proforma adjunta “</w:t>
      </w:r>
      <w:r w:rsidRPr="00903B73">
        <w:rPr>
          <w:rFonts w:ascii="Arial" w:hAnsi="Arial" w:cs="Arial"/>
          <w:bCs/>
          <w:sz w:val="24"/>
          <w:szCs w:val="24"/>
        </w:rPr>
        <w:t>MATRIZ PARA COMENTARIOS EXTERNOS - PUBLICACION WEB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14:paraId="3A5806F3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E0F744A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Word puede ser radicada vía e-mail por medio del correo electrónico </w:t>
      </w:r>
      <w:hyperlink r:id="rId11" w:history="1">
        <w:r w:rsidRPr="00663E3A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 w:rsidRPr="00BC13D7"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11ED16D3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4423D" w:rsidRPr="00E77E0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4F914B42" w14:textId="77777777" w:rsidR="006F70A6" w:rsidRPr="00A164B8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6"/>
          <w:szCs w:val="24"/>
          <w:lang w:val="es-ES"/>
        </w:rPr>
      </w:pPr>
    </w:p>
    <w:p w14:paraId="1400FC12" w14:textId="77777777" w:rsidR="00B51F39" w:rsidRDefault="006F70A6" w:rsidP="008B2E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RADICADO No. </w:t>
      </w:r>
      <w:bookmarkStart w:id="0" w:name="_Hlk196743435"/>
      <w:r w:rsidR="00734232" w:rsidRPr="008B2EE6">
        <w:rPr>
          <w:rFonts w:ascii="Arial" w:hAnsi="Arial" w:cs="Arial"/>
          <w:b/>
          <w:bCs/>
          <w:sz w:val="24"/>
          <w:szCs w:val="24"/>
          <w:lang w:val="es-ES"/>
        </w:rPr>
        <w:t>2024127849</w:t>
      </w:r>
      <w:bookmarkEnd w:id="0"/>
    </w:p>
    <w:p w14:paraId="04D2F0E5" w14:textId="77777777" w:rsidR="008B2EE6" w:rsidRPr="00E77E01" w:rsidRDefault="008B2EE6" w:rsidP="008B2E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703711" w14:textId="77777777" w:rsidR="00B51F39" w:rsidRDefault="00E77E01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27A11ED1">
        <w:rPr>
          <w:rFonts w:ascii="Arial" w:hAnsi="Arial" w:cs="Arial"/>
          <w:b/>
          <w:sz w:val="24"/>
          <w:szCs w:val="24"/>
          <w:lang w:val="es-ES"/>
        </w:rPr>
        <w:t>POR ESCRITO A:</w:t>
      </w:r>
      <w:r>
        <w:tab/>
      </w:r>
      <w:r w:rsidR="00824B7C" w:rsidRPr="27A11ED1">
        <w:rPr>
          <w:rFonts w:ascii="Arial" w:hAnsi="Arial" w:cs="Arial"/>
          <w:b/>
          <w:sz w:val="24"/>
          <w:szCs w:val="24"/>
          <w:lang w:val="es-ES"/>
        </w:rPr>
        <w:t xml:space="preserve">Subdirector de </w:t>
      </w:r>
      <w:r w:rsidR="00AC0FDE" w:rsidRPr="27A11ED1">
        <w:rPr>
          <w:rFonts w:ascii="Arial" w:hAnsi="Arial" w:cs="Arial"/>
          <w:b/>
          <w:sz w:val="24"/>
          <w:szCs w:val="24"/>
          <w:lang w:val="es-ES"/>
        </w:rPr>
        <w:t>Regulación</w:t>
      </w:r>
      <w:r w:rsidR="00A164B8" w:rsidRPr="27A11ED1">
        <w:rPr>
          <w:rFonts w:ascii="Arial" w:hAnsi="Arial" w:cs="Arial"/>
          <w:sz w:val="24"/>
          <w:szCs w:val="24"/>
          <w:lang w:val="es-ES"/>
        </w:rPr>
        <w:t>, con el número de radicación.</w:t>
      </w:r>
    </w:p>
    <w:p w14:paraId="0AFD51A8" w14:textId="77777777" w:rsidR="00043B3D" w:rsidRPr="00E77E01" w:rsidRDefault="00043B3D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</w:p>
    <w:p w14:paraId="333262A3" w14:textId="77777777" w:rsidR="00B51F39" w:rsidRPr="00E77E01" w:rsidRDefault="00B51F39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77E01">
        <w:rPr>
          <w:rFonts w:ascii="Arial" w:hAnsi="Arial" w:cs="Arial"/>
          <w:bCs/>
          <w:sz w:val="24"/>
          <w:szCs w:val="24"/>
        </w:rPr>
        <w:tab/>
      </w:r>
      <w:r w:rsidRPr="00E77E01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2EFEE16E" w14:textId="77777777" w:rsidR="00B51F39" w:rsidRDefault="00B51F39" w:rsidP="008E62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Cs w:val="24"/>
        </w:rPr>
      </w:pPr>
    </w:p>
    <w:p w14:paraId="031B071D" w14:textId="77777777" w:rsidR="00564B20" w:rsidRPr="00043B3D" w:rsidRDefault="00043B3D" w:rsidP="008E62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 del correo electrónico</w:t>
      </w:r>
      <w:r>
        <w:rPr>
          <w:rFonts w:ascii="Arial" w:hAnsi="Arial" w:cs="Arial"/>
          <w:bCs/>
          <w:sz w:val="24"/>
          <w:szCs w:val="24"/>
        </w:rPr>
        <w:t>,</w:t>
      </w:r>
      <w:r w:rsidRPr="00043B3D">
        <w:rPr>
          <w:rFonts w:ascii="Arial" w:hAnsi="Arial" w:cs="Arial"/>
          <w:bCs/>
          <w:sz w:val="24"/>
          <w:szCs w:val="24"/>
        </w:rPr>
        <w:t xml:space="preserve"> la referencia señalada, así como por escrito.</w:t>
      </w:r>
    </w:p>
    <w:p w14:paraId="3EECA852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80221E4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24DAF8FA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F8E5DCB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3B11FD2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0D1E847F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66CDC15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E802D0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64D603C" w14:textId="77777777" w:rsidR="008B2EE6" w:rsidRDefault="00B51F39" w:rsidP="008B2E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  <w:sectPr w:rsidR="008B2EE6" w:rsidSect="00EE3537">
          <w:headerReference w:type="default" r:id="rId12"/>
          <w:footerReference w:type="default" r:id="rId13"/>
          <w:headerReference w:type="first" r:id="rId14"/>
          <w:footerReference w:type="first" r:id="rId15"/>
          <w:pgSz w:w="12242" w:h="18722" w:code="14"/>
          <w:pgMar w:top="2977" w:right="1701" w:bottom="1701" w:left="2268" w:header="709" w:footer="709" w:gutter="0"/>
          <w:paperSrc w:first="2" w:other="2"/>
          <w:cols w:space="708"/>
          <w:titlePg/>
          <w:docGrid w:linePitch="360"/>
        </w:sect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proyecto de </w:t>
      </w:r>
      <w:r w:rsidR="008B2EE6">
        <w:rPr>
          <w:rFonts w:ascii="Arial" w:hAnsi="Arial" w:cs="Arial"/>
          <w:b/>
          <w:bCs/>
          <w:sz w:val="28"/>
          <w:szCs w:val="28"/>
        </w:rPr>
        <w:t>circular externa</w:t>
      </w:r>
    </w:p>
    <w:p w14:paraId="317191E0" w14:textId="77777777" w:rsidR="008B2EE6" w:rsidRPr="008B2EE6" w:rsidRDefault="008B2EE6" w:rsidP="008B2EE6">
      <w:pPr>
        <w:widowControl w:val="0"/>
        <w:autoSpaceDE w:val="0"/>
        <w:autoSpaceDN w:val="0"/>
        <w:adjustRightInd w:val="0"/>
        <w:ind w:firstLine="708"/>
        <w:jc w:val="center"/>
        <w:rPr>
          <w:rFonts w:ascii="Verdana" w:hAnsi="Verdana" w:cs="Arial"/>
          <w:b/>
          <w:sz w:val="24"/>
          <w:szCs w:val="24"/>
        </w:rPr>
      </w:pPr>
      <w:r w:rsidRPr="008B2EE6">
        <w:rPr>
          <w:rFonts w:ascii="Verdana" w:hAnsi="Verdana" w:cs="Arial"/>
          <w:b/>
          <w:sz w:val="24"/>
          <w:szCs w:val="24"/>
        </w:rPr>
        <w:lastRenderedPageBreak/>
        <w:t xml:space="preserve">CIRCULAR EXTERNA         </w:t>
      </w:r>
      <w:r w:rsidRPr="008B2EE6">
        <w:rPr>
          <w:rFonts w:ascii="Verdana" w:hAnsi="Verdana" w:cs="Arial"/>
          <w:b/>
          <w:color w:val="999999"/>
          <w:sz w:val="24"/>
          <w:szCs w:val="24"/>
        </w:rPr>
        <w:t xml:space="preserve">    </w:t>
      </w:r>
      <w:r w:rsidRPr="008B2EE6">
        <w:rPr>
          <w:rFonts w:ascii="Verdana" w:hAnsi="Verdana" w:cs="Arial"/>
          <w:b/>
          <w:sz w:val="24"/>
          <w:szCs w:val="24"/>
        </w:rPr>
        <w:t xml:space="preserve">  DE </w:t>
      </w:r>
      <w:r w:rsidRPr="008B2EE6">
        <w:rPr>
          <w:rFonts w:ascii="Verdana" w:hAnsi="Verdana" w:cs="Arial"/>
          <w:b/>
          <w:color w:val="999999"/>
          <w:sz w:val="24"/>
          <w:szCs w:val="24"/>
        </w:rPr>
        <w:t xml:space="preserve">       </w:t>
      </w:r>
    </w:p>
    <w:p w14:paraId="6CF5FB11" w14:textId="77777777" w:rsidR="008B2EE6" w:rsidRPr="008B2EE6" w:rsidRDefault="008B2EE6" w:rsidP="008B2EE6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4"/>
          <w:szCs w:val="24"/>
        </w:rPr>
      </w:pPr>
      <w:r w:rsidRPr="008B2EE6">
        <w:rPr>
          <w:rFonts w:ascii="Verdana" w:hAnsi="Verdana" w:cs="Arial"/>
          <w:b/>
          <w:sz w:val="24"/>
          <w:szCs w:val="24"/>
        </w:rPr>
        <w:t>(                                        )</w:t>
      </w:r>
    </w:p>
    <w:p w14:paraId="33AD99F6" w14:textId="77777777" w:rsidR="008B2EE6" w:rsidRPr="008B2EE6" w:rsidRDefault="008B2EE6" w:rsidP="008B2EE6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4528DB2B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4B6CCA80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4"/>
          <w:szCs w:val="24"/>
        </w:rPr>
      </w:pPr>
      <w:r w:rsidRPr="008B2EE6">
        <w:rPr>
          <w:rFonts w:ascii="Verdana" w:hAnsi="Verdana" w:cs="Arial"/>
          <w:b/>
          <w:sz w:val="24"/>
          <w:szCs w:val="24"/>
        </w:rPr>
        <w:t>Señores</w:t>
      </w:r>
    </w:p>
    <w:p w14:paraId="27A16E16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 w:rsidRPr="008B2EE6">
        <w:rPr>
          <w:rFonts w:ascii="Verdana" w:hAnsi="Verdana" w:cs="Arial"/>
          <w:sz w:val="24"/>
          <w:szCs w:val="24"/>
        </w:rPr>
        <w:t>MIEMBROS DE JUNTA DIRECTIVA, REPRESENTANTES LEGALES Y REVISORES FISCALES DE LAS ENTIDADES VIGILADAS POR LA SUPERINTENDENCIA FINANCIERA DE COLOMBIA</w:t>
      </w:r>
    </w:p>
    <w:p w14:paraId="770916CF" w14:textId="77777777" w:rsidR="000433B4" w:rsidRPr="008B2EE6" w:rsidRDefault="000433B4" w:rsidP="000433B4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  <w:sz w:val="24"/>
          <w:szCs w:val="24"/>
        </w:rPr>
      </w:pPr>
    </w:p>
    <w:p w14:paraId="32BCF4B7" w14:textId="77777777" w:rsidR="000433B4" w:rsidRPr="008B2EE6" w:rsidRDefault="000433B4" w:rsidP="000433B4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  <w:sz w:val="24"/>
          <w:szCs w:val="24"/>
        </w:rPr>
      </w:pPr>
    </w:p>
    <w:p w14:paraId="1604F184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4"/>
          <w:szCs w:val="24"/>
        </w:rPr>
      </w:pPr>
      <w:r w:rsidRPr="008B2EE6">
        <w:rPr>
          <w:rFonts w:ascii="Verdana" w:hAnsi="Verdana" w:cs="Arial"/>
          <w:b/>
          <w:sz w:val="24"/>
          <w:szCs w:val="24"/>
        </w:rPr>
        <w:t>Referencia: Instrucciones para la gestión de los riesgos ambientales y sociales</w:t>
      </w:r>
      <w:r>
        <w:rPr>
          <w:rFonts w:ascii="Verdana" w:hAnsi="Verdana" w:cs="Arial"/>
          <w:b/>
          <w:sz w:val="24"/>
          <w:szCs w:val="24"/>
        </w:rPr>
        <w:t>, incluido el climático,</w:t>
      </w:r>
      <w:r w:rsidRPr="008B2EE6">
        <w:rPr>
          <w:rFonts w:ascii="Verdana" w:hAnsi="Verdana" w:cs="Arial"/>
          <w:b/>
          <w:sz w:val="24"/>
          <w:szCs w:val="24"/>
        </w:rPr>
        <w:t xml:space="preserve"> en las entidades vigiladas por la Superintendencia Financiera de Colombia</w:t>
      </w:r>
    </w:p>
    <w:p w14:paraId="56B2110B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0844C6C4" w14:textId="77777777" w:rsidR="000433B4" w:rsidRPr="008B2EE6" w:rsidRDefault="000433B4" w:rsidP="000433B4">
      <w:pPr>
        <w:widowControl w:val="0"/>
        <w:adjustRightInd w:val="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5189F2AB" w14:textId="77777777" w:rsidR="000433B4" w:rsidRPr="008B2EE6" w:rsidRDefault="000433B4" w:rsidP="000433B4">
      <w:pPr>
        <w:widowControl w:val="0"/>
        <w:adjustRightInd w:val="0"/>
        <w:jc w:val="both"/>
        <w:rPr>
          <w:rFonts w:ascii="Verdana" w:hAnsi="Verdana" w:cs="Arial"/>
          <w:color w:val="000000"/>
          <w:sz w:val="24"/>
          <w:szCs w:val="24"/>
        </w:rPr>
      </w:pPr>
      <w:r w:rsidRPr="008B2EE6">
        <w:rPr>
          <w:rFonts w:ascii="Verdana" w:hAnsi="Verdana" w:cs="Arial"/>
          <w:color w:val="000000"/>
          <w:sz w:val="24"/>
          <w:szCs w:val="24"/>
        </w:rPr>
        <w:t>Apreciados señores:</w:t>
      </w:r>
    </w:p>
    <w:p w14:paraId="342F5D11" w14:textId="77777777" w:rsidR="000433B4" w:rsidRPr="008B2EE6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b/>
          <w:bCs/>
          <w:sz w:val="24"/>
          <w:szCs w:val="24"/>
          <w:lang w:val="es-ES"/>
        </w:rPr>
      </w:pPr>
    </w:p>
    <w:p w14:paraId="181231F1" w14:textId="29449CD8" w:rsidR="000433B4" w:rsidRDefault="00506FAC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La economía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 </w:t>
      </w:r>
      <w:r w:rsidR="000433B4">
        <w:rPr>
          <w:rFonts w:ascii="Verdana" w:hAnsi="Verdana" w:cs="Arial"/>
          <w:sz w:val="24"/>
          <w:szCs w:val="24"/>
          <w:lang w:val="es-ES"/>
        </w:rPr>
        <w:t>enfrenta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 importantes retos asociados a los asuntos ambientales y sociales</w:t>
      </w:r>
      <w:r w:rsidR="000433B4">
        <w:rPr>
          <w:rFonts w:ascii="Verdana" w:hAnsi="Verdana" w:cs="Arial"/>
          <w:sz w:val="24"/>
          <w:szCs w:val="24"/>
          <w:lang w:val="es-ES"/>
        </w:rPr>
        <w:t>, incluidos los climáticos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. En </w:t>
      </w:r>
      <w:r w:rsidR="000433B4">
        <w:rPr>
          <w:rFonts w:ascii="Verdana" w:hAnsi="Verdana" w:cs="Arial"/>
          <w:sz w:val="24"/>
          <w:szCs w:val="24"/>
          <w:lang w:val="es-ES"/>
        </w:rPr>
        <w:t>particular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, </w:t>
      </w:r>
      <w:r>
        <w:rPr>
          <w:rFonts w:ascii="Verdana" w:hAnsi="Verdana" w:cs="Arial"/>
          <w:sz w:val="24"/>
          <w:szCs w:val="24"/>
          <w:lang w:val="es-ES"/>
        </w:rPr>
        <w:t xml:space="preserve">el sistema financiero juega un rol fundamental para lograr </w:t>
      </w:r>
      <w:r w:rsidR="000433B4">
        <w:rPr>
          <w:rFonts w:ascii="Verdana" w:hAnsi="Verdana" w:cs="Arial"/>
          <w:sz w:val="24"/>
          <w:szCs w:val="24"/>
          <w:lang w:val="es-ES"/>
        </w:rPr>
        <w:t xml:space="preserve">la adopción 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de medidas </w:t>
      </w:r>
      <w:r w:rsidR="000433B4">
        <w:rPr>
          <w:rFonts w:ascii="Verdana" w:hAnsi="Verdana" w:cs="Arial"/>
          <w:sz w:val="24"/>
          <w:szCs w:val="24"/>
          <w:lang w:val="es-ES"/>
        </w:rPr>
        <w:t>orientadas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 a combatir el cambio climático, avanzar hacia una economía baja en carbono, preservar el medio ambiente y proteger a las comunidades, </w:t>
      </w:r>
      <w:r w:rsidR="000433B4">
        <w:rPr>
          <w:rFonts w:ascii="Verdana" w:hAnsi="Verdana" w:cs="Arial"/>
          <w:sz w:val="24"/>
          <w:szCs w:val="24"/>
          <w:lang w:val="es-ES"/>
        </w:rPr>
        <w:t>implica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 que las entidades vigiladas deban </w:t>
      </w:r>
      <w:r w:rsidR="000433B4">
        <w:rPr>
          <w:rFonts w:ascii="Verdana" w:hAnsi="Verdana" w:cs="Arial"/>
          <w:sz w:val="24"/>
          <w:szCs w:val="24"/>
          <w:lang w:val="es-ES"/>
        </w:rPr>
        <w:t>considerar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 </w:t>
      </w:r>
      <w:r w:rsidR="000433B4">
        <w:rPr>
          <w:rFonts w:ascii="Verdana" w:hAnsi="Verdana" w:cs="Arial"/>
          <w:sz w:val="24"/>
          <w:szCs w:val="24"/>
          <w:lang w:val="es-ES"/>
        </w:rPr>
        <w:t xml:space="preserve">factores de riesgo ambientales y sociales, incluidos los climáticos, 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 xml:space="preserve">en el </w:t>
      </w:r>
      <w:r w:rsidR="000433B4">
        <w:rPr>
          <w:rFonts w:ascii="Verdana" w:hAnsi="Verdana" w:cs="Arial"/>
          <w:sz w:val="24"/>
          <w:szCs w:val="24"/>
          <w:lang w:val="es-ES"/>
        </w:rPr>
        <w:t>desarrollo de sus o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>peraciones</w:t>
      </w:r>
      <w:r w:rsidR="000433B4">
        <w:rPr>
          <w:rFonts w:ascii="Verdana" w:hAnsi="Verdana" w:cs="Arial"/>
          <w:sz w:val="24"/>
          <w:szCs w:val="24"/>
          <w:lang w:val="es-ES"/>
        </w:rPr>
        <w:t xml:space="preserve"> autorizadas</w:t>
      </w:r>
      <w:r w:rsidR="000433B4" w:rsidRPr="008B2EE6">
        <w:rPr>
          <w:rFonts w:ascii="Verdana" w:hAnsi="Verdana" w:cs="Arial"/>
          <w:sz w:val="24"/>
          <w:szCs w:val="24"/>
          <w:lang w:val="es-ES"/>
        </w:rPr>
        <w:t>.</w:t>
      </w:r>
    </w:p>
    <w:p w14:paraId="0D129916" w14:textId="77777777" w:rsidR="000433B4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</w:p>
    <w:p w14:paraId="1D878CC1" w14:textId="1956F56E" w:rsidR="000433B4" w:rsidRPr="008B2EE6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Estos factores de riesgo</w:t>
      </w:r>
      <w:r w:rsidR="004D5D72">
        <w:rPr>
          <w:rFonts w:ascii="Verdana" w:hAnsi="Verdana" w:cs="Arial"/>
          <w:sz w:val="24"/>
          <w:szCs w:val="24"/>
          <w:lang w:val="es-ES"/>
        </w:rPr>
        <w:t xml:space="preserve">, además de tener impactos sobre la economía en </w:t>
      </w:r>
      <w:proofErr w:type="spellStart"/>
      <w:r w:rsidR="004D5D72">
        <w:rPr>
          <w:rFonts w:ascii="Verdana" w:hAnsi="Verdana" w:cs="Arial"/>
          <w:sz w:val="24"/>
          <w:szCs w:val="24"/>
          <w:lang w:val="es-ES"/>
        </w:rPr>
        <w:t>el</w:t>
      </w:r>
      <w:proofErr w:type="spellEnd"/>
      <w:r w:rsidR="004D5D72">
        <w:rPr>
          <w:rFonts w:ascii="Verdana" w:hAnsi="Verdana" w:cs="Arial"/>
          <w:sz w:val="24"/>
          <w:szCs w:val="24"/>
          <w:lang w:val="es-ES"/>
        </w:rPr>
        <w:t xml:space="preserve"> mediano y largo plazo, también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pueden afectar la </w:t>
      </w:r>
      <w:r>
        <w:rPr>
          <w:rFonts w:ascii="Verdana" w:hAnsi="Verdana" w:cs="Arial"/>
          <w:sz w:val="24"/>
          <w:szCs w:val="24"/>
          <w:lang w:val="es-ES"/>
        </w:rPr>
        <w:t>situación financiera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</w:t>
      </w:r>
      <w:r>
        <w:rPr>
          <w:rFonts w:ascii="Verdana" w:hAnsi="Verdana" w:cs="Arial"/>
          <w:sz w:val="24"/>
          <w:szCs w:val="24"/>
          <w:lang w:val="es-ES"/>
        </w:rPr>
        <w:t xml:space="preserve">y la resiliencia del modelo de negocios </w:t>
      </w:r>
      <w:r w:rsidRPr="008B2EE6">
        <w:rPr>
          <w:rFonts w:ascii="Verdana" w:hAnsi="Verdana" w:cs="Arial"/>
          <w:sz w:val="24"/>
          <w:szCs w:val="24"/>
          <w:lang w:val="es-ES"/>
        </w:rPr>
        <w:t>de las entidades vigiladas.</w:t>
      </w:r>
      <w:r>
        <w:rPr>
          <w:rFonts w:ascii="Verdana" w:hAnsi="Verdana" w:cs="Arial"/>
          <w:sz w:val="24"/>
          <w:szCs w:val="24"/>
          <w:lang w:val="es-ES"/>
        </w:rPr>
        <w:t xml:space="preserve"> 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Por </w:t>
      </w:r>
      <w:r>
        <w:rPr>
          <w:rFonts w:ascii="Verdana" w:hAnsi="Verdana" w:cs="Arial"/>
          <w:sz w:val="24"/>
          <w:szCs w:val="24"/>
          <w:lang w:val="es-ES"/>
        </w:rPr>
        <w:t>esta razón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, la gestión </w:t>
      </w:r>
      <w:r>
        <w:rPr>
          <w:rFonts w:ascii="Verdana" w:hAnsi="Verdana" w:cs="Arial"/>
          <w:sz w:val="24"/>
          <w:szCs w:val="24"/>
          <w:lang w:val="es-ES"/>
        </w:rPr>
        <w:t xml:space="preserve">de los riesgos </w:t>
      </w:r>
      <w:r w:rsidRPr="008B2EE6">
        <w:rPr>
          <w:rFonts w:ascii="Verdana" w:hAnsi="Verdana" w:cs="Arial"/>
          <w:sz w:val="24"/>
          <w:szCs w:val="24"/>
          <w:lang w:val="es-ES"/>
        </w:rPr>
        <w:t>ambiental</w:t>
      </w:r>
      <w:r>
        <w:rPr>
          <w:rFonts w:ascii="Verdana" w:hAnsi="Verdana" w:cs="Arial"/>
          <w:sz w:val="24"/>
          <w:szCs w:val="24"/>
          <w:lang w:val="es-ES"/>
        </w:rPr>
        <w:t>es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y social</w:t>
      </w:r>
      <w:r>
        <w:rPr>
          <w:rFonts w:ascii="Verdana" w:hAnsi="Verdana" w:cs="Arial"/>
          <w:sz w:val="24"/>
          <w:szCs w:val="24"/>
          <w:lang w:val="es-ES"/>
        </w:rPr>
        <w:t>es, incluido el climático,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ha </w:t>
      </w:r>
      <w:r>
        <w:rPr>
          <w:rFonts w:ascii="Verdana" w:hAnsi="Verdana" w:cs="Arial"/>
          <w:sz w:val="24"/>
          <w:szCs w:val="24"/>
          <w:lang w:val="es-ES"/>
        </w:rPr>
        <w:t xml:space="preserve">adquirido una 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creciente </w:t>
      </w:r>
      <w:r>
        <w:rPr>
          <w:rFonts w:ascii="Verdana" w:hAnsi="Verdana" w:cs="Arial"/>
          <w:sz w:val="24"/>
          <w:szCs w:val="24"/>
          <w:lang w:val="es-ES"/>
        </w:rPr>
        <w:t xml:space="preserve">relevancia </w:t>
      </w:r>
      <w:r w:rsidRPr="008B2EE6">
        <w:rPr>
          <w:rFonts w:ascii="Verdana" w:hAnsi="Verdana" w:cs="Arial"/>
          <w:sz w:val="24"/>
          <w:szCs w:val="24"/>
          <w:lang w:val="es-ES"/>
        </w:rPr>
        <w:t>dentro de las buenas prácticas de gestión de riesgos del sector financiero</w:t>
      </w:r>
      <w:r>
        <w:rPr>
          <w:rFonts w:ascii="Verdana" w:hAnsi="Verdana" w:cs="Arial"/>
          <w:sz w:val="24"/>
          <w:szCs w:val="24"/>
          <w:lang w:val="es-ES"/>
        </w:rPr>
        <w:t xml:space="preserve"> a nivel internacional.</w:t>
      </w:r>
    </w:p>
    <w:p w14:paraId="742F7E95" w14:textId="77777777" w:rsidR="000433B4" w:rsidRPr="008B2EE6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</w:p>
    <w:p w14:paraId="5D181C5A" w14:textId="77777777" w:rsidR="000433B4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 xml:space="preserve">En particular, en atención </w:t>
      </w:r>
      <w:r w:rsidRPr="008B2EE6">
        <w:rPr>
          <w:rFonts w:ascii="Verdana" w:hAnsi="Verdana" w:cs="Arial"/>
          <w:sz w:val="24"/>
          <w:szCs w:val="24"/>
          <w:lang w:val="es-ES"/>
        </w:rPr>
        <w:t>a los desafíos que</w:t>
      </w:r>
      <w:r>
        <w:rPr>
          <w:rFonts w:ascii="Verdana" w:hAnsi="Verdana" w:cs="Arial"/>
          <w:sz w:val="24"/>
          <w:szCs w:val="24"/>
          <w:lang w:val="es-ES"/>
        </w:rPr>
        <w:t xml:space="preserve"> plantea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el cambio climático </w:t>
      </w:r>
      <w:r>
        <w:rPr>
          <w:rFonts w:ascii="Verdana" w:hAnsi="Verdana" w:cs="Arial"/>
          <w:sz w:val="24"/>
          <w:szCs w:val="24"/>
          <w:lang w:val="es-ES"/>
        </w:rPr>
        <w:t>para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la resiliencia de las entidades vigiladas, la Superintendencia Financiera de Colombia diseñó y desarrolló la «Estrategia de Finanzas Verdes y Cambio Climático»</w:t>
      </w:r>
      <w:r>
        <w:rPr>
          <w:rFonts w:ascii="Verdana" w:hAnsi="Verdana" w:cs="Arial"/>
          <w:sz w:val="24"/>
          <w:szCs w:val="24"/>
          <w:lang w:val="es-ES"/>
        </w:rPr>
        <w:t>,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con el </w:t>
      </w:r>
      <w:r>
        <w:rPr>
          <w:rFonts w:ascii="Verdana" w:hAnsi="Verdana" w:cs="Arial"/>
          <w:sz w:val="24"/>
          <w:szCs w:val="24"/>
          <w:lang w:val="es-ES"/>
        </w:rPr>
        <w:t xml:space="preserve">objetivo 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de: (i) </w:t>
      </w:r>
      <w:r>
        <w:rPr>
          <w:rFonts w:ascii="Verdana" w:hAnsi="Verdana" w:cs="Arial"/>
          <w:sz w:val="24"/>
          <w:szCs w:val="24"/>
          <w:lang w:val="es-ES"/>
        </w:rPr>
        <w:t>fortalecer las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capacidades para la identificación y medición de</w:t>
      </w:r>
      <w:r>
        <w:rPr>
          <w:rFonts w:ascii="Verdana" w:hAnsi="Verdana" w:cs="Arial"/>
          <w:sz w:val="24"/>
          <w:szCs w:val="24"/>
          <w:lang w:val="es-ES"/>
        </w:rPr>
        <w:t xml:space="preserve"> </w:t>
      </w:r>
      <w:r w:rsidRPr="008B2EE6">
        <w:rPr>
          <w:rFonts w:ascii="Verdana" w:hAnsi="Verdana" w:cs="Arial"/>
          <w:sz w:val="24"/>
          <w:szCs w:val="24"/>
          <w:lang w:val="es-ES"/>
        </w:rPr>
        <w:t>l</w:t>
      </w:r>
      <w:r>
        <w:rPr>
          <w:rFonts w:ascii="Verdana" w:hAnsi="Verdana" w:cs="Arial"/>
          <w:sz w:val="24"/>
          <w:szCs w:val="24"/>
          <w:lang w:val="es-ES"/>
        </w:rPr>
        <w:t>os riesgos asociados al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cambio climático</w:t>
      </w:r>
      <w:r>
        <w:rPr>
          <w:rFonts w:ascii="Verdana" w:hAnsi="Verdana" w:cs="Arial"/>
          <w:sz w:val="24"/>
          <w:szCs w:val="24"/>
          <w:lang w:val="es-ES"/>
        </w:rPr>
        <w:t>;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(</w:t>
      </w:r>
      <w:proofErr w:type="spellStart"/>
      <w:r w:rsidRPr="008B2EE6">
        <w:rPr>
          <w:rFonts w:ascii="Verdana" w:hAnsi="Verdana" w:cs="Arial"/>
          <w:sz w:val="24"/>
          <w:szCs w:val="24"/>
          <w:lang w:val="es-ES"/>
        </w:rPr>
        <w:t>ii</w:t>
      </w:r>
      <w:proofErr w:type="spellEnd"/>
      <w:r w:rsidRPr="008B2EE6">
        <w:rPr>
          <w:rFonts w:ascii="Verdana" w:hAnsi="Verdana" w:cs="Arial"/>
          <w:sz w:val="24"/>
          <w:szCs w:val="24"/>
          <w:lang w:val="es-ES"/>
        </w:rPr>
        <w:t xml:space="preserve">) promover la integración de los asuntos climáticos en la gestión de riesgos y </w:t>
      </w:r>
      <w:r>
        <w:rPr>
          <w:rFonts w:ascii="Verdana" w:hAnsi="Verdana" w:cs="Arial"/>
          <w:sz w:val="24"/>
          <w:szCs w:val="24"/>
          <w:lang w:val="es-ES"/>
        </w:rPr>
        <w:t xml:space="preserve">en </w:t>
      </w:r>
      <w:r w:rsidRPr="008B2EE6">
        <w:rPr>
          <w:rFonts w:ascii="Verdana" w:hAnsi="Verdana" w:cs="Arial"/>
          <w:sz w:val="24"/>
          <w:szCs w:val="24"/>
          <w:lang w:val="es-ES"/>
        </w:rPr>
        <w:t>el aprovechamiento de oportunidades relacionadas con el clima</w:t>
      </w:r>
      <w:r>
        <w:rPr>
          <w:rFonts w:ascii="Verdana" w:hAnsi="Verdana" w:cs="Arial"/>
          <w:sz w:val="24"/>
          <w:szCs w:val="24"/>
          <w:lang w:val="es-ES"/>
        </w:rPr>
        <w:t>;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y (</w:t>
      </w:r>
      <w:proofErr w:type="spellStart"/>
      <w:r w:rsidRPr="008B2EE6">
        <w:rPr>
          <w:rFonts w:ascii="Verdana" w:hAnsi="Verdana" w:cs="Arial"/>
          <w:sz w:val="24"/>
          <w:szCs w:val="24"/>
          <w:lang w:val="es-ES"/>
        </w:rPr>
        <w:t>iii</w:t>
      </w:r>
      <w:proofErr w:type="spellEnd"/>
      <w:r w:rsidRPr="008B2EE6">
        <w:rPr>
          <w:rFonts w:ascii="Verdana" w:hAnsi="Verdana" w:cs="Arial"/>
          <w:sz w:val="24"/>
          <w:szCs w:val="24"/>
          <w:lang w:val="es-ES"/>
        </w:rPr>
        <w:t xml:space="preserve">) complementar la supervisión basada en riesgos. </w:t>
      </w:r>
    </w:p>
    <w:p w14:paraId="01049D37" w14:textId="77777777" w:rsidR="000433B4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</w:p>
    <w:p w14:paraId="290FE567" w14:textId="77777777" w:rsidR="000433B4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8B2EE6">
        <w:rPr>
          <w:rFonts w:ascii="Verdana" w:hAnsi="Verdana" w:cs="Arial"/>
          <w:sz w:val="24"/>
          <w:szCs w:val="24"/>
          <w:lang w:val="es-ES"/>
        </w:rPr>
        <w:t xml:space="preserve">En línea con la estrategia </w:t>
      </w:r>
      <w:r>
        <w:rPr>
          <w:rFonts w:ascii="Verdana" w:hAnsi="Verdana" w:cs="Arial"/>
          <w:sz w:val="24"/>
          <w:szCs w:val="24"/>
          <w:lang w:val="es-ES"/>
        </w:rPr>
        <w:t>mencionada</w:t>
      </w:r>
      <w:r w:rsidRPr="008B2EE6">
        <w:rPr>
          <w:rFonts w:ascii="Verdana" w:hAnsi="Verdana" w:cs="Arial"/>
          <w:sz w:val="24"/>
          <w:szCs w:val="24"/>
          <w:lang w:val="es-ES"/>
        </w:rPr>
        <w:t>, en</w:t>
      </w:r>
      <w:r>
        <w:rPr>
          <w:rFonts w:ascii="Verdana" w:hAnsi="Verdana" w:cs="Arial"/>
          <w:sz w:val="24"/>
          <w:szCs w:val="24"/>
          <w:lang w:val="es-ES"/>
        </w:rPr>
        <w:t>tre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el 2020-2021 la Superintendencia Financiera</w:t>
      </w:r>
      <w:r>
        <w:rPr>
          <w:rFonts w:ascii="Verdana" w:hAnsi="Verdana" w:cs="Arial"/>
          <w:sz w:val="24"/>
          <w:szCs w:val="24"/>
          <w:lang w:val="es-ES"/>
        </w:rPr>
        <w:t>,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con asistencia técnica del Banco Mundial,</w:t>
      </w:r>
      <w:r>
        <w:rPr>
          <w:rFonts w:ascii="Verdana" w:hAnsi="Verdana" w:cs="Arial"/>
          <w:sz w:val="24"/>
          <w:szCs w:val="24"/>
          <w:lang w:val="es-ES"/>
        </w:rPr>
        <w:t xml:space="preserve"> realizó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el primer análisis de vulnerabilidad frente a riesgos financieros relacionados con el cambio climático para los establecimientos bancarios en Colombia. </w:t>
      </w:r>
      <w:r>
        <w:rPr>
          <w:rFonts w:ascii="Verdana" w:hAnsi="Verdana" w:cs="Arial"/>
          <w:sz w:val="24"/>
          <w:szCs w:val="24"/>
          <w:lang w:val="es-ES"/>
        </w:rPr>
        <w:t>Este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ejercicio </w:t>
      </w:r>
      <w:r>
        <w:rPr>
          <w:rFonts w:ascii="Verdana" w:hAnsi="Verdana" w:cs="Arial"/>
          <w:sz w:val="24"/>
          <w:szCs w:val="24"/>
          <w:lang w:val="es-ES"/>
        </w:rPr>
        <w:t xml:space="preserve">evidenció 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que el sector </w:t>
      </w:r>
      <w:r>
        <w:rPr>
          <w:rFonts w:ascii="Verdana" w:hAnsi="Verdana" w:cs="Arial"/>
          <w:sz w:val="24"/>
          <w:szCs w:val="24"/>
          <w:lang w:val="es-ES"/>
        </w:rPr>
        <w:t xml:space="preserve">presenta </w:t>
      </w:r>
      <w:r w:rsidRPr="008B2EE6">
        <w:rPr>
          <w:rFonts w:ascii="Verdana" w:hAnsi="Verdana" w:cs="Arial"/>
          <w:sz w:val="24"/>
          <w:szCs w:val="24"/>
          <w:lang w:val="es-ES"/>
        </w:rPr>
        <w:t>vulnerab</w:t>
      </w:r>
      <w:r>
        <w:rPr>
          <w:rFonts w:ascii="Verdana" w:hAnsi="Verdana" w:cs="Arial"/>
          <w:sz w:val="24"/>
          <w:szCs w:val="24"/>
          <w:lang w:val="es-ES"/>
        </w:rPr>
        <w:t>ilidades frente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a los impactos</w:t>
      </w:r>
      <w:r>
        <w:rPr>
          <w:rFonts w:ascii="Verdana" w:hAnsi="Verdana" w:cs="Arial"/>
          <w:sz w:val="24"/>
          <w:szCs w:val="24"/>
          <w:lang w:val="es-ES"/>
        </w:rPr>
        <w:t xml:space="preserve"> derivados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de la materialización de los riesgos físicos y de transición</w:t>
      </w:r>
      <w:r>
        <w:rPr>
          <w:rFonts w:ascii="Verdana" w:hAnsi="Verdana" w:cs="Arial"/>
          <w:sz w:val="24"/>
          <w:szCs w:val="24"/>
          <w:lang w:val="es-ES"/>
        </w:rPr>
        <w:t xml:space="preserve"> asociados al cambio climático</w:t>
      </w:r>
      <w:r w:rsidRPr="008B2EE6">
        <w:rPr>
          <w:rFonts w:ascii="Verdana" w:hAnsi="Verdana" w:cs="Arial"/>
          <w:sz w:val="24"/>
          <w:szCs w:val="24"/>
          <w:lang w:val="es-ES"/>
        </w:rPr>
        <w:t>.</w:t>
      </w:r>
    </w:p>
    <w:p w14:paraId="61E07084" w14:textId="77777777" w:rsidR="000433B4" w:rsidRPr="008B2EE6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</w:p>
    <w:p w14:paraId="7A4963F6" w14:textId="77777777" w:rsidR="000433B4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En virtud de lo anterior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, en </w:t>
      </w:r>
      <w:r>
        <w:rPr>
          <w:rFonts w:ascii="Verdana" w:hAnsi="Verdana" w:cs="Arial"/>
          <w:sz w:val="24"/>
          <w:szCs w:val="24"/>
          <w:lang w:val="es-ES"/>
        </w:rPr>
        <w:t xml:space="preserve">el año </w:t>
      </w:r>
      <w:r w:rsidRPr="008B2EE6">
        <w:rPr>
          <w:rFonts w:ascii="Verdana" w:hAnsi="Verdana" w:cs="Arial"/>
          <w:sz w:val="24"/>
          <w:szCs w:val="24"/>
          <w:lang w:val="es-ES"/>
        </w:rPr>
        <w:t>2022 la Superintendencia Financiera publicó el Documento Técnico «</w:t>
      </w:r>
      <w:r w:rsidRPr="00E068FC">
        <w:rPr>
          <w:rFonts w:ascii="Verdana" w:hAnsi="Verdana" w:cs="Arial"/>
          <w:i/>
          <w:iCs/>
          <w:sz w:val="24"/>
          <w:szCs w:val="24"/>
          <w:lang w:val="es-ES"/>
        </w:rPr>
        <w:t>Administración de Riesgos y Oportunidades Climáticas para los Establecimientos de Crédito</w:t>
      </w:r>
      <w:r w:rsidRPr="008B2EE6">
        <w:rPr>
          <w:rFonts w:ascii="Verdana" w:hAnsi="Verdana" w:cs="Arial"/>
          <w:sz w:val="24"/>
          <w:szCs w:val="24"/>
          <w:lang w:val="es-ES"/>
        </w:rPr>
        <w:t>». Posteriormente, en 2023 se expidió el Documento Técnico «</w:t>
      </w:r>
      <w:r w:rsidRPr="00E068FC">
        <w:rPr>
          <w:rFonts w:ascii="Verdana" w:hAnsi="Verdana" w:cs="Arial"/>
          <w:i/>
          <w:iCs/>
          <w:sz w:val="24"/>
          <w:szCs w:val="24"/>
          <w:lang w:val="es-ES"/>
        </w:rPr>
        <w:t>Administración de Riesgos y Oportunidades Climáticas para el Sector Asegurador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». </w:t>
      </w:r>
    </w:p>
    <w:p w14:paraId="6C8CBB04" w14:textId="77777777" w:rsidR="000433B4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</w:p>
    <w:p w14:paraId="6DEF82F5" w14:textId="77777777" w:rsidR="000433B4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 xml:space="preserve">Ambos documentos tuvieron como propósito establecer buenas prácticas para 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la </w:t>
      </w:r>
      <w:r>
        <w:rPr>
          <w:rFonts w:ascii="Verdana" w:hAnsi="Verdana" w:cs="Arial"/>
          <w:sz w:val="24"/>
          <w:szCs w:val="24"/>
          <w:lang w:val="es-ES"/>
        </w:rPr>
        <w:t>gestión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de los riesgos financieros relacionados con el cambio climático por parte de los establecimientos de crédito, los bancos de desarrollo supervisados y las entidades aseguradoras. </w:t>
      </w:r>
      <w:r>
        <w:rPr>
          <w:rFonts w:ascii="Verdana" w:hAnsi="Verdana" w:cs="Arial"/>
          <w:sz w:val="24"/>
          <w:szCs w:val="24"/>
          <w:lang w:val="es-ES"/>
        </w:rPr>
        <w:t xml:space="preserve">Si bien </w:t>
      </w:r>
      <w:r w:rsidRPr="008B2EE6">
        <w:rPr>
          <w:rFonts w:ascii="Verdana" w:hAnsi="Verdana" w:cs="Arial"/>
          <w:sz w:val="24"/>
          <w:szCs w:val="24"/>
          <w:lang w:val="es-ES"/>
        </w:rPr>
        <w:t>el alcance de</w:t>
      </w:r>
      <w:r>
        <w:rPr>
          <w:rFonts w:ascii="Verdana" w:hAnsi="Verdana" w:cs="Arial"/>
          <w:sz w:val="24"/>
          <w:szCs w:val="24"/>
          <w:lang w:val="es-ES"/>
        </w:rPr>
        <w:t xml:space="preserve"> dichos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documentos se circunscribe a la gestión de riesgos climáticos, </w:t>
      </w:r>
      <w:r>
        <w:rPr>
          <w:rFonts w:ascii="Verdana" w:hAnsi="Verdana" w:cs="Arial"/>
          <w:sz w:val="24"/>
          <w:szCs w:val="24"/>
          <w:lang w:val="es-ES"/>
        </w:rPr>
        <w:t xml:space="preserve">en ellos se indica que 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nada obsta para que </w:t>
      </w:r>
      <w:r>
        <w:rPr>
          <w:rFonts w:ascii="Verdana" w:hAnsi="Verdana" w:cs="Arial"/>
          <w:sz w:val="24"/>
          <w:szCs w:val="24"/>
          <w:lang w:val="es-ES"/>
        </w:rPr>
        <w:t xml:space="preserve">los 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principios allí </w:t>
      </w:r>
      <w:r>
        <w:rPr>
          <w:rFonts w:ascii="Verdana" w:hAnsi="Verdana" w:cs="Arial"/>
          <w:sz w:val="24"/>
          <w:szCs w:val="24"/>
          <w:lang w:val="es-ES"/>
        </w:rPr>
        <w:t>contenidos puedan ser aplicados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</w:t>
      </w:r>
      <w:r>
        <w:rPr>
          <w:rFonts w:ascii="Verdana" w:hAnsi="Verdana" w:cs="Arial"/>
          <w:sz w:val="24"/>
          <w:szCs w:val="24"/>
          <w:lang w:val="es-ES"/>
        </w:rPr>
        <w:t xml:space="preserve">también a la gestión de otros 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riesgos ambientales, así como </w:t>
      </w:r>
      <w:r>
        <w:rPr>
          <w:rFonts w:ascii="Verdana" w:hAnsi="Verdana" w:cs="Arial"/>
          <w:sz w:val="24"/>
          <w:szCs w:val="24"/>
          <w:lang w:val="es-ES"/>
        </w:rPr>
        <w:t>a</w:t>
      </w:r>
      <w:r w:rsidRPr="008B2EE6">
        <w:rPr>
          <w:rFonts w:ascii="Verdana" w:hAnsi="Verdana" w:cs="Arial"/>
          <w:sz w:val="24"/>
          <w:szCs w:val="24"/>
          <w:lang w:val="es-ES"/>
        </w:rPr>
        <w:t xml:space="preserve"> los riesgos sociales.</w:t>
      </w:r>
    </w:p>
    <w:p w14:paraId="187FF09C" w14:textId="77777777" w:rsidR="000433B4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</w:p>
    <w:p w14:paraId="7F3E5108" w14:textId="341415B1" w:rsidR="000433B4" w:rsidRPr="008B2EE6" w:rsidRDefault="000433B4" w:rsidP="000433B4">
      <w:pPr>
        <w:jc w:val="both"/>
        <w:rPr>
          <w:rFonts w:ascii="Verdana" w:eastAsia="Aptos" w:hAnsi="Verdana" w:cs="Arial"/>
          <w:kern w:val="2"/>
          <w:sz w:val="24"/>
          <w:szCs w:val="24"/>
          <w:lang w:val="es-ES" w:eastAsia="en-US"/>
        </w:rPr>
      </w:pPr>
      <w:r w:rsidRPr="27A11ED1">
        <w:rPr>
          <w:rFonts w:ascii="Verdana" w:hAnsi="Verdana" w:cs="Arial"/>
          <w:sz w:val="24"/>
          <w:szCs w:val="24"/>
          <w:lang w:val="es-ES"/>
        </w:rPr>
        <w:t>En desarrollo de lo anterior,</w:t>
      </w:r>
      <w:r>
        <w:rPr>
          <w:rFonts w:ascii="Verdana" w:hAnsi="Verdana" w:cs="Arial"/>
          <w:sz w:val="24"/>
          <w:szCs w:val="24"/>
          <w:lang w:val="es-ES"/>
        </w:rPr>
        <w:t xml:space="preserve"> con los objetivos de promover una adecuada gestión de </w:t>
      </w:r>
      <w:r w:rsidRPr="27A11ED1">
        <w:rPr>
          <w:rFonts w:ascii="Verdana" w:hAnsi="Verdana" w:cs="Arial"/>
          <w:sz w:val="24"/>
          <w:szCs w:val="24"/>
          <w:lang w:val="es-ES"/>
        </w:rPr>
        <w:t>los riesgos ambientales y sociales, incluidos los climáticos</w:t>
      </w:r>
      <w:r>
        <w:rPr>
          <w:rFonts w:ascii="Verdana" w:hAnsi="Verdana" w:cs="Arial"/>
          <w:sz w:val="24"/>
          <w:szCs w:val="24"/>
          <w:lang w:val="es-ES"/>
        </w:rPr>
        <w:t xml:space="preserve">; y avanzar de forma progresiva hacia la consolidación de una banca responsable, </w:t>
      </w:r>
      <w:r w:rsidRPr="27A11ED1">
        <w:rPr>
          <w:rFonts w:ascii="Verdana" w:hAnsi="Verdana" w:cs="Arial"/>
          <w:sz w:val="24"/>
          <w:szCs w:val="24"/>
          <w:lang w:val="es-ES"/>
        </w:rPr>
        <w:t>la Superintendencia Financiera de Colombia considera necesario impartir instrucciones para: (i) definir los mecanismos, herramientas y procedimientos para identificar, medir, controlar y monitorear los riesgos ambientales y sociales, incluidos los climáticos, y (</w:t>
      </w:r>
      <w:proofErr w:type="spellStart"/>
      <w:r w:rsidRPr="27A11ED1">
        <w:rPr>
          <w:rFonts w:ascii="Verdana" w:hAnsi="Verdana" w:cs="Arial"/>
          <w:sz w:val="24"/>
          <w:szCs w:val="24"/>
          <w:lang w:val="es-ES"/>
        </w:rPr>
        <w:t>ii</w:t>
      </w:r>
      <w:proofErr w:type="spellEnd"/>
      <w:r w:rsidRPr="27A11ED1">
        <w:rPr>
          <w:rFonts w:ascii="Verdana" w:hAnsi="Verdana" w:cs="Arial"/>
          <w:sz w:val="24"/>
          <w:szCs w:val="24"/>
          <w:lang w:val="es-ES"/>
        </w:rPr>
        <w:t xml:space="preserve">) </w:t>
      </w:r>
      <w:r w:rsidRPr="27A11ED1">
        <w:rPr>
          <w:rFonts w:ascii="Verdana" w:eastAsia="Aptos" w:hAnsi="Verdana" w:cs="Arial"/>
          <w:kern w:val="2"/>
          <w:sz w:val="24"/>
          <w:szCs w:val="24"/>
          <w:lang w:val="es-ES" w:eastAsia="en-US"/>
        </w:rPr>
        <w:t>determinar las reglas particulares para la gestión del riesgo ambiental y social</w:t>
      </w:r>
      <w:r>
        <w:rPr>
          <w:rFonts w:ascii="Verdana" w:eastAsia="Aptos" w:hAnsi="Verdana" w:cs="Arial"/>
          <w:kern w:val="2"/>
          <w:sz w:val="24"/>
          <w:szCs w:val="24"/>
          <w:lang w:val="es-ES" w:eastAsia="en-US"/>
        </w:rPr>
        <w:t>, incluido el climático,</w:t>
      </w:r>
      <w:r w:rsidRPr="27A11ED1">
        <w:rPr>
          <w:rFonts w:ascii="Verdana" w:eastAsia="Aptos" w:hAnsi="Verdana" w:cs="Arial"/>
          <w:kern w:val="2"/>
          <w:sz w:val="24"/>
          <w:szCs w:val="24"/>
          <w:lang w:val="es-ES" w:eastAsia="en-US"/>
        </w:rPr>
        <w:t xml:space="preserve"> en las operaciones</w:t>
      </w:r>
      <w:r>
        <w:rPr>
          <w:rFonts w:ascii="Verdana" w:eastAsia="Aptos" w:hAnsi="Verdana" w:cs="Arial"/>
          <w:kern w:val="2"/>
          <w:sz w:val="24"/>
          <w:szCs w:val="24"/>
          <w:lang w:val="es-ES" w:eastAsia="en-US"/>
        </w:rPr>
        <w:t xml:space="preserve"> de crédito</w:t>
      </w:r>
      <w:r w:rsidR="000E75D2">
        <w:rPr>
          <w:rFonts w:ascii="Verdana" w:eastAsia="Aptos" w:hAnsi="Verdana" w:cs="Arial"/>
          <w:kern w:val="2"/>
          <w:sz w:val="24"/>
          <w:szCs w:val="24"/>
          <w:lang w:val="es-ES" w:eastAsia="en-US"/>
        </w:rPr>
        <w:t xml:space="preserve"> teniendo en cuenta los principios de proporcionalidad y relevancia</w:t>
      </w:r>
      <w:r w:rsidRPr="27A11ED1">
        <w:rPr>
          <w:rFonts w:ascii="Verdana" w:eastAsia="Aptos" w:hAnsi="Verdana" w:cs="Arial"/>
          <w:kern w:val="2"/>
          <w:sz w:val="24"/>
          <w:szCs w:val="24"/>
          <w:lang w:val="es-ES" w:eastAsia="en-US"/>
        </w:rPr>
        <w:t>.</w:t>
      </w:r>
    </w:p>
    <w:p w14:paraId="14B7A13C" w14:textId="77777777" w:rsidR="000433B4" w:rsidRPr="008B2EE6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b/>
          <w:bCs/>
          <w:sz w:val="24"/>
          <w:szCs w:val="24"/>
          <w:lang w:val="es-ES"/>
        </w:rPr>
      </w:pPr>
    </w:p>
    <w:p w14:paraId="63B1420D" w14:textId="77777777" w:rsidR="000433B4" w:rsidRPr="008B2EE6" w:rsidRDefault="000433B4" w:rsidP="000433B4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8B2EE6">
        <w:rPr>
          <w:rFonts w:ascii="Verdana" w:hAnsi="Verdana" w:cs="Arial"/>
          <w:sz w:val="24"/>
          <w:szCs w:val="24"/>
          <w:lang w:val="es-ES"/>
        </w:rPr>
        <w:t xml:space="preserve">En virtud de lo expuesto, esta Superintendencia </w:t>
      </w:r>
      <w:r>
        <w:rPr>
          <w:rFonts w:ascii="Verdana" w:hAnsi="Verdana" w:cs="Arial"/>
          <w:sz w:val="24"/>
          <w:szCs w:val="24"/>
        </w:rPr>
        <w:t xml:space="preserve">en </w:t>
      </w:r>
      <w:r w:rsidRPr="008B2EE6">
        <w:rPr>
          <w:rFonts w:ascii="Verdana" w:hAnsi="Verdana" w:cs="Arial"/>
          <w:sz w:val="24"/>
          <w:szCs w:val="24"/>
          <w:lang w:val="es-ES"/>
        </w:rPr>
        <w:t>ejercicio de las facultades previstas en el numeral 3 del artículo 326 del Estatuto Orgánico del Sistema Financiero, así como en el numeral 5 del artículo 11.2.1.4.2. del Decreto 2555 de 2010, imparte las siguientes instrucciones:</w:t>
      </w:r>
    </w:p>
    <w:p w14:paraId="223FE2F6" w14:textId="77777777" w:rsidR="000433B4" w:rsidRPr="008B2EE6" w:rsidRDefault="000433B4" w:rsidP="000433B4">
      <w:pPr>
        <w:jc w:val="both"/>
        <w:rPr>
          <w:rFonts w:ascii="Verdana" w:hAnsi="Verdana" w:cs="Arial"/>
          <w:sz w:val="24"/>
          <w:szCs w:val="24"/>
          <w:lang w:val="es-CO"/>
        </w:rPr>
      </w:pPr>
    </w:p>
    <w:p w14:paraId="07F2C2F9" w14:textId="77777777" w:rsidR="000433B4" w:rsidRPr="008B2EE6" w:rsidRDefault="000433B4" w:rsidP="000433B4">
      <w:pPr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  <w:lang w:val="es-ES"/>
        </w:rPr>
      </w:pPr>
      <w:r w:rsidRPr="27A11ED1">
        <w:rPr>
          <w:rFonts w:ascii="Verdana" w:hAnsi="Verdana" w:cs="Arial"/>
          <w:b/>
          <w:sz w:val="24"/>
          <w:szCs w:val="24"/>
          <w:lang w:val="es-ES"/>
        </w:rPr>
        <w:t xml:space="preserve">PRIMERA: </w:t>
      </w:r>
      <w:r w:rsidRPr="27A11ED1">
        <w:rPr>
          <w:rFonts w:ascii="Verdana" w:hAnsi="Verdana" w:cs="Arial"/>
          <w:sz w:val="24"/>
          <w:szCs w:val="24"/>
          <w:lang w:val="es-ES"/>
        </w:rPr>
        <w:t>Adicionar el Capítulo XXXIII «</w:t>
      </w:r>
      <w:r>
        <w:rPr>
          <w:rFonts w:ascii="Verdana" w:hAnsi="Verdana" w:cs="Arial"/>
          <w:i/>
          <w:sz w:val="24"/>
          <w:szCs w:val="24"/>
          <w:lang w:val="es-ES"/>
        </w:rPr>
        <w:t>Gestión de riesgos ambientales y sociales, incluidos los climáticos</w:t>
      </w:r>
      <w:r w:rsidRPr="27A11ED1">
        <w:rPr>
          <w:rFonts w:ascii="Verdana" w:hAnsi="Verdana" w:cs="Arial"/>
          <w:sz w:val="24"/>
          <w:szCs w:val="24"/>
          <w:lang w:val="es-ES"/>
        </w:rPr>
        <w:t>» a la Circular Básica Contable y Financiera (CBCF) para incluir: (i) las instrucciones sobre administración de riesgos ambientales y sociales, incluidos los climáticos y (</w:t>
      </w:r>
      <w:proofErr w:type="spellStart"/>
      <w:r w:rsidRPr="27A11ED1">
        <w:rPr>
          <w:rFonts w:ascii="Verdana" w:hAnsi="Verdana" w:cs="Arial"/>
          <w:sz w:val="24"/>
          <w:szCs w:val="24"/>
          <w:lang w:val="es-ES"/>
        </w:rPr>
        <w:t>ii</w:t>
      </w:r>
      <w:proofErr w:type="spellEnd"/>
      <w:r w:rsidRPr="27A11ED1">
        <w:rPr>
          <w:rFonts w:ascii="Verdana" w:hAnsi="Verdana" w:cs="Arial"/>
          <w:sz w:val="24"/>
          <w:szCs w:val="24"/>
          <w:lang w:val="es-ES"/>
        </w:rPr>
        <w:t>) las reglas particulares para la gestión del riesgo ambiental y social, incluido el climático, en las operaciones crediticias.</w:t>
      </w:r>
    </w:p>
    <w:p w14:paraId="072E8880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1F375943" w14:textId="672D37BF" w:rsidR="000433B4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b/>
          <w:bCs/>
          <w:sz w:val="24"/>
          <w:szCs w:val="24"/>
        </w:rPr>
        <w:t>SEGUNDA</w:t>
      </w:r>
      <w:r w:rsidRPr="008B2EE6">
        <w:rPr>
          <w:rFonts w:ascii="Verdana" w:hAnsi="Verdana" w:cs="Arial"/>
          <w:b/>
          <w:bCs/>
          <w:sz w:val="24"/>
          <w:szCs w:val="24"/>
        </w:rPr>
        <w:t xml:space="preserve">: RÉGIMEN DE TRANSICIÓN. </w:t>
      </w:r>
      <w:r w:rsidRPr="27A11ED1">
        <w:rPr>
          <w:rFonts w:ascii="Verdana" w:hAnsi="Verdana" w:cs="Arial"/>
          <w:sz w:val="24"/>
          <w:szCs w:val="24"/>
          <w:lang w:val="es-ES"/>
        </w:rPr>
        <w:t xml:space="preserve">Las disposiciones </w:t>
      </w:r>
      <w:r>
        <w:rPr>
          <w:rFonts w:ascii="Verdana" w:hAnsi="Verdana" w:cs="Arial"/>
          <w:sz w:val="24"/>
          <w:szCs w:val="24"/>
          <w:lang w:val="es-ES"/>
        </w:rPr>
        <w:t>previstas en la presente Circular</w:t>
      </w:r>
      <w:r w:rsidRPr="27A11ED1">
        <w:rPr>
          <w:rFonts w:ascii="Verdana" w:hAnsi="Verdana" w:cs="Arial"/>
          <w:sz w:val="24"/>
          <w:szCs w:val="24"/>
          <w:lang w:val="es-ES"/>
        </w:rPr>
        <w:t xml:space="preserve"> deberán implementarse en un plazo no mayor a 18 meses contados a partir de la fecha de publicación de la presente Circular.</w:t>
      </w:r>
    </w:p>
    <w:p w14:paraId="2968331D" w14:textId="77777777" w:rsidR="000433B4" w:rsidRPr="00BD2212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4"/>
          <w:szCs w:val="24"/>
        </w:rPr>
      </w:pPr>
    </w:p>
    <w:p w14:paraId="1D7D95DC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4"/>
          <w:szCs w:val="24"/>
        </w:rPr>
      </w:pPr>
      <w:r w:rsidRPr="00BD2212">
        <w:rPr>
          <w:rFonts w:ascii="Verdana" w:hAnsi="Verdana" w:cs="Arial"/>
          <w:b/>
          <w:sz w:val="24"/>
          <w:szCs w:val="24"/>
        </w:rPr>
        <w:t>TERCERA:</w:t>
      </w:r>
      <w:r>
        <w:rPr>
          <w:rFonts w:ascii="Verdana" w:hAnsi="Verdana" w:cs="Arial"/>
          <w:b/>
          <w:sz w:val="24"/>
          <w:szCs w:val="24"/>
        </w:rPr>
        <w:t xml:space="preserve"> PLAN DE IMPLEMENTACIÓN.</w:t>
      </w:r>
      <w:r w:rsidRPr="00BD2212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Cs/>
          <w:sz w:val="24"/>
          <w:szCs w:val="24"/>
        </w:rPr>
        <w:t xml:space="preserve">Las </w:t>
      </w:r>
      <w:r w:rsidRPr="002758C1">
        <w:rPr>
          <w:rFonts w:ascii="Verdana" w:hAnsi="Verdana" w:cs="Arial"/>
          <w:bCs/>
          <w:sz w:val="24"/>
          <w:szCs w:val="24"/>
        </w:rPr>
        <w:t xml:space="preserve">entidades vigiladas deberán remitir a la Superintendencia Financiera de Colombia un plan de </w:t>
      </w:r>
      <w:r>
        <w:rPr>
          <w:rFonts w:ascii="Verdana" w:hAnsi="Verdana" w:cs="Arial"/>
          <w:bCs/>
          <w:sz w:val="24"/>
          <w:szCs w:val="24"/>
        </w:rPr>
        <w:t>implementación</w:t>
      </w:r>
      <w:r w:rsidRPr="002758C1">
        <w:rPr>
          <w:rFonts w:ascii="Verdana" w:hAnsi="Verdana" w:cs="Arial"/>
          <w:bCs/>
          <w:sz w:val="24"/>
          <w:szCs w:val="24"/>
        </w:rPr>
        <w:t xml:space="preserve"> </w:t>
      </w:r>
      <w:r>
        <w:rPr>
          <w:rFonts w:ascii="Verdana" w:hAnsi="Verdana" w:cs="Arial"/>
          <w:bCs/>
          <w:sz w:val="24"/>
          <w:szCs w:val="24"/>
        </w:rPr>
        <w:t xml:space="preserve">de las instrucciones de la presente circular </w:t>
      </w:r>
      <w:r w:rsidRPr="002758C1">
        <w:rPr>
          <w:rFonts w:ascii="Verdana" w:hAnsi="Verdana" w:cs="Arial"/>
          <w:bCs/>
          <w:sz w:val="24"/>
          <w:szCs w:val="24"/>
        </w:rPr>
        <w:t xml:space="preserve">a más tardar el </w:t>
      </w:r>
      <w:r>
        <w:rPr>
          <w:rFonts w:ascii="Verdana" w:hAnsi="Verdana" w:cs="Arial"/>
          <w:bCs/>
          <w:sz w:val="24"/>
          <w:szCs w:val="24"/>
        </w:rPr>
        <w:t>30</w:t>
      </w:r>
      <w:r w:rsidRPr="002758C1">
        <w:rPr>
          <w:rFonts w:ascii="Verdana" w:hAnsi="Verdana" w:cs="Arial"/>
          <w:bCs/>
          <w:sz w:val="24"/>
          <w:szCs w:val="24"/>
        </w:rPr>
        <w:t xml:space="preserve"> de </w:t>
      </w:r>
      <w:r>
        <w:rPr>
          <w:rFonts w:ascii="Verdana" w:hAnsi="Verdana" w:cs="Arial"/>
          <w:bCs/>
          <w:sz w:val="24"/>
          <w:szCs w:val="24"/>
        </w:rPr>
        <w:t xml:space="preserve">enero de </w:t>
      </w:r>
      <w:r w:rsidRPr="002758C1">
        <w:rPr>
          <w:rFonts w:ascii="Verdana" w:hAnsi="Verdana" w:cs="Arial"/>
          <w:bCs/>
          <w:sz w:val="24"/>
          <w:szCs w:val="24"/>
        </w:rPr>
        <w:t>202</w:t>
      </w:r>
      <w:r>
        <w:rPr>
          <w:rFonts w:ascii="Verdana" w:hAnsi="Verdana" w:cs="Arial"/>
          <w:bCs/>
          <w:sz w:val="24"/>
          <w:szCs w:val="24"/>
        </w:rPr>
        <w:t>6</w:t>
      </w:r>
      <w:r w:rsidRPr="002758C1">
        <w:rPr>
          <w:rFonts w:ascii="Verdana" w:hAnsi="Verdana" w:cs="Arial"/>
          <w:bCs/>
          <w:sz w:val="24"/>
          <w:szCs w:val="24"/>
        </w:rPr>
        <w:t>.</w:t>
      </w:r>
    </w:p>
    <w:p w14:paraId="75EAE6D8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4"/>
          <w:szCs w:val="24"/>
        </w:rPr>
      </w:pPr>
    </w:p>
    <w:p w14:paraId="4FA6E913" w14:textId="77777777" w:rsidR="000433B4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4"/>
          <w:szCs w:val="24"/>
          <w:lang w:val="es-ES"/>
        </w:rPr>
      </w:pPr>
      <w:r w:rsidRPr="27A11ED1">
        <w:rPr>
          <w:rFonts w:ascii="Verdana" w:hAnsi="Verdana" w:cs="Arial"/>
          <w:b/>
          <w:sz w:val="24"/>
          <w:szCs w:val="24"/>
          <w:lang w:val="es-ES"/>
        </w:rPr>
        <w:t xml:space="preserve">CUARTA: APLICACIÓN ANTICIPADA. </w:t>
      </w:r>
      <w:r w:rsidRPr="27A11ED1">
        <w:rPr>
          <w:rFonts w:ascii="Verdana" w:hAnsi="Verdana" w:cs="Arial"/>
          <w:sz w:val="24"/>
          <w:szCs w:val="24"/>
          <w:lang w:val="es-ES"/>
        </w:rPr>
        <w:t xml:space="preserve">Las entidades vigiladas podrán </w:t>
      </w:r>
      <w:r w:rsidRPr="27A11ED1">
        <w:rPr>
          <w:rFonts w:ascii="Verdana" w:hAnsi="Verdana" w:cs="Arial"/>
          <w:sz w:val="24"/>
          <w:szCs w:val="24"/>
          <w:lang w:val="es-ES"/>
        </w:rPr>
        <w:lastRenderedPageBreak/>
        <w:t xml:space="preserve">implementar de manera anticipada las instrucciones contenidas en </w:t>
      </w:r>
      <w:r>
        <w:rPr>
          <w:rFonts w:ascii="Verdana" w:hAnsi="Verdana" w:cs="Arial"/>
          <w:sz w:val="24"/>
          <w:szCs w:val="24"/>
          <w:lang w:val="es-ES"/>
        </w:rPr>
        <w:t>la presente circular</w:t>
      </w:r>
      <w:r w:rsidRPr="27A11ED1">
        <w:rPr>
          <w:rFonts w:ascii="Verdana" w:hAnsi="Verdana" w:cs="Arial"/>
          <w:sz w:val="24"/>
          <w:szCs w:val="24"/>
          <w:lang w:val="es-ES"/>
        </w:rPr>
        <w:t>, antes del vencimiento de los plazos a los que hace referencia el régimen de transición previsto en la instrucción segunda de la presente Circular. En tal caso, la Superintendencia Financiera podrá adoptar medidas para reconocer públicamente y resaltar los esfuerzos realizados por dichas entidades</w:t>
      </w:r>
      <w:r>
        <w:rPr>
          <w:rFonts w:ascii="Verdana" w:hAnsi="Verdana" w:cs="Arial"/>
          <w:sz w:val="24"/>
          <w:szCs w:val="24"/>
          <w:lang w:val="es-ES"/>
        </w:rPr>
        <w:t xml:space="preserve"> hacía la consolidación de una banca responsable en el sistema financiero</w:t>
      </w:r>
      <w:r w:rsidRPr="27A11ED1">
        <w:rPr>
          <w:rFonts w:ascii="Verdana" w:hAnsi="Verdana" w:cs="Arial"/>
          <w:sz w:val="24"/>
          <w:szCs w:val="24"/>
          <w:lang w:val="es-ES"/>
        </w:rPr>
        <w:t>.</w:t>
      </w:r>
    </w:p>
    <w:p w14:paraId="51485A70" w14:textId="77777777" w:rsidR="000433B4" w:rsidRPr="00BD2212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4"/>
          <w:szCs w:val="24"/>
        </w:rPr>
      </w:pPr>
    </w:p>
    <w:p w14:paraId="5FC2610A" w14:textId="77777777" w:rsidR="000433B4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QUINTA</w:t>
      </w:r>
      <w:r w:rsidRPr="008B2EE6">
        <w:rPr>
          <w:rFonts w:ascii="Verdana" w:hAnsi="Verdana" w:cs="Arial"/>
          <w:b/>
          <w:sz w:val="24"/>
          <w:szCs w:val="24"/>
        </w:rPr>
        <w:t xml:space="preserve">: VIGENCIA. </w:t>
      </w:r>
      <w:r w:rsidRPr="008B2EE6">
        <w:rPr>
          <w:rFonts w:ascii="Verdana" w:hAnsi="Verdana" w:cs="Arial"/>
          <w:sz w:val="24"/>
          <w:szCs w:val="24"/>
        </w:rPr>
        <w:t xml:space="preserve">La presente Circular rige a partir de su publicación, </w:t>
      </w:r>
      <w:r>
        <w:rPr>
          <w:rFonts w:ascii="Verdana" w:hAnsi="Verdana" w:cs="Arial"/>
          <w:sz w:val="24"/>
          <w:szCs w:val="24"/>
        </w:rPr>
        <w:t xml:space="preserve">sin perjuicio del régimen de transición </w:t>
      </w:r>
      <w:r w:rsidRPr="008B2EE6">
        <w:rPr>
          <w:rFonts w:ascii="Verdana" w:hAnsi="Verdana" w:cs="Arial"/>
          <w:sz w:val="24"/>
          <w:szCs w:val="24"/>
        </w:rPr>
        <w:t xml:space="preserve">previsto en la instrucción </w:t>
      </w:r>
      <w:r>
        <w:rPr>
          <w:rFonts w:ascii="Verdana" w:hAnsi="Verdana" w:cs="Arial"/>
          <w:sz w:val="24"/>
          <w:szCs w:val="24"/>
        </w:rPr>
        <w:t>segunda.</w:t>
      </w:r>
    </w:p>
    <w:p w14:paraId="3F119B1E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4"/>
          <w:szCs w:val="24"/>
        </w:rPr>
      </w:pPr>
    </w:p>
    <w:p w14:paraId="2178A99D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4"/>
          <w:szCs w:val="24"/>
        </w:rPr>
      </w:pPr>
      <w:r w:rsidRPr="008B2EE6">
        <w:rPr>
          <w:rFonts w:ascii="Verdana" w:hAnsi="Verdana" w:cs="Arial"/>
          <w:bCs/>
          <w:sz w:val="24"/>
          <w:szCs w:val="24"/>
        </w:rPr>
        <w:t xml:space="preserve">Se adjunta los anexos correspondientes. </w:t>
      </w:r>
    </w:p>
    <w:p w14:paraId="2D0FAC1A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4D4A2089" w14:textId="77777777" w:rsidR="000433B4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2FCEFF5D" w14:textId="77777777" w:rsidR="000433B4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33275339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06B093A4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14:paraId="3F1CBD90" w14:textId="77777777" w:rsidR="000433B4" w:rsidRPr="008B2EE6" w:rsidRDefault="000433B4" w:rsidP="000433B4">
      <w:pPr>
        <w:widowControl w:val="0"/>
        <w:adjustRightInd w:val="0"/>
        <w:outlineLvl w:val="0"/>
        <w:rPr>
          <w:rFonts w:ascii="Verdana" w:hAnsi="Verdana" w:cs="Arial"/>
          <w:b/>
          <w:bCs/>
          <w:sz w:val="24"/>
          <w:szCs w:val="24"/>
          <w:lang w:val="pt-BR" w:eastAsia="es-CO"/>
        </w:rPr>
      </w:pPr>
      <w:r w:rsidRPr="008B2EE6">
        <w:rPr>
          <w:rFonts w:ascii="Verdana" w:hAnsi="Verdana" w:cs="Arial"/>
          <w:b/>
          <w:bCs/>
          <w:sz w:val="24"/>
          <w:szCs w:val="24"/>
          <w:lang w:val="pt-BR" w:eastAsia="es-CO"/>
        </w:rPr>
        <w:t>CÉSAR FER</w:t>
      </w:r>
      <w:r>
        <w:rPr>
          <w:rFonts w:ascii="Verdana" w:hAnsi="Verdana" w:cs="Arial"/>
          <w:b/>
          <w:bCs/>
          <w:sz w:val="24"/>
          <w:szCs w:val="24"/>
          <w:lang w:val="pt-BR" w:eastAsia="es-CO"/>
        </w:rPr>
        <w:t>R</w:t>
      </w:r>
      <w:r w:rsidRPr="008B2EE6">
        <w:rPr>
          <w:rFonts w:ascii="Verdana" w:hAnsi="Verdana" w:cs="Arial"/>
          <w:b/>
          <w:bCs/>
          <w:sz w:val="24"/>
          <w:szCs w:val="24"/>
          <w:lang w:val="pt-BR" w:eastAsia="es-CO"/>
        </w:rPr>
        <w:t>ARI Ph.D.</w:t>
      </w:r>
    </w:p>
    <w:p w14:paraId="4CA125FD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 w:rsidRPr="008B2EE6">
        <w:rPr>
          <w:rFonts w:ascii="Verdana" w:hAnsi="Verdana" w:cs="Arial"/>
          <w:sz w:val="24"/>
          <w:szCs w:val="24"/>
        </w:rPr>
        <w:t xml:space="preserve">Superintendente Financiero de Colombia </w:t>
      </w:r>
    </w:p>
    <w:p w14:paraId="5D3B2B3B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4"/>
          <w:szCs w:val="24"/>
        </w:rPr>
      </w:pPr>
      <w:r w:rsidRPr="008B2EE6">
        <w:rPr>
          <w:rFonts w:ascii="Verdana" w:hAnsi="Verdana" w:cs="Arial"/>
          <w:color w:val="808080"/>
          <w:sz w:val="24"/>
          <w:szCs w:val="24"/>
        </w:rPr>
        <w:t>50000</w:t>
      </w:r>
    </w:p>
    <w:p w14:paraId="41F66BD9" w14:textId="77777777" w:rsidR="000433B4" w:rsidRPr="008B2EE6" w:rsidRDefault="000433B4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4"/>
          <w:szCs w:val="24"/>
        </w:rPr>
      </w:pPr>
    </w:p>
    <w:p w14:paraId="4359880B" w14:textId="77777777" w:rsidR="00B51F39" w:rsidRPr="008B2EE6" w:rsidRDefault="00B51F39" w:rsidP="000433B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4"/>
          <w:szCs w:val="24"/>
        </w:rPr>
      </w:pPr>
    </w:p>
    <w:sectPr w:rsidR="00B51F39" w:rsidRPr="008B2EE6" w:rsidSect="008B2EE6">
      <w:headerReference w:type="default" r:id="rId16"/>
      <w:footerReference w:type="default" r:id="rId17"/>
      <w:pgSz w:w="12240" w:h="18720" w:code="14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6D05" w14:textId="77777777" w:rsidR="00795BCA" w:rsidRDefault="00795BCA">
      <w:r>
        <w:separator/>
      </w:r>
    </w:p>
  </w:endnote>
  <w:endnote w:type="continuationSeparator" w:id="0">
    <w:p w14:paraId="4F390138" w14:textId="77777777" w:rsidR="00795BCA" w:rsidRDefault="0079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D83C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2219344A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AD55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0C28538" w14:textId="77777777" w:rsidR="00564B20" w:rsidRDefault="00564B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F4D1" w14:textId="536D9F54" w:rsidR="00BB296E" w:rsidRPr="00160630" w:rsidRDefault="00B862CB">
    <w:pPr>
      <w:pStyle w:val="Piedepgina"/>
      <w:jc w:val="righ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EC0B2C" wp14:editId="4E4BF7C8">
              <wp:simplePos x="0" y="0"/>
              <wp:positionH relativeFrom="margin">
                <wp:posOffset>-95885</wp:posOffset>
              </wp:positionH>
              <wp:positionV relativeFrom="paragraph">
                <wp:posOffset>-245745</wp:posOffset>
              </wp:positionV>
              <wp:extent cx="6019800" cy="1229995"/>
              <wp:effectExtent l="0" t="0" r="0" b="0"/>
              <wp:wrapNone/>
              <wp:docPr id="67868765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7582BC" w14:textId="77777777" w:rsidR="00BB296E" w:rsidRPr="00256928" w:rsidRDefault="00BB296E" w:rsidP="00BB296E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  <w:r>
                            <w:rPr>
                              <w:rFonts w:ascii="Helvetica" w:hAnsi="Helvetica"/>
                            </w:rPr>
                            <w:t>________</w:t>
                          </w:r>
                        </w:p>
                        <w:p w14:paraId="2425386C" w14:textId="77777777" w:rsidR="00BB296E" w:rsidRPr="00160630" w:rsidRDefault="00BB296E" w:rsidP="00BB296E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4"/>
                              <w:szCs w:val="4"/>
                            </w:rPr>
                          </w:pPr>
                        </w:p>
                        <w:p w14:paraId="42F23DB5" w14:textId="77777777" w:rsidR="00BB296E" w:rsidRPr="00284759" w:rsidRDefault="00BB296E" w:rsidP="00BB296E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 w:rsidRPr="00AA1AA8">
                            <w:rPr>
                              <w:rFonts w:ascii="Verdana" w:hAnsi="Verdana" w:cs="Arial"/>
                              <w:bCs/>
                              <w:lang w:val="es-MX"/>
                            </w:rPr>
                            <w:t xml:space="preserve">Calle 7 No. 4 - 49 </w:t>
                          </w:r>
                          <w:r w:rsidRPr="00284759">
                            <w:rPr>
                              <w:rFonts w:ascii="Verdana" w:hAnsi="Verdana"/>
                            </w:rPr>
                            <w:t>Bogotá D.C., Colombia</w:t>
                          </w:r>
                        </w:p>
                        <w:p w14:paraId="6236249D" w14:textId="77777777" w:rsidR="00BB296E" w:rsidRPr="00284759" w:rsidRDefault="00BB296E" w:rsidP="00BB296E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>Conmutador: (+57) 601 5</w:t>
                          </w:r>
                          <w:r>
                            <w:rPr>
                              <w:rFonts w:ascii="Verdana" w:hAnsi="Verdana"/>
                            </w:rPr>
                            <w:t>94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02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00 - 601 </w:t>
                          </w:r>
                          <w:r>
                            <w:rPr>
                              <w:rFonts w:ascii="Verdana" w:hAnsi="Verdana"/>
                            </w:rPr>
                            <w:t>594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0201</w:t>
                          </w:r>
                        </w:p>
                        <w:p w14:paraId="52278F66" w14:textId="77777777" w:rsidR="00BB296E" w:rsidRPr="00284759" w:rsidRDefault="00BB296E" w:rsidP="00BB296E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F8640E">
                            <w:rPr>
                              <w:rFonts w:ascii="Verdana" w:hAnsi="Verdana"/>
                            </w:rPr>
                            <w:t>www.superfinanciera.gov.co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C0B2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" filled="f" stroked="f" strokeweight=".5pt">
              <v:textbox>
                <w:txbxContent>
                  <w:p w14:paraId="517582BC" w14:textId="77777777" w:rsidR="00BB296E" w:rsidRPr="00256928" w:rsidRDefault="00BB296E" w:rsidP="00BB296E">
                    <w:pPr>
                      <w:spacing w:line="276" w:lineRule="auto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  <w:r>
                      <w:rPr>
                        <w:rFonts w:ascii="Helvetica" w:hAnsi="Helvetica"/>
                      </w:rPr>
                      <w:t>________</w:t>
                    </w:r>
                  </w:p>
                  <w:p w14:paraId="2425386C" w14:textId="77777777" w:rsidR="00BB296E" w:rsidRPr="00160630" w:rsidRDefault="00BB296E" w:rsidP="00BB296E">
                    <w:pPr>
                      <w:spacing w:line="276" w:lineRule="auto"/>
                      <w:jc w:val="both"/>
                      <w:rPr>
                        <w:rFonts w:ascii="Verdana" w:hAnsi="Verdana"/>
                        <w:sz w:val="4"/>
                        <w:szCs w:val="4"/>
                      </w:rPr>
                    </w:pPr>
                  </w:p>
                  <w:p w14:paraId="42F23DB5" w14:textId="77777777" w:rsidR="00BB296E" w:rsidRPr="00284759" w:rsidRDefault="00BB296E" w:rsidP="00BB296E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 w:rsidRPr="00AA1AA8">
                      <w:rPr>
                        <w:rFonts w:ascii="Verdana" w:hAnsi="Verdana" w:cs="Arial"/>
                        <w:bCs/>
                        <w:lang w:val="es-MX"/>
                      </w:rPr>
                      <w:t xml:space="preserve">Calle 7 No. 4 - 49 </w:t>
                    </w:r>
                    <w:r w:rsidRPr="00284759">
                      <w:rPr>
                        <w:rFonts w:ascii="Verdana" w:hAnsi="Verdana"/>
                      </w:rPr>
                      <w:t>Bogotá D.C., Colombia</w:t>
                    </w:r>
                  </w:p>
                  <w:p w14:paraId="6236249D" w14:textId="77777777" w:rsidR="00BB296E" w:rsidRPr="00284759" w:rsidRDefault="00BB296E" w:rsidP="00BB296E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>Conmutador: (+57) 601 5</w:t>
                    </w:r>
                    <w:r>
                      <w:rPr>
                        <w:rFonts w:ascii="Verdana" w:hAnsi="Verdana"/>
                      </w:rPr>
                      <w:t>94</w:t>
                    </w:r>
                    <w:r w:rsidRPr="00284759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02</w:t>
                    </w:r>
                    <w:r w:rsidRPr="00284759">
                      <w:rPr>
                        <w:rFonts w:ascii="Verdana" w:hAnsi="Verdana"/>
                      </w:rPr>
                      <w:t xml:space="preserve">00 - 601 </w:t>
                    </w:r>
                    <w:r>
                      <w:rPr>
                        <w:rFonts w:ascii="Verdana" w:hAnsi="Verdana"/>
                      </w:rPr>
                      <w:t>594</w:t>
                    </w:r>
                    <w:r w:rsidRPr="00284759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0201</w:t>
                    </w:r>
                  </w:p>
                  <w:p w14:paraId="52278F66" w14:textId="77777777" w:rsidR="00BB296E" w:rsidRPr="00284759" w:rsidRDefault="00BB296E" w:rsidP="00BB296E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F8640E">
                      <w:rPr>
                        <w:rFonts w:ascii="Verdana" w:hAnsi="Verdana"/>
                      </w:rPr>
                      <w:t>www.superfinanciera.gov.co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296E" w:rsidRPr="00160630">
      <w:rPr>
        <w:rFonts w:ascii="Verdana" w:hAnsi="Verdana"/>
        <w:lang w:val="es-ES"/>
      </w:rPr>
      <w:t xml:space="preserve">Página | </w:t>
    </w:r>
    <w:r w:rsidR="00BB296E" w:rsidRPr="00160630">
      <w:rPr>
        <w:rFonts w:ascii="Verdana" w:hAnsi="Verdana"/>
      </w:rPr>
      <w:fldChar w:fldCharType="begin"/>
    </w:r>
    <w:r w:rsidR="00BB296E" w:rsidRPr="00160630">
      <w:rPr>
        <w:rFonts w:ascii="Verdana" w:hAnsi="Verdana"/>
      </w:rPr>
      <w:instrText>PAGE   \* MERGEFORMAT</w:instrText>
    </w:r>
    <w:r w:rsidR="00BB296E" w:rsidRPr="00160630">
      <w:rPr>
        <w:rFonts w:ascii="Verdana" w:hAnsi="Verdana"/>
      </w:rPr>
      <w:fldChar w:fldCharType="separate"/>
    </w:r>
    <w:r w:rsidR="00BB296E" w:rsidRPr="00160630">
      <w:rPr>
        <w:rFonts w:ascii="Verdana" w:hAnsi="Verdana"/>
        <w:noProof/>
        <w:lang w:val="es-ES"/>
      </w:rPr>
      <w:t>1</w:t>
    </w:r>
    <w:r w:rsidR="00BB296E" w:rsidRPr="00160630">
      <w:rPr>
        <w:rFonts w:ascii="Verdana" w:hAnsi="Verdana"/>
      </w:rPr>
      <w:fldChar w:fldCharType="end"/>
    </w:r>
    <w:r w:rsidR="00BB296E" w:rsidRPr="00160630">
      <w:rPr>
        <w:rFonts w:ascii="Verdana" w:hAnsi="Verdana"/>
        <w:lang w:val="es-ES"/>
      </w:rPr>
      <w:t xml:space="preserve"> </w:t>
    </w:r>
  </w:p>
  <w:p w14:paraId="5D6CE737" w14:textId="77777777" w:rsidR="00BB296E" w:rsidRPr="00D34D20" w:rsidRDefault="00BB296E" w:rsidP="00BB296E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1DBC" w14:textId="77777777" w:rsidR="00795BCA" w:rsidRDefault="00795BCA">
      <w:r>
        <w:separator/>
      </w:r>
    </w:p>
  </w:footnote>
  <w:footnote w:type="continuationSeparator" w:id="0">
    <w:p w14:paraId="061D393F" w14:textId="77777777" w:rsidR="00795BCA" w:rsidRDefault="0079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AD4B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2EF2EF0A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8C90F7A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46381AE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4872B931" w14:textId="77777777" w:rsidR="00564B20" w:rsidRDefault="00564B20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7437637D" w14:textId="77777777" w:rsidR="00564B20" w:rsidRDefault="00564B20">
    <w:pPr>
      <w:pStyle w:val="Encabezado"/>
      <w:jc w:val="both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7"/>
      <w:gridCol w:w="4399"/>
      <w:gridCol w:w="2052"/>
    </w:tblGrid>
    <w:tr w:rsidR="00564B20" w14:paraId="2CA175BE" w14:textId="77777777" w:rsidTr="0044428D">
      <w:trPr>
        <w:cantSplit/>
        <w:trHeight w:val="699"/>
      </w:trPr>
      <w:tc>
        <w:tcPr>
          <w:tcW w:w="2055" w:type="dxa"/>
          <w:vMerge w:val="restart"/>
          <w:noWrap/>
          <w:vAlign w:val="bottom"/>
        </w:tcPr>
        <w:p w14:paraId="2AB770C4" w14:textId="6918B222" w:rsidR="00564B20" w:rsidRDefault="00B862CB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ascii="Arial" w:hAnsi="Arial" w:cs="Arial"/>
              <w:noProof/>
              <w:color w:val="000000"/>
              <w:lang w:eastAsia="es-419"/>
            </w:rPr>
            <w:drawing>
              <wp:inline distT="0" distB="0" distL="0" distR="0" wp14:anchorId="227879E5" wp14:editId="4E8F4361">
                <wp:extent cx="1585595" cy="554990"/>
                <wp:effectExtent l="0" t="0" r="0" b="0"/>
                <wp:docPr id="1" name="Imagen 190" descr="Interfaz de usuario gráfica,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0" descr="Interfaz de usuario gráfica,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5595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6DC7C6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095D617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F42FE0E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581946C9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</w:tc>
      <w:tc>
        <w:tcPr>
          <w:tcW w:w="4399" w:type="dxa"/>
          <w:shd w:val="clear" w:color="auto" w:fill="FFFFFF"/>
          <w:noWrap/>
          <w:vAlign w:val="center"/>
        </w:tcPr>
        <w:p w14:paraId="5CBD75D8" w14:textId="77777777" w:rsidR="00564B20" w:rsidRDefault="00564B20" w:rsidP="000F6CB5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6B5EBDBA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564B20" w14:paraId="09B342D4" w14:textId="77777777" w:rsidTr="00043B3D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492EC686" w14:textId="77777777" w:rsidR="00564B20" w:rsidRDefault="00564B20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2282EDFB" w14:textId="77777777" w:rsidR="00564B20" w:rsidRDefault="00564B20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</w:t>
          </w:r>
          <w:r w:rsidR="002B6E99">
            <w:rPr>
              <w:rFonts w:cs="Arial"/>
            </w:rPr>
            <w:t xml:space="preserve"> NORMA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13F06DDC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 xml:space="preserve">Versión </w:t>
          </w:r>
          <w:r w:rsidR="001922C8">
            <w:rPr>
              <w:rFonts w:ascii="Arial" w:hAnsi="Arial" w:cs="Arial"/>
              <w:bCs/>
            </w:rPr>
            <w:t>5</w:t>
          </w:r>
        </w:p>
      </w:tc>
    </w:tr>
  </w:tbl>
  <w:p w14:paraId="3D177171" w14:textId="77777777" w:rsidR="00564B20" w:rsidRDefault="00564B20" w:rsidP="00564B2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92C7" w14:textId="0865E656" w:rsidR="00BB296E" w:rsidRDefault="00B862CB" w:rsidP="00BB296E">
    <w:pPr>
      <w:pStyle w:val="Encabezado"/>
      <w:jc w:val="center"/>
    </w:pPr>
    <w:r>
      <w:rPr>
        <w:noProof/>
      </w:rPr>
      <w:drawing>
        <wp:inline distT="0" distB="0" distL="0" distR="0" wp14:anchorId="02E91C37" wp14:editId="1CD3E787">
          <wp:extent cx="1903095" cy="835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6C81E" w14:textId="77777777" w:rsidR="00BB296E" w:rsidRDefault="00BB296E">
    <w:pPr>
      <w:pStyle w:val="Encabezado"/>
    </w:pPr>
  </w:p>
  <w:p w14:paraId="6037E90F" w14:textId="77777777" w:rsidR="00BB296E" w:rsidRDefault="00BB29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61099396">
    <w:abstractNumId w:val="10"/>
  </w:num>
  <w:num w:numId="2" w16cid:durableId="276646797">
    <w:abstractNumId w:val="42"/>
  </w:num>
  <w:num w:numId="3" w16cid:durableId="304314182">
    <w:abstractNumId w:val="27"/>
  </w:num>
  <w:num w:numId="4" w16cid:durableId="128016209">
    <w:abstractNumId w:val="2"/>
  </w:num>
  <w:num w:numId="5" w16cid:durableId="1797482680">
    <w:abstractNumId w:val="1"/>
  </w:num>
  <w:num w:numId="6" w16cid:durableId="371199657">
    <w:abstractNumId w:val="0"/>
  </w:num>
  <w:num w:numId="7" w16cid:durableId="259025343">
    <w:abstractNumId w:val="43"/>
  </w:num>
  <w:num w:numId="8" w16cid:durableId="294681252">
    <w:abstractNumId w:val="12"/>
  </w:num>
  <w:num w:numId="9" w16cid:durableId="994333713">
    <w:abstractNumId w:val="36"/>
  </w:num>
  <w:num w:numId="10" w16cid:durableId="1728215070">
    <w:abstractNumId w:val="14"/>
  </w:num>
  <w:num w:numId="11" w16cid:durableId="1755323154">
    <w:abstractNumId w:val="26"/>
  </w:num>
  <w:num w:numId="12" w16cid:durableId="1088884568">
    <w:abstractNumId w:val="5"/>
  </w:num>
  <w:num w:numId="13" w16cid:durableId="1284192740">
    <w:abstractNumId w:val="18"/>
  </w:num>
  <w:num w:numId="14" w16cid:durableId="333803806">
    <w:abstractNumId w:val="25"/>
  </w:num>
  <w:num w:numId="15" w16cid:durableId="1373967229">
    <w:abstractNumId w:val="11"/>
  </w:num>
  <w:num w:numId="16" w16cid:durableId="1207984793">
    <w:abstractNumId w:val="13"/>
  </w:num>
  <w:num w:numId="17" w16cid:durableId="1278028133">
    <w:abstractNumId w:val="8"/>
  </w:num>
  <w:num w:numId="18" w16cid:durableId="1025791798">
    <w:abstractNumId w:val="45"/>
  </w:num>
  <w:num w:numId="19" w16cid:durableId="48892057">
    <w:abstractNumId w:val="38"/>
  </w:num>
  <w:num w:numId="20" w16cid:durableId="316036704">
    <w:abstractNumId w:val="20"/>
  </w:num>
  <w:num w:numId="21" w16cid:durableId="1707945384">
    <w:abstractNumId w:val="15"/>
  </w:num>
  <w:num w:numId="22" w16cid:durableId="895970252">
    <w:abstractNumId w:val="16"/>
  </w:num>
  <w:num w:numId="23" w16cid:durableId="1189028956">
    <w:abstractNumId w:val="7"/>
  </w:num>
  <w:num w:numId="24" w16cid:durableId="182984977">
    <w:abstractNumId w:val="24"/>
  </w:num>
  <w:num w:numId="25" w16cid:durableId="1308046467">
    <w:abstractNumId w:val="37"/>
  </w:num>
  <w:num w:numId="26" w16cid:durableId="988627901">
    <w:abstractNumId w:val="23"/>
  </w:num>
  <w:num w:numId="27" w16cid:durableId="1750541855">
    <w:abstractNumId w:val="44"/>
  </w:num>
  <w:num w:numId="28" w16cid:durableId="464785227">
    <w:abstractNumId w:val="6"/>
  </w:num>
  <w:num w:numId="29" w16cid:durableId="1779983345">
    <w:abstractNumId w:val="21"/>
  </w:num>
  <w:num w:numId="30" w16cid:durableId="1708144449">
    <w:abstractNumId w:val="19"/>
  </w:num>
  <w:num w:numId="31" w16cid:durableId="1893760586">
    <w:abstractNumId w:val="39"/>
  </w:num>
  <w:num w:numId="32" w16cid:durableId="650601886">
    <w:abstractNumId w:val="32"/>
  </w:num>
  <w:num w:numId="33" w16cid:durableId="742991959">
    <w:abstractNumId w:val="4"/>
  </w:num>
  <w:num w:numId="34" w16cid:durableId="1335104870">
    <w:abstractNumId w:val="29"/>
  </w:num>
  <w:num w:numId="35" w16cid:durableId="528878318">
    <w:abstractNumId w:val="9"/>
  </w:num>
  <w:num w:numId="36" w16cid:durableId="228005336">
    <w:abstractNumId w:val="28"/>
  </w:num>
  <w:num w:numId="37" w16cid:durableId="608124896">
    <w:abstractNumId w:val="34"/>
  </w:num>
  <w:num w:numId="38" w16cid:durableId="1109928529">
    <w:abstractNumId w:val="22"/>
  </w:num>
  <w:num w:numId="39" w16cid:durableId="467360707">
    <w:abstractNumId w:val="31"/>
  </w:num>
  <w:num w:numId="40" w16cid:durableId="180974853">
    <w:abstractNumId w:val="41"/>
  </w:num>
  <w:num w:numId="41" w16cid:durableId="53547020">
    <w:abstractNumId w:val="17"/>
  </w:num>
  <w:num w:numId="42" w16cid:durableId="1324893765">
    <w:abstractNumId w:val="30"/>
  </w:num>
  <w:num w:numId="43" w16cid:durableId="50541982">
    <w:abstractNumId w:val="3"/>
  </w:num>
  <w:num w:numId="44" w16cid:durableId="837692453">
    <w:abstractNumId w:val="35"/>
  </w:num>
  <w:num w:numId="45" w16cid:durableId="1421677342">
    <w:abstractNumId w:val="40"/>
  </w:num>
  <w:num w:numId="46" w16cid:durableId="5031317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433B4"/>
    <w:rsid w:val="00043B3D"/>
    <w:rsid w:val="00047316"/>
    <w:rsid w:val="000779CA"/>
    <w:rsid w:val="000963E4"/>
    <w:rsid w:val="000A2DEC"/>
    <w:rsid w:val="000D147B"/>
    <w:rsid w:val="000E6E7F"/>
    <w:rsid w:val="000E75D2"/>
    <w:rsid w:val="000F1EAE"/>
    <w:rsid w:val="000F5BC5"/>
    <w:rsid w:val="000F6CB5"/>
    <w:rsid w:val="00100406"/>
    <w:rsid w:val="00120DA4"/>
    <w:rsid w:val="001258E1"/>
    <w:rsid w:val="001543F0"/>
    <w:rsid w:val="00190EE7"/>
    <w:rsid w:val="001922C8"/>
    <w:rsid w:val="001A6B7D"/>
    <w:rsid w:val="001D4738"/>
    <w:rsid w:val="001E14C4"/>
    <w:rsid w:val="001E1C67"/>
    <w:rsid w:val="001E59F1"/>
    <w:rsid w:val="00226ACA"/>
    <w:rsid w:val="00240408"/>
    <w:rsid w:val="00255C68"/>
    <w:rsid w:val="002728EF"/>
    <w:rsid w:val="002758C1"/>
    <w:rsid w:val="00292B16"/>
    <w:rsid w:val="00295A62"/>
    <w:rsid w:val="002A4C86"/>
    <w:rsid w:val="002B6E99"/>
    <w:rsid w:val="002F4A2A"/>
    <w:rsid w:val="002F6612"/>
    <w:rsid w:val="002F6F95"/>
    <w:rsid w:val="003169AF"/>
    <w:rsid w:val="00316E05"/>
    <w:rsid w:val="00322ED9"/>
    <w:rsid w:val="00355744"/>
    <w:rsid w:val="0035735E"/>
    <w:rsid w:val="0036480E"/>
    <w:rsid w:val="00373B44"/>
    <w:rsid w:val="0037411F"/>
    <w:rsid w:val="00374F5A"/>
    <w:rsid w:val="003760B7"/>
    <w:rsid w:val="00380FDD"/>
    <w:rsid w:val="003918C3"/>
    <w:rsid w:val="003C2C56"/>
    <w:rsid w:val="003E3CC3"/>
    <w:rsid w:val="003E43C9"/>
    <w:rsid w:val="003F7BBD"/>
    <w:rsid w:val="00403008"/>
    <w:rsid w:val="004041C8"/>
    <w:rsid w:val="00404235"/>
    <w:rsid w:val="004043B0"/>
    <w:rsid w:val="0040661C"/>
    <w:rsid w:val="00410CAB"/>
    <w:rsid w:val="00422A19"/>
    <w:rsid w:val="00431967"/>
    <w:rsid w:val="0044428D"/>
    <w:rsid w:val="00451E47"/>
    <w:rsid w:val="00473840"/>
    <w:rsid w:val="004747B1"/>
    <w:rsid w:val="00476770"/>
    <w:rsid w:val="004940E7"/>
    <w:rsid w:val="004A41A3"/>
    <w:rsid w:val="004B412F"/>
    <w:rsid w:val="004C0848"/>
    <w:rsid w:val="004C2087"/>
    <w:rsid w:val="004D16C9"/>
    <w:rsid w:val="004D5BBF"/>
    <w:rsid w:val="004D5D72"/>
    <w:rsid w:val="004F111A"/>
    <w:rsid w:val="004F3364"/>
    <w:rsid w:val="00506FAC"/>
    <w:rsid w:val="00513233"/>
    <w:rsid w:val="0051487C"/>
    <w:rsid w:val="0051507D"/>
    <w:rsid w:val="00536044"/>
    <w:rsid w:val="005543FD"/>
    <w:rsid w:val="00563755"/>
    <w:rsid w:val="00564B20"/>
    <w:rsid w:val="00575B0E"/>
    <w:rsid w:val="00581497"/>
    <w:rsid w:val="00592E86"/>
    <w:rsid w:val="005C414D"/>
    <w:rsid w:val="005D0569"/>
    <w:rsid w:val="005D51F0"/>
    <w:rsid w:val="005D6B9C"/>
    <w:rsid w:val="00621A24"/>
    <w:rsid w:val="0064423D"/>
    <w:rsid w:val="0065471F"/>
    <w:rsid w:val="00655C9D"/>
    <w:rsid w:val="00664B83"/>
    <w:rsid w:val="00695D88"/>
    <w:rsid w:val="006B29A5"/>
    <w:rsid w:val="006B4443"/>
    <w:rsid w:val="006B56BB"/>
    <w:rsid w:val="006C2208"/>
    <w:rsid w:val="006D2615"/>
    <w:rsid w:val="006D6A16"/>
    <w:rsid w:val="006E30A8"/>
    <w:rsid w:val="006F70A6"/>
    <w:rsid w:val="006F7746"/>
    <w:rsid w:val="00720AFD"/>
    <w:rsid w:val="00734232"/>
    <w:rsid w:val="00747199"/>
    <w:rsid w:val="0075215C"/>
    <w:rsid w:val="00767619"/>
    <w:rsid w:val="007901D8"/>
    <w:rsid w:val="00795BCA"/>
    <w:rsid w:val="00796791"/>
    <w:rsid w:val="007A55C7"/>
    <w:rsid w:val="007C0F8A"/>
    <w:rsid w:val="007C2B31"/>
    <w:rsid w:val="007D0492"/>
    <w:rsid w:val="007E4209"/>
    <w:rsid w:val="007E5127"/>
    <w:rsid w:val="008078CF"/>
    <w:rsid w:val="00821E44"/>
    <w:rsid w:val="00824B7C"/>
    <w:rsid w:val="00826455"/>
    <w:rsid w:val="0082668E"/>
    <w:rsid w:val="00831F1E"/>
    <w:rsid w:val="00836A72"/>
    <w:rsid w:val="0084010C"/>
    <w:rsid w:val="00847F09"/>
    <w:rsid w:val="008526AA"/>
    <w:rsid w:val="00872F1E"/>
    <w:rsid w:val="0089369A"/>
    <w:rsid w:val="008B2EE6"/>
    <w:rsid w:val="008B3176"/>
    <w:rsid w:val="008B697F"/>
    <w:rsid w:val="008C78C6"/>
    <w:rsid w:val="008C7DC1"/>
    <w:rsid w:val="008D1DF6"/>
    <w:rsid w:val="008E4990"/>
    <w:rsid w:val="008E625A"/>
    <w:rsid w:val="00903F36"/>
    <w:rsid w:val="00904A52"/>
    <w:rsid w:val="009343D1"/>
    <w:rsid w:val="00941E2B"/>
    <w:rsid w:val="00954543"/>
    <w:rsid w:val="00954717"/>
    <w:rsid w:val="00997CB7"/>
    <w:rsid w:val="009A55F6"/>
    <w:rsid w:val="009C48E0"/>
    <w:rsid w:val="009E59F4"/>
    <w:rsid w:val="00A164B8"/>
    <w:rsid w:val="00A30E9C"/>
    <w:rsid w:val="00A3204E"/>
    <w:rsid w:val="00A57330"/>
    <w:rsid w:val="00A61CAF"/>
    <w:rsid w:val="00AC0FDE"/>
    <w:rsid w:val="00AE2F90"/>
    <w:rsid w:val="00AE3FFE"/>
    <w:rsid w:val="00B03CDF"/>
    <w:rsid w:val="00B05C8F"/>
    <w:rsid w:val="00B106B6"/>
    <w:rsid w:val="00B12FDA"/>
    <w:rsid w:val="00B155D0"/>
    <w:rsid w:val="00B24E1E"/>
    <w:rsid w:val="00B30344"/>
    <w:rsid w:val="00B46A2A"/>
    <w:rsid w:val="00B46BEC"/>
    <w:rsid w:val="00B51F39"/>
    <w:rsid w:val="00B55CDF"/>
    <w:rsid w:val="00B62131"/>
    <w:rsid w:val="00B862CB"/>
    <w:rsid w:val="00B9493C"/>
    <w:rsid w:val="00BA4714"/>
    <w:rsid w:val="00BB296E"/>
    <w:rsid w:val="00BB3603"/>
    <w:rsid w:val="00BB37DA"/>
    <w:rsid w:val="00BB62FB"/>
    <w:rsid w:val="00BC13D7"/>
    <w:rsid w:val="00BC783A"/>
    <w:rsid w:val="00BD2212"/>
    <w:rsid w:val="00C21A18"/>
    <w:rsid w:val="00C340E1"/>
    <w:rsid w:val="00C36080"/>
    <w:rsid w:val="00C370A1"/>
    <w:rsid w:val="00C3784A"/>
    <w:rsid w:val="00C70296"/>
    <w:rsid w:val="00C8617C"/>
    <w:rsid w:val="00C8742D"/>
    <w:rsid w:val="00CA499F"/>
    <w:rsid w:val="00CC0132"/>
    <w:rsid w:val="00CD33D4"/>
    <w:rsid w:val="00D02637"/>
    <w:rsid w:val="00D071C4"/>
    <w:rsid w:val="00D15136"/>
    <w:rsid w:val="00D215AE"/>
    <w:rsid w:val="00D42D4C"/>
    <w:rsid w:val="00D6760F"/>
    <w:rsid w:val="00D8175B"/>
    <w:rsid w:val="00D847B2"/>
    <w:rsid w:val="00D85126"/>
    <w:rsid w:val="00DA7BB1"/>
    <w:rsid w:val="00DC1B94"/>
    <w:rsid w:val="00DC5264"/>
    <w:rsid w:val="00DF3624"/>
    <w:rsid w:val="00E416CF"/>
    <w:rsid w:val="00E435E8"/>
    <w:rsid w:val="00E47C9B"/>
    <w:rsid w:val="00E530A0"/>
    <w:rsid w:val="00E66DC8"/>
    <w:rsid w:val="00E75097"/>
    <w:rsid w:val="00E77E01"/>
    <w:rsid w:val="00E87477"/>
    <w:rsid w:val="00E927F7"/>
    <w:rsid w:val="00E92EAC"/>
    <w:rsid w:val="00E93C1D"/>
    <w:rsid w:val="00E979D9"/>
    <w:rsid w:val="00EA1049"/>
    <w:rsid w:val="00EA73C3"/>
    <w:rsid w:val="00EB26B9"/>
    <w:rsid w:val="00EC341B"/>
    <w:rsid w:val="00EC6395"/>
    <w:rsid w:val="00ED37AC"/>
    <w:rsid w:val="00EE3537"/>
    <w:rsid w:val="00EF7D2A"/>
    <w:rsid w:val="00F10676"/>
    <w:rsid w:val="00F325F8"/>
    <w:rsid w:val="00F32DEC"/>
    <w:rsid w:val="00F5386F"/>
    <w:rsid w:val="00F552E5"/>
    <w:rsid w:val="00F6044F"/>
    <w:rsid w:val="00F70A31"/>
    <w:rsid w:val="00F71F49"/>
    <w:rsid w:val="00F822C8"/>
    <w:rsid w:val="00F9082E"/>
    <w:rsid w:val="00FA34E3"/>
    <w:rsid w:val="00FC3F04"/>
    <w:rsid w:val="00FD3377"/>
    <w:rsid w:val="00FD5FEC"/>
    <w:rsid w:val="00FE2B60"/>
    <w:rsid w:val="00FF2589"/>
    <w:rsid w:val="27A1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02D42"/>
  <w15:chartTrackingRefBased/>
  <w15:docId w15:val="{A1A86862-73EC-4B5C-BB56-B3C36F09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link w:val="Encabezado"/>
    <w:rsid w:val="008B2EE6"/>
    <w:rPr>
      <w:lang w:val="es-ES_tradnl" w:eastAsia="es-ES"/>
    </w:rPr>
  </w:style>
  <w:style w:type="character" w:customStyle="1" w:styleId="PiedepginaCar">
    <w:name w:val="Pie de página Car"/>
    <w:link w:val="Piedepgina"/>
    <w:rsid w:val="008B2EE6"/>
    <w:rPr>
      <w:lang w:val="es-ES_tradnl" w:eastAsia="es-ES"/>
    </w:rPr>
  </w:style>
  <w:style w:type="paragraph" w:styleId="Revisin">
    <w:name w:val="Revision"/>
    <w:hidden/>
    <w:uiPriority w:val="99"/>
    <w:semiHidden/>
    <w:rsid w:val="002758C1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565E44F0074BA14936328266D7CC" ma:contentTypeVersion="4" ma:contentTypeDescription="Create a new document." ma:contentTypeScope="" ma:versionID="f0ed2abf3840b3e42bbc51ac5b4fb8c3">
  <xsd:schema xmlns:xsd="http://www.w3.org/2001/XMLSchema" xmlns:xs="http://www.w3.org/2001/XMLSchema" xmlns:p="http://schemas.microsoft.com/office/2006/metadata/properties" xmlns:ns2="1c2c5d89-27fb-4930-b670-b9164658e44d" targetNamespace="http://schemas.microsoft.com/office/2006/metadata/properties" ma:root="true" ma:fieldsID="4827bea7119b4413e4da1246c6e08c77" ns2:_="">
    <xsd:import namespace="1c2c5d89-27fb-4930-b670-b9164658e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5d89-27fb-4930-b670-b9164658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6BE6F-2563-4603-A501-124B53462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8A351-8C8F-48CE-872E-699961DDD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D9E7AF-65D6-47B1-862E-70831C2C5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B7A05-8B47-4BA7-844D-FEF1D2A74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5d89-27fb-4930-b670-b9164658e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7401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Maya Alejandra Bhatia Ramos</cp:lastModifiedBy>
  <cp:revision>11</cp:revision>
  <cp:lastPrinted>2016-09-26T16:13:00Z</cp:lastPrinted>
  <dcterms:created xsi:type="dcterms:W3CDTF">2025-08-21T21:12:00Z</dcterms:created>
  <dcterms:modified xsi:type="dcterms:W3CDTF">2025-08-22T13:39:00Z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Estado de aprobación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0x0101002C2A565E44F0074BA14936328266D7CC</vt:lpwstr>
  </property>
</Properties>
</file>