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0B48" w14:textId="77777777" w:rsidR="00CB7F5E" w:rsidRDefault="00CB7F5E" w:rsidP="00C966AB">
      <w:pPr>
        <w:widowControl w:val="0"/>
        <w:autoSpaceDE w:val="0"/>
        <w:autoSpaceDN w:val="0"/>
        <w:adjustRightInd w:val="0"/>
        <w:jc w:val="center"/>
        <w:rPr>
          <w:rFonts w:ascii="Verdana" w:hAnsi="Verdana" w:cs="Arial"/>
          <w:b/>
          <w:sz w:val="22"/>
          <w:szCs w:val="22"/>
        </w:rPr>
      </w:pPr>
    </w:p>
    <w:p w14:paraId="7969EFA4" w14:textId="77777777" w:rsidR="00CB7F5E" w:rsidRDefault="00CB7F5E" w:rsidP="00C966AB">
      <w:pPr>
        <w:widowControl w:val="0"/>
        <w:autoSpaceDE w:val="0"/>
        <w:autoSpaceDN w:val="0"/>
        <w:adjustRightInd w:val="0"/>
        <w:jc w:val="center"/>
        <w:rPr>
          <w:rFonts w:ascii="Verdana" w:hAnsi="Verdana" w:cs="Arial"/>
          <w:b/>
          <w:sz w:val="22"/>
          <w:szCs w:val="22"/>
        </w:rPr>
      </w:pPr>
    </w:p>
    <w:p w14:paraId="45CD0C21" w14:textId="77777777" w:rsidR="00107B23" w:rsidRDefault="00107B23" w:rsidP="00C966AB">
      <w:pPr>
        <w:widowControl w:val="0"/>
        <w:autoSpaceDE w:val="0"/>
        <w:autoSpaceDN w:val="0"/>
        <w:adjustRightInd w:val="0"/>
        <w:jc w:val="center"/>
        <w:rPr>
          <w:rFonts w:ascii="Verdana" w:hAnsi="Verdana" w:cs="Arial"/>
          <w:b/>
          <w:sz w:val="22"/>
          <w:szCs w:val="22"/>
        </w:rPr>
      </w:pPr>
    </w:p>
    <w:p w14:paraId="27401E43" w14:textId="77777777" w:rsidR="00107B23" w:rsidRDefault="00107B23" w:rsidP="00107B23">
      <w:pPr>
        <w:widowControl w:val="0"/>
        <w:autoSpaceDE w:val="0"/>
        <w:autoSpaceDN w:val="0"/>
        <w:adjustRightInd w:val="0"/>
        <w:jc w:val="center"/>
        <w:rPr>
          <w:rFonts w:ascii="Verdana" w:hAnsi="Verdana" w:cs="Arial"/>
          <w:b/>
          <w:sz w:val="22"/>
          <w:szCs w:val="22"/>
        </w:rPr>
      </w:pPr>
    </w:p>
    <w:p w14:paraId="61D5BD37"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5FC8CEC1"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35B0B1E8"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56A5EB6B"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AB7CF8D" w14:textId="510FC57E" w:rsidR="001A0987"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sz w:val="22"/>
          <w:szCs w:val="22"/>
        </w:rPr>
        <w:t xml:space="preserve">PROYECTO DE CIRCULAR EXTERNA: </w:t>
      </w:r>
      <w:r w:rsidR="00971829" w:rsidRPr="00971829">
        <w:rPr>
          <w:rFonts w:ascii="Verdana" w:hAnsi="Verdana" w:cs="Arial"/>
          <w:sz w:val="22"/>
          <w:szCs w:val="22"/>
        </w:rPr>
        <w:t>Instrucciones para fortalecer la liquidez de los mercados de capitales en desarrollo del Decreto 1239 de 2024</w:t>
      </w:r>
    </w:p>
    <w:p w14:paraId="5879B11D" w14:textId="77777777" w:rsidR="00971829" w:rsidRDefault="00971829" w:rsidP="00107B23">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0ABD0B82" w14:textId="4F07F393" w:rsidR="0065197B" w:rsidRPr="0065197B" w:rsidRDefault="00107B23" w:rsidP="0065197B">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0065197B">
        <w:rPr>
          <w:rFonts w:ascii="Verdana" w:hAnsi="Verdana" w:cs="Arial"/>
          <w:sz w:val="22"/>
          <w:szCs w:val="22"/>
        </w:rPr>
        <w:t>I</w:t>
      </w:r>
      <w:r w:rsidR="0065197B" w:rsidRPr="0065197B">
        <w:rPr>
          <w:rFonts w:ascii="Verdana" w:hAnsi="Verdana" w:cs="Arial"/>
          <w:sz w:val="22"/>
          <w:szCs w:val="22"/>
        </w:rPr>
        <w:t>mpartir regulación secundaria en relación con la actividad de asesoría, las instrucciones generales de inversión, la actividad de formadores de liquidez, las ventas en corto, el préstamo recurrente de valores y la financiación de valores</w:t>
      </w:r>
      <w:r w:rsidR="0065197B">
        <w:rPr>
          <w:rFonts w:ascii="Verdana" w:hAnsi="Verdana" w:cs="Arial"/>
          <w:sz w:val="22"/>
          <w:szCs w:val="22"/>
        </w:rPr>
        <w:t xml:space="preserve">, </w:t>
      </w:r>
      <w:r w:rsidR="000750E0">
        <w:rPr>
          <w:rFonts w:ascii="Verdana" w:hAnsi="Verdana" w:cs="Arial"/>
          <w:sz w:val="22"/>
          <w:szCs w:val="22"/>
        </w:rPr>
        <w:t xml:space="preserve">de conformidad con lo establecido en el Decreto 1239 de 2024, </w:t>
      </w:r>
      <w:r w:rsidR="0065197B">
        <w:rPr>
          <w:rFonts w:ascii="Verdana" w:hAnsi="Verdana" w:cs="Arial"/>
          <w:sz w:val="22"/>
          <w:szCs w:val="22"/>
        </w:rPr>
        <w:t xml:space="preserve">así como </w:t>
      </w:r>
      <w:r w:rsidR="0065197B" w:rsidRPr="0065197B">
        <w:rPr>
          <w:rFonts w:ascii="Verdana" w:hAnsi="Verdana" w:cs="Arial"/>
          <w:sz w:val="22"/>
          <w:szCs w:val="22"/>
        </w:rPr>
        <w:t xml:space="preserve">actualizar las instrucciones contenidas en la Circular Básica Jurídica para armonizar su contenido con el nuevo marco normativo. </w:t>
      </w:r>
    </w:p>
    <w:p w14:paraId="378407F1" w14:textId="77777777" w:rsidR="00CF2219" w:rsidRPr="00E12AAF" w:rsidRDefault="00CF2219" w:rsidP="00107B23">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3D4C7068" w14:textId="307C1F48" w:rsidR="00107B23" w:rsidRPr="00E12AAF" w:rsidRDefault="00107B23" w:rsidP="6AACF099">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5:00 p.m. del </w:t>
      </w:r>
      <w:r w:rsidR="00971829">
        <w:rPr>
          <w:rFonts w:ascii="Verdana" w:hAnsi="Verdana" w:cs="Arial"/>
          <w:sz w:val="22"/>
          <w:szCs w:val="22"/>
        </w:rPr>
        <w:t>5</w:t>
      </w:r>
      <w:r w:rsidR="00D41E1D">
        <w:rPr>
          <w:rFonts w:ascii="Verdana" w:hAnsi="Verdana" w:cs="Arial"/>
          <w:sz w:val="22"/>
          <w:szCs w:val="22"/>
        </w:rPr>
        <w:t xml:space="preserve"> de </w:t>
      </w:r>
      <w:r w:rsidR="00971829">
        <w:rPr>
          <w:rFonts w:ascii="Verdana" w:hAnsi="Verdana" w:cs="Arial"/>
          <w:sz w:val="22"/>
          <w:szCs w:val="22"/>
        </w:rPr>
        <w:t>septiembre</w:t>
      </w:r>
      <w:r w:rsidR="005470A8" w:rsidRPr="6AACF099">
        <w:rPr>
          <w:rFonts w:ascii="Verdana" w:hAnsi="Verdana" w:cs="Arial"/>
          <w:sz w:val="22"/>
          <w:szCs w:val="22"/>
        </w:rPr>
        <w:t xml:space="preserve"> de 2025</w:t>
      </w:r>
      <w:r w:rsidR="0089132F" w:rsidRPr="6AACF099">
        <w:rPr>
          <w:rFonts w:ascii="Verdana" w:hAnsi="Verdana" w:cs="Arial"/>
          <w:sz w:val="22"/>
          <w:szCs w:val="22"/>
        </w:rPr>
        <w:t>.</w:t>
      </w:r>
    </w:p>
    <w:p w14:paraId="38810EC3"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4A202588"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4E4CB250"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6F619415"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0D7ACE7C"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3B503168"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0E842BC4" w14:textId="77777777" w:rsidR="00107B23" w:rsidRPr="00E12AAF" w:rsidRDefault="00107B23" w:rsidP="00107B23">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7F8FAE87" w14:textId="708A2BA0"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xml:space="preserve">RADICADO No. </w:t>
      </w:r>
      <w:r w:rsidR="006112F1" w:rsidRPr="006112F1">
        <w:rPr>
          <w:rFonts w:ascii="Verdana" w:hAnsi="Verdana" w:cs="Arial"/>
          <w:b/>
          <w:sz w:val="22"/>
          <w:szCs w:val="22"/>
        </w:rPr>
        <w:t>2024170571</w:t>
      </w:r>
    </w:p>
    <w:p w14:paraId="46277750"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ADD51E7" w14:textId="77777777" w:rsidR="001A0987" w:rsidRDefault="001A0987"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73192515"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t>Subdirector de Regulación</w:t>
      </w:r>
      <w:r w:rsidRPr="00E12AAF">
        <w:rPr>
          <w:rFonts w:ascii="Verdana" w:hAnsi="Verdana" w:cs="Arial"/>
          <w:sz w:val="22"/>
          <w:szCs w:val="22"/>
        </w:rPr>
        <w:t>, con el número de radicación.</w:t>
      </w:r>
    </w:p>
    <w:p w14:paraId="26B07B7C"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p>
    <w:p w14:paraId="5B7E0A67" w14:textId="77777777" w:rsidR="00107B23" w:rsidRPr="00E12AAF" w:rsidRDefault="00107B23" w:rsidP="00107B23">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sz w:val="22"/>
          <w:szCs w:val="22"/>
        </w:rPr>
      </w:pPr>
    </w:p>
    <w:p w14:paraId="0D6200C4"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3C40F89"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1394B451"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AD64E15"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A7E607C"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D483B40"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7160E05"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424B4C1"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F3708EA"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4D5DA058" w14:textId="77777777" w:rsidR="00107B23" w:rsidRPr="00E12AAF" w:rsidRDefault="00107B23" w:rsidP="00107B23">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BDD37AC" w14:textId="77777777" w:rsidR="00107B23" w:rsidRPr="00E12AAF" w:rsidRDefault="00107B23" w:rsidP="00107B23">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10AD83F3" w14:textId="77777777" w:rsidR="00107B23" w:rsidRDefault="00107B23" w:rsidP="00107B23">
      <w:pPr>
        <w:widowControl w:val="0"/>
        <w:autoSpaceDE w:val="0"/>
        <w:autoSpaceDN w:val="0"/>
        <w:adjustRightInd w:val="0"/>
        <w:jc w:val="center"/>
        <w:rPr>
          <w:rFonts w:ascii="Verdana" w:hAnsi="Verdana" w:cs="Arial"/>
          <w:b/>
          <w:sz w:val="22"/>
          <w:szCs w:val="22"/>
        </w:rPr>
      </w:pPr>
    </w:p>
    <w:p w14:paraId="39DBF376" w14:textId="77777777" w:rsidR="00107B23" w:rsidRDefault="00107B23" w:rsidP="00C966AB">
      <w:pPr>
        <w:widowControl w:val="0"/>
        <w:autoSpaceDE w:val="0"/>
        <w:autoSpaceDN w:val="0"/>
        <w:adjustRightInd w:val="0"/>
        <w:jc w:val="center"/>
        <w:rPr>
          <w:rFonts w:ascii="Verdana" w:hAnsi="Verdana" w:cs="Arial"/>
          <w:b/>
          <w:sz w:val="22"/>
          <w:szCs w:val="22"/>
        </w:rPr>
      </w:pPr>
    </w:p>
    <w:p w14:paraId="1B85190C" w14:textId="77777777" w:rsidR="00107B23" w:rsidRDefault="00107B23" w:rsidP="00C966AB">
      <w:pPr>
        <w:widowControl w:val="0"/>
        <w:autoSpaceDE w:val="0"/>
        <w:autoSpaceDN w:val="0"/>
        <w:adjustRightInd w:val="0"/>
        <w:jc w:val="center"/>
        <w:rPr>
          <w:rFonts w:ascii="Verdana" w:hAnsi="Verdana" w:cs="Arial"/>
          <w:b/>
          <w:sz w:val="22"/>
          <w:szCs w:val="22"/>
        </w:rPr>
      </w:pPr>
    </w:p>
    <w:p w14:paraId="1F5443FB" w14:textId="77777777" w:rsidR="00107B23" w:rsidRDefault="00107B23" w:rsidP="00C966AB">
      <w:pPr>
        <w:widowControl w:val="0"/>
        <w:autoSpaceDE w:val="0"/>
        <w:autoSpaceDN w:val="0"/>
        <w:adjustRightInd w:val="0"/>
        <w:jc w:val="center"/>
        <w:rPr>
          <w:rFonts w:ascii="Verdana" w:hAnsi="Verdana" w:cs="Arial"/>
          <w:b/>
          <w:sz w:val="22"/>
          <w:szCs w:val="22"/>
        </w:rPr>
      </w:pPr>
    </w:p>
    <w:p w14:paraId="1C90080D" w14:textId="77777777" w:rsidR="00107B23" w:rsidRDefault="00107B23" w:rsidP="00107B23">
      <w:pPr>
        <w:widowControl w:val="0"/>
        <w:autoSpaceDE w:val="0"/>
        <w:autoSpaceDN w:val="0"/>
        <w:adjustRightInd w:val="0"/>
        <w:rPr>
          <w:rFonts w:ascii="Verdana" w:hAnsi="Verdana" w:cs="Arial"/>
          <w:b/>
          <w:sz w:val="22"/>
          <w:szCs w:val="22"/>
        </w:rPr>
      </w:pPr>
    </w:p>
    <w:p w14:paraId="592D80E3" w14:textId="77777777" w:rsidR="00107B23" w:rsidRDefault="00107B23" w:rsidP="00107B23">
      <w:pPr>
        <w:widowControl w:val="0"/>
        <w:autoSpaceDE w:val="0"/>
        <w:autoSpaceDN w:val="0"/>
        <w:adjustRightInd w:val="0"/>
        <w:rPr>
          <w:rFonts w:ascii="Verdana" w:hAnsi="Verdana" w:cs="Arial"/>
          <w:b/>
          <w:sz w:val="22"/>
          <w:szCs w:val="22"/>
        </w:rPr>
      </w:pPr>
    </w:p>
    <w:p w14:paraId="284571A8" w14:textId="77777777" w:rsidR="00DC6556" w:rsidRDefault="00DC6556" w:rsidP="00107B23">
      <w:pPr>
        <w:widowControl w:val="0"/>
        <w:autoSpaceDE w:val="0"/>
        <w:autoSpaceDN w:val="0"/>
        <w:adjustRightInd w:val="0"/>
        <w:rPr>
          <w:rFonts w:ascii="Verdana" w:hAnsi="Verdana" w:cs="Arial"/>
          <w:b/>
          <w:sz w:val="22"/>
          <w:szCs w:val="22"/>
        </w:rPr>
      </w:pPr>
    </w:p>
    <w:p w14:paraId="3DE11E47" w14:textId="77777777" w:rsidR="001A0987" w:rsidRDefault="001A0987" w:rsidP="00107B23">
      <w:pPr>
        <w:widowControl w:val="0"/>
        <w:autoSpaceDE w:val="0"/>
        <w:autoSpaceDN w:val="0"/>
        <w:adjustRightInd w:val="0"/>
        <w:rPr>
          <w:rFonts w:ascii="Verdana" w:hAnsi="Verdana" w:cs="Arial"/>
          <w:b/>
          <w:sz w:val="22"/>
          <w:szCs w:val="22"/>
        </w:rPr>
      </w:pPr>
    </w:p>
    <w:p w14:paraId="1695B865" w14:textId="77777777" w:rsidR="001A0987" w:rsidRDefault="001A0987" w:rsidP="00107B23">
      <w:pPr>
        <w:widowControl w:val="0"/>
        <w:autoSpaceDE w:val="0"/>
        <w:autoSpaceDN w:val="0"/>
        <w:adjustRightInd w:val="0"/>
        <w:rPr>
          <w:rFonts w:ascii="Verdana" w:hAnsi="Verdana" w:cs="Arial"/>
          <w:b/>
          <w:sz w:val="22"/>
          <w:szCs w:val="22"/>
        </w:rPr>
      </w:pPr>
    </w:p>
    <w:p w14:paraId="21F7CC0F" w14:textId="77777777" w:rsidR="001A0987" w:rsidRPr="00E12AAF" w:rsidRDefault="001A0987" w:rsidP="00107B23">
      <w:pPr>
        <w:widowControl w:val="0"/>
        <w:autoSpaceDE w:val="0"/>
        <w:autoSpaceDN w:val="0"/>
        <w:adjustRightInd w:val="0"/>
        <w:rPr>
          <w:rFonts w:ascii="Verdana" w:hAnsi="Verdana" w:cs="Arial"/>
          <w:b/>
          <w:sz w:val="22"/>
          <w:szCs w:val="22"/>
        </w:rPr>
      </w:pPr>
    </w:p>
    <w:p w14:paraId="4C4E60C8" w14:textId="77777777" w:rsidR="00DC6556" w:rsidRDefault="00DC6556" w:rsidP="00107B23">
      <w:pPr>
        <w:widowControl w:val="0"/>
        <w:autoSpaceDE w:val="0"/>
        <w:autoSpaceDN w:val="0"/>
        <w:adjustRightInd w:val="0"/>
        <w:rPr>
          <w:rFonts w:ascii="Verdana" w:hAnsi="Verdana" w:cs="Arial"/>
          <w:b/>
          <w:sz w:val="22"/>
          <w:szCs w:val="22"/>
        </w:rPr>
      </w:pPr>
    </w:p>
    <w:p w14:paraId="5BE89412" w14:textId="77777777" w:rsidR="00107B23" w:rsidRDefault="00107B23" w:rsidP="00C966AB">
      <w:pPr>
        <w:widowControl w:val="0"/>
        <w:autoSpaceDE w:val="0"/>
        <w:autoSpaceDN w:val="0"/>
        <w:adjustRightInd w:val="0"/>
        <w:jc w:val="center"/>
        <w:rPr>
          <w:rFonts w:ascii="Verdana" w:hAnsi="Verdana" w:cs="Arial"/>
          <w:b/>
          <w:sz w:val="22"/>
          <w:szCs w:val="22"/>
        </w:rPr>
      </w:pPr>
    </w:p>
    <w:p w14:paraId="0B85D29A" w14:textId="77777777" w:rsidR="00107B23" w:rsidRPr="00D41E1D" w:rsidRDefault="00107B23" w:rsidP="00C966AB">
      <w:pPr>
        <w:widowControl w:val="0"/>
        <w:autoSpaceDE w:val="0"/>
        <w:autoSpaceDN w:val="0"/>
        <w:adjustRightInd w:val="0"/>
        <w:jc w:val="center"/>
        <w:rPr>
          <w:rFonts w:ascii="Verdana" w:hAnsi="Verdana" w:cs="Arial"/>
          <w:b/>
          <w:sz w:val="22"/>
          <w:szCs w:val="22"/>
        </w:rPr>
      </w:pPr>
    </w:p>
    <w:p w14:paraId="399FC7E7" w14:textId="77777777" w:rsidR="000F6CD5" w:rsidRPr="000F6CD5" w:rsidRDefault="000F6CD5" w:rsidP="000F6CD5">
      <w:pPr>
        <w:widowControl w:val="0"/>
        <w:autoSpaceDE w:val="0"/>
        <w:autoSpaceDN w:val="0"/>
        <w:adjustRightInd w:val="0"/>
        <w:ind w:firstLine="708"/>
        <w:jc w:val="center"/>
        <w:rPr>
          <w:rFonts w:ascii="Verdana" w:hAnsi="Verdana" w:cs="Arial"/>
          <w:b/>
          <w:lang w:val="es-ES_tradnl" w:eastAsia="es-ES"/>
        </w:rPr>
      </w:pPr>
      <w:r w:rsidRPr="000F6CD5">
        <w:rPr>
          <w:rFonts w:ascii="Verdana" w:hAnsi="Verdana" w:cs="Arial"/>
          <w:b/>
          <w:lang w:val="es-ES_tradnl" w:eastAsia="es-ES"/>
        </w:rPr>
        <w:t xml:space="preserve">CIRCULAR EXTERNA         </w:t>
      </w:r>
      <w:r w:rsidRPr="000F6CD5">
        <w:rPr>
          <w:rFonts w:ascii="Verdana" w:hAnsi="Verdana" w:cs="Arial"/>
          <w:b/>
          <w:color w:val="999999"/>
          <w:lang w:val="es-ES_tradnl" w:eastAsia="es-ES"/>
        </w:rPr>
        <w:t xml:space="preserve">    </w:t>
      </w:r>
      <w:r w:rsidRPr="000F6CD5">
        <w:rPr>
          <w:rFonts w:ascii="Verdana" w:hAnsi="Verdana" w:cs="Arial"/>
          <w:b/>
          <w:lang w:val="es-ES_tradnl" w:eastAsia="es-ES"/>
        </w:rPr>
        <w:t xml:space="preserve">  DE </w:t>
      </w:r>
      <w:r w:rsidRPr="000F6CD5">
        <w:rPr>
          <w:rFonts w:ascii="Verdana" w:hAnsi="Verdana" w:cs="Arial"/>
          <w:b/>
          <w:color w:val="999999"/>
          <w:lang w:val="es-ES_tradnl" w:eastAsia="es-ES"/>
        </w:rPr>
        <w:t xml:space="preserve">       </w:t>
      </w:r>
    </w:p>
    <w:p w14:paraId="41C4C1C8" w14:textId="77777777" w:rsidR="000F6CD5" w:rsidRPr="000F6CD5" w:rsidRDefault="000F6CD5" w:rsidP="000F6CD5">
      <w:pPr>
        <w:widowControl w:val="0"/>
        <w:autoSpaceDE w:val="0"/>
        <w:autoSpaceDN w:val="0"/>
        <w:adjustRightInd w:val="0"/>
        <w:jc w:val="center"/>
        <w:rPr>
          <w:rFonts w:ascii="Verdana" w:hAnsi="Verdana" w:cs="Arial"/>
          <w:b/>
          <w:lang w:val="es-ES_tradnl" w:eastAsia="es-ES"/>
        </w:rPr>
      </w:pPr>
      <w:r w:rsidRPr="000F6CD5">
        <w:rPr>
          <w:rFonts w:ascii="Verdana" w:hAnsi="Verdana" w:cs="Arial"/>
          <w:b/>
          <w:lang w:val="es-ES_tradnl" w:eastAsia="es-ES"/>
        </w:rPr>
        <w:t>(                                        )</w:t>
      </w:r>
    </w:p>
    <w:p w14:paraId="344AFFD5"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p>
    <w:p w14:paraId="3C45509E"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p>
    <w:p w14:paraId="4A3286C1" w14:textId="77777777" w:rsidR="000F6CD5" w:rsidRPr="000F6CD5" w:rsidRDefault="000F6CD5" w:rsidP="000F6CD5">
      <w:pPr>
        <w:widowControl w:val="0"/>
        <w:autoSpaceDE w:val="0"/>
        <w:autoSpaceDN w:val="0"/>
        <w:adjustRightInd w:val="0"/>
        <w:jc w:val="both"/>
        <w:rPr>
          <w:rFonts w:ascii="Verdana" w:hAnsi="Verdana" w:cs="Arial"/>
          <w:b/>
          <w:lang w:val="es-ES_tradnl" w:eastAsia="es-ES"/>
        </w:rPr>
      </w:pPr>
      <w:r w:rsidRPr="000F6CD5">
        <w:rPr>
          <w:rFonts w:ascii="Verdana" w:hAnsi="Verdana" w:cs="Arial"/>
          <w:b/>
          <w:lang w:val="es-ES_tradnl" w:eastAsia="es-ES"/>
        </w:rPr>
        <w:t>Señores</w:t>
      </w:r>
    </w:p>
    <w:p w14:paraId="0F686D49"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r w:rsidRPr="000F6CD5">
        <w:rPr>
          <w:rFonts w:ascii="Verdana" w:hAnsi="Verdana" w:cs="Arial"/>
          <w:lang w:val="es-ES_tradnl" w:eastAsia="es-ES"/>
        </w:rPr>
        <w:t>REPRESENTANTES LEGALES Y REVISORES FISCALES DE LAS ENTIDADES VIGILADAS POR LA SUPERINTENDENCIA FINANCIERA DE COLOMBIA</w:t>
      </w:r>
    </w:p>
    <w:p w14:paraId="343554D3" w14:textId="77777777" w:rsidR="000F6CD5" w:rsidRPr="000F6CD5" w:rsidRDefault="000F6CD5" w:rsidP="000F6CD5">
      <w:pPr>
        <w:widowControl w:val="0"/>
        <w:autoSpaceDE w:val="0"/>
        <w:autoSpaceDN w:val="0"/>
        <w:adjustRightInd w:val="0"/>
        <w:ind w:left="1560" w:hanging="1560"/>
        <w:jc w:val="both"/>
        <w:rPr>
          <w:rFonts w:ascii="Verdana" w:hAnsi="Verdana" w:cs="Arial"/>
          <w:b/>
          <w:lang w:val="es-ES_tradnl" w:eastAsia="es-ES"/>
        </w:rPr>
      </w:pPr>
    </w:p>
    <w:p w14:paraId="7D03EB2E" w14:textId="77777777" w:rsidR="000F6CD5" w:rsidRPr="000F6CD5" w:rsidRDefault="000F6CD5" w:rsidP="000F6CD5">
      <w:pPr>
        <w:widowControl w:val="0"/>
        <w:autoSpaceDE w:val="0"/>
        <w:autoSpaceDN w:val="0"/>
        <w:adjustRightInd w:val="0"/>
        <w:ind w:left="1560" w:hanging="1560"/>
        <w:jc w:val="both"/>
        <w:rPr>
          <w:rFonts w:ascii="Verdana" w:hAnsi="Verdana" w:cs="Arial"/>
          <w:b/>
          <w:lang w:val="es-ES_tradnl" w:eastAsia="es-ES"/>
        </w:rPr>
      </w:pPr>
    </w:p>
    <w:p w14:paraId="1A623D52" w14:textId="77777777" w:rsidR="000F6CD5" w:rsidRPr="000F6CD5" w:rsidRDefault="000F6CD5" w:rsidP="000F6CD5">
      <w:pPr>
        <w:widowControl w:val="0"/>
        <w:autoSpaceDE w:val="0"/>
        <w:autoSpaceDN w:val="0"/>
        <w:adjustRightInd w:val="0"/>
        <w:jc w:val="both"/>
        <w:rPr>
          <w:rFonts w:ascii="Verdana" w:hAnsi="Verdana" w:cs="Arial"/>
          <w:b/>
          <w:lang w:val="es-ES_tradnl" w:eastAsia="es-ES"/>
        </w:rPr>
      </w:pPr>
      <w:r w:rsidRPr="000F6CD5">
        <w:rPr>
          <w:rFonts w:ascii="Verdana" w:hAnsi="Verdana" w:cs="Arial"/>
          <w:b/>
          <w:lang w:val="es-ES_tradnl" w:eastAsia="es-ES"/>
        </w:rPr>
        <w:t>Referencia: Instrucciones para fortalecer la liquidez de los mercados de capitales en desarrollo del Decreto 1239 de 2024</w:t>
      </w:r>
    </w:p>
    <w:p w14:paraId="45D74523" w14:textId="77777777" w:rsidR="000F6CD5" w:rsidRPr="000F6CD5" w:rsidRDefault="000F6CD5" w:rsidP="000F6CD5">
      <w:pPr>
        <w:widowControl w:val="0"/>
        <w:adjustRightInd w:val="0"/>
        <w:jc w:val="both"/>
        <w:rPr>
          <w:rFonts w:ascii="Verdana" w:hAnsi="Verdana" w:cs="Arial"/>
          <w:b/>
          <w:bCs/>
          <w:lang w:val="es-ES_tradnl" w:eastAsia="es-ES"/>
        </w:rPr>
      </w:pPr>
    </w:p>
    <w:p w14:paraId="6E841B17" w14:textId="77777777" w:rsidR="000F6CD5" w:rsidRPr="000F6CD5" w:rsidRDefault="000F6CD5" w:rsidP="000F6CD5">
      <w:pPr>
        <w:widowControl w:val="0"/>
        <w:adjustRightInd w:val="0"/>
        <w:jc w:val="both"/>
        <w:rPr>
          <w:rFonts w:ascii="Verdana" w:hAnsi="Verdana" w:cs="Arial"/>
          <w:color w:val="000000"/>
          <w:lang w:val="es-ES_tradnl" w:eastAsia="es-ES"/>
        </w:rPr>
      </w:pPr>
      <w:r w:rsidRPr="000F6CD5">
        <w:rPr>
          <w:rFonts w:ascii="Verdana" w:hAnsi="Verdana" w:cs="Arial"/>
          <w:color w:val="000000"/>
          <w:lang w:val="es-ES_tradnl" w:eastAsia="es-ES"/>
        </w:rPr>
        <w:t>Apreciados señores:</w:t>
      </w:r>
    </w:p>
    <w:p w14:paraId="5D103737" w14:textId="77777777" w:rsidR="000F6CD5" w:rsidRPr="000F6CD5" w:rsidRDefault="000F6CD5" w:rsidP="000F6CD5">
      <w:pPr>
        <w:tabs>
          <w:tab w:val="center" w:pos="4419"/>
          <w:tab w:val="right" w:pos="8789"/>
          <w:tab w:val="right" w:pos="8838"/>
        </w:tabs>
        <w:jc w:val="both"/>
        <w:rPr>
          <w:rFonts w:ascii="Verdana" w:hAnsi="Verdana" w:cs="Arial"/>
          <w:lang w:val="es-ES" w:eastAsia="es-ES"/>
        </w:rPr>
      </w:pPr>
    </w:p>
    <w:p w14:paraId="52232E8B" w14:textId="77777777" w:rsidR="000F6CD5" w:rsidRPr="000F6CD5" w:rsidRDefault="000F6CD5" w:rsidP="000F6CD5">
      <w:pPr>
        <w:tabs>
          <w:tab w:val="center" w:pos="4419"/>
          <w:tab w:val="right" w:pos="8789"/>
          <w:tab w:val="right" w:pos="8838"/>
        </w:tabs>
        <w:jc w:val="both"/>
        <w:rPr>
          <w:rFonts w:ascii="Verdana" w:hAnsi="Verdana" w:cs="Arial"/>
          <w:lang w:eastAsia="es-ES"/>
        </w:rPr>
      </w:pPr>
      <w:r w:rsidRPr="000F6CD5">
        <w:rPr>
          <w:rFonts w:ascii="Verdana" w:hAnsi="Verdana" w:cs="Arial"/>
          <w:lang w:val="es-ES" w:eastAsia="es-ES"/>
        </w:rPr>
        <w:t xml:space="preserve">Como es de su conocimiento, el Gobierno Nacional expidió el Decreto 1239 de 2024 con </w:t>
      </w:r>
      <w:r w:rsidRPr="000F6CD5">
        <w:rPr>
          <w:rFonts w:ascii="Verdana" w:hAnsi="Verdana" w:cs="Arial"/>
          <w:lang w:val="es-ES_tradnl" w:eastAsia="es-ES"/>
        </w:rPr>
        <w:t>el propósito de fortalecer la calidad y eficiencia del mercado de capitales, crear las condiciones necesarias para mejorar su liquidez, promover una mejor formación de precios, facilitar el acceso de nuevos emisores y diversificar la base de inversionistas en el mercado de valores colombiano.</w:t>
      </w:r>
    </w:p>
    <w:p w14:paraId="2ABD641D" w14:textId="77777777" w:rsidR="000F6CD5" w:rsidRPr="000F6CD5" w:rsidRDefault="000F6CD5" w:rsidP="000F6CD5">
      <w:pPr>
        <w:tabs>
          <w:tab w:val="center" w:pos="4419"/>
          <w:tab w:val="right" w:pos="8789"/>
          <w:tab w:val="right" w:pos="8838"/>
        </w:tabs>
        <w:jc w:val="both"/>
        <w:rPr>
          <w:rFonts w:ascii="Verdana" w:hAnsi="Verdana" w:cs="Arial"/>
          <w:lang w:val="es-AR" w:eastAsia="es-ES"/>
        </w:rPr>
      </w:pPr>
    </w:p>
    <w:p w14:paraId="3EB6694D" w14:textId="77777777" w:rsidR="000F6CD5" w:rsidRPr="000F6CD5" w:rsidRDefault="000F6CD5" w:rsidP="000F6CD5">
      <w:pPr>
        <w:tabs>
          <w:tab w:val="center" w:pos="4419"/>
          <w:tab w:val="right" w:pos="8789"/>
          <w:tab w:val="right" w:pos="8838"/>
        </w:tabs>
        <w:jc w:val="both"/>
        <w:rPr>
          <w:rFonts w:ascii="Verdana" w:hAnsi="Verdana" w:cs="Arial"/>
          <w:lang w:eastAsia="es-ES"/>
        </w:rPr>
      </w:pPr>
      <w:r w:rsidRPr="000F6CD5">
        <w:rPr>
          <w:rFonts w:ascii="Verdana" w:hAnsi="Verdana" w:cs="Arial"/>
          <w:lang w:eastAsia="es-ES"/>
        </w:rPr>
        <w:t xml:space="preserve">El referido decreto facultó a la Superintendencia Financiera de Colombia para impartir regulación secundaria en relación con la actividad de asesoría, las instrucciones generales de inversión, la actividad de formadores de liquidez, las ventas en corto, el préstamo recurrente de valores y la financiación de valores. </w:t>
      </w:r>
    </w:p>
    <w:p w14:paraId="76F294B9" w14:textId="77777777" w:rsidR="000F6CD5" w:rsidRPr="000F6CD5" w:rsidRDefault="000F6CD5" w:rsidP="000F6CD5">
      <w:pPr>
        <w:tabs>
          <w:tab w:val="center" w:pos="4419"/>
          <w:tab w:val="right" w:pos="8789"/>
          <w:tab w:val="right" w:pos="8838"/>
        </w:tabs>
        <w:jc w:val="both"/>
        <w:rPr>
          <w:rFonts w:ascii="Verdana" w:hAnsi="Verdana" w:cs="Arial"/>
          <w:lang w:eastAsia="es-ES"/>
        </w:rPr>
      </w:pPr>
    </w:p>
    <w:p w14:paraId="534070AC" w14:textId="77777777" w:rsidR="000F6CD5" w:rsidRPr="000F6CD5" w:rsidRDefault="000F6CD5" w:rsidP="000F6CD5">
      <w:pPr>
        <w:tabs>
          <w:tab w:val="center" w:pos="4419"/>
          <w:tab w:val="right" w:pos="8789"/>
          <w:tab w:val="right" w:pos="8838"/>
        </w:tabs>
        <w:jc w:val="both"/>
        <w:rPr>
          <w:rFonts w:ascii="Verdana" w:hAnsi="Verdana" w:cs="Arial"/>
          <w:lang w:eastAsia="es-ES"/>
        </w:rPr>
      </w:pPr>
      <w:r w:rsidRPr="000F6CD5">
        <w:rPr>
          <w:rFonts w:ascii="Verdana" w:hAnsi="Verdana" w:cs="Arial"/>
          <w:lang w:eastAsia="es-ES"/>
        </w:rPr>
        <w:t>En este contexto, y en línea con los esfuerzos realizados por el Gobierno Nacional para mejorar la liquidez y profundidad del mercado de capitales, se considera necesario impartir instrucciones relativas a los aspectos antes mencionados, en el marco de lo previsto en el Decreto 1239 de 2024.</w:t>
      </w:r>
    </w:p>
    <w:p w14:paraId="6A2F4CE0" w14:textId="77777777" w:rsidR="000F6CD5" w:rsidRPr="000F6CD5" w:rsidRDefault="000F6CD5" w:rsidP="000F6CD5">
      <w:pPr>
        <w:tabs>
          <w:tab w:val="center" w:pos="4419"/>
          <w:tab w:val="right" w:pos="8789"/>
          <w:tab w:val="right" w:pos="8838"/>
        </w:tabs>
        <w:jc w:val="both"/>
        <w:rPr>
          <w:rFonts w:ascii="Verdana" w:hAnsi="Verdana" w:cs="Arial"/>
          <w:lang w:eastAsia="es-ES"/>
        </w:rPr>
      </w:pPr>
    </w:p>
    <w:p w14:paraId="33A517C6" w14:textId="77777777" w:rsidR="000F6CD5" w:rsidRPr="000F6CD5" w:rsidRDefault="000F6CD5" w:rsidP="000F6CD5">
      <w:pPr>
        <w:tabs>
          <w:tab w:val="center" w:pos="4419"/>
          <w:tab w:val="right" w:pos="8789"/>
          <w:tab w:val="right" w:pos="8838"/>
        </w:tabs>
        <w:jc w:val="both"/>
        <w:rPr>
          <w:rFonts w:ascii="Verdana" w:hAnsi="Verdana" w:cs="Arial"/>
          <w:lang w:val="es-ES_tradnl" w:eastAsia="es-ES"/>
        </w:rPr>
      </w:pPr>
      <w:r w:rsidRPr="000F6CD5">
        <w:rPr>
          <w:rFonts w:ascii="Verdana" w:hAnsi="Verdana" w:cs="Arial"/>
          <w:lang w:eastAsia="es-ES"/>
        </w:rPr>
        <w:t xml:space="preserve">De igual forma, teniendo en cuenta la naturaleza y el alcance de las modificaciones introducidas por el citado Decreto, así como los esfuerzos realizados por la citada norma en la promoción de eficiencias en el desarrollo de la actividad de asesoría, se estima conveniente actualizar las instrucciones contenidas en la Circular Básica Jurídica para armonizar su contenido con el nuevo marco normativo. </w:t>
      </w:r>
    </w:p>
    <w:p w14:paraId="5F8DDE12" w14:textId="77777777" w:rsidR="000F6CD5" w:rsidRPr="000F6CD5" w:rsidRDefault="000F6CD5" w:rsidP="000F6CD5">
      <w:pPr>
        <w:tabs>
          <w:tab w:val="center" w:pos="4419"/>
          <w:tab w:val="right" w:pos="8789"/>
          <w:tab w:val="right" w:pos="8838"/>
        </w:tabs>
        <w:jc w:val="both"/>
        <w:rPr>
          <w:rFonts w:ascii="Verdana" w:hAnsi="Verdana" w:cs="Arial"/>
          <w:lang w:val="es-ES_tradnl" w:eastAsia="es-ES"/>
        </w:rPr>
      </w:pPr>
    </w:p>
    <w:p w14:paraId="608D3BE4" w14:textId="77777777" w:rsidR="000F6CD5" w:rsidRPr="000F6CD5" w:rsidRDefault="000F6CD5" w:rsidP="000F6CD5">
      <w:pPr>
        <w:tabs>
          <w:tab w:val="center" w:pos="4419"/>
          <w:tab w:val="right" w:pos="8789"/>
          <w:tab w:val="right" w:pos="8838"/>
        </w:tabs>
        <w:jc w:val="both"/>
        <w:rPr>
          <w:rFonts w:ascii="Verdana" w:hAnsi="Verdana" w:cs="Arial"/>
          <w:lang w:val="es-ES" w:eastAsia="es-ES"/>
        </w:rPr>
      </w:pPr>
      <w:r w:rsidRPr="000F6CD5">
        <w:rPr>
          <w:rFonts w:ascii="Verdana" w:hAnsi="Verdana" w:cs="Arial"/>
          <w:lang w:val="es-ES" w:eastAsia="es-ES"/>
        </w:rPr>
        <w:t>En consecuencia, en ejercicio de las facultades generales previstas en el literal (a) del numeral 3 del artículo 326 del Estatuto Orgánico del Sistema Financiero</w:t>
      </w:r>
      <w:r w:rsidRPr="000F6CD5" w:rsidDel="009A65DE">
        <w:rPr>
          <w:rFonts w:ascii="Verdana" w:hAnsi="Verdana" w:cs="Arial"/>
          <w:lang w:val="es-ES" w:eastAsia="es-ES"/>
        </w:rPr>
        <w:t xml:space="preserve"> </w:t>
      </w:r>
      <w:r w:rsidRPr="000F6CD5">
        <w:rPr>
          <w:rFonts w:ascii="Verdana" w:hAnsi="Verdana" w:cs="Arial"/>
          <w:lang w:val="es-ES" w:eastAsia="es-ES"/>
        </w:rPr>
        <w:t xml:space="preserve">y en los numerales 4 y 5 del artículo 11.2.1.4.2. del Decreto 2555 de 2010, así como de las facultades especiales señaladas en el artículo 2.9.5.1.2., en el numeral 6 del artículo 2.9.6.1.2. y en los artículos 2.36.3.1.5, 2.9.13.1.4., 2.9.26.1.7., 2.27.2.1.3., 2.27.2.1.9, 2.40.1.1.6, 2.40.2.1.2. y 2.40.5.1.1. del Decreto 2555 de 2010, esta Superintendencia imparte las siguientes instrucciones: </w:t>
      </w:r>
    </w:p>
    <w:p w14:paraId="253F947D" w14:textId="77777777" w:rsidR="000F6CD5" w:rsidRPr="000F6CD5" w:rsidRDefault="000F6CD5" w:rsidP="000F6CD5">
      <w:pPr>
        <w:jc w:val="both"/>
        <w:rPr>
          <w:rFonts w:ascii="Verdana" w:hAnsi="Verdana" w:cs="Arial"/>
          <w:lang w:eastAsia="es-ES"/>
        </w:rPr>
      </w:pPr>
    </w:p>
    <w:p w14:paraId="13304027" w14:textId="77777777" w:rsidR="000F6CD5" w:rsidRPr="000F6CD5" w:rsidRDefault="000F6CD5" w:rsidP="000F6CD5">
      <w:pPr>
        <w:jc w:val="both"/>
        <w:rPr>
          <w:rFonts w:ascii="Verdana" w:hAnsi="Verdana" w:cs="Arial"/>
          <w:lang w:val="es-ES" w:eastAsia="es-ES"/>
        </w:rPr>
      </w:pPr>
      <w:r w:rsidRPr="000F6CD5">
        <w:rPr>
          <w:rFonts w:ascii="Verdana" w:hAnsi="Verdana" w:cs="Arial"/>
          <w:b/>
          <w:lang w:val="es-ES" w:eastAsia="es-ES"/>
        </w:rPr>
        <w:t xml:space="preserve">PRIMERA: </w:t>
      </w:r>
      <w:r w:rsidRPr="000F6CD5">
        <w:rPr>
          <w:rFonts w:ascii="Verdana" w:hAnsi="Verdana" w:cs="Arial"/>
          <w:lang w:val="es-ES" w:eastAsia="es-ES"/>
        </w:rPr>
        <w:t>Modificar el subnumeral 2.2.1.2.2. del Capítulo I del Título II de la Parte II «</w:t>
      </w:r>
      <w:r w:rsidRPr="000F6CD5">
        <w:rPr>
          <w:rFonts w:ascii="Verdana" w:hAnsi="Verdana" w:cs="Arial"/>
          <w:i/>
          <w:lang w:val="es-ES" w:eastAsia="es-ES"/>
        </w:rPr>
        <w:t>Disposiciones especiales aplicables a los negocios fiduciarios</w:t>
      </w:r>
      <w:r w:rsidRPr="000F6CD5">
        <w:rPr>
          <w:rFonts w:ascii="Verdana" w:hAnsi="Verdana" w:cs="Arial"/>
          <w:lang w:val="es-ES" w:eastAsia="es-ES"/>
        </w:rPr>
        <w:t>» de la Circular Básica Jurídica, el cual quedará así:</w:t>
      </w:r>
    </w:p>
    <w:p w14:paraId="3D19C93F" w14:textId="77777777" w:rsidR="000F6CD5" w:rsidRPr="000F6CD5" w:rsidRDefault="000F6CD5" w:rsidP="000F6CD5">
      <w:pPr>
        <w:jc w:val="both"/>
        <w:rPr>
          <w:rFonts w:ascii="Verdana" w:hAnsi="Verdana" w:cs="Arial"/>
          <w:lang w:val="es-ES_tradnl" w:eastAsia="es-ES"/>
        </w:rPr>
      </w:pPr>
    </w:p>
    <w:p w14:paraId="214A4EC1"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2.2.1.2.2. Deber de asesoría. Este es un deber que no debe confundirse con el deber de información previsto en el subnumeral anterior y, salvo que el contrato sea de inversión, solamente es obligatorio en la medida en que haya una obligación expresa pactada en el contrato. En virtud de este deber, el fiduciario debe dar consejos u opiniones para que los clientes tengan conocimiento de los factores a favor y en contra del negocio y así puedan expresar su consentimiento con suficientes elementos de juicio, para lo cual resulta necesario considerar la naturaleza y condiciones propias de cada negocio y de los intervinientes en ellos. Este deber implica necesariamente un juicio de valoración que involucra una opinión fundamentada e inclusive una recomendación para el cliente.</w:t>
      </w:r>
    </w:p>
    <w:p w14:paraId="3ABC05ED" w14:textId="77777777" w:rsidR="000F6CD5" w:rsidRPr="000F6CD5" w:rsidRDefault="000F6CD5" w:rsidP="000F6CD5">
      <w:pPr>
        <w:ind w:left="284"/>
        <w:jc w:val="both"/>
        <w:rPr>
          <w:rFonts w:ascii="Verdana" w:hAnsi="Verdana" w:cs="Arial"/>
          <w:sz w:val="22"/>
          <w:szCs w:val="22"/>
          <w:lang w:val="es-ES_tradnl" w:eastAsia="es-ES"/>
        </w:rPr>
      </w:pPr>
    </w:p>
    <w:p w14:paraId="5A3C1755" w14:textId="0F9E9371"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La asesoría a que se refiere el presente numeral tiene el alcance previsto en el mismo</w:t>
      </w:r>
      <w:r w:rsidR="00B07EB0">
        <w:rPr>
          <w:rFonts w:ascii="Verdana" w:hAnsi="Verdana" w:cs="Arial"/>
          <w:sz w:val="22"/>
          <w:szCs w:val="22"/>
          <w:lang w:val="es-ES" w:eastAsia="es-ES"/>
        </w:rPr>
        <w:t>,</w:t>
      </w:r>
      <w:r w:rsidRPr="000F6CD5">
        <w:rPr>
          <w:rFonts w:ascii="Verdana" w:hAnsi="Verdana" w:cs="Arial"/>
          <w:sz w:val="22"/>
          <w:szCs w:val="22"/>
          <w:lang w:val="es-ES" w:eastAsia="es-ES"/>
        </w:rPr>
        <w:t xml:space="preserve"> y en ningún caso puede ser interpretad</w:t>
      </w:r>
      <w:r w:rsidR="005771E3">
        <w:rPr>
          <w:rFonts w:ascii="Verdana" w:hAnsi="Verdana" w:cs="Arial"/>
          <w:sz w:val="22"/>
          <w:szCs w:val="22"/>
          <w:lang w:val="es-ES" w:eastAsia="es-ES"/>
        </w:rPr>
        <w:t>a</w:t>
      </w:r>
      <w:r w:rsidRPr="000F6CD5">
        <w:rPr>
          <w:rFonts w:ascii="Verdana" w:hAnsi="Verdana" w:cs="Arial"/>
          <w:sz w:val="22"/>
          <w:szCs w:val="22"/>
          <w:lang w:val="es-ES" w:eastAsia="es-ES"/>
        </w:rPr>
        <w:t xml:space="preserve"> conforme a las normas relativas a la actividad de asesoría establecido en el Libro 40 de la Parte 2 del Decreto 2555 de 2010. Sin embargo, para la celebración de negocios fiduciarios que tengan dentro de sus finalidades invertir en valores, se debe dar aplicación a lo establecido en el mencionado Libro 40.</w:t>
      </w:r>
    </w:p>
    <w:p w14:paraId="4E580799" w14:textId="77777777" w:rsidR="000F6CD5" w:rsidRPr="000F6CD5" w:rsidRDefault="000F6CD5" w:rsidP="000F6CD5">
      <w:pPr>
        <w:widowControl w:val="0"/>
        <w:autoSpaceDE w:val="0"/>
        <w:autoSpaceDN w:val="0"/>
        <w:adjustRightInd w:val="0"/>
        <w:jc w:val="both"/>
        <w:rPr>
          <w:rFonts w:ascii="Verdana" w:hAnsi="Verdana" w:cs="Arial"/>
          <w:bCs/>
          <w:lang w:val="es-ES" w:eastAsia="es-ES"/>
        </w:rPr>
      </w:pPr>
    </w:p>
    <w:p w14:paraId="22284BC1" w14:textId="77777777" w:rsidR="000F6CD5" w:rsidRPr="000F6CD5" w:rsidRDefault="000F6CD5" w:rsidP="000F6CD5">
      <w:pPr>
        <w:jc w:val="both"/>
        <w:rPr>
          <w:rFonts w:ascii="Verdana" w:hAnsi="Verdana" w:cs="Arial"/>
          <w:lang w:val="es-ES" w:eastAsia="es-ES"/>
        </w:rPr>
      </w:pPr>
      <w:r w:rsidRPr="000F6CD5">
        <w:rPr>
          <w:rFonts w:ascii="Verdana" w:hAnsi="Verdana" w:cs="Arial"/>
          <w:b/>
          <w:bCs/>
          <w:lang w:val="es-ES" w:eastAsia="es-ES"/>
        </w:rPr>
        <w:t>SEGUNDA:</w:t>
      </w:r>
      <w:r w:rsidRPr="000F6CD5">
        <w:rPr>
          <w:rFonts w:ascii="Verdana" w:hAnsi="Verdana" w:cs="Arial"/>
          <w:lang w:val="es-ES" w:eastAsia="es-ES"/>
        </w:rPr>
        <w:t xml:space="preserve"> Modificar el subnumeral 8.3.8 del del Capítulo II del Título I de la Parte III «</w:t>
      </w:r>
      <w:r w:rsidRPr="000F6CD5">
        <w:rPr>
          <w:rFonts w:ascii="Verdana" w:hAnsi="Verdana" w:cs="Arial"/>
          <w:i/>
          <w:iCs/>
          <w:lang w:val="es-ES" w:eastAsia="es-ES"/>
        </w:rPr>
        <w:t>Reglas particulares de emisión de valores</w:t>
      </w:r>
      <w:r w:rsidRPr="000F6CD5">
        <w:rPr>
          <w:rFonts w:ascii="Verdana" w:hAnsi="Verdana" w:cs="Arial"/>
          <w:lang w:val="es-ES" w:eastAsia="es-ES"/>
        </w:rPr>
        <w:t xml:space="preserve">» de la Circular Básica Jurídica, el cual quedará así:  </w:t>
      </w:r>
    </w:p>
    <w:p w14:paraId="7EEEF66A" w14:textId="77777777" w:rsidR="000F6CD5" w:rsidRPr="000F6CD5" w:rsidRDefault="000F6CD5" w:rsidP="000F6CD5">
      <w:pPr>
        <w:jc w:val="both"/>
        <w:rPr>
          <w:rFonts w:ascii="Verdana" w:hAnsi="Verdana" w:cs="Arial"/>
          <w:lang w:val="es-ES_tradnl" w:eastAsia="es-ES"/>
        </w:rPr>
      </w:pPr>
    </w:p>
    <w:p w14:paraId="30702F67"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8.3.8. Cuarta parte – Certificaciones </w:t>
      </w:r>
    </w:p>
    <w:p w14:paraId="5AD755A9" w14:textId="77777777" w:rsidR="000F6CD5" w:rsidRPr="000F6CD5" w:rsidRDefault="000F6CD5" w:rsidP="000F6CD5">
      <w:pPr>
        <w:ind w:left="284"/>
        <w:jc w:val="both"/>
        <w:rPr>
          <w:rFonts w:ascii="Verdana" w:hAnsi="Verdana" w:cs="Arial"/>
          <w:sz w:val="22"/>
          <w:szCs w:val="22"/>
          <w:lang w:val="es-ES_tradnl" w:eastAsia="es-ES"/>
        </w:rPr>
      </w:pPr>
    </w:p>
    <w:p w14:paraId="11FE2D08"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El prospecto debe incluir una certificación del representante legal del emisor en donde conste que emplearon la debida diligencia en la verificación del contenido del prospecto. De esta manera se certifica la veracidad del prospecto y se manifiesta que no se ha omitido información que pueda afectar la decisión de los futuros inversionistas.</w:t>
      </w:r>
    </w:p>
    <w:p w14:paraId="5F125050" w14:textId="77777777" w:rsidR="000F6CD5" w:rsidRPr="000F6CD5" w:rsidRDefault="000F6CD5" w:rsidP="000F6CD5">
      <w:pPr>
        <w:jc w:val="both"/>
        <w:rPr>
          <w:rFonts w:ascii="Verdana" w:hAnsi="Verdana" w:cs="Arial"/>
          <w:lang w:val="es-ES_tradnl" w:eastAsia="es-ES"/>
        </w:rPr>
      </w:pPr>
    </w:p>
    <w:p w14:paraId="5CA0070B" w14:textId="77777777" w:rsidR="000F6CD5" w:rsidRDefault="000F6CD5" w:rsidP="000F6CD5">
      <w:pPr>
        <w:jc w:val="both"/>
        <w:rPr>
          <w:rFonts w:ascii="Verdana" w:hAnsi="Verdana" w:cs="Arial"/>
          <w:lang w:val="es-ES" w:eastAsia="es-ES"/>
        </w:rPr>
      </w:pPr>
      <w:r w:rsidRPr="000F6CD5">
        <w:rPr>
          <w:rFonts w:ascii="Verdana" w:hAnsi="Verdana" w:cs="Arial"/>
          <w:b/>
          <w:bCs/>
          <w:lang w:val="es-ES_tradnl" w:eastAsia="es-ES"/>
        </w:rPr>
        <w:t>TERCERA</w:t>
      </w:r>
      <w:r w:rsidRPr="000F6CD5">
        <w:rPr>
          <w:rFonts w:ascii="Verdana" w:hAnsi="Verdana" w:cs="Arial"/>
          <w:b/>
          <w:bCs/>
          <w:lang w:val="es-ES" w:eastAsia="es-ES"/>
        </w:rPr>
        <w:t>:</w:t>
      </w:r>
      <w:r w:rsidRPr="000F6CD5">
        <w:rPr>
          <w:rFonts w:ascii="Verdana" w:hAnsi="Verdana" w:cs="Arial"/>
          <w:b/>
          <w:bCs/>
          <w:sz w:val="28"/>
          <w:szCs w:val="28"/>
          <w:lang w:val="es-ES" w:eastAsia="es-ES"/>
        </w:rPr>
        <w:t xml:space="preserve"> </w:t>
      </w:r>
      <w:r w:rsidRPr="000F6CD5">
        <w:rPr>
          <w:rFonts w:ascii="Verdana" w:hAnsi="Verdana" w:cs="Arial"/>
          <w:lang w:val="es-ES" w:eastAsia="es-ES"/>
        </w:rPr>
        <w:t>Reexpedir</w:t>
      </w:r>
      <w:r w:rsidRPr="000F6CD5">
        <w:rPr>
          <w:rFonts w:ascii="Verdana" w:hAnsi="Verdana" w:cs="Arial"/>
          <w:sz w:val="28"/>
          <w:szCs w:val="28"/>
          <w:lang w:val="es-ES" w:eastAsia="es-ES"/>
        </w:rPr>
        <w:t xml:space="preserve"> </w:t>
      </w:r>
      <w:r w:rsidRPr="000F6CD5">
        <w:rPr>
          <w:rFonts w:ascii="Verdana" w:hAnsi="Verdana" w:cs="Arial"/>
          <w:lang w:val="es-ES" w:eastAsia="es-ES"/>
        </w:rPr>
        <w:t>el Capítulo IV del Título II de la Parte III «</w:t>
      </w:r>
      <w:r w:rsidRPr="000F6CD5">
        <w:rPr>
          <w:rFonts w:ascii="Verdana" w:hAnsi="Verdana" w:cs="Arial"/>
          <w:i/>
          <w:iCs/>
          <w:lang w:val="es-ES" w:eastAsia="es-ES"/>
        </w:rPr>
        <w:t>Actividad de asesoría en el mercado de valores»</w:t>
      </w:r>
      <w:r w:rsidRPr="000F6CD5">
        <w:rPr>
          <w:rFonts w:ascii="Verdana" w:hAnsi="Verdana" w:cs="Arial"/>
          <w:lang w:val="es-ES" w:eastAsia="es-ES"/>
        </w:rPr>
        <w:t xml:space="preserve"> de la Circular Básica Jurídica, el cual se encuentra adjunto a la presente Circular.</w:t>
      </w:r>
    </w:p>
    <w:p w14:paraId="1F711666" w14:textId="77777777" w:rsidR="001D1660" w:rsidRDefault="001D1660" w:rsidP="000F6CD5">
      <w:pPr>
        <w:jc w:val="both"/>
        <w:rPr>
          <w:rFonts w:ascii="Verdana" w:hAnsi="Verdana" w:cs="Arial"/>
          <w:lang w:val="es-ES" w:eastAsia="es-ES"/>
        </w:rPr>
      </w:pPr>
    </w:p>
    <w:p w14:paraId="76B8CAA5" w14:textId="77777777" w:rsidR="001D1660" w:rsidRPr="000F6CD5" w:rsidRDefault="001D1660" w:rsidP="001D1660">
      <w:pPr>
        <w:jc w:val="both"/>
        <w:rPr>
          <w:rFonts w:ascii="Verdana" w:hAnsi="Verdana" w:cs="Arial"/>
          <w:lang w:val="es-ES" w:eastAsia="es-ES"/>
        </w:rPr>
      </w:pPr>
      <w:r w:rsidRPr="001D1660">
        <w:rPr>
          <w:rFonts w:ascii="Verdana" w:hAnsi="Verdana" w:cs="Arial"/>
          <w:b/>
          <w:bCs/>
          <w:lang w:val="es-ES" w:eastAsia="es-ES"/>
        </w:rPr>
        <w:t xml:space="preserve">CUARTA: </w:t>
      </w:r>
      <w:r w:rsidRPr="000F6CD5">
        <w:rPr>
          <w:rFonts w:ascii="Verdana" w:hAnsi="Verdana" w:cs="Arial"/>
          <w:lang w:val="es-ES" w:eastAsia="es-ES"/>
        </w:rPr>
        <w:t>Adicionar el Capítulo V al Título II de la Parte III de la Circular Básica Jurídica «</w:t>
      </w:r>
      <w:r w:rsidRPr="000F6CD5">
        <w:rPr>
          <w:rFonts w:ascii="Verdana" w:hAnsi="Verdana" w:cs="Arial"/>
          <w:i/>
          <w:iCs/>
          <w:lang w:val="es-ES" w:eastAsia="es-ES"/>
        </w:rPr>
        <w:t>Formadores de liquidez del mercado de valores</w:t>
      </w:r>
      <w:r w:rsidRPr="000F6CD5">
        <w:rPr>
          <w:rFonts w:ascii="Verdana" w:hAnsi="Verdana" w:cs="Arial"/>
          <w:lang w:val="es-ES" w:eastAsia="es-ES"/>
        </w:rPr>
        <w:t>», el cual se encuentra adjunto a la presente Circular.</w:t>
      </w:r>
    </w:p>
    <w:p w14:paraId="023B261D" w14:textId="77777777" w:rsidR="000F6CD5" w:rsidRPr="000F6CD5" w:rsidRDefault="000F6CD5" w:rsidP="000F6CD5">
      <w:pPr>
        <w:jc w:val="both"/>
        <w:rPr>
          <w:rFonts w:ascii="Verdana" w:hAnsi="Verdana" w:cs="Arial"/>
          <w:lang w:val="es-ES_tradnl" w:eastAsia="es-ES"/>
        </w:rPr>
      </w:pPr>
    </w:p>
    <w:p w14:paraId="3231D657" w14:textId="0E0CB533" w:rsidR="000F6CD5" w:rsidRPr="000F6CD5" w:rsidRDefault="001D1660" w:rsidP="000F6CD5">
      <w:pPr>
        <w:jc w:val="both"/>
        <w:rPr>
          <w:rFonts w:ascii="Verdana" w:hAnsi="Verdana" w:cs="Arial"/>
          <w:lang w:val="es-ES" w:eastAsia="es-ES"/>
        </w:rPr>
      </w:pPr>
      <w:r>
        <w:rPr>
          <w:rFonts w:ascii="Verdana" w:hAnsi="Verdana" w:cs="Arial"/>
          <w:b/>
          <w:lang w:val="es-ES_tradnl" w:eastAsia="es-ES"/>
        </w:rPr>
        <w:t>QUINTA</w:t>
      </w:r>
      <w:r w:rsidR="000F6CD5" w:rsidRPr="000F6CD5">
        <w:rPr>
          <w:rFonts w:ascii="Verdana" w:hAnsi="Verdana" w:cs="Arial"/>
          <w:b/>
          <w:bCs/>
          <w:lang w:val="es-ES" w:eastAsia="es-ES"/>
        </w:rPr>
        <w:t>:</w:t>
      </w:r>
      <w:r w:rsidR="000F6CD5" w:rsidRPr="000F6CD5">
        <w:rPr>
          <w:rFonts w:ascii="Verdana" w:hAnsi="Verdana" w:cs="Arial"/>
          <w:lang w:val="es-ES" w:eastAsia="es-ES"/>
        </w:rPr>
        <w:t xml:space="preserve"> Adicionar el subnumeral 7 al Capítulo I del Título III de la Parte III «</w:t>
      </w:r>
      <w:r w:rsidR="000F6CD5" w:rsidRPr="000F6CD5">
        <w:rPr>
          <w:rFonts w:ascii="Verdana" w:hAnsi="Verdana" w:cs="Arial"/>
          <w:i/>
          <w:lang w:val="es-ES" w:eastAsia="es-ES"/>
        </w:rPr>
        <w:t>Disposiciones especiales aplicables a las operaciones de las sociedades comisionistas de bolsa de valores</w:t>
      </w:r>
      <w:r w:rsidR="000F6CD5" w:rsidRPr="000F6CD5">
        <w:rPr>
          <w:rFonts w:ascii="Verdana" w:hAnsi="Verdana" w:cs="Arial"/>
          <w:lang w:val="es-ES" w:eastAsia="es-ES"/>
        </w:rPr>
        <w:t>» de la Circular Básica Jurídica, el cual quedará así:</w:t>
      </w:r>
    </w:p>
    <w:p w14:paraId="3CF89D1A" w14:textId="77777777" w:rsidR="000F6CD5" w:rsidRPr="000F6CD5" w:rsidRDefault="000F6CD5" w:rsidP="000F6CD5">
      <w:pPr>
        <w:jc w:val="both"/>
        <w:rPr>
          <w:rFonts w:ascii="Verdana" w:hAnsi="Verdana" w:cs="Arial"/>
          <w:bCs/>
          <w:lang w:val="es-ES_tradnl" w:eastAsia="es-ES"/>
        </w:rPr>
      </w:pPr>
    </w:p>
    <w:p w14:paraId="28AFC297" w14:textId="77777777" w:rsidR="000F6CD5" w:rsidRPr="000F6CD5" w:rsidRDefault="000F6CD5" w:rsidP="000F6CD5">
      <w:pPr>
        <w:ind w:left="284"/>
        <w:jc w:val="both"/>
        <w:rPr>
          <w:rFonts w:ascii="Verdana" w:hAnsi="Verdana" w:cs="Arial"/>
          <w:b/>
          <w:sz w:val="22"/>
          <w:szCs w:val="22"/>
          <w:lang w:val="es-ES_tradnl" w:eastAsia="es-ES"/>
        </w:rPr>
      </w:pPr>
      <w:r w:rsidRPr="000F6CD5">
        <w:rPr>
          <w:rFonts w:ascii="Verdana" w:hAnsi="Verdana" w:cs="Arial"/>
          <w:b/>
          <w:sz w:val="22"/>
          <w:szCs w:val="22"/>
          <w:lang w:val="es-ES_tradnl" w:eastAsia="es-ES"/>
        </w:rPr>
        <w:t>7. INSTRUCCIONES GENERALES DE INVERSIÓN</w:t>
      </w:r>
    </w:p>
    <w:p w14:paraId="79C8F404" w14:textId="77777777" w:rsidR="000F6CD5" w:rsidRPr="000F6CD5" w:rsidRDefault="000F6CD5" w:rsidP="000F6CD5">
      <w:pPr>
        <w:ind w:left="284"/>
        <w:jc w:val="both"/>
        <w:rPr>
          <w:rFonts w:ascii="Verdana" w:hAnsi="Verdana" w:cs="Arial"/>
          <w:sz w:val="22"/>
          <w:szCs w:val="22"/>
          <w:lang w:val="es-ES_tradnl" w:eastAsia="es-ES"/>
        </w:rPr>
      </w:pPr>
    </w:p>
    <w:p w14:paraId="2D464380"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 xml:space="preserve">De conformidad con el numeral 6 y el parágrafo 3 del artículo 2.9.6.1.2 del Decreto 2555 de 2010, adicionados por el Decreto 1239 de 2024, se entienden como instrucciones generales de inversión aquellas directrices impartidas por un cliente inversionista o un inversionista profesional a la SCBV, con el fin de que esta realice diversas operaciones de adquisición o enajenación de valores, así como operaciones de reporto (repo), transferencia temporal de valores y operaciones simultáneas, sobre valores inscritos en el Registro Nacional de Valores y Emisores (RNVE), o sobre valores extranjeros listados en un sistema de los previstos en el Título 6 del Libro 15 de la Parte 2 del Decreto 2555 de 2010.  </w:t>
      </w:r>
    </w:p>
    <w:p w14:paraId="7B985DB0" w14:textId="77777777" w:rsidR="000F6CD5" w:rsidRPr="000F6CD5" w:rsidRDefault="000F6CD5" w:rsidP="000F6CD5">
      <w:pPr>
        <w:ind w:left="284"/>
        <w:jc w:val="both"/>
        <w:rPr>
          <w:rFonts w:ascii="Verdana" w:hAnsi="Verdana" w:cs="Arial"/>
          <w:sz w:val="22"/>
          <w:szCs w:val="22"/>
          <w:lang w:val="es-ES_tradnl" w:eastAsia="es-ES"/>
        </w:rPr>
      </w:pPr>
    </w:p>
    <w:p w14:paraId="1F4F2120"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7.1. Contenido mínimo </w:t>
      </w:r>
    </w:p>
    <w:p w14:paraId="39B68997" w14:textId="77777777" w:rsidR="000F6CD5" w:rsidRPr="000F6CD5" w:rsidRDefault="000F6CD5" w:rsidP="000F6CD5">
      <w:pPr>
        <w:ind w:left="284"/>
        <w:jc w:val="both"/>
        <w:rPr>
          <w:rFonts w:ascii="Verdana" w:hAnsi="Verdana" w:cs="Arial"/>
          <w:sz w:val="22"/>
          <w:szCs w:val="22"/>
          <w:lang w:val="es-ES_tradnl" w:eastAsia="es-ES"/>
        </w:rPr>
      </w:pPr>
    </w:p>
    <w:p w14:paraId="2AC92BD7"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En ejercicio de las facultades previstas en el numeral 6 del artículo 2.9.6.1.2. del Decreto 2555 de 2010, las instrucciones generales de inversión deben cumplir, como mínimo, con los siguientes criterios:</w:t>
      </w:r>
    </w:p>
    <w:p w14:paraId="02A3A39C" w14:textId="77777777" w:rsidR="000F6CD5" w:rsidRPr="000F6CD5" w:rsidRDefault="000F6CD5" w:rsidP="000F6CD5">
      <w:pPr>
        <w:ind w:left="284"/>
        <w:jc w:val="both"/>
        <w:rPr>
          <w:rFonts w:ascii="Verdana" w:hAnsi="Verdana" w:cs="Arial"/>
          <w:sz w:val="22"/>
          <w:szCs w:val="22"/>
          <w:lang w:val="es-ES_tradnl" w:eastAsia="es-ES"/>
        </w:rPr>
      </w:pPr>
    </w:p>
    <w:p w14:paraId="5AC85C9B"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Incluir el tipo de valores sobre los cuales se ejecutarán las operaciones. Las SCBV pueden ofrecer a sus clientes la posibilidad de establecer porcentajes para la distribución del portafolio en diferentes tipos de valores. Adicionalmente, se debe especificar si la instrucción general cobija la reinversión de sumas de dinero o rendimientos del cliente. </w:t>
      </w:r>
    </w:p>
    <w:p w14:paraId="53958458" w14:textId="77777777" w:rsidR="000F6CD5" w:rsidRPr="000F6CD5" w:rsidRDefault="000F6CD5" w:rsidP="000F6CD5">
      <w:pPr>
        <w:ind w:left="709" w:hanging="425"/>
        <w:jc w:val="both"/>
        <w:rPr>
          <w:rFonts w:ascii="Verdana" w:hAnsi="Verdana" w:cs="Arial"/>
          <w:sz w:val="22"/>
          <w:szCs w:val="22"/>
          <w:lang w:val="es-ES_tradnl" w:eastAsia="es-ES"/>
        </w:rPr>
      </w:pPr>
    </w:p>
    <w:p w14:paraId="2A03133D"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Indicar las operaciones que se autoriza realizar a la SCBV, incluyendo operaciones de contado, de reporto, simultaneas o de transferencia temporal de valores, según lo acordado entre las partes. </w:t>
      </w:r>
    </w:p>
    <w:p w14:paraId="5305DAE2" w14:textId="77777777" w:rsidR="000F6CD5" w:rsidRPr="000F6CD5" w:rsidRDefault="000F6CD5" w:rsidP="000F6CD5">
      <w:pPr>
        <w:jc w:val="both"/>
        <w:rPr>
          <w:rFonts w:ascii="Verdana" w:hAnsi="Verdana" w:cs="Arial"/>
          <w:sz w:val="22"/>
          <w:szCs w:val="22"/>
          <w:lang w:val="es-ES_tradnl" w:eastAsia="es-ES"/>
        </w:rPr>
      </w:pPr>
    </w:p>
    <w:p w14:paraId="22AAF422"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Establecer de manera expresa la posibilidad de utilizar las inversiones del portafolio para participar en programas de préstamo recurrente de valores, según lo acordado entre las partes. En caso afirmativo, se debe establecer el porcentaje del portafolio del cliente que se destinará a los programas de préstamo recurrente de valores. </w:t>
      </w:r>
    </w:p>
    <w:p w14:paraId="136482A3" w14:textId="77777777" w:rsidR="000F6CD5" w:rsidRPr="000F6CD5" w:rsidRDefault="000F6CD5" w:rsidP="000F6CD5">
      <w:pPr>
        <w:ind w:left="709" w:hanging="425"/>
        <w:jc w:val="both"/>
        <w:rPr>
          <w:rFonts w:ascii="Verdana" w:hAnsi="Verdana" w:cs="Arial"/>
          <w:sz w:val="22"/>
          <w:szCs w:val="22"/>
          <w:lang w:val="es-ES_tradnl" w:eastAsia="es-ES"/>
        </w:rPr>
      </w:pPr>
    </w:p>
    <w:p w14:paraId="11F4693B"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Indicar los límites o cualquier tipo de restricciones para la ejecución de las operaciones, incluyendo como mínimo: valores máximos por operación y por tipo de valor. </w:t>
      </w:r>
    </w:p>
    <w:p w14:paraId="6875B0E2" w14:textId="77777777" w:rsidR="000F6CD5" w:rsidRPr="000F6CD5" w:rsidRDefault="000F6CD5" w:rsidP="000F6CD5">
      <w:pPr>
        <w:ind w:left="709" w:hanging="425"/>
        <w:jc w:val="both"/>
        <w:rPr>
          <w:rFonts w:ascii="Verdana" w:hAnsi="Verdana" w:cs="Arial"/>
          <w:sz w:val="22"/>
          <w:szCs w:val="22"/>
          <w:lang w:val="es-ES_tradnl" w:eastAsia="es-ES"/>
        </w:rPr>
      </w:pPr>
    </w:p>
    <w:p w14:paraId="060FADA4"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Fijar la vigencia de las instrucciones generales de inversión. Las SCBV deben abstenerse de ofrecer instrucciones generales de inversión con una vigencia indefinida.</w:t>
      </w:r>
    </w:p>
    <w:p w14:paraId="22851065" w14:textId="77777777" w:rsidR="000F6CD5" w:rsidRPr="000F6CD5" w:rsidRDefault="000F6CD5" w:rsidP="000F6CD5">
      <w:pPr>
        <w:ind w:left="709" w:hanging="425"/>
        <w:jc w:val="both"/>
        <w:rPr>
          <w:rFonts w:ascii="Verdana" w:hAnsi="Verdana" w:cs="Arial"/>
          <w:sz w:val="22"/>
          <w:szCs w:val="22"/>
          <w:lang w:val="es-ES_tradnl" w:eastAsia="es-ES"/>
        </w:rPr>
      </w:pPr>
    </w:p>
    <w:p w14:paraId="65D2C5C9" w14:textId="77777777" w:rsidR="000F6CD5" w:rsidRPr="000F6CD5" w:rsidRDefault="000F6CD5" w:rsidP="000F6CD5">
      <w:pPr>
        <w:numPr>
          <w:ilvl w:val="0"/>
          <w:numId w:val="20"/>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Constar en un medio verificable.</w:t>
      </w:r>
    </w:p>
    <w:p w14:paraId="61FA9AB7" w14:textId="77777777" w:rsidR="000F6CD5" w:rsidRPr="000F6CD5" w:rsidRDefault="000F6CD5" w:rsidP="000F6CD5">
      <w:pPr>
        <w:ind w:left="709" w:hanging="425"/>
        <w:jc w:val="both"/>
        <w:rPr>
          <w:rFonts w:ascii="Verdana" w:hAnsi="Verdana" w:cs="Arial"/>
          <w:sz w:val="22"/>
          <w:szCs w:val="22"/>
          <w:lang w:val="es-ES_tradnl" w:eastAsia="es-ES"/>
        </w:rPr>
      </w:pPr>
    </w:p>
    <w:p w14:paraId="660E517E"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Los organismos de autorregulación del mercado de valores tienen la facultad de establecer elementos adicionales para el contenido mínimo de las instrucciones generales de inversión, así como para la ejecución, seguimiento y control de estas instrucciones y de las operaciones derivadas.  </w:t>
      </w:r>
    </w:p>
    <w:p w14:paraId="4E594802" w14:textId="77777777" w:rsidR="000F6CD5" w:rsidRPr="000F6CD5" w:rsidRDefault="000F6CD5" w:rsidP="000F6CD5">
      <w:pPr>
        <w:ind w:left="284"/>
        <w:jc w:val="both"/>
        <w:rPr>
          <w:rFonts w:ascii="Verdana" w:hAnsi="Verdana" w:cs="Arial"/>
          <w:sz w:val="22"/>
          <w:szCs w:val="22"/>
          <w:lang w:val="es-ES_tradnl" w:eastAsia="es-ES"/>
        </w:rPr>
      </w:pPr>
    </w:p>
    <w:p w14:paraId="522C4A85"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7.2. Deber de información </w:t>
      </w:r>
    </w:p>
    <w:p w14:paraId="0833A956" w14:textId="77777777" w:rsidR="000F6CD5" w:rsidRPr="000F6CD5" w:rsidRDefault="000F6CD5" w:rsidP="000F6CD5">
      <w:pPr>
        <w:ind w:left="284"/>
        <w:jc w:val="both"/>
        <w:rPr>
          <w:rFonts w:ascii="Verdana" w:hAnsi="Verdana" w:cs="Arial"/>
          <w:sz w:val="22"/>
          <w:szCs w:val="22"/>
          <w:lang w:val="es-ES_tradnl" w:eastAsia="es-ES"/>
        </w:rPr>
      </w:pPr>
    </w:p>
    <w:p w14:paraId="40F3F3A0"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7.2.1. Las sociedades comisionistas de bolsa de valores deben informar de manera expresa, clara y comprensible a los clientes, de manera previa al recibimiento de las instrucciones generales de inversión, los siguientes aspectos:</w:t>
      </w:r>
    </w:p>
    <w:p w14:paraId="69D6217B" w14:textId="77777777" w:rsidR="000F6CD5" w:rsidRPr="000F6CD5" w:rsidRDefault="000F6CD5" w:rsidP="000F6CD5">
      <w:pPr>
        <w:ind w:left="284"/>
        <w:jc w:val="both"/>
        <w:rPr>
          <w:rFonts w:ascii="Verdana" w:hAnsi="Verdana" w:cs="Arial"/>
          <w:sz w:val="22"/>
          <w:szCs w:val="22"/>
          <w:lang w:val="es-ES_tradnl" w:eastAsia="es-ES"/>
        </w:rPr>
      </w:pPr>
    </w:p>
    <w:p w14:paraId="56CF5C26" w14:textId="77777777" w:rsidR="000F6CD5" w:rsidRPr="000F6CD5" w:rsidRDefault="000F6CD5" w:rsidP="000F6CD5">
      <w:pPr>
        <w:numPr>
          <w:ilvl w:val="0"/>
          <w:numId w:val="21"/>
        </w:numPr>
        <w:ind w:left="709" w:hanging="425"/>
        <w:contextualSpacing/>
        <w:jc w:val="both"/>
        <w:rPr>
          <w:rFonts w:ascii="Verdana" w:hAnsi="Verdana" w:cs="Arial"/>
          <w:sz w:val="22"/>
          <w:szCs w:val="22"/>
          <w:lang w:val="es-ES" w:eastAsia="es-ES"/>
        </w:rPr>
      </w:pPr>
      <w:r w:rsidRPr="000F6CD5">
        <w:rPr>
          <w:rFonts w:ascii="Verdana" w:hAnsi="Verdana" w:cs="Arial"/>
          <w:sz w:val="22"/>
          <w:szCs w:val="22"/>
          <w:lang w:val="es-ES" w:eastAsia="es-ES"/>
        </w:rPr>
        <w:t xml:space="preserve">El procedimiento para revocar las instrucciones generales de inversión, así como el término dentro del cual el cliente debe avisar a la entidad para la revocatoria de la instrucción general de inversión. </w:t>
      </w:r>
    </w:p>
    <w:p w14:paraId="6C0F104B" w14:textId="77777777" w:rsidR="000F6CD5" w:rsidRPr="000F6CD5" w:rsidRDefault="000F6CD5" w:rsidP="000F6CD5">
      <w:pPr>
        <w:ind w:left="709" w:hanging="425"/>
        <w:jc w:val="both"/>
        <w:rPr>
          <w:rFonts w:ascii="Verdana" w:hAnsi="Verdana" w:cs="Arial"/>
          <w:sz w:val="22"/>
          <w:szCs w:val="22"/>
          <w:lang w:val="es-ES_tradnl" w:eastAsia="es-ES"/>
        </w:rPr>
      </w:pPr>
    </w:p>
    <w:p w14:paraId="18F0FC11" w14:textId="77777777" w:rsidR="000F6CD5" w:rsidRPr="000F6CD5" w:rsidRDefault="000F6CD5" w:rsidP="000F6CD5">
      <w:pPr>
        <w:numPr>
          <w:ilvl w:val="0"/>
          <w:numId w:val="21"/>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Monto y condiciones para la aplicación de comisiones por la ejecución de operaciones derivadas de las instrucciones generales, según lo acordado por las partes. </w:t>
      </w:r>
    </w:p>
    <w:p w14:paraId="7002E486" w14:textId="77777777" w:rsidR="000F6CD5" w:rsidRPr="000F6CD5" w:rsidRDefault="000F6CD5" w:rsidP="000F6CD5">
      <w:pPr>
        <w:ind w:left="709" w:hanging="425"/>
        <w:jc w:val="both"/>
        <w:rPr>
          <w:rFonts w:ascii="Verdana" w:hAnsi="Verdana" w:cs="Arial"/>
          <w:sz w:val="22"/>
          <w:szCs w:val="22"/>
          <w:lang w:val="es-ES_tradnl" w:eastAsia="es-ES"/>
        </w:rPr>
      </w:pPr>
    </w:p>
    <w:p w14:paraId="3A05EC68" w14:textId="77777777" w:rsidR="000F6CD5" w:rsidRPr="000F6CD5" w:rsidRDefault="000F6CD5" w:rsidP="000F6CD5">
      <w:pPr>
        <w:numPr>
          <w:ilvl w:val="0"/>
          <w:numId w:val="21"/>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Procedimiento y plazos máximos para la liquidación y entrega de los activos cuando, por cualquier motivo, se termine la prestación del servicio de administración de valores por parte de la SCBV.</w:t>
      </w:r>
    </w:p>
    <w:p w14:paraId="104B11D9" w14:textId="77777777" w:rsidR="000F6CD5" w:rsidRPr="000F6CD5" w:rsidRDefault="000F6CD5" w:rsidP="000F6CD5">
      <w:pPr>
        <w:ind w:left="284"/>
        <w:jc w:val="both"/>
        <w:rPr>
          <w:rFonts w:ascii="Verdana" w:hAnsi="Verdana" w:cs="Arial"/>
          <w:sz w:val="22"/>
          <w:szCs w:val="22"/>
          <w:lang w:val="es-ES_tradnl" w:eastAsia="es-ES"/>
        </w:rPr>
      </w:pPr>
    </w:p>
    <w:p w14:paraId="2AF870EC"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7.2.2. Las SCBV deben establecer políticas y procedimientos para suministrar información completa, comprensible y veraz a sus clientes sobre la ejecución de las instrucciones generales de inversión en los extractos que remiten a sus inversionistas. </w:t>
      </w:r>
    </w:p>
    <w:p w14:paraId="1810E554" w14:textId="77777777" w:rsidR="000F6CD5" w:rsidRPr="000F6CD5" w:rsidRDefault="000F6CD5" w:rsidP="000F6CD5">
      <w:pPr>
        <w:ind w:left="284"/>
        <w:jc w:val="both"/>
        <w:rPr>
          <w:rFonts w:ascii="Verdana" w:hAnsi="Verdana" w:cs="Arial"/>
          <w:sz w:val="22"/>
          <w:szCs w:val="22"/>
          <w:lang w:val="es-ES_tradnl" w:eastAsia="es-ES"/>
        </w:rPr>
      </w:pPr>
    </w:p>
    <w:p w14:paraId="5B3A87F4"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Sobre el particular, el extracto debe contener, como mínimo, la siguiente información en el periodo de reporte: </w:t>
      </w:r>
    </w:p>
    <w:p w14:paraId="6F7E7D92" w14:textId="77777777" w:rsidR="000F6CD5" w:rsidRPr="000F6CD5" w:rsidRDefault="000F6CD5" w:rsidP="000F6CD5">
      <w:pPr>
        <w:ind w:left="284"/>
        <w:jc w:val="both"/>
        <w:rPr>
          <w:rFonts w:ascii="Verdana" w:hAnsi="Verdana" w:cs="Arial"/>
          <w:sz w:val="22"/>
          <w:szCs w:val="22"/>
          <w:lang w:val="es-ES_tradnl" w:eastAsia="es-ES"/>
        </w:rPr>
      </w:pPr>
    </w:p>
    <w:p w14:paraId="62A43363" w14:textId="77777777" w:rsidR="000F6CD5" w:rsidRPr="000F6CD5" w:rsidRDefault="000F6CD5" w:rsidP="000F6CD5">
      <w:pPr>
        <w:numPr>
          <w:ilvl w:val="0"/>
          <w:numId w:val="22"/>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La composición del portafolio del cliente, incluyendo los valores con su respectivo emisor y su valoración. </w:t>
      </w:r>
    </w:p>
    <w:p w14:paraId="505445CA" w14:textId="77777777" w:rsidR="000F6CD5" w:rsidRPr="000F6CD5" w:rsidRDefault="000F6CD5" w:rsidP="000F6CD5">
      <w:pPr>
        <w:ind w:left="709" w:hanging="425"/>
        <w:jc w:val="both"/>
        <w:rPr>
          <w:rFonts w:ascii="Verdana" w:hAnsi="Verdana" w:cs="Arial"/>
          <w:sz w:val="22"/>
          <w:szCs w:val="22"/>
          <w:lang w:val="es-ES_tradnl" w:eastAsia="es-ES"/>
        </w:rPr>
      </w:pPr>
    </w:p>
    <w:p w14:paraId="4C0634A4" w14:textId="77777777" w:rsidR="000F6CD5" w:rsidRPr="000F6CD5" w:rsidRDefault="000F6CD5" w:rsidP="000F6CD5">
      <w:pPr>
        <w:numPr>
          <w:ilvl w:val="0"/>
          <w:numId w:val="22"/>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Una relación de las operaciones realizadas en virtud de las instrucciones generales de inversión durante el periodo informado. Para el efecto, se debe reportar, como mínimo, la siguiente información por cada operación realizada durante el periodo de reporte:</w:t>
      </w:r>
    </w:p>
    <w:p w14:paraId="251E64C0" w14:textId="77777777" w:rsidR="000F6CD5" w:rsidRPr="000F6CD5" w:rsidRDefault="000F6CD5" w:rsidP="000F6CD5">
      <w:pPr>
        <w:ind w:left="284" w:firstLine="284"/>
        <w:jc w:val="both"/>
        <w:rPr>
          <w:rFonts w:ascii="Verdana" w:hAnsi="Verdana" w:cs="Arial"/>
          <w:sz w:val="22"/>
          <w:szCs w:val="22"/>
          <w:lang w:val="es-ES_tradnl" w:eastAsia="es-ES"/>
        </w:rPr>
      </w:pPr>
    </w:p>
    <w:p w14:paraId="1A0BE62E" w14:textId="77777777" w:rsidR="000F6CD5" w:rsidRPr="000F6CD5" w:rsidRDefault="000F6CD5" w:rsidP="000F6CD5">
      <w:pPr>
        <w:numPr>
          <w:ilvl w:val="0"/>
          <w:numId w:val="23"/>
        </w:numPr>
        <w:ind w:left="1134"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Fecha de la operación </w:t>
      </w:r>
    </w:p>
    <w:p w14:paraId="558A30AD" w14:textId="77777777" w:rsidR="000F6CD5" w:rsidRPr="000F6CD5" w:rsidRDefault="000F6CD5" w:rsidP="000F6CD5">
      <w:pPr>
        <w:numPr>
          <w:ilvl w:val="0"/>
          <w:numId w:val="23"/>
        </w:numPr>
        <w:ind w:left="1134" w:hanging="425"/>
        <w:contextualSpacing/>
        <w:jc w:val="both"/>
        <w:rPr>
          <w:rFonts w:ascii="Verdana" w:hAnsi="Verdana" w:cs="Arial"/>
          <w:sz w:val="22"/>
          <w:szCs w:val="22"/>
          <w:lang w:val="es-ES" w:eastAsia="es-ES"/>
        </w:rPr>
      </w:pPr>
      <w:r w:rsidRPr="000F6CD5">
        <w:rPr>
          <w:rFonts w:ascii="Verdana" w:hAnsi="Verdana" w:cs="Arial"/>
          <w:sz w:val="22"/>
          <w:szCs w:val="22"/>
          <w:lang w:val="es-ES" w:eastAsia="es-ES"/>
        </w:rPr>
        <w:t xml:space="preserve">Descripción de la operación realizada y fecha de cumplimiento de la operación. </w:t>
      </w:r>
    </w:p>
    <w:p w14:paraId="317A3F01" w14:textId="77777777" w:rsidR="000F6CD5" w:rsidRPr="000F6CD5" w:rsidRDefault="000F6CD5" w:rsidP="000F6CD5">
      <w:pPr>
        <w:numPr>
          <w:ilvl w:val="0"/>
          <w:numId w:val="23"/>
        </w:numPr>
        <w:ind w:left="1134"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El tipo de valor</w:t>
      </w:r>
    </w:p>
    <w:p w14:paraId="39CFE141" w14:textId="77777777" w:rsidR="000F6CD5" w:rsidRPr="000F6CD5" w:rsidRDefault="000F6CD5" w:rsidP="000F6CD5">
      <w:pPr>
        <w:numPr>
          <w:ilvl w:val="0"/>
          <w:numId w:val="23"/>
        </w:numPr>
        <w:ind w:left="1134"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Monto en pesos de la operación</w:t>
      </w:r>
    </w:p>
    <w:p w14:paraId="770156EC" w14:textId="77777777" w:rsidR="000F6CD5" w:rsidRPr="000F6CD5" w:rsidRDefault="000F6CD5" w:rsidP="000F6CD5">
      <w:pPr>
        <w:numPr>
          <w:ilvl w:val="0"/>
          <w:numId w:val="23"/>
        </w:numPr>
        <w:ind w:left="1134"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 xml:space="preserve">Cobro de la comisión por la ejecución de las operaciones y/o por la administración de valores </w:t>
      </w:r>
    </w:p>
    <w:p w14:paraId="0970938C" w14:textId="77777777" w:rsidR="000F6CD5" w:rsidRPr="000F6CD5" w:rsidRDefault="000F6CD5" w:rsidP="000F6CD5">
      <w:pPr>
        <w:ind w:left="284"/>
        <w:jc w:val="both"/>
        <w:rPr>
          <w:rFonts w:ascii="Verdana" w:hAnsi="Verdana" w:cs="Arial"/>
          <w:sz w:val="22"/>
          <w:szCs w:val="22"/>
          <w:lang w:val="es-ES_tradnl" w:eastAsia="es-ES"/>
        </w:rPr>
      </w:pPr>
    </w:p>
    <w:p w14:paraId="3ED9266B" w14:textId="77777777" w:rsidR="000F6CD5" w:rsidRPr="000F6CD5" w:rsidRDefault="000F6CD5" w:rsidP="000F6CD5">
      <w:pPr>
        <w:numPr>
          <w:ilvl w:val="0"/>
          <w:numId w:val="22"/>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La rentabilidad neta generada durante el período de reporte. De igual forma, se debe reportar la rentabilidad neta acumulada del cliente durante los 12 meses anteriores a la fecha de corte de la información reportada.</w:t>
      </w:r>
    </w:p>
    <w:p w14:paraId="2BA3B86E" w14:textId="77777777" w:rsidR="000F6CD5" w:rsidRPr="000F6CD5" w:rsidRDefault="000F6CD5" w:rsidP="000F6CD5">
      <w:pPr>
        <w:ind w:left="709"/>
        <w:contextualSpacing/>
        <w:jc w:val="both"/>
        <w:rPr>
          <w:rFonts w:ascii="Verdana" w:hAnsi="Verdana" w:cs="Arial"/>
          <w:sz w:val="22"/>
          <w:szCs w:val="22"/>
          <w:lang w:val="es-ES_tradnl" w:eastAsia="es-ES"/>
        </w:rPr>
      </w:pPr>
    </w:p>
    <w:p w14:paraId="42E71A78" w14:textId="77777777" w:rsidR="000F6CD5" w:rsidRPr="000F6CD5" w:rsidRDefault="000F6CD5" w:rsidP="000F6CD5">
      <w:pPr>
        <w:numPr>
          <w:ilvl w:val="0"/>
          <w:numId w:val="22"/>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El valor de los impuestos y/o retenciones derivadas de la ejecución de las operaciones y de la rentabilidad del portafolio, según aplique.</w:t>
      </w:r>
    </w:p>
    <w:p w14:paraId="36EF4483" w14:textId="77777777" w:rsidR="000F6CD5" w:rsidRPr="000F6CD5" w:rsidRDefault="000F6CD5" w:rsidP="000F6CD5">
      <w:pPr>
        <w:ind w:left="709" w:hanging="425"/>
        <w:contextualSpacing/>
        <w:jc w:val="both"/>
        <w:rPr>
          <w:rFonts w:ascii="Verdana" w:hAnsi="Verdana" w:cs="Arial"/>
          <w:sz w:val="22"/>
          <w:szCs w:val="22"/>
          <w:lang w:val="es-ES_tradnl" w:eastAsia="es-ES"/>
        </w:rPr>
      </w:pPr>
    </w:p>
    <w:p w14:paraId="1424240B" w14:textId="77777777" w:rsidR="000F6CD5" w:rsidRPr="000F6CD5" w:rsidRDefault="000F6CD5" w:rsidP="000F6CD5">
      <w:pPr>
        <w:numPr>
          <w:ilvl w:val="0"/>
          <w:numId w:val="22"/>
        </w:numPr>
        <w:ind w:left="709" w:hanging="425"/>
        <w:contextualSpacing/>
        <w:jc w:val="both"/>
        <w:rPr>
          <w:rFonts w:ascii="Verdana" w:hAnsi="Verdana" w:cs="Arial"/>
          <w:sz w:val="22"/>
          <w:szCs w:val="22"/>
          <w:lang w:val="es-ES_tradnl" w:eastAsia="es-ES"/>
        </w:rPr>
      </w:pPr>
      <w:r w:rsidRPr="000F6CD5">
        <w:rPr>
          <w:rFonts w:ascii="Verdana" w:hAnsi="Verdana" w:cs="Arial"/>
          <w:sz w:val="22"/>
          <w:szCs w:val="22"/>
          <w:lang w:val="es-ES_tradnl" w:eastAsia="es-ES"/>
        </w:rPr>
        <w:t>El valor total del portafolio en pesos:</w:t>
      </w:r>
    </w:p>
    <w:p w14:paraId="4987744A" w14:textId="77777777" w:rsidR="000F6CD5" w:rsidRPr="000F6CD5" w:rsidRDefault="000F6CD5" w:rsidP="000F6CD5">
      <w:pPr>
        <w:jc w:val="both"/>
        <w:rPr>
          <w:rFonts w:ascii="Verdana" w:hAnsi="Verdana" w:cs="Arial"/>
          <w:sz w:val="22"/>
          <w:szCs w:val="22"/>
          <w:lang w:val="es-ES_tradnl" w:eastAsia="es-ES"/>
        </w:rPr>
      </w:pPr>
    </w:p>
    <w:p w14:paraId="6C8520DC" w14:textId="77777777" w:rsidR="000F6CD5" w:rsidRPr="000F6CD5" w:rsidRDefault="000F6CD5" w:rsidP="000F6CD5">
      <w:pPr>
        <w:ind w:left="1134" w:hanging="425"/>
        <w:jc w:val="both"/>
        <w:rPr>
          <w:rFonts w:ascii="Verdana" w:hAnsi="Verdana" w:cs="Arial"/>
          <w:sz w:val="22"/>
          <w:szCs w:val="22"/>
          <w:lang w:val="es-ES" w:eastAsia="es-ES"/>
        </w:rPr>
      </w:pPr>
      <w:r w:rsidRPr="000F6CD5">
        <w:rPr>
          <w:rFonts w:ascii="Verdana" w:hAnsi="Verdana" w:cs="Arial"/>
          <w:sz w:val="22"/>
          <w:szCs w:val="22"/>
          <w:lang w:val="es-ES" w:eastAsia="es-ES"/>
        </w:rPr>
        <w:t>i.</w:t>
      </w:r>
      <w:r w:rsidRPr="000F6CD5">
        <w:rPr>
          <w:sz w:val="22"/>
          <w:szCs w:val="22"/>
          <w:lang w:val="es-ES_tradnl" w:eastAsia="es-ES"/>
        </w:rPr>
        <w:tab/>
      </w:r>
      <w:r w:rsidRPr="000F6CD5">
        <w:rPr>
          <w:rFonts w:ascii="Verdana" w:hAnsi="Verdana" w:cs="Arial"/>
          <w:sz w:val="22"/>
          <w:szCs w:val="22"/>
          <w:lang w:val="es-ES" w:eastAsia="es-ES"/>
        </w:rPr>
        <w:t>Valor inicial del portafolio en el periodo</w:t>
      </w:r>
    </w:p>
    <w:p w14:paraId="4A4A79EE" w14:textId="77777777" w:rsidR="000F6CD5" w:rsidRPr="000F6CD5" w:rsidRDefault="000F6CD5" w:rsidP="000F6CD5">
      <w:pPr>
        <w:ind w:left="1134" w:hanging="425"/>
        <w:jc w:val="both"/>
        <w:rPr>
          <w:rFonts w:ascii="Verdana" w:hAnsi="Verdana" w:cs="Arial"/>
          <w:sz w:val="22"/>
          <w:szCs w:val="22"/>
          <w:lang w:val="es-ES" w:eastAsia="es-ES"/>
        </w:rPr>
      </w:pPr>
      <w:proofErr w:type="spellStart"/>
      <w:r w:rsidRPr="000F6CD5">
        <w:rPr>
          <w:rFonts w:ascii="Verdana" w:hAnsi="Verdana" w:cs="Arial"/>
          <w:sz w:val="22"/>
          <w:szCs w:val="22"/>
          <w:lang w:val="es-ES" w:eastAsia="es-ES"/>
        </w:rPr>
        <w:t>ii</w:t>
      </w:r>
      <w:proofErr w:type="spellEnd"/>
      <w:r w:rsidRPr="000F6CD5">
        <w:rPr>
          <w:rFonts w:ascii="Verdana" w:hAnsi="Verdana" w:cs="Arial"/>
          <w:sz w:val="22"/>
          <w:szCs w:val="22"/>
          <w:lang w:val="es-ES" w:eastAsia="es-ES"/>
        </w:rPr>
        <w:t>.</w:t>
      </w:r>
      <w:r w:rsidRPr="000F6CD5">
        <w:rPr>
          <w:sz w:val="22"/>
          <w:szCs w:val="22"/>
          <w:lang w:val="es-ES_tradnl" w:eastAsia="es-ES"/>
        </w:rPr>
        <w:tab/>
      </w:r>
      <w:r w:rsidRPr="000F6CD5">
        <w:rPr>
          <w:rFonts w:ascii="Verdana" w:hAnsi="Verdana" w:cs="Arial"/>
          <w:sz w:val="22"/>
          <w:szCs w:val="22"/>
          <w:lang w:val="es-ES" w:eastAsia="es-ES"/>
        </w:rPr>
        <w:t>Aportes o retiros realizados por el cliente</w:t>
      </w:r>
    </w:p>
    <w:p w14:paraId="2634696B" w14:textId="77777777" w:rsidR="000F6CD5" w:rsidRPr="000F6CD5" w:rsidRDefault="000F6CD5" w:rsidP="000F6CD5">
      <w:pPr>
        <w:ind w:left="1134" w:hanging="425"/>
        <w:jc w:val="both"/>
        <w:rPr>
          <w:rFonts w:ascii="Verdana" w:hAnsi="Verdana" w:cs="Arial"/>
          <w:sz w:val="22"/>
          <w:szCs w:val="22"/>
          <w:lang w:val="es-ES" w:eastAsia="es-ES"/>
        </w:rPr>
      </w:pPr>
      <w:proofErr w:type="spellStart"/>
      <w:r w:rsidRPr="000F6CD5">
        <w:rPr>
          <w:rFonts w:ascii="Verdana" w:hAnsi="Verdana" w:cs="Arial"/>
          <w:sz w:val="22"/>
          <w:szCs w:val="22"/>
          <w:lang w:val="es-ES" w:eastAsia="es-ES"/>
        </w:rPr>
        <w:t>iii</w:t>
      </w:r>
      <w:proofErr w:type="spellEnd"/>
      <w:r w:rsidRPr="000F6CD5">
        <w:rPr>
          <w:rFonts w:ascii="Verdana" w:hAnsi="Verdana" w:cs="Arial"/>
          <w:sz w:val="22"/>
          <w:szCs w:val="22"/>
          <w:lang w:val="es-ES" w:eastAsia="es-ES"/>
        </w:rPr>
        <w:t>.</w:t>
      </w:r>
      <w:r w:rsidRPr="000F6CD5">
        <w:rPr>
          <w:sz w:val="22"/>
          <w:szCs w:val="22"/>
          <w:lang w:val="es-ES_tradnl" w:eastAsia="es-ES"/>
        </w:rPr>
        <w:tab/>
      </w:r>
      <w:r w:rsidRPr="000F6CD5">
        <w:rPr>
          <w:rFonts w:ascii="Verdana" w:hAnsi="Verdana" w:cs="Arial"/>
          <w:sz w:val="22"/>
          <w:szCs w:val="22"/>
          <w:lang w:val="es-ES" w:eastAsia="es-ES"/>
        </w:rPr>
        <w:t>Valor final del portafolio a la fecha de corte</w:t>
      </w:r>
    </w:p>
    <w:p w14:paraId="43BCEC10" w14:textId="77777777" w:rsidR="000F6CD5" w:rsidRPr="000F6CD5" w:rsidRDefault="000F6CD5" w:rsidP="000F6CD5">
      <w:pPr>
        <w:jc w:val="both"/>
        <w:rPr>
          <w:rFonts w:ascii="Verdana" w:hAnsi="Verdana" w:cs="Arial"/>
          <w:bCs/>
          <w:lang w:val="es-ES_tradnl" w:eastAsia="es-ES"/>
        </w:rPr>
      </w:pPr>
    </w:p>
    <w:p w14:paraId="41B8F283" w14:textId="6F72FF5B" w:rsidR="000F6CD5" w:rsidRPr="000F6CD5" w:rsidRDefault="001D1660" w:rsidP="000F6CD5">
      <w:pPr>
        <w:jc w:val="both"/>
        <w:rPr>
          <w:rFonts w:ascii="Verdana" w:hAnsi="Verdana" w:cs="Arial"/>
          <w:lang w:val="es-ES" w:eastAsia="es-ES"/>
        </w:rPr>
      </w:pPr>
      <w:r>
        <w:rPr>
          <w:rFonts w:ascii="Verdana" w:hAnsi="Verdana" w:cs="Arial"/>
          <w:b/>
          <w:lang w:val="es-ES_tradnl" w:eastAsia="es-ES"/>
        </w:rPr>
        <w:t>SEXTA</w:t>
      </w:r>
      <w:r w:rsidR="000F6CD5" w:rsidRPr="000F6CD5">
        <w:rPr>
          <w:rFonts w:ascii="Verdana" w:hAnsi="Verdana" w:cs="Arial"/>
          <w:b/>
          <w:lang w:val="es-ES" w:eastAsia="es-ES"/>
        </w:rPr>
        <w:t>:</w:t>
      </w:r>
      <w:r w:rsidR="000F6CD5" w:rsidRPr="000F6CD5">
        <w:rPr>
          <w:rFonts w:ascii="Verdana" w:hAnsi="Verdana" w:cs="Arial"/>
          <w:lang w:val="es-ES" w:eastAsia="es-ES"/>
        </w:rPr>
        <w:t xml:space="preserve"> Adicionar el subnumeral 8 al Capítulo I del Título III de la Parte III «</w:t>
      </w:r>
      <w:r w:rsidR="000F6CD5" w:rsidRPr="000F6CD5">
        <w:rPr>
          <w:rFonts w:ascii="Verdana" w:hAnsi="Verdana" w:cs="Arial"/>
          <w:i/>
          <w:lang w:val="es-ES" w:eastAsia="es-ES"/>
        </w:rPr>
        <w:t>Disposiciones especiales aplicables a las operaciones de las sociedades comisionistas de bolsa de valores</w:t>
      </w:r>
      <w:r w:rsidR="000F6CD5" w:rsidRPr="000F6CD5">
        <w:rPr>
          <w:rFonts w:ascii="Verdana" w:hAnsi="Verdana" w:cs="Arial"/>
          <w:lang w:val="es-ES" w:eastAsia="es-ES"/>
        </w:rPr>
        <w:t>» de la Circular Básica Jurídica, el cual quedará así:</w:t>
      </w:r>
    </w:p>
    <w:p w14:paraId="6F3C571D" w14:textId="77777777" w:rsidR="000F6CD5" w:rsidRPr="000F6CD5" w:rsidRDefault="000F6CD5" w:rsidP="000F6CD5">
      <w:pPr>
        <w:jc w:val="both"/>
        <w:rPr>
          <w:rFonts w:ascii="Verdana" w:hAnsi="Verdana" w:cs="Arial"/>
          <w:bCs/>
          <w:lang w:val="es-ES_tradnl" w:eastAsia="es-ES"/>
        </w:rPr>
      </w:pPr>
    </w:p>
    <w:p w14:paraId="78E6F755" w14:textId="77777777" w:rsidR="000F6CD5" w:rsidRPr="000F6CD5" w:rsidRDefault="000F6CD5" w:rsidP="000F6CD5">
      <w:pPr>
        <w:ind w:left="284"/>
        <w:jc w:val="both"/>
        <w:rPr>
          <w:rFonts w:ascii="Verdana" w:hAnsi="Verdana" w:cs="Arial"/>
          <w:b/>
          <w:bCs/>
          <w:spacing w:val="-3"/>
          <w:sz w:val="22"/>
          <w:szCs w:val="22"/>
          <w:lang w:val="es-ES_tradnl" w:eastAsia="es-ES"/>
        </w:rPr>
      </w:pPr>
      <w:r w:rsidRPr="000F6CD5">
        <w:rPr>
          <w:rFonts w:ascii="Verdana" w:hAnsi="Verdana" w:cs="Arial"/>
          <w:b/>
          <w:bCs/>
          <w:spacing w:val="-3"/>
          <w:sz w:val="22"/>
          <w:szCs w:val="22"/>
          <w:lang w:val="es-ES_tradnl" w:eastAsia="es-ES"/>
        </w:rPr>
        <w:t>8. PRÉSTAMO RECURRENTE DE VALORES</w:t>
      </w:r>
    </w:p>
    <w:p w14:paraId="4FAB6533" w14:textId="77777777" w:rsidR="000F6CD5" w:rsidRPr="000F6CD5" w:rsidRDefault="000F6CD5" w:rsidP="000F6CD5">
      <w:pPr>
        <w:ind w:left="284"/>
        <w:jc w:val="both"/>
        <w:rPr>
          <w:rFonts w:ascii="Verdana" w:hAnsi="Verdana" w:cs="Arial"/>
          <w:spacing w:val="-3"/>
          <w:sz w:val="22"/>
          <w:szCs w:val="22"/>
          <w:lang w:val="es-ES_tradnl" w:eastAsia="es-ES"/>
        </w:rPr>
      </w:pPr>
    </w:p>
    <w:p w14:paraId="3F4631DC" w14:textId="77777777" w:rsidR="000E5DD8" w:rsidRDefault="000F6CD5" w:rsidP="000F6CD5">
      <w:pPr>
        <w:ind w:left="284"/>
        <w:jc w:val="both"/>
        <w:rPr>
          <w:rFonts w:ascii="Verdana" w:hAnsi="Verdana" w:cs="Arial"/>
          <w:spacing w:val="-3"/>
          <w:sz w:val="22"/>
          <w:szCs w:val="22"/>
          <w:lang w:val="es-ES" w:eastAsia="es-ES"/>
        </w:rPr>
      </w:pPr>
      <w:r w:rsidRPr="000F6CD5">
        <w:rPr>
          <w:rFonts w:ascii="Verdana" w:hAnsi="Verdana" w:cs="Arial"/>
          <w:spacing w:val="-3"/>
          <w:sz w:val="22"/>
          <w:szCs w:val="22"/>
          <w:lang w:val="es-ES" w:eastAsia="es-ES"/>
        </w:rPr>
        <w:t xml:space="preserve">De conformidad con el artículo 2.9.26.1.1. del Decreto 2555 de 2010, las SCBV están autorizadas para administrar programas de préstamo recurrente de valores inscritos en el RNVE y de valores extranjeros listados en un sistema de los que trata el Título 6 del Libro 15 de la Parte 2 del Decreto 2555 de 2010. </w:t>
      </w:r>
    </w:p>
    <w:p w14:paraId="53EE153D" w14:textId="77777777" w:rsidR="000E5DD8" w:rsidRDefault="000E5DD8" w:rsidP="000F6CD5">
      <w:pPr>
        <w:ind w:left="284"/>
        <w:jc w:val="both"/>
        <w:rPr>
          <w:rFonts w:ascii="Verdana" w:hAnsi="Verdana" w:cs="Arial"/>
          <w:spacing w:val="-3"/>
          <w:sz w:val="22"/>
          <w:szCs w:val="22"/>
          <w:lang w:val="es-ES" w:eastAsia="es-ES"/>
        </w:rPr>
      </w:pPr>
    </w:p>
    <w:p w14:paraId="7D562FF6" w14:textId="02F3897C" w:rsidR="000F6CD5" w:rsidRPr="000F6CD5" w:rsidRDefault="000F6CD5" w:rsidP="000F6CD5">
      <w:pPr>
        <w:ind w:left="284"/>
        <w:jc w:val="both"/>
        <w:rPr>
          <w:rFonts w:ascii="Verdana" w:hAnsi="Verdana" w:cs="Arial"/>
          <w:spacing w:val="-3"/>
          <w:sz w:val="22"/>
          <w:szCs w:val="22"/>
          <w:lang w:val="es-ES" w:eastAsia="es-ES"/>
        </w:rPr>
      </w:pPr>
      <w:r w:rsidRPr="000F6CD5">
        <w:rPr>
          <w:rFonts w:ascii="Verdana" w:hAnsi="Verdana" w:cs="Arial"/>
          <w:spacing w:val="-3"/>
          <w:sz w:val="22"/>
          <w:szCs w:val="22"/>
          <w:lang w:val="es-ES" w:eastAsia="es-ES"/>
        </w:rPr>
        <w:t>Dichos programas podrán ejecutarse de manera continua por cuenta de terceros (con base en órdenes de inversión o instrucciones generales de inversión) o por cuenta propia, para realizar operaciones de transferencia temporal de valores o simultáneas en las bolsas de valores, los sistemas de negociación o en el mercado mostrador.</w:t>
      </w:r>
    </w:p>
    <w:p w14:paraId="6E7AF9C8" w14:textId="77777777" w:rsidR="000F6CD5" w:rsidRPr="000F6CD5" w:rsidRDefault="000F6CD5" w:rsidP="000F6CD5">
      <w:pPr>
        <w:ind w:left="284"/>
        <w:jc w:val="both"/>
        <w:rPr>
          <w:rFonts w:ascii="Verdana" w:hAnsi="Verdana" w:cs="Arial"/>
          <w:spacing w:val="-3"/>
          <w:sz w:val="22"/>
          <w:szCs w:val="22"/>
          <w:lang w:val="es-ES_tradnl" w:eastAsia="es-ES"/>
        </w:rPr>
      </w:pPr>
    </w:p>
    <w:p w14:paraId="7ECD72F3" w14:textId="77777777" w:rsidR="000F6CD5" w:rsidRPr="000F6CD5" w:rsidRDefault="000F6CD5" w:rsidP="000F6CD5">
      <w:pPr>
        <w:ind w:left="284"/>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Para el desarrollo de estas operaciones por cuenta de terceros, las SCBV deberán observar lo dispuesto en el Título 26 del Libro 9 de la Parte 2 del Decreto 2555 de 2010. </w:t>
      </w:r>
    </w:p>
    <w:p w14:paraId="2ABFD9E0" w14:textId="77777777" w:rsidR="000F6CD5" w:rsidRPr="000F6CD5" w:rsidRDefault="000F6CD5" w:rsidP="000F6CD5">
      <w:pPr>
        <w:ind w:left="284"/>
        <w:jc w:val="both"/>
        <w:rPr>
          <w:rFonts w:ascii="Verdana" w:hAnsi="Verdana" w:cs="Arial"/>
          <w:spacing w:val="-3"/>
          <w:sz w:val="22"/>
          <w:szCs w:val="22"/>
          <w:lang w:val="es-ES_tradnl" w:eastAsia="es-ES"/>
        </w:rPr>
      </w:pPr>
    </w:p>
    <w:p w14:paraId="1D163B1F" w14:textId="77777777" w:rsidR="000F6CD5" w:rsidRPr="000F6CD5" w:rsidRDefault="000F6CD5" w:rsidP="000F6CD5">
      <w:pPr>
        <w:ind w:left="284"/>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Adicionalmente, en ejercicio de la facultad prevista en el artículo 2.9.26.1.7 del Decreto 2555 de 2010, las SCBV que realicen </w:t>
      </w:r>
      <w:bookmarkStart w:id="0" w:name="_Hlk200635933"/>
      <w:r w:rsidRPr="000F6CD5">
        <w:rPr>
          <w:rFonts w:ascii="Verdana" w:hAnsi="Verdana" w:cs="Arial"/>
          <w:spacing w:val="-3"/>
          <w:sz w:val="22"/>
          <w:szCs w:val="22"/>
          <w:lang w:val="es-ES_tradnl" w:eastAsia="es-ES"/>
        </w:rPr>
        <w:t xml:space="preserve">operaciones de transferencia temporal de valores o simultáneas por cuenta propia dentro de programas de préstamo recurrente de valores </w:t>
      </w:r>
      <w:bookmarkEnd w:id="0"/>
      <w:r w:rsidRPr="000F6CD5">
        <w:rPr>
          <w:rFonts w:ascii="Verdana" w:hAnsi="Verdana" w:cs="Arial"/>
          <w:spacing w:val="-3"/>
          <w:sz w:val="22"/>
          <w:szCs w:val="22"/>
          <w:lang w:val="es-ES_tradnl" w:eastAsia="es-ES"/>
        </w:rPr>
        <w:t>deberán:</w:t>
      </w:r>
    </w:p>
    <w:p w14:paraId="78E6D871" w14:textId="77777777" w:rsidR="000F6CD5" w:rsidRPr="000F6CD5" w:rsidRDefault="000F6CD5" w:rsidP="000F6CD5">
      <w:pPr>
        <w:ind w:left="709" w:hanging="425"/>
        <w:jc w:val="both"/>
        <w:rPr>
          <w:rFonts w:ascii="Verdana" w:hAnsi="Verdana" w:cs="Arial"/>
          <w:spacing w:val="-3"/>
          <w:sz w:val="22"/>
          <w:szCs w:val="22"/>
          <w:lang w:val="es-ES_tradnl" w:eastAsia="es-ES"/>
        </w:rPr>
      </w:pPr>
    </w:p>
    <w:p w14:paraId="4B0A727E" w14:textId="77777777" w:rsidR="000F6CD5" w:rsidRPr="000F6CD5" w:rsidRDefault="000F6CD5" w:rsidP="000F6CD5">
      <w:pPr>
        <w:numPr>
          <w:ilvl w:val="0"/>
          <w:numId w:val="24"/>
        </w:numPr>
        <w:ind w:left="709" w:hanging="425"/>
        <w:contextualSpacing/>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Establecer límites internos de exposición para controlar la concentración del portafolio con sujeción al </w:t>
      </w:r>
      <w:r w:rsidRPr="000F6CD5">
        <w:rPr>
          <w:rFonts w:ascii="Verdana" w:hAnsi="Verdana" w:cs="Arial"/>
          <w:spacing w:val="-3"/>
          <w:sz w:val="22"/>
          <w:szCs w:val="22"/>
          <w:lang w:eastAsia="es-ES"/>
        </w:rPr>
        <w:t xml:space="preserve">régimen de cupos individuales de crédito previsto en la Sección III del Capítulo XIII-18 de la Circular Básica Contable y Financiera. </w:t>
      </w:r>
    </w:p>
    <w:p w14:paraId="6AD726F5" w14:textId="77777777" w:rsidR="000F6CD5" w:rsidRPr="000F6CD5" w:rsidRDefault="000F6CD5" w:rsidP="000F6CD5">
      <w:pPr>
        <w:ind w:left="709" w:hanging="425"/>
        <w:contextualSpacing/>
        <w:jc w:val="both"/>
        <w:rPr>
          <w:rFonts w:ascii="Verdana" w:hAnsi="Verdana" w:cs="Arial"/>
          <w:spacing w:val="-3"/>
          <w:sz w:val="22"/>
          <w:szCs w:val="22"/>
          <w:lang w:val="es-ES_tradnl" w:eastAsia="es-ES"/>
        </w:rPr>
      </w:pPr>
    </w:p>
    <w:p w14:paraId="5AFE8761" w14:textId="77777777" w:rsidR="000F6CD5" w:rsidRPr="000F6CD5" w:rsidRDefault="000F6CD5" w:rsidP="000F6CD5">
      <w:pPr>
        <w:numPr>
          <w:ilvl w:val="0"/>
          <w:numId w:val="24"/>
        </w:numPr>
        <w:ind w:left="709" w:hanging="425"/>
        <w:contextualSpacing/>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Definir criterios de selección de contrapartes coherentes con las políticas de administración del riesgo de contraparte de la entidad. </w:t>
      </w:r>
    </w:p>
    <w:p w14:paraId="719C702C" w14:textId="77777777" w:rsidR="000F6CD5" w:rsidRPr="000F6CD5" w:rsidRDefault="000F6CD5" w:rsidP="000F6CD5">
      <w:pPr>
        <w:ind w:left="709" w:hanging="425"/>
        <w:contextualSpacing/>
        <w:jc w:val="both"/>
        <w:rPr>
          <w:rFonts w:ascii="Verdana" w:hAnsi="Verdana" w:cs="Arial"/>
          <w:spacing w:val="-3"/>
          <w:sz w:val="22"/>
          <w:szCs w:val="22"/>
          <w:lang w:val="es-ES_tradnl" w:eastAsia="es-ES"/>
        </w:rPr>
      </w:pPr>
    </w:p>
    <w:p w14:paraId="19884352" w14:textId="38FCEC7A" w:rsidR="000F6CD5" w:rsidRPr="000F6CD5" w:rsidRDefault="000F6CD5" w:rsidP="000F6CD5">
      <w:pPr>
        <w:numPr>
          <w:ilvl w:val="0"/>
          <w:numId w:val="24"/>
        </w:numPr>
        <w:ind w:left="709" w:hanging="425"/>
        <w:contextualSpacing/>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Cumplir con el deber de constituir garantías en las operaciones de simultáneas y transferencia temporal de valores</w:t>
      </w:r>
      <w:r w:rsidR="000E5DD8">
        <w:rPr>
          <w:rFonts w:ascii="Verdana" w:hAnsi="Verdana" w:cs="Arial"/>
          <w:spacing w:val="-3"/>
          <w:sz w:val="22"/>
          <w:szCs w:val="22"/>
          <w:lang w:val="es-ES_tradnl" w:eastAsia="es-ES"/>
        </w:rPr>
        <w:t>,</w:t>
      </w:r>
      <w:r w:rsidRPr="000F6CD5">
        <w:rPr>
          <w:rFonts w:ascii="Verdana" w:hAnsi="Verdana" w:cs="Arial"/>
          <w:spacing w:val="-3"/>
          <w:sz w:val="22"/>
          <w:szCs w:val="22"/>
          <w:lang w:val="es-ES_tradnl" w:eastAsia="es-ES"/>
        </w:rPr>
        <w:t xml:space="preserve"> previst</w:t>
      </w:r>
      <w:r w:rsidR="000E5DD8">
        <w:rPr>
          <w:rFonts w:ascii="Verdana" w:hAnsi="Verdana" w:cs="Arial"/>
          <w:spacing w:val="-3"/>
          <w:sz w:val="22"/>
          <w:szCs w:val="22"/>
          <w:lang w:val="es-ES_tradnl" w:eastAsia="es-ES"/>
        </w:rPr>
        <w:t>o</w:t>
      </w:r>
      <w:r w:rsidRPr="000F6CD5">
        <w:rPr>
          <w:rFonts w:ascii="Verdana" w:hAnsi="Verdana" w:cs="Arial"/>
          <w:spacing w:val="-3"/>
          <w:sz w:val="22"/>
          <w:szCs w:val="22"/>
          <w:lang w:val="es-ES_tradnl" w:eastAsia="es-ES"/>
        </w:rPr>
        <w:t xml:space="preserve"> en el Capítulo 2 del Título III del Libro 36 de la Parte 2 del Decreto 2555 de 2010. </w:t>
      </w:r>
    </w:p>
    <w:p w14:paraId="1B8B53AB" w14:textId="77777777" w:rsidR="000F6CD5" w:rsidRPr="000F6CD5" w:rsidRDefault="000F6CD5" w:rsidP="000F6CD5">
      <w:pPr>
        <w:ind w:left="709" w:hanging="425"/>
        <w:contextualSpacing/>
        <w:rPr>
          <w:rFonts w:ascii="Verdana" w:hAnsi="Verdana" w:cs="Arial"/>
          <w:spacing w:val="-3"/>
          <w:sz w:val="22"/>
          <w:szCs w:val="22"/>
          <w:lang w:val="es-ES_tradnl" w:eastAsia="es-ES"/>
        </w:rPr>
      </w:pPr>
    </w:p>
    <w:p w14:paraId="4B158769" w14:textId="77777777" w:rsidR="000F6CD5" w:rsidRPr="000F6CD5" w:rsidRDefault="000F6CD5" w:rsidP="000F6CD5">
      <w:pPr>
        <w:numPr>
          <w:ilvl w:val="0"/>
          <w:numId w:val="24"/>
        </w:numPr>
        <w:ind w:left="709" w:hanging="425"/>
        <w:contextualSpacing/>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Implementar mecanismos de control que permitan evaluar periódicamente la ejecución del programa y el cumplimiento de los límites internos. En consecuencia, el plan anual de auditoría deberá incluir la revisión de los programas de préstamo recurrente de valores.</w:t>
      </w:r>
    </w:p>
    <w:p w14:paraId="13F89B24" w14:textId="77777777" w:rsidR="000F6CD5" w:rsidRPr="000F6CD5" w:rsidRDefault="000F6CD5" w:rsidP="000F6CD5">
      <w:pPr>
        <w:ind w:left="709" w:hanging="425"/>
        <w:contextualSpacing/>
        <w:rPr>
          <w:rFonts w:ascii="Verdana" w:hAnsi="Verdana" w:cs="Arial"/>
          <w:spacing w:val="-3"/>
          <w:sz w:val="22"/>
          <w:szCs w:val="22"/>
          <w:lang w:val="es-ES_tradnl" w:eastAsia="es-ES"/>
        </w:rPr>
      </w:pPr>
    </w:p>
    <w:p w14:paraId="43647F4E" w14:textId="77777777" w:rsidR="000F6CD5" w:rsidRPr="000F6CD5" w:rsidRDefault="000F6CD5" w:rsidP="000F6CD5">
      <w:pPr>
        <w:numPr>
          <w:ilvl w:val="0"/>
          <w:numId w:val="24"/>
        </w:numPr>
        <w:ind w:left="709" w:hanging="425"/>
        <w:contextualSpacing/>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Mantener un registro detallado y trazable de todas las operaciones realizadas por cuenta propia en el marco del programa, el cual deberá estar disponible para la SFC cuando esta lo requiera. </w:t>
      </w:r>
    </w:p>
    <w:p w14:paraId="0174BB44" w14:textId="77777777" w:rsidR="000F6CD5" w:rsidRPr="000F6CD5" w:rsidRDefault="000F6CD5" w:rsidP="000F6CD5">
      <w:pPr>
        <w:ind w:left="284"/>
        <w:contextualSpacing/>
        <w:jc w:val="both"/>
        <w:rPr>
          <w:rFonts w:ascii="Verdana" w:hAnsi="Verdana" w:cs="Arial"/>
          <w:spacing w:val="-3"/>
          <w:sz w:val="22"/>
          <w:szCs w:val="22"/>
          <w:lang w:val="es-ES_tradnl" w:eastAsia="es-ES"/>
        </w:rPr>
      </w:pPr>
    </w:p>
    <w:p w14:paraId="7640D0B4" w14:textId="77777777" w:rsidR="000F6CD5" w:rsidRPr="000F6CD5" w:rsidRDefault="000F6CD5" w:rsidP="000F6CD5">
      <w:pPr>
        <w:ind w:left="284"/>
        <w:jc w:val="both"/>
        <w:rPr>
          <w:rFonts w:ascii="Verdana" w:hAnsi="Verdana" w:cs="Arial"/>
          <w:spacing w:val="-3"/>
          <w:sz w:val="22"/>
          <w:szCs w:val="22"/>
          <w:lang w:val="es-ES_tradnl" w:eastAsia="es-ES"/>
        </w:rPr>
      </w:pPr>
      <w:r w:rsidRPr="000F6CD5">
        <w:rPr>
          <w:rFonts w:ascii="Verdana" w:hAnsi="Verdana" w:cs="Arial"/>
          <w:spacing w:val="-3"/>
          <w:sz w:val="22"/>
          <w:szCs w:val="22"/>
          <w:lang w:val="es-ES_tradnl" w:eastAsia="es-ES"/>
        </w:rPr>
        <w:t xml:space="preserve">Las posturas de las SCBV realizadas por cuenta propia no podrán agregarse con las posturas realizadas por cuenta de terceros. </w:t>
      </w:r>
    </w:p>
    <w:p w14:paraId="2F9381A7" w14:textId="77777777" w:rsidR="000F6CD5" w:rsidRPr="000F6CD5" w:rsidRDefault="000F6CD5" w:rsidP="000F6CD5">
      <w:pPr>
        <w:jc w:val="both"/>
        <w:rPr>
          <w:rFonts w:ascii="Arial" w:hAnsi="Arial" w:cs="Arial"/>
          <w:spacing w:val="-3"/>
          <w:sz w:val="16"/>
          <w:szCs w:val="16"/>
          <w:lang w:val="es-ES_tradnl" w:eastAsia="es-ES"/>
        </w:rPr>
      </w:pPr>
    </w:p>
    <w:p w14:paraId="76DE9320" w14:textId="77777777" w:rsidR="000F6CD5" w:rsidRPr="000F6CD5" w:rsidRDefault="000F6CD5" w:rsidP="000F6CD5">
      <w:pPr>
        <w:jc w:val="both"/>
        <w:rPr>
          <w:rFonts w:ascii="Verdana" w:hAnsi="Verdana" w:cs="Arial"/>
          <w:bCs/>
          <w:lang w:val="es-ES_tradnl" w:eastAsia="es-ES"/>
        </w:rPr>
      </w:pPr>
    </w:p>
    <w:p w14:paraId="53BF2E1B" w14:textId="77777777" w:rsidR="000F6CD5" w:rsidRPr="000F6CD5" w:rsidRDefault="000F6CD5" w:rsidP="000F6CD5">
      <w:pPr>
        <w:jc w:val="both"/>
        <w:rPr>
          <w:rFonts w:ascii="Verdana" w:hAnsi="Verdana" w:cs="Arial"/>
          <w:bCs/>
          <w:lang w:val="es-ES_tradnl" w:eastAsia="es-ES"/>
        </w:rPr>
      </w:pPr>
      <w:r w:rsidRPr="000F6CD5">
        <w:rPr>
          <w:rFonts w:ascii="Verdana" w:hAnsi="Verdana" w:cs="Arial"/>
          <w:b/>
          <w:lang w:val="es-ES_tradnl" w:eastAsia="es-ES"/>
        </w:rPr>
        <w:t>SÉPTIMA</w:t>
      </w:r>
      <w:r w:rsidRPr="000F6CD5">
        <w:rPr>
          <w:rFonts w:ascii="Verdana" w:hAnsi="Verdana" w:cs="Arial"/>
          <w:bCs/>
          <w:lang w:val="es-ES_tradnl" w:eastAsia="es-ES"/>
        </w:rPr>
        <w:t>: Adicionar el numeral 3 al Capítulo I del Título IV de la Parte III «</w:t>
      </w:r>
      <w:r w:rsidRPr="000E5DD8">
        <w:rPr>
          <w:rFonts w:ascii="Verdana" w:hAnsi="Verdana" w:cs="Arial"/>
          <w:bCs/>
          <w:i/>
          <w:iCs/>
          <w:lang w:val="es-ES_tradnl" w:eastAsia="es-ES"/>
        </w:rPr>
        <w:t>Bolsas de valores</w:t>
      </w:r>
      <w:r w:rsidRPr="000F6CD5">
        <w:rPr>
          <w:rFonts w:ascii="Verdana" w:hAnsi="Verdana" w:cs="Arial"/>
          <w:bCs/>
          <w:lang w:val="es-ES_tradnl" w:eastAsia="es-ES"/>
        </w:rPr>
        <w:t>» de la Circular Básica Jurídica, el cual quedará así:</w:t>
      </w:r>
    </w:p>
    <w:p w14:paraId="6858A8D5" w14:textId="77777777" w:rsidR="000F6CD5" w:rsidRPr="000F6CD5" w:rsidRDefault="000F6CD5" w:rsidP="000F6CD5">
      <w:pPr>
        <w:jc w:val="both"/>
        <w:rPr>
          <w:rFonts w:ascii="Verdana" w:hAnsi="Verdana" w:cs="Arial"/>
          <w:bCs/>
          <w:lang w:val="es-ES_tradnl" w:eastAsia="es-ES"/>
        </w:rPr>
      </w:pPr>
    </w:p>
    <w:p w14:paraId="2C51EA37" w14:textId="77777777" w:rsidR="000F6CD5" w:rsidRPr="000F6CD5" w:rsidRDefault="000F6CD5" w:rsidP="000F6CD5">
      <w:pPr>
        <w:widowControl w:val="0"/>
        <w:autoSpaceDE w:val="0"/>
        <w:autoSpaceDN w:val="0"/>
        <w:adjustRightInd w:val="0"/>
        <w:ind w:left="284"/>
        <w:jc w:val="both"/>
        <w:rPr>
          <w:rFonts w:ascii="Verdana" w:eastAsia="MS Mincho" w:hAnsi="Verdana" w:cs="Arial"/>
          <w:b/>
          <w:sz w:val="22"/>
          <w:szCs w:val="22"/>
          <w:lang w:val="es-ES_tradnl" w:eastAsia="es-ES"/>
        </w:rPr>
      </w:pPr>
      <w:r w:rsidRPr="000F6CD5">
        <w:rPr>
          <w:rFonts w:ascii="Verdana" w:eastAsia="MS Mincho" w:hAnsi="Verdana" w:cs="Arial"/>
          <w:b/>
          <w:sz w:val="22"/>
          <w:szCs w:val="22"/>
          <w:lang w:val="es-ES_tradnl" w:eastAsia="es-ES"/>
        </w:rPr>
        <w:t>3. REVELACIÓN DE INFORMACIÓN SOBRE LAS VENTAS EN CORTO</w:t>
      </w:r>
    </w:p>
    <w:p w14:paraId="5D931CF7"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p>
    <w:p w14:paraId="6FCB1987"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3.1. En desarrollo de las facultades previstas en el artículo 2.9.13.1.4 del Decreto 2555 de 2010, las bolsas de valores</w:t>
      </w:r>
      <w:r w:rsidRPr="000F6CD5">
        <w:rPr>
          <w:rFonts w:ascii="Verdana" w:hAnsi="Verdana" w:cs="Arial"/>
          <w:sz w:val="22"/>
          <w:szCs w:val="22"/>
          <w:lang w:val="es-ES_tradnl" w:eastAsia="x-none"/>
        </w:rPr>
        <w:t xml:space="preserve"> d</w:t>
      </w:r>
      <w:r w:rsidRPr="000F6CD5">
        <w:rPr>
          <w:rFonts w:ascii="Verdana" w:eastAsia="MS Mincho" w:hAnsi="Verdana" w:cs="Arial"/>
          <w:sz w:val="22"/>
          <w:szCs w:val="22"/>
          <w:lang w:val="es-ES_tradnl" w:eastAsia="es-ES"/>
        </w:rPr>
        <w:t xml:space="preserve">eben definir en sus reglamentos un mecanismo a través del cual revelen al público, con una periodicidad diaria y mensual, la información agregada de las operaciones de venta en corto, así: </w:t>
      </w:r>
    </w:p>
    <w:p w14:paraId="5D9F3C2A"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p>
    <w:p w14:paraId="40D3F54B"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Periodo de reporte </w:t>
      </w:r>
    </w:p>
    <w:p w14:paraId="1E761684"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Fecha de calce </w:t>
      </w:r>
    </w:p>
    <w:p w14:paraId="334A7862"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nemotécnico que identifica la especie correspondiente</w:t>
      </w:r>
    </w:p>
    <w:p w14:paraId="4AF90471"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número de operaciones marcadas en venta en corto</w:t>
      </w:r>
    </w:p>
    <w:p w14:paraId="4E2C4FC5"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La cantidad negociada</w:t>
      </w:r>
    </w:p>
    <w:p w14:paraId="14FD27EA"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monto negociado</w:t>
      </w:r>
    </w:p>
    <w:p w14:paraId="4EF0EC56"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porcentaje del volumen de ventas en corto en relación con el volumen total del circulante de la especie correspondiente</w:t>
      </w:r>
    </w:p>
    <w:p w14:paraId="0BA77F27"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porcentaje de operaciones en corto en relación con el número de operaciones totales de la especie correspondiente</w:t>
      </w:r>
    </w:p>
    <w:p w14:paraId="33C5C1D4"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porcentaje de los valores negociados en corto en relación con el total de valores negociados</w:t>
      </w:r>
    </w:p>
    <w:p w14:paraId="44A9A082" w14:textId="1DB06591"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El porcentaje de valores negociados en corto en relación con su proporción respecto del circulante de la respectiva especie </w:t>
      </w:r>
    </w:p>
    <w:p w14:paraId="3A7F616F" w14:textId="5A08C668"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El número total de valores marcados como venta en corto y su proporción respecto del circulante de la respectiva especie </w:t>
      </w:r>
    </w:p>
    <w:p w14:paraId="43C9C0BB"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El precio promedio de las operaciones negociadas de contado</w:t>
      </w:r>
    </w:p>
    <w:p w14:paraId="2DF3A4DF" w14:textId="77777777" w:rsidR="000F6CD5" w:rsidRPr="000F6CD5" w:rsidRDefault="000F6CD5" w:rsidP="000F6CD5">
      <w:pPr>
        <w:widowControl w:val="0"/>
        <w:numPr>
          <w:ilvl w:val="0"/>
          <w:numId w:val="25"/>
        </w:numPr>
        <w:autoSpaceDE w:val="0"/>
        <w:autoSpaceDN w:val="0"/>
        <w:adjustRightInd w:val="0"/>
        <w:ind w:left="709" w:hanging="425"/>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El precio de referencia de las operaciones marcadas en venta en corto </w:t>
      </w:r>
    </w:p>
    <w:p w14:paraId="7708B7CE" w14:textId="77777777" w:rsidR="000F6CD5" w:rsidRPr="000F6CD5" w:rsidRDefault="000F6CD5" w:rsidP="000F6CD5">
      <w:pPr>
        <w:widowControl w:val="0"/>
        <w:autoSpaceDE w:val="0"/>
        <w:autoSpaceDN w:val="0"/>
        <w:adjustRightInd w:val="0"/>
        <w:ind w:left="284"/>
        <w:jc w:val="both"/>
        <w:rPr>
          <w:rFonts w:ascii="Verdana" w:eastAsia="MS Mincho" w:hAnsi="Verdana" w:cs="Arial"/>
          <w:strike/>
          <w:sz w:val="22"/>
          <w:szCs w:val="22"/>
          <w:lang w:val="es-ES_tradnl" w:eastAsia="es-ES"/>
        </w:rPr>
      </w:pPr>
    </w:p>
    <w:p w14:paraId="24804DE7"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La información de que trata el numeral 3 del presente Capítulo debe publicarse en un formato abierto y descargable, y debe ser de fácil acceso, así como contar con la información histórica de los últimos 2 años.</w:t>
      </w:r>
    </w:p>
    <w:p w14:paraId="69395854"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p>
    <w:p w14:paraId="57FE7E4F" w14:textId="77777777" w:rsidR="000F6CD5" w:rsidRPr="000F6CD5" w:rsidRDefault="000F6CD5" w:rsidP="000F6CD5">
      <w:pPr>
        <w:widowControl w:val="0"/>
        <w:autoSpaceDE w:val="0"/>
        <w:autoSpaceDN w:val="0"/>
        <w:adjustRightInd w:val="0"/>
        <w:ind w:left="284"/>
        <w:jc w:val="both"/>
        <w:rPr>
          <w:rFonts w:ascii="Verdana" w:eastAsia="MS Mincho" w:hAnsi="Verdana" w:cs="Arial"/>
          <w:sz w:val="22"/>
          <w:szCs w:val="22"/>
          <w:lang w:val="es-ES_tradnl" w:eastAsia="es-ES"/>
        </w:rPr>
      </w:pPr>
      <w:r w:rsidRPr="000F6CD5">
        <w:rPr>
          <w:rFonts w:ascii="Verdana" w:eastAsia="MS Mincho" w:hAnsi="Verdana" w:cs="Arial"/>
          <w:sz w:val="22"/>
          <w:szCs w:val="22"/>
          <w:lang w:val="es-ES_tradnl" w:eastAsia="es-ES"/>
        </w:rPr>
        <w:t xml:space="preserve">La información individual y agregada de las operaciones efectuadas en venta en corto debe estar a disposición de la SFC para su consulta en cualquier momento. </w:t>
      </w:r>
    </w:p>
    <w:p w14:paraId="594076D6" w14:textId="77777777" w:rsidR="000F6CD5" w:rsidRPr="000F6CD5" w:rsidRDefault="000F6CD5" w:rsidP="000F6CD5">
      <w:pPr>
        <w:jc w:val="both"/>
        <w:rPr>
          <w:rFonts w:ascii="Verdana" w:hAnsi="Verdana" w:cs="Arial"/>
          <w:bCs/>
          <w:lang w:val="es-ES_tradnl" w:eastAsia="es-ES"/>
        </w:rPr>
      </w:pPr>
    </w:p>
    <w:p w14:paraId="191BDD4A" w14:textId="77777777" w:rsidR="000F6CD5" w:rsidRPr="000F6CD5" w:rsidRDefault="000F6CD5" w:rsidP="000F6CD5">
      <w:pPr>
        <w:jc w:val="both"/>
        <w:rPr>
          <w:rFonts w:ascii="Verdana" w:hAnsi="Verdana" w:cs="Arial"/>
          <w:bCs/>
          <w:lang w:val="es-ES_tradnl" w:eastAsia="es-ES"/>
        </w:rPr>
      </w:pPr>
      <w:r w:rsidRPr="000F6CD5">
        <w:rPr>
          <w:rFonts w:ascii="Verdana" w:hAnsi="Verdana" w:cs="Arial"/>
          <w:b/>
          <w:lang w:val="es-ES_tradnl" w:eastAsia="es-ES"/>
        </w:rPr>
        <w:t>OCTAVA</w:t>
      </w:r>
      <w:r w:rsidRPr="000F6CD5">
        <w:rPr>
          <w:rFonts w:ascii="Verdana" w:hAnsi="Verdana" w:cs="Arial"/>
          <w:bCs/>
          <w:lang w:val="es-ES_tradnl" w:eastAsia="es-ES"/>
        </w:rPr>
        <w:t>: Adicionar el numeral 2 al Capítulo III del Título IV de la Parte III de la Circular Básica Jurídica «</w:t>
      </w:r>
      <w:r w:rsidRPr="000F6CD5">
        <w:rPr>
          <w:rFonts w:ascii="Verdana" w:hAnsi="Verdana" w:cs="Arial"/>
          <w:bCs/>
          <w:i/>
          <w:iCs/>
          <w:lang w:val="es-ES_tradnl" w:eastAsia="es-ES"/>
        </w:rPr>
        <w:t>Sociedades administradoras de sistemas de negociación de valores y sistemas de registro de operaciones sobre valores</w:t>
      </w:r>
      <w:r w:rsidRPr="000F6CD5">
        <w:rPr>
          <w:rFonts w:ascii="Verdana" w:hAnsi="Verdana" w:cs="Arial"/>
          <w:bCs/>
          <w:lang w:val="es-ES_tradnl" w:eastAsia="es-ES"/>
        </w:rPr>
        <w:t>», el cual quedará así:</w:t>
      </w:r>
    </w:p>
    <w:p w14:paraId="5D0528C9" w14:textId="77777777" w:rsidR="000F6CD5" w:rsidRPr="000F6CD5" w:rsidRDefault="000F6CD5" w:rsidP="000F6CD5">
      <w:pPr>
        <w:jc w:val="both"/>
        <w:rPr>
          <w:rFonts w:ascii="Verdana" w:hAnsi="Verdana" w:cs="Arial"/>
          <w:bCs/>
          <w:lang w:val="es-ES_tradnl" w:eastAsia="es-ES"/>
        </w:rPr>
      </w:pPr>
    </w:p>
    <w:p w14:paraId="29FA9D1C" w14:textId="77777777" w:rsidR="000F6CD5" w:rsidRPr="000F6CD5" w:rsidRDefault="000F6CD5" w:rsidP="000F6CD5">
      <w:pPr>
        <w:ind w:left="284"/>
        <w:jc w:val="both"/>
        <w:rPr>
          <w:rFonts w:ascii="Verdana" w:hAnsi="Verdana" w:cs="Arial"/>
          <w:b/>
          <w:sz w:val="22"/>
          <w:szCs w:val="22"/>
          <w:lang w:val="es-ES_tradnl" w:eastAsia="es-ES"/>
        </w:rPr>
      </w:pPr>
      <w:r w:rsidRPr="000F6CD5">
        <w:rPr>
          <w:rFonts w:ascii="Verdana" w:hAnsi="Verdana" w:cs="Arial"/>
          <w:b/>
          <w:sz w:val="22"/>
          <w:szCs w:val="22"/>
          <w:lang w:val="es-ES_tradnl" w:eastAsia="es-ES"/>
        </w:rPr>
        <w:t>2. REVELACIÓN DE INFORMACIÓN SOBRE LAS VENTAS EN CORTO</w:t>
      </w:r>
    </w:p>
    <w:p w14:paraId="0E69F8D7" w14:textId="77777777" w:rsidR="000F6CD5" w:rsidRPr="000F6CD5" w:rsidRDefault="000F6CD5" w:rsidP="000F6CD5">
      <w:pPr>
        <w:ind w:left="284"/>
        <w:jc w:val="both"/>
        <w:rPr>
          <w:rFonts w:ascii="Verdana" w:hAnsi="Verdana" w:cs="Arial"/>
          <w:b/>
          <w:sz w:val="22"/>
          <w:szCs w:val="22"/>
          <w:lang w:val="es-ES_tradnl" w:eastAsia="es-ES"/>
        </w:rPr>
      </w:pPr>
    </w:p>
    <w:p w14:paraId="127C1664" w14:textId="77777777" w:rsidR="000F6CD5" w:rsidRPr="000F6CD5" w:rsidRDefault="000F6CD5" w:rsidP="000F6CD5">
      <w:pPr>
        <w:ind w:left="284"/>
        <w:jc w:val="both"/>
        <w:rPr>
          <w:rFonts w:ascii="Verdana" w:hAnsi="Verdana" w:cs="Arial"/>
          <w:sz w:val="22"/>
          <w:szCs w:val="22"/>
          <w:lang w:val="es-ES_tradnl" w:eastAsia="es-ES"/>
        </w:rPr>
      </w:pPr>
      <w:r w:rsidRPr="000F6CD5">
        <w:rPr>
          <w:rFonts w:ascii="Verdana" w:hAnsi="Verdana" w:cs="Arial"/>
          <w:sz w:val="22"/>
          <w:szCs w:val="22"/>
          <w:lang w:val="es-ES_tradnl" w:eastAsia="es-ES"/>
        </w:rPr>
        <w:t>Para efectos de la revelación de información sobre las ventas en corto a la que se refiere el artículo 2.9.13.1.4 del Decreto 2555 de 2010, los sistemas de negociación y registro de valores deben atender lo establecido en el numeral 3 del Capítulo I del Título IV de la Parte III de la presente Circular.</w:t>
      </w:r>
    </w:p>
    <w:p w14:paraId="3D73BC57" w14:textId="77777777" w:rsidR="000F6CD5" w:rsidRPr="000F6CD5" w:rsidRDefault="000F6CD5" w:rsidP="000F6CD5">
      <w:pPr>
        <w:jc w:val="both"/>
        <w:rPr>
          <w:rFonts w:ascii="Verdana" w:hAnsi="Verdana" w:cs="Arial"/>
          <w:bCs/>
          <w:lang w:val="es-ES_tradnl" w:eastAsia="es-ES"/>
        </w:rPr>
      </w:pPr>
    </w:p>
    <w:p w14:paraId="1C0D306C" w14:textId="77777777" w:rsidR="000F6CD5" w:rsidRPr="000F6CD5" w:rsidRDefault="000F6CD5" w:rsidP="000F6CD5">
      <w:pPr>
        <w:jc w:val="both"/>
        <w:rPr>
          <w:rFonts w:ascii="Verdana" w:hAnsi="Verdana" w:cs="Arial"/>
          <w:lang w:val="es-ES" w:eastAsia="es-ES"/>
        </w:rPr>
      </w:pPr>
      <w:r w:rsidRPr="000F6CD5">
        <w:rPr>
          <w:rFonts w:ascii="Verdana" w:hAnsi="Verdana" w:cs="Arial"/>
          <w:b/>
          <w:bCs/>
          <w:lang w:val="es-ES" w:eastAsia="es-ES"/>
        </w:rPr>
        <w:t>NOVENA</w:t>
      </w:r>
      <w:r w:rsidRPr="000F6CD5">
        <w:rPr>
          <w:rFonts w:ascii="Verdana" w:hAnsi="Verdana" w:cs="Arial"/>
          <w:lang w:val="es-ES" w:eastAsia="es-ES"/>
        </w:rPr>
        <w:t>: Modificar el subnumeral 13.2. del Capítulo VI del Título IV de la Parte III «Custodios de valores» de la Circular Básica Jurídica, el cual quedará así:</w:t>
      </w:r>
    </w:p>
    <w:p w14:paraId="41075868" w14:textId="77777777" w:rsidR="000F6CD5" w:rsidRPr="000F6CD5" w:rsidRDefault="000F6CD5" w:rsidP="000F6CD5">
      <w:pPr>
        <w:jc w:val="both"/>
        <w:rPr>
          <w:rFonts w:ascii="Verdana" w:hAnsi="Verdana" w:cs="Arial"/>
          <w:lang w:val="es-ES" w:eastAsia="es-ES"/>
        </w:rPr>
      </w:pPr>
    </w:p>
    <w:p w14:paraId="51D757F6" w14:textId="77777777" w:rsidR="000F6CD5" w:rsidRPr="000F6CD5" w:rsidRDefault="000F6CD5" w:rsidP="000F6CD5">
      <w:pPr>
        <w:ind w:left="284"/>
        <w:jc w:val="both"/>
        <w:rPr>
          <w:rFonts w:ascii="Verdana" w:hAnsi="Verdana" w:cs="Arial"/>
          <w:b/>
          <w:bCs/>
          <w:sz w:val="22"/>
          <w:szCs w:val="22"/>
          <w:lang w:val="es-ES" w:eastAsia="es-ES"/>
        </w:rPr>
      </w:pPr>
      <w:r w:rsidRPr="000F6CD5">
        <w:rPr>
          <w:rFonts w:ascii="Verdana" w:hAnsi="Verdana" w:cs="Arial"/>
          <w:b/>
          <w:bCs/>
          <w:sz w:val="22"/>
          <w:szCs w:val="22"/>
          <w:lang w:val="es-ES" w:eastAsia="es-ES"/>
        </w:rPr>
        <w:t>13.2. Custodia de valores que integran los portafolios de otros vehículos de inversión y/o negocios de administración de activos de terceros</w:t>
      </w:r>
    </w:p>
    <w:p w14:paraId="4D564B76" w14:textId="77777777" w:rsidR="000F6CD5" w:rsidRPr="000F6CD5" w:rsidRDefault="000F6CD5" w:rsidP="000F6CD5">
      <w:pPr>
        <w:ind w:left="284"/>
        <w:jc w:val="both"/>
        <w:rPr>
          <w:rFonts w:ascii="Verdana" w:hAnsi="Verdana" w:cs="Arial"/>
          <w:sz w:val="22"/>
          <w:szCs w:val="22"/>
          <w:lang w:val="es-ES" w:eastAsia="es-ES"/>
        </w:rPr>
      </w:pPr>
    </w:p>
    <w:p w14:paraId="0299D892"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Es la actividad en la cual el custodio de valores ejerce el cuidado y la vigilancia de los valores y recursos en dinero de vehículos de inversión y/o negocios de administración de activos de terceros, diferentes a FIC, para el cumplimiento de operaciones sobre dichos valores.</w:t>
      </w:r>
    </w:p>
    <w:p w14:paraId="6315FF53" w14:textId="77777777" w:rsidR="000F6CD5" w:rsidRPr="000F6CD5" w:rsidRDefault="000F6CD5" w:rsidP="000F6CD5">
      <w:pPr>
        <w:ind w:left="284"/>
        <w:jc w:val="both"/>
        <w:rPr>
          <w:rFonts w:ascii="Verdana" w:hAnsi="Verdana" w:cs="Arial"/>
          <w:sz w:val="22"/>
          <w:szCs w:val="22"/>
          <w:lang w:val="es-ES" w:eastAsia="es-ES"/>
        </w:rPr>
      </w:pPr>
    </w:p>
    <w:p w14:paraId="5DF10C63"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 xml:space="preserve">En línea con lo establecido en el parágrafo 3 del artículo 3.1.1.6.1 del Decreto 2555 de 2010, los derechos de participación de los FIC abiertos pueden ser objeto de la actividad de custodia. Para el efecto, los custodios deben cumplir con las obligaciones de custodia de valores previstas en el Libro 37 de la Parte 2 del Decreto 2555 de 2010 y el presente Capítulo, en lo que resulte aplicable respecto de la naturaleza de dichas participaciones. </w:t>
      </w:r>
    </w:p>
    <w:p w14:paraId="03751EC4" w14:textId="77777777" w:rsidR="000F6CD5" w:rsidRPr="000F6CD5" w:rsidRDefault="000F6CD5" w:rsidP="000F6CD5">
      <w:pPr>
        <w:jc w:val="both"/>
        <w:rPr>
          <w:rFonts w:ascii="Verdana" w:hAnsi="Verdana" w:cs="Arial"/>
          <w:sz w:val="22"/>
          <w:szCs w:val="22"/>
          <w:lang w:val="es-ES" w:eastAsia="es-ES"/>
        </w:rPr>
      </w:pPr>
    </w:p>
    <w:p w14:paraId="3F29EECA" w14:textId="77777777" w:rsidR="000F6CD5" w:rsidRPr="000F6CD5" w:rsidRDefault="000F6CD5" w:rsidP="000F6CD5">
      <w:pPr>
        <w:jc w:val="both"/>
        <w:rPr>
          <w:rFonts w:ascii="Verdana" w:hAnsi="Verdana" w:cs="Arial"/>
          <w:lang w:val="es-ES" w:eastAsia="es-ES"/>
        </w:rPr>
      </w:pPr>
      <w:r w:rsidRPr="000F6CD5">
        <w:rPr>
          <w:rFonts w:ascii="Verdana" w:hAnsi="Verdana" w:cs="Arial"/>
          <w:b/>
          <w:bCs/>
          <w:lang w:val="es-ES" w:eastAsia="es-ES"/>
        </w:rPr>
        <w:t>DÉCIMA</w:t>
      </w:r>
      <w:r w:rsidRPr="000F6CD5">
        <w:rPr>
          <w:rFonts w:ascii="Verdana" w:hAnsi="Verdana" w:cs="Arial"/>
          <w:b/>
          <w:lang w:val="es-ES" w:eastAsia="es-ES"/>
        </w:rPr>
        <w:t>:</w:t>
      </w:r>
      <w:r w:rsidRPr="000F6CD5">
        <w:rPr>
          <w:rFonts w:ascii="Verdana" w:hAnsi="Verdana" w:cs="Arial"/>
          <w:lang w:val="es-ES" w:eastAsia="es-ES"/>
        </w:rPr>
        <w:t xml:space="preserve"> Modificar el subnumeral 1.4 del Capítulo III del Título V de la Parte III «</w:t>
      </w:r>
      <w:r w:rsidRPr="000F6CD5">
        <w:rPr>
          <w:rFonts w:ascii="Verdana" w:hAnsi="Verdana" w:cs="Arial"/>
          <w:i/>
          <w:lang w:val="es-ES" w:eastAsia="es-ES"/>
        </w:rPr>
        <w:t>Registro Nacional de Profesionales del Mercado de Valores - RNPMV</w:t>
      </w:r>
      <w:r w:rsidRPr="000F6CD5">
        <w:rPr>
          <w:rFonts w:ascii="Verdana" w:hAnsi="Verdana" w:cs="Arial"/>
          <w:lang w:val="es-ES" w:eastAsia="es-ES"/>
        </w:rPr>
        <w:t>»</w:t>
      </w:r>
      <w:r w:rsidRPr="000F6CD5">
        <w:rPr>
          <w:sz w:val="20"/>
          <w:szCs w:val="20"/>
          <w:lang w:val="es-ES_tradnl" w:eastAsia="es-ES"/>
        </w:rPr>
        <w:t xml:space="preserve"> </w:t>
      </w:r>
      <w:r w:rsidRPr="000F6CD5">
        <w:rPr>
          <w:rFonts w:ascii="Verdana" w:hAnsi="Verdana" w:cs="Arial"/>
          <w:lang w:val="es-ES" w:eastAsia="es-ES"/>
        </w:rPr>
        <w:t>de la Circular Básica Jurídica, el cual quedará así:</w:t>
      </w:r>
    </w:p>
    <w:p w14:paraId="46BA8DF4" w14:textId="77777777" w:rsidR="000F6CD5" w:rsidRPr="000F6CD5" w:rsidRDefault="000F6CD5" w:rsidP="000F6CD5">
      <w:pPr>
        <w:jc w:val="both"/>
        <w:rPr>
          <w:rFonts w:ascii="Verdana" w:hAnsi="Verdana" w:cs="Arial"/>
          <w:lang w:val="es-ES" w:eastAsia="es-ES"/>
        </w:rPr>
      </w:pPr>
    </w:p>
    <w:p w14:paraId="7DE4A9EC" w14:textId="77777777" w:rsidR="000F6CD5" w:rsidRPr="000F6CD5" w:rsidRDefault="000F6CD5" w:rsidP="000F6CD5">
      <w:pPr>
        <w:ind w:left="708"/>
        <w:jc w:val="both"/>
        <w:rPr>
          <w:rFonts w:ascii="Verdana" w:hAnsi="Verdana" w:cs="Arial"/>
          <w:sz w:val="22"/>
          <w:szCs w:val="22"/>
          <w:lang w:val="es-ES" w:eastAsia="es-ES"/>
        </w:rPr>
      </w:pPr>
      <w:r w:rsidRPr="000F6CD5">
        <w:rPr>
          <w:rFonts w:ascii="Verdana" w:hAnsi="Verdana" w:cs="Arial"/>
          <w:sz w:val="22"/>
          <w:szCs w:val="22"/>
          <w:lang w:val="es-ES" w:eastAsia="es-ES"/>
        </w:rPr>
        <w:t xml:space="preserve">1.4. Cualquier persona natural que desarrolle la actividad de asesoría en el mercado de valores, así como para la celebración de operaciones de derivados y operaciones sobre valores que se realicen por conducto de una bolsa de bienes y productos agropecuarios, agroindustriales y otros </w:t>
      </w:r>
      <w:proofErr w:type="spellStart"/>
      <w:r w:rsidRPr="000F6CD5">
        <w:rPr>
          <w:rFonts w:ascii="Verdana" w:hAnsi="Verdana" w:cs="Arial"/>
          <w:i/>
          <w:iCs/>
          <w:sz w:val="22"/>
          <w:szCs w:val="22"/>
          <w:lang w:val="es-ES" w:eastAsia="es-ES"/>
        </w:rPr>
        <w:t>commodities</w:t>
      </w:r>
      <w:proofErr w:type="spellEnd"/>
      <w:r w:rsidRPr="000F6CD5">
        <w:rPr>
          <w:rFonts w:ascii="Verdana" w:hAnsi="Verdana" w:cs="Arial"/>
          <w:sz w:val="22"/>
          <w:szCs w:val="22"/>
          <w:lang w:val="es-ES" w:eastAsia="es-ES"/>
        </w:rPr>
        <w:t>.</w:t>
      </w:r>
    </w:p>
    <w:p w14:paraId="4857AC3C" w14:textId="77777777" w:rsidR="000F6CD5" w:rsidRPr="000F6CD5" w:rsidRDefault="000F6CD5" w:rsidP="000F6CD5">
      <w:pPr>
        <w:ind w:left="708"/>
        <w:jc w:val="both"/>
        <w:rPr>
          <w:rFonts w:ascii="Verdana" w:hAnsi="Verdana" w:cs="Arial"/>
          <w:sz w:val="22"/>
          <w:szCs w:val="22"/>
          <w:lang w:val="es-ES" w:eastAsia="es-ES"/>
        </w:rPr>
      </w:pPr>
    </w:p>
    <w:p w14:paraId="66774A0B" w14:textId="77777777" w:rsidR="000F6CD5" w:rsidRPr="000F6CD5" w:rsidRDefault="000F6CD5" w:rsidP="000F6CD5">
      <w:pPr>
        <w:ind w:left="708"/>
        <w:jc w:val="both"/>
        <w:rPr>
          <w:rFonts w:ascii="Verdana" w:hAnsi="Verdana" w:cs="Arial"/>
          <w:sz w:val="22"/>
          <w:szCs w:val="22"/>
          <w:lang w:val="es-ES" w:eastAsia="es-ES"/>
        </w:rPr>
      </w:pPr>
      <w:r w:rsidRPr="000F6CD5">
        <w:rPr>
          <w:rFonts w:ascii="Verdana" w:hAnsi="Verdana" w:cs="Arial"/>
          <w:sz w:val="22"/>
          <w:szCs w:val="22"/>
          <w:lang w:val="es-ES" w:eastAsia="es-ES"/>
        </w:rPr>
        <w:t>Estas personas corresponden a aquellas que se encuentran autorizadas por la entidad vigilada o vinculadas a cualquier título a otra persona jurídica que la entidad vigilada contrate para estos propósitos.</w:t>
      </w:r>
    </w:p>
    <w:p w14:paraId="09607672" w14:textId="77777777" w:rsidR="000F6CD5" w:rsidRPr="000F6CD5" w:rsidRDefault="000F6CD5" w:rsidP="000F6CD5">
      <w:pPr>
        <w:jc w:val="both"/>
        <w:rPr>
          <w:rFonts w:ascii="Verdana" w:hAnsi="Verdana" w:cs="Arial"/>
          <w:sz w:val="22"/>
          <w:szCs w:val="22"/>
          <w:lang w:val="es-ES" w:eastAsia="es-ES"/>
        </w:rPr>
      </w:pPr>
    </w:p>
    <w:p w14:paraId="54AC9CD9" w14:textId="77777777" w:rsidR="000F6CD5" w:rsidRPr="000F6CD5" w:rsidRDefault="000F6CD5" w:rsidP="000F6CD5">
      <w:pPr>
        <w:ind w:left="708"/>
        <w:jc w:val="both"/>
        <w:rPr>
          <w:rFonts w:ascii="Verdana" w:hAnsi="Verdana" w:cs="Arial"/>
          <w:lang w:val="es-ES" w:eastAsia="es-ES"/>
        </w:rPr>
      </w:pPr>
      <w:r w:rsidRPr="000F6CD5">
        <w:rPr>
          <w:rFonts w:ascii="Verdana" w:hAnsi="Verdana" w:cs="Arial"/>
          <w:sz w:val="22"/>
          <w:szCs w:val="22"/>
          <w:lang w:val="es-ES" w:eastAsia="es-ES"/>
        </w:rPr>
        <w:t>No están incluidos en esta categoría las personas cuya labor comercial se límite a la entrega de información sobre alternativas de inversión o a poner a disposición de los inversionistas las herramientas tecnológicas de que disponga la entidad para el suministro de recomendaciones profesionales, siempre y cuando estas personas no desarrollen la actividad de asesoría en el mercado de valores. Tampoco están incluidos los corresponsales no bancarios, los corresponsales no bursátiles ni los asesores comerciales que promuevan la compra y/o venta de CDT ni CDAT.</w:t>
      </w:r>
    </w:p>
    <w:p w14:paraId="7D0A1BD4" w14:textId="77777777" w:rsidR="000F6CD5" w:rsidRPr="000F6CD5" w:rsidRDefault="000F6CD5" w:rsidP="000F6CD5">
      <w:pPr>
        <w:jc w:val="both"/>
        <w:rPr>
          <w:rFonts w:ascii="Verdana" w:hAnsi="Verdana" w:cs="Arial"/>
          <w:lang w:val="es-ES" w:eastAsia="es-ES"/>
        </w:rPr>
      </w:pPr>
    </w:p>
    <w:p w14:paraId="07DA7C8B" w14:textId="77777777" w:rsidR="000F6CD5" w:rsidRPr="000F6CD5" w:rsidRDefault="000F6CD5" w:rsidP="000F6CD5">
      <w:pPr>
        <w:jc w:val="both"/>
        <w:rPr>
          <w:rFonts w:ascii="Verdana" w:hAnsi="Verdana" w:cs="Arial"/>
          <w:lang w:val="es-ES" w:eastAsia="es-ES"/>
        </w:rPr>
      </w:pPr>
      <w:r w:rsidRPr="000F6CD5">
        <w:rPr>
          <w:rFonts w:ascii="Verdana" w:hAnsi="Verdana" w:cs="Arial"/>
          <w:b/>
          <w:bCs/>
          <w:lang w:val="es-ES" w:eastAsia="es-ES"/>
        </w:rPr>
        <w:t>DÉCIMA PRIMERA</w:t>
      </w:r>
      <w:r w:rsidRPr="000F6CD5">
        <w:rPr>
          <w:rFonts w:ascii="Verdana" w:hAnsi="Verdana" w:cs="Arial"/>
          <w:lang w:val="es-ES" w:eastAsia="es-ES"/>
        </w:rPr>
        <w:t>: Modificar el subnumeral 2 del Capítulo V del Título VI de la Parte III «</w:t>
      </w:r>
      <w:r w:rsidRPr="000F6CD5">
        <w:rPr>
          <w:rFonts w:ascii="Verdana" w:hAnsi="Verdana" w:cs="Arial"/>
          <w:i/>
          <w:lang w:val="es-ES" w:eastAsia="es-ES"/>
        </w:rPr>
        <w:t>Distribución de fondos de inversión colectiva</w:t>
      </w:r>
      <w:r w:rsidRPr="000F6CD5">
        <w:rPr>
          <w:rFonts w:ascii="Verdana" w:hAnsi="Verdana" w:cs="Arial"/>
          <w:lang w:val="es-ES" w:eastAsia="es-ES"/>
        </w:rPr>
        <w:t>» de la Circular Básica Jurídica, el cual quedará así:</w:t>
      </w:r>
    </w:p>
    <w:p w14:paraId="63E8A2F5" w14:textId="77777777" w:rsidR="000F6CD5" w:rsidRPr="000F6CD5" w:rsidRDefault="000F6CD5" w:rsidP="000F6CD5">
      <w:pPr>
        <w:jc w:val="both"/>
        <w:rPr>
          <w:rFonts w:ascii="Verdana" w:hAnsi="Verdana" w:cs="Arial"/>
          <w:lang w:val="es-ES" w:eastAsia="es-ES"/>
        </w:rPr>
      </w:pPr>
    </w:p>
    <w:p w14:paraId="6EC06F43" w14:textId="77777777" w:rsidR="000F6CD5" w:rsidRPr="000F6CD5" w:rsidRDefault="000F6CD5" w:rsidP="000F6CD5">
      <w:pPr>
        <w:ind w:left="284"/>
        <w:jc w:val="both"/>
        <w:rPr>
          <w:rFonts w:ascii="Verdana" w:hAnsi="Verdana" w:cs="Arial"/>
          <w:b/>
          <w:bCs/>
          <w:sz w:val="22"/>
          <w:szCs w:val="22"/>
          <w:lang w:val="es-ES" w:eastAsia="es-ES"/>
        </w:rPr>
      </w:pPr>
      <w:r w:rsidRPr="000F6CD5">
        <w:rPr>
          <w:rFonts w:ascii="Verdana" w:hAnsi="Verdana" w:cs="Arial"/>
          <w:b/>
          <w:bCs/>
          <w:sz w:val="22"/>
          <w:szCs w:val="22"/>
          <w:lang w:val="es-ES" w:eastAsia="es-ES"/>
        </w:rPr>
        <w:t>2. DEBER DE ASESORÍA</w:t>
      </w:r>
    </w:p>
    <w:p w14:paraId="67794A82" w14:textId="77777777" w:rsidR="000F6CD5" w:rsidRPr="000F6CD5" w:rsidRDefault="000F6CD5" w:rsidP="000F6CD5">
      <w:pPr>
        <w:ind w:left="284"/>
        <w:jc w:val="both"/>
        <w:rPr>
          <w:rFonts w:ascii="Verdana" w:hAnsi="Verdana" w:cs="Arial"/>
          <w:sz w:val="22"/>
          <w:szCs w:val="22"/>
          <w:lang w:val="es-ES" w:eastAsia="es-ES"/>
        </w:rPr>
      </w:pPr>
    </w:p>
    <w:p w14:paraId="332C5018"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Las entidades que realicen la actividad de distribución de FIC deben dar cumplimiento al deber de asesoría, de conformidad con lo previsto en el artículo 3.1.4.1.3. y el Libro 40 de la Parte 2, ambos del Decreto 2555 de 2010, y en el Capítulo IV del Título II la Parte III de la presente Circular.</w:t>
      </w:r>
    </w:p>
    <w:p w14:paraId="46096DA7" w14:textId="77777777" w:rsidR="000F6CD5" w:rsidRPr="000F6CD5" w:rsidRDefault="000F6CD5" w:rsidP="000F6CD5">
      <w:pPr>
        <w:ind w:left="284"/>
        <w:jc w:val="both"/>
        <w:rPr>
          <w:rFonts w:ascii="Verdana" w:hAnsi="Verdana" w:cs="Arial"/>
          <w:sz w:val="22"/>
          <w:szCs w:val="22"/>
          <w:lang w:val="es-ES" w:eastAsia="es-ES"/>
        </w:rPr>
      </w:pPr>
    </w:p>
    <w:p w14:paraId="72C07DB3"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De acuerdo con lo previsto en el numeral 8 del artículo 2.40.1.2.1 y el inciso segundo del artículo 3.3.2.2.4 del Decreto 2555 de 2010, las sociedades administradoras de fondos de capital privado deben desarrollar la actividad de asesoría, para efectos de lo cual podrán requerir el acompañamiento de la sociedad gestora para la entrega a los inversionistas de información detallada, completa y suficiente sobre los activos o inversiones subyacentes del fondo y sus riesgos asociados, sin que ello implique una delegación de la responsabilidad por la actividad de asesoría.</w:t>
      </w:r>
    </w:p>
    <w:p w14:paraId="5DA33AA8" w14:textId="77777777" w:rsidR="000F6CD5" w:rsidRPr="000F6CD5" w:rsidRDefault="000F6CD5" w:rsidP="000F6CD5">
      <w:pPr>
        <w:jc w:val="both"/>
        <w:rPr>
          <w:rFonts w:ascii="Verdana" w:hAnsi="Verdana" w:cs="Arial"/>
          <w:lang w:val="es-ES_tradnl" w:eastAsia="es-ES"/>
        </w:rPr>
      </w:pPr>
    </w:p>
    <w:p w14:paraId="5A0E17F8" w14:textId="77777777" w:rsidR="000F6CD5" w:rsidRPr="000F6CD5" w:rsidRDefault="000F6CD5" w:rsidP="000F6CD5">
      <w:pPr>
        <w:jc w:val="both"/>
        <w:rPr>
          <w:rFonts w:ascii="Verdana" w:hAnsi="Verdana" w:cs="Arial"/>
          <w:lang w:val="es-ES" w:eastAsia="es-ES"/>
        </w:rPr>
      </w:pPr>
      <w:r w:rsidRPr="000F6CD5">
        <w:rPr>
          <w:rFonts w:ascii="Verdana" w:hAnsi="Verdana" w:cs="Arial"/>
          <w:b/>
          <w:bCs/>
          <w:lang w:val="es-ES" w:eastAsia="es-ES"/>
        </w:rPr>
        <w:t>DÉCIMA SEGUNDA:</w:t>
      </w:r>
      <w:r w:rsidRPr="000F6CD5">
        <w:rPr>
          <w:rFonts w:ascii="Verdana" w:hAnsi="Verdana" w:cs="Arial"/>
          <w:lang w:val="es-ES" w:eastAsia="es-ES"/>
        </w:rPr>
        <w:t xml:space="preserve"> Adicionar el literal d. al subnumeral 1.2. de la Parte II del Capítulo XXXI «</w:t>
      </w:r>
      <w:r w:rsidRPr="000F6CD5">
        <w:rPr>
          <w:rFonts w:ascii="Verdana" w:hAnsi="Verdana" w:cs="Arial"/>
          <w:i/>
          <w:iCs/>
          <w:lang w:val="es-ES" w:eastAsia="es-ES"/>
        </w:rPr>
        <w:t>Sistema Integral de Administración de Riesgos (SIAR)</w:t>
      </w:r>
      <w:r w:rsidRPr="000F6CD5">
        <w:rPr>
          <w:rFonts w:ascii="Verdana" w:hAnsi="Verdana" w:cs="Arial"/>
          <w:lang w:val="es-ES" w:eastAsia="es-ES"/>
        </w:rPr>
        <w:t>» de la Circular Básica Contable y Financiera, el cual quedará así:</w:t>
      </w:r>
    </w:p>
    <w:p w14:paraId="69BA763C" w14:textId="77777777" w:rsidR="000F6CD5" w:rsidRPr="000F6CD5" w:rsidRDefault="000F6CD5" w:rsidP="000F6CD5">
      <w:pPr>
        <w:jc w:val="both"/>
        <w:rPr>
          <w:rFonts w:ascii="Verdana" w:hAnsi="Verdana" w:cs="Arial"/>
          <w:lang w:val="es-ES" w:eastAsia="es-ES"/>
        </w:rPr>
      </w:pPr>
    </w:p>
    <w:p w14:paraId="3156C047"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d. Las sociedades comisionistas de bolsas de valores únicamente sobre las operaciones de financiación de valores. Para el efecto, estas entidades deben aplicar los aspectos relacionados con el deterioro de la cartera, gestión y valoración de garantías, y todos los demás aspectos asociados con la gestión del riesgo de crédito que resulten aplicables a la naturaleza de dichas operaciones.</w:t>
      </w:r>
    </w:p>
    <w:p w14:paraId="681B2D85" w14:textId="77777777" w:rsidR="000F6CD5" w:rsidRPr="000F6CD5" w:rsidRDefault="000F6CD5" w:rsidP="000F6CD5">
      <w:pPr>
        <w:ind w:left="284"/>
        <w:jc w:val="both"/>
        <w:rPr>
          <w:rFonts w:ascii="Verdana" w:hAnsi="Verdana" w:cs="Arial"/>
          <w:sz w:val="22"/>
          <w:szCs w:val="22"/>
          <w:lang w:val="es-ES" w:eastAsia="es-ES"/>
        </w:rPr>
      </w:pPr>
    </w:p>
    <w:p w14:paraId="75AE3D53" w14:textId="77777777" w:rsidR="000F6CD5" w:rsidRPr="000F6CD5" w:rsidRDefault="000F6CD5" w:rsidP="000F6CD5">
      <w:pPr>
        <w:ind w:left="284"/>
        <w:jc w:val="both"/>
        <w:rPr>
          <w:rFonts w:ascii="Verdana" w:hAnsi="Verdana" w:cs="Arial"/>
          <w:sz w:val="22"/>
          <w:szCs w:val="22"/>
          <w:lang w:val="es-ES" w:eastAsia="es-ES"/>
        </w:rPr>
      </w:pPr>
      <w:r w:rsidRPr="000F6CD5">
        <w:rPr>
          <w:rFonts w:ascii="Verdana" w:hAnsi="Verdana" w:cs="Arial"/>
          <w:sz w:val="22"/>
          <w:szCs w:val="22"/>
          <w:lang w:val="es-ES" w:eastAsia="es-ES"/>
        </w:rPr>
        <w:t xml:space="preserve">Las sociedades comisionistas de bolsas de valores deben notificar de forma general a la SFC sobre el inicio de las actividades de financiación de valores, con una antelación de 3 meses al inicio de esta actividad. </w:t>
      </w:r>
    </w:p>
    <w:p w14:paraId="38739C94" w14:textId="77777777" w:rsidR="000F6CD5" w:rsidRPr="000F6CD5" w:rsidRDefault="000F6CD5" w:rsidP="000F6CD5">
      <w:pPr>
        <w:jc w:val="both"/>
        <w:rPr>
          <w:rFonts w:ascii="Verdana" w:hAnsi="Verdana" w:cs="Arial"/>
          <w:bCs/>
          <w:lang w:val="es-ES_tradnl" w:eastAsia="es-ES"/>
        </w:rPr>
      </w:pPr>
    </w:p>
    <w:p w14:paraId="464AA452" w14:textId="77777777" w:rsidR="000F6CD5" w:rsidRPr="000F6CD5" w:rsidRDefault="000F6CD5" w:rsidP="000F6CD5">
      <w:pPr>
        <w:widowControl w:val="0"/>
        <w:autoSpaceDE w:val="0"/>
        <w:autoSpaceDN w:val="0"/>
        <w:adjustRightInd w:val="0"/>
        <w:jc w:val="both"/>
        <w:rPr>
          <w:rFonts w:ascii="Verdana" w:hAnsi="Verdana" w:cs="Arial"/>
          <w:b/>
          <w:bCs/>
          <w:lang w:val="es-ES" w:eastAsia="es-ES"/>
        </w:rPr>
      </w:pPr>
      <w:r w:rsidRPr="000F6CD5">
        <w:rPr>
          <w:rFonts w:ascii="Verdana" w:hAnsi="Verdana" w:cs="Arial"/>
          <w:b/>
          <w:bCs/>
          <w:lang w:val="es-ES" w:eastAsia="es-ES"/>
        </w:rPr>
        <w:t xml:space="preserve">DÉCIMA TERCERA: Derogatorias. </w:t>
      </w:r>
      <w:r w:rsidRPr="000F6CD5">
        <w:rPr>
          <w:rFonts w:ascii="Verdana" w:hAnsi="Verdana" w:cs="Arial"/>
          <w:lang w:val="es-ES" w:eastAsia="es-ES"/>
        </w:rPr>
        <w:t>Se deroga el Capítulo IV del Título III de la Parte III «</w:t>
      </w:r>
      <w:r w:rsidRPr="000F6CD5">
        <w:rPr>
          <w:rFonts w:ascii="Verdana" w:hAnsi="Verdana" w:cs="Arial"/>
          <w:i/>
          <w:iCs/>
          <w:lang w:val="es-ES" w:eastAsia="es-ES"/>
        </w:rPr>
        <w:t>Formadores de liquidez</w:t>
      </w:r>
      <w:r w:rsidRPr="000F6CD5">
        <w:rPr>
          <w:rFonts w:ascii="Verdana" w:hAnsi="Verdana" w:cs="Arial"/>
          <w:lang w:val="es-ES" w:eastAsia="es-ES"/>
        </w:rPr>
        <w:t>».</w:t>
      </w:r>
    </w:p>
    <w:p w14:paraId="388EAD5D" w14:textId="77777777" w:rsidR="000F6CD5" w:rsidRPr="000F6CD5" w:rsidRDefault="000F6CD5" w:rsidP="000F6CD5">
      <w:pPr>
        <w:widowControl w:val="0"/>
        <w:autoSpaceDE w:val="0"/>
        <w:autoSpaceDN w:val="0"/>
        <w:adjustRightInd w:val="0"/>
        <w:jc w:val="both"/>
        <w:rPr>
          <w:rFonts w:ascii="Verdana" w:hAnsi="Verdana" w:cs="Arial"/>
          <w:b/>
          <w:bCs/>
          <w:lang w:val="es-ES" w:eastAsia="es-ES"/>
        </w:rPr>
      </w:pPr>
    </w:p>
    <w:p w14:paraId="549D9EE0" w14:textId="77777777" w:rsidR="000F6CD5" w:rsidRPr="000F6CD5" w:rsidRDefault="000F6CD5" w:rsidP="000F6CD5">
      <w:pPr>
        <w:widowControl w:val="0"/>
        <w:autoSpaceDE w:val="0"/>
        <w:autoSpaceDN w:val="0"/>
        <w:adjustRightInd w:val="0"/>
        <w:jc w:val="both"/>
        <w:rPr>
          <w:rFonts w:ascii="Verdana" w:hAnsi="Verdana" w:cs="Arial"/>
          <w:lang w:val="es-ES" w:eastAsia="es-ES"/>
        </w:rPr>
      </w:pPr>
      <w:r w:rsidRPr="000F6CD5">
        <w:rPr>
          <w:rFonts w:ascii="Verdana" w:hAnsi="Verdana" w:cs="Arial"/>
          <w:b/>
          <w:bCs/>
          <w:lang w:val="es-ES" w:eastAsia="es-ES"/>
        </w:rPr>
        <w:t>DÉCIMA CUARTA: Régimen de transición.</w:t>
      </w:r>
      <w:r w:rsidRPr="000F6CD5">
        <w:rPr>
          <w:rFonts w:ascii="Verdana" w:hAnsi="Verdana" w:cs="Arial"/>
          <w:b/>
          <w:lang w:val="es-ES" w:eastAsia="es-ES"/>
        </w:rPr>
        <w:t xml:space="preserve"> </w:t>
      </w:r>
      <w:r w:rsidRPr="000F6CD5">
        <w:rPr>
          <w:rFonts w:ascii="Verdana" w:hAnsi="Verdana" w:cs="Arial"/>
          <w:lang w:val="es-ES" w:eastAsia="es-ES"/>
        </w:rPr>
        <w:t xml:space="preserve">Las instrucciones de la presente Circular entrarán a regir en los 6 meses siguientes a la fecha de publicación del presente acto administrativo, sin perjuicio de que las entidades puedan realizar una aplicación anticipada de dichas disposiciones antes de la terminación del régimen de transición aquí previsto. </w:t>
      </w:r>
    </w:p>
    <w:p w14:paraId="3DE4EC43" w14:textId="77777777" w:rsidR="000F6CD5" w:rsidRPr="000F6CD5" w:rsidRDefault="000F6CD5" w:rsidP="000F6CD5">
      <w:pPr>
        <w:widowControl w:val="0"/>
        <w:autoSpaceDE w:val="0"/>
        <w:autoSpaceDN w:val="0"/>
        <w:adjustRightInd w:val="0"/>
        <w:jc w:val="both"/>
        <w:rPr>
          <w:rFonts w:ascii="Verdana" w:hAnsi="Verdana" w:cs="Arial"/>
          <w:lang w:val="es-ES" w:eastAsia="es-ES"/>
        </w:rPr>
      </w:pPr>
    </w:p>
    <w:p w14:paraId="1248ADF8" w14:textId="77777777" w:rsidR="000F6CD5" w:rsidRPr="000F6CD5" w:rsidRDefault="000F6CD5" w:rsidP="000F6CD5">
      <w:pPr>
        <w:widowControl w:val="0"/>
        <w:autoSpaceDE w:val="0"/>
        <w:autoSpaceDN w:val="0"/>
        <w:adjustRightInd w:val="0"/>
        <w:jc w:val="both"/>
        <w:rPr>
          <w:rFonts w:ascii="Verdana" w:hAnsi="Verdana" w:cs="Arial"/>
          <w:lang w:val="es-ES" w:eastAsia="es-ES"/>
        </w:rPr>
      </w:pPr>
      <w:r w:rsidRPr="000F6CD5">
        <w:rPr>
          <w:rFonts w:ascii="Verdana" w:hAnsi="Verdana" w:cs="Arial"/>
          <w:lang w:val="es-ES" w:eastAsia="es-ES"/>
        </w:rPr>
        <w:t xml:space="preserve">Las entidades vigiladas deben informar a esta Superintendencia si van a realizar una adopción anticipada de las instrucciones previstas en la presente Circular con mínimo 1 mes de anticipación a su aplicación. </w:t>
      </w:r>
    </w:p>
    <w:p w14:paraId="0946BE97" w14:textId="77777777" w:rsidR="000F6CD5" w:rsidRPr="000F6CD5" w:rsidRDefault="000F6CD5" w:rsidP="000F6CD5">
      <w:pPr>
        <w:widowControl w:val="0"/>
        <w:autoSpaceDE w:val="0"/>
        <w:autoSpaceDN w:val="0"/>
        <w:adjustRightInd w:val="0"/>
        <w:jc w:val="both"/>
        <w:rPr>
          <w:rFonts w:ascii="Verdana" w:hAnsi="Verdana" w:cs="Arial"/>
          <w:lang w:val="es-ES" w:eastAsia="es-ES"/>
        </w:rPr>
      </w:pPr>
    </w:p>
    <w:p w14:paraId="7A0A62DF" w14:textId="4B2C2ED9" w:rsidR="000F6CD5" w:rsidRPr="000F6CD5" w:rsidRDefault="000F6CD5" w:rsidP="000F6CD5">
      <w:pPr>
        <w:widowControl w:val="0"/>
        <w:autoSpaceDE w:val="0"/>
        <w:autoSpaceDN w:val="0"/>
        <w:adjustRightInd w:val="0"/>
        <w:jc w:val="both"/>
        <w:rPr>
          <w:rFonts w:ascii="Verdana" w:hAnsi="Verdana" w:cs="Arial"/>
          <w:lang w:val="es-ES" w:eastAsia="es-ES"/>
        </w:rPr>
      </w:pPr>
      <w:r w:rsidRPr="000F6CD5">
        <w:rPr>
          <w:rFonts w:ascii="Verdana" w:hAnsi="Verdana" w:cs="Arial"/>
          <w:b/>
          <w:bCs/>
          <w:lang w:val="es-ES" w:eastAsia="es-ES"/>
        </w:rPr>
        <w:t xml:space="preserve">DÉCIMA </w:t>
      </w:r>
      <w:r w:rsidR="00D85E6D">
        <w:rPr>
          <w:rFonts w:ascii="Verdana" w:hAnsi="Verdana" w:cs="Arial"/>
          <w:b/>
          <w:bCs/>
          <w:lang w:val="es-ES" w:eastAsia="es-ES"/>
        </w:rPr>
        <w:t>QUINTA</w:t>
      </w:r>
      <w:r w:rsidRPr="000F6CD5">
        <w:rPr>
          <w:rFonts w:ascii="Verdana" w:hAnsi="Verdana" w:cs="Arial"/>
          <w:b/>
          <w:bCs/>
          <w:lang w:val="es-ES" w:eastAsia="es-ES"/>
        </w:rPr>
        <w:t>: Vigencia</w:t>
      </w:r>
      <w:r w:rsidRPr="000F6CD5">
        <w:rPr>
          <w:rFonts w:ascii="Verdana" w:hAnsi="Verdana" w:cs="Arial"/>
          <w:lang w:val="es-ES" w:eastAsia="es-ES"/>
        </w:rPr>
        <w:t xml:space="preserve">. La presente Circular </w:t>
      </w:r>
      <w:proofErr w:type="gramStart"/>
      <w:r w:rsidRPr="000F6CD5">
        <w:rPr>
          <w:rFonts w:ascii="Verdana" w:hAnsi="Verdana" w:cs="Arial"/>
          <w:lang w:val="es-ES" w:eastAsia="es-ES"/>
        </w:rPr>
        <w:t>entra en vigencia</w:t>
      </w:r>
      <w:proofErr w:type="gramEnd"/>
      <w:r w:rsidRPr="000F6CD5">
        <w:rPr>
          <w:rFonts w:ascii="Verdana" w:hAnsi="Verdana" w:cs="Arial"/>
          <w:lang w:val="es-ES" w:eastAsia="es-ES"/>
        </w:rPr>
        <w:t xml:space="preserve"> a partir de la fecha de su publicación, sin perjuicio del régimen de transición previsto en la instrucción décima </w:t>
      </w:r>
      <w:r w:rsidR="00E9216D">
        <w:rPr>
          <w:rFonts w:ascii="Verdana" w:hAnsi="Verdana" w:cs="Arial"/>
          <w:lang w:val="es-ES" w:eastAsia="es-ES"/>
        </w:rPr>
        <w:t>cuarta</w:t>
      </w:r>
      <w:r w:rsidRPr="000F6CD5">
        <w:rPr>
          <w:rFonts w:ascii="Verdana" w:hAnsi="Verdana" w:cs="Arial"/>
          <w:lang w:val="es-ES" w:eastAsia="es-ES"/>
        </w:rPr>
        <w:t>.</w:t>
      </w:r>
    </w:p>
    <w:p w14:paraId="7B7FF1CE" w14:textId="77777777" w:rsidR="000F6CD5" w:rsidRPr="000F6CD5" w:rsidRDefault="000F6CD5" w:rsidP="000F6CD5">
      <w:pPr>
        <w:widowControl w:val="0"/>
        <w:autoSpaceDE w:val="0"/>
        <w:autoSpaceDN w:val="0"/>
        <w:adjustRightInd w:val="0"/>
        <w:jc w:val="both"/>
        <w:rPr>
          <w:rFonts w:ascii="Verdana" w:hAnsi="Verdana" w:cs="Arial"/>
          <w:bCs/>
          <w:lang w:val="es-ES_tradnl" w:eastAsia="es-ES"/>
        </w:rPr>
      </w:pPr>
    </w:p>
    <w:p w14:paraId="766C6225" w14:textId="77777777" w:rsidR="000F6CD5" w:rsidRPr="000F6CD5" w:rsidRDefault="000F6CD5" w:rsidP="000F6CD5">
      <w:pPr>
        <w:widowControl w:val="0"/>
        <w:autoSpaceDE w:val="0"/>
        <w:autoSpaceDN w:val="0"/>
        <w:adjustRightInd w:val="0"/>
        <w:jc w:val="both"/>
        <w:rPr>
          <w:rFonts w:ascii="Verdana" w:hAnsi="Verdana" w:cs="Arial"/>
          <w:bCs/>
          <w:lang w:val="es-ES_tradnl" w:eastAsia="es-ES"/>
        </w:rPr>
      </w:pPr>
      <w:r w:rsidRPr="000F6CD5">
        <w:rPr>
          <w:rFonts w:ascii="Verdana" w:hAnsi="Verdana" w:cs="Arial"/>
          <w:bCs/>
          <w:lang w:val="es-ES_tradnl" w:eastAsia="es-ES"/>
        </w:rPr>
        <w:t xml:space="preserve">Se anexan los archivos correspondientes. </w:t>
      </w:r>
    </w:p>
    <w:p w14:paraId="36FE1E74"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p>
    <w:p w14:paraId="4DE3091A"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p>
    <w:p w14:paraId="19E116CB"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p>
    <w:p w14:paraId="6B34363F" w14:textId="77777777" w:rsidR="000F6CD5" w:rsidRPr="000F6CD5" w:rsidRDefault="000F6CD5" w:rsidP="000F6CD5">
      <w:pPr>
        <w:widowControl w:val="0"/>
        <w:adjustRightInd w:val="0"/>
        <w:outlineLvl w:val="0"/>
        <w:rPr>
          <w:rFonts w:ascii="Verdana" w:hAnsi="Verdana" w:cs="Arial"/>
          <w:b/>
          <w:bCs/>
          <w:lang w:val="pt-BR"/>
        </w:rPr>
      </w:pPr>
      <w:r w:rsidRPr="000F6CD5">
        <w:rPr>
          <w:rFonts w:ascii="Verdana" w:hAnsi="Verdana" w:cs="Arial"/>
          <w:b/>
          <w:bCs/>
          <w:lang w:val="pt-BR"/>
        </w:rPr>
        <w:t>CÉSAR FERRARI Ph.D.</w:t>
      </w:r>
    </w:p>
    <w:p w14:paraId="4D11FA2F" w14:textId="77777777" w:rsidR="000F6CD5" w:rsidRPr="000F6CD5" w:rsidRDefault="000F6CD5" w:rsidP="000F6CD5">
      <w:pPr>
        <w:widowControl w:val="0"/>
        <w:autoSpaceDE w:val="0"/>
        <w:autoSpaceDN w:val="0"/>
        <w:adjustRightInd w:val="0"/>
        <w:jc w:val="both"/>
        <w:rPr>
          <w:rFonts w:ascii="Verdana" w:hAnsi="Verdana" w:cs="Arial"/>
          <w:lang w:val="es-ES_tradnl" w:eastAsia="es-ES"/>
        </w:rPr>
      </w:pPr>
      <w:r w:rsidRPr="000F6CD5">
        <w:rPr>
          <w:rFonts w:ascii="Verdana" w:hAnsi="Verdana" w:cs="Arial"/>
          <w:lang w:val="es-ES_tradnl" w:eastAsia="es-ES"/>
        </w:rPr>
        <w:t xml:space="preserve">Superintendente Financiero de Colombia </w:t>
      </w:r>
    </w:p>
    <w:p w14:paraId="45B7BB1C" w14:textId="77777777" w:rsidR="000F6CD5" w:rsidRPr="000F6CD5" w:rsidRDefault="000F6CD5" w:rsidP="000F6CD5">
      <w:pPr>
        <w:widowControl w:val="0"/>
        <w:autoSpaceDE w:val="0"/>
        <w:autoSpaceDN w:val="0"/>
        <w:adjustRightInd w:val="0"/>
        <w:jc w:val="both"/>
        <w:rPr>
          <w:rFonts w:ascii="Verdana" w:hAnsi="Verdana" w:cs="Arial"/>
          <w:sz w:val="20"/>
          <w:szCs w:val="20"/>
          <w:lang w:val="es-ES_tradnl" w:eastAsia="es-ES"/>
        </w:rPr>
      </w:pPr>
      <w:r w:rsidRPr="000F6CD5">
        <w:rPr>
          <w:rFonts w:ascii="Verdana" w:hAnsi="Verdana" w:cs="Arial"/>
          <w:color w:val="808080"/>
          <w:lang w:val="es-ES_tradnl" w:eastAsia="es-ES"/>
        </w:rPr>
        <w:t>50000</w:t>
      </w:r>
      <w:r w:rsidRPr="000F6CD5">
        <w:rPr>
          <w:rFonts w:ascii="Verdana" w:hAnsi="Verdana" w:cs="Arial"/>
          <w:sz w:val="20"/>
          <w:szCs w:val="20"/>
          <w:lang w:val="es-ES_tradnl" w:eastAsia="es-ES"/>
        </w:rPr>
        <w:t xml:space="preserve"> </w:t>
      </w:r>
    </w:p>
    <w:p w14:paraId="1DB38BA5" w14:textId="77777777" w:rsidR="008D7EC8" w:rsidRPr="00BB2749" w:rsidRDefault="008D7EC8" w:rsidP="000F6CD5">
      <w:pPr>
        <w:widowControl w:val="0"/>
        <w:autoSpaceDE w:val="0"/>
        <w:autoSpaceDN w:val="0"/>
        <w:adjustRightInd w:val="0"/>
        <w:spacing w:line="276" w:lineRule="auto"/>
        <w:ind w:firstLine="708"/>
        <w:jc w:val="center"/>
        <w:rPr>
          <w:rFonts w:ascii="Verdana" w:hAnsi="Verdana" w:cs="Arial"/>
          <w:sz w:val="22"/>
          <w:szCs w:val="22"/>
        </w:rPr>
      </w:pPr>
    </w:p>
    <w:sectPr w:rsidR="008D7EC8" w:rsidRPr="00BB2749" w:rsidSect="00C54186">
      <w:headerReference w:type="default" r:id="rId12"/>
      <w:footerReference w:type="default" r:id="rId13"/>
      <w:pgSz w:w="12240" w:h="20160" w:code="5"/>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319A" w14:textId="77777777" w:rsidR="00004788" w:rsidRDefault="00004788" w:rsidP="00757B36">
      <w:r>
        <w:separator/>
      </w:r>
    </w:p>
  </w:endnote>
  <w:endnote w:type="continuationSeparator" w:id="0">
    <w:p w14:paraId="21BBCC74" w14:textId="77777777" w:rsidR="00004788" w:rsidRDefault="00004788" w:rsidP="00757B36">
      <w:r>
        <w:continuationSeparator/>
      </w:r>
    </w:p>
  </w:endnote>
  <w:endnote w:type="continuationNotice" w:id="1">
    <w:p w14:paraId="428CE894" w14:textId="77777777" w:rsidR="00004788" w:rsidRDefault="00004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E0A7" w14:textId="77777777" w:rsidR="00004788" w:rsidRDefault="00004788" w:rsidP="00757B36">
      <w:r>
        <w:separator/>
      </w:r>
    </w:p>
  </w:footnote>
  <w:footnote w:type="continuationSeparator" w:id="0">
    <w:p w14:paraId="631BF0A7" w14:textId="77777777" w:rsidR="00004788" w:rsidRDefault="00004788" w:rsidP="00757B36">
      <w:r>
        <w:continuationSeparator/>
      </w:r>
    </w:p>
  </w:footnote>
  <w:footnote w:type="continuationNotice" w:id="1">
    <w:p w14:paraId="1956107C" w14:textId="77777777" w:rsidR="00004788" w:rsidRDefault="00004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1338026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B4991"/>
    <w:multiLevelType w:val="multilevel"/>
    <w:tmpl w:val="6D62ADF2"/>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D95AB5"/>
    <w:multiLevelType w:val="hybridMultilevel"/>
    <w:tmpl w:val="4F0AB70E"/>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681E6B"/>
    <w:multiLevelType w:val="multilevel"/>
    <w:tmpl w:val="413C295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0B6B2E"/>
    <w:multiLevelType w:val="hybridMultilevel"/>
    <w:tmpl w:val="2EEA35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646DC4"/>
    <w:multiLevelType w:val="hybridMultilevel"/>
    <w:tmpl w:val="83302FC6"/>
    <w:lvl w:ilvl="0" w:tplc="9DB25E42">
      <w:start w:val="2"/>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F206C7"/>
    <w:multiLevelType w:val="hybridMultilevel"/>
    <w:tmpl w:val="A41E81BC"/>
    <w:lvl w:ilvl="0" w:tplc="FEF0FE84">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D90155"/>
    <w:multiLevelType w:val="hybridMultilevel"/>
    <w:tmpl w:val="CC36C87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26532B"/>
    <w:multiLevelType w:val="hybridMultilevel"/>
    <w:tmpl w:val="B4EAFB7E"/>
    <w:lvl w:ilvl="0" w:tplc="A98E25C0">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59026C"/>
    <w:multiLevelType w:val="hybridMultilevel"/>
    <w:tmpl w:val="3EEEAD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AE4F06"/>
    <w:multiLevelType w:val="hybridMultilevel"/>
    <w:tmpl w:val="C34821B0"/>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1B80C81"/>
    <w:multiLevelType w:val="hybridMultilevel"/>
    <w:tmpl w:val="E1760548"/>
    <w:lvl w:ilvl="0" w:tplc="4A8654F0">
      <w:start w:val="1"/>
      <w:numFmt w:val="lowerRoman"/>
      <w:lvlText w:val="%1."/>
      <w:lvlJc w:val="left"/>
      <w:pPr>
        <w:ind w:left="2138" w:hanging="360"/>
      </w:pPr>
      <w:rPr>
        <w:rFonts w:hint="default"/>
      </w:r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2" w15:restartNumberingAfterBreak="0">
    <w:nsid w:val="325E7112"/>
    <w:multiLevelType w:val="hybridMultilevel"/>
    <w:tmpl w:val="1A6CF2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5A1E60"/>
    <w:multiLevelType w:val="hybridMultilevel"/>
    <w:tmpl w:val="DDC0CF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F447EF"/>
    <w:multiLevelType w:val="hybridMultilevel"/>
    <w:tmpl w:val="C318F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914552"/>
    <w:multiLevelType w:val="hybridMultilevel"/>
    <w:tmpl w:val="7B2814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967914"/>
    <w:multiLevelType w:val="hybridMultilevel"/>
    <w:tmpl w:val="77E29B9A"/>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C023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325A72"/>
    <w:multiLevelType w:val="hybridMultilevel"/>
    <w:tmpl w:val="9EE65D52"/>
    <w:lvl w:ilvl="0" w:tplc="B7D4DCFC">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F726F4"/>
    <w:multiLevelType w:val="multilevel"/>
    <w:tmpl w:val="0EB6BF0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4EB55AF"/>
    <w:multiLevelType w:val="hybridMultilevel"/>
    <w:tmpl w:val="16283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CEF6C21"/>
    <w:multiLevelType w:val="hybridMultilevel"/>
    <w:tmpl w:val="FE0A47F6"/>
    <w:lvl w:ilvl="0" w:tplc="8EFCD150">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D964A0"/>
    <w:multiLevelType w:val="hybridMultilevel"/>
    <w:tmpl w:val="05946A4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E8A6247"/>
    <w:multiLevelType w:val="hybridMultilevel"/>
    <w:tmpl w:val="22B845AC"/>
    <w:lvl w:ilvl="0" w:tplc="240A0019">
      <w:start w:val="9"/>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2B774D"/>
    <w:multiLevelType w:val="multilevel"/>
    <w:tmpl w:val="3176FE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1623107">
    <w:abstractNumId w:val="0"/>
  </w:num>
  <w:num w:numId="2" w16cid:durableId="1267955949">
    <w:abstractNumId w:val="24"/>
  </w:num>
  <w:num w:numId="3" w16cid:durableId="1702320300">
    <w:abstractNumId w:val="19"/>
  </w:num>
  <w:num w:numId="4" w16cid:durableId="712343061">
    <w:abstractNumId w:val="3"/>
  </w:num>
  <w:num w:numId="5" w16cid:durableId="625310660">
    <w:abstractNumId w:val="8"/>
  </w:num>
  <w:num w:numId="6" w16cid:durableId="1133980967">
    <w:abstractNumId w:val="1"/>
  </w:num>
  <w:num w:numId="7" w16cid:durableId="697463518">
    <w:abstractNumId w:val="13"/>
  </w:num>
  <w:num w:numId="8" w16cid:durableId="2109110767">
    <w:abstractNumId w:val="20"/>
  </w:num>
  <w:num w:numId="9" w16cid:durableId="332683293">
    <w:abstractNumId w:val="12"/>
  </w:num>
  <w:num w:numId="10" w16cid:durableId="1377385835">
    <w:abstractNumId w:val="22"/>
  </w:num>
  <w:num w:numId="11" w16cid:durableId="1429883627">
    <w:abstractNumId w:val="7"/>
  </w:num>
  <w:num w:numId="12" w16cid:durableId="1714695393">
    <w:abstractNumId w:val="6"/>
  </w:num>
  <w:num w:numId="13" w16cid:durableId="1262762444">
    <w:abstractNumId w:val="23"/>
  </w:num>
  <w:num w:numId="14" w16cid:durableId="1290236493">
    <w:abstractNumId w:val="5"/>
  </w:num>
  <w:num w:numId="15" w16cid:durableId="1075396555">
    <w:abstractNumId w:val="4"/>
  </w:num>
  <w:num w:numId="16" w16cid:durableId="1713074347">
    <w:abstractNumId w:val="10"/>
  </w:num>
  <w:num w:numId="17" w16cid:durableId="2121027798">
    <w:abstractNumId w:val="17"/>
  </w:num>
  <w:num w:numId="18" w16cid:durableId="1400592542">
    <w:abstractNumId w:val="14"/>
  </w:num>
  <w:num w:numId="19" w16cid:durableId="1648826053">
    <w:abstractNumId w:val="9"/>
  </w:num>
  <w:num w:numId="20" w16cid:durableId="2084445031">
    <w:abstractNumId w:val="21"/>
  </w:num>
  <w:num w:numId="21" w16cid:durableId="764418411">
    <w:abstractNumId w:val="16"/>
  </w:num>
  <w:num w:numId="22" w16cid:durableId="477768391">
    <w:abstractNumId w:val="18"/>
  </w:num>
  <w:num w:numId="23" w16cid:durableId="1973707960">
    <w:abstractNumId w:val="11"/>
  </w:num>
  <w:num w:numId="24" w16cid:durableId="246112776">
    <w:abstractNumId w:val="2"/>
  </w:num>
  <w:num w:numId="25" w16cid:durableId="43258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1475"/>
    <w:rsid w:val="0000192C"/>
    <w:rsid w:val="00002BF7"/>
    <w:rsid w:val="00002D6B"/>
    <w:rsid w:val="00003771"/>
    <w:rsid w:val="00003964"/>
    <w:rsid w:val="00004788"/>
    <w:rsid w:val="00004D3A"/>
    <w:rsid w:val="00004F7A"/>
    <w:rsid w:val="000065DE"/>
    <w:rsid w:val="000069AC"/>
    <w:rsid w:val="00007001"/>
    <w:rsid w:val="0000792E"/>
    <w:rsid w:val="000107D7"/>
    <w:rsid w:val="00011751"/>
    <w:rsid w:val="00011B80"/>
    <w:rsid w:val="00011F1C"/>
    <w:rsid w:val="00011F9D"/>
    <w:rsid w:val="0001225F"/>
    <w:rsid w:val="00015F39"/>
    <w:rsid w:val="00015F9E"/>
    <w:rsid w:val="0001612A"/>
    <w:rsid w:val="000163F6"/>
    <w:rsid w:val="00016762"/>
    <w:rsid w:val="00017667"/>
    <w:rsid w:val="0001792D"/>
    <w:rsid w:val="00020484"/>
    <w:rsid w:val="0002084E"/>
    <w:rsid w:val="000226A6"/>
    <w:rsid w:val="00022E8D"/>
    <w:rsid w:val="000235EB"/>
    <w:rsid w:val="00023B43"/>
    <w:rsid w:val="00025011"/>
    <w:rsid w:val="00025908"/>
    <w:rsid w:val="000266E0"/>
    <w:rsid w:val="000278CB"/>
    <w:rsid w:val="00030B01"/>
    <w:rsid w:val="00030DFD"/>
    <w:rsid w:val="00030FFF"/>
    <w:rsid w:val="00031DCA"/>
    <w:rsid w:val="00032ACD"/>
    <w:rsid w:val="00032BB5"/>
    <w:rsid w:val="000330F3"/>
    <w:rsid w:val="00033A16"/>
    <w:rsid w:val="00033B3C"/>
    <w:rsid w:val="00033C03"/>
    <w:rsid w:val="00033E36"/>
    <w:rsid w:val="00033FCE"/>
    <w:rsid w:val="000356F8"/>
    <w:rsid w:val="0003649E"/>
    <w:rsid w:val="0003670C"/>
    <w:rsid w:val="00036B21"/>
    <w:rsid w:val="00036CDC"/>
    <w:rsid w:val="000401D8"/>
    <w:rsid w:val="00040E54"/>
    <w:rsid w:val="00041324"/>
    <w:rsid w:val="0004321F"/>
    <w:rsid w:val="00045672"/>
    <w:rsid w:val="0005076F"/>
    <w:rsid w:val="00050928"/>
    <w:rsid w:val="00050F8F"/>
    <w:rsid w:val="00051B1E"/>
    <w:rsid w:val="00052407"/>
    <w:rsid w:val="000541AA"/>
    <w:rsid w:val="00054464"/>
    <w:rsid w:val="00054CC7"/>
    <w:rsid w:val="0005564F"/>
    <w:rsid w:val="00055AFC"/>
    <w:rsid w:val="0005626E"/>
    <w:rsid w:val="00056FCC"/>
    <w:rsid w:val="000579B4"/>
    <w:rsid w:val="000603A3"/>
    <w:rsid w:val="00061BA8"/>
    <w:rsid w:val="000626CE"/>
    <w:rsid w:val="00063053"/>
    <w:rsid w:val="0006488D"/>
    <w:rsid w:val="00064A4F"/>
    <w:rsid w:val="00065E74"/>
    <w:rsid w:val="00066583"/>
    <w:rsid w:val="00066BEB"/>
    <w:rsid w:val="00066D8D"/>
    <w:rsid w:val="0006710E"/>
    <w:rsid w:val="000700CD"/>
    <w:rsid w:val="0007076F"/>
    <w:rsid w:val="000708FA"/>
    <w:rsid w:val="00071BBB"/>
    <w:rsid w:val="0007273B"/>
    <w:rsid w:val="00073527"/>
    <w:rsid w:val="00073AB8"/>
    <w:rsid w:val="00074F88"/>
    <w:rsid w:val="000750E0"/>
    <w:rsid w:val="000752CF"/>
    <w:rsid w:val="000753F0"/>
    <w:rsid w:val="000756E3"/>
    <w:rsid w:val="00075C0F"/>
    <w:rsid w:val="000764D0"/>
    <w:rsid w:val="00076741"/>
    <w:rsid w:val="00076DCC"/>
    <w:rsid w:val="00077952"/>
    <w:rsid w:val="000800B7"/>
    <w:rsid w:val="00081D42"/>
    <w:rsid w:val="00081FB0"/>
    <w:rsid w:val="00082241"/>
    <w:rsid w:val="000829D4"/>
    <w:rsid w:val="00082C72"/>
    <w:rsid w:val="00084567"/>
    <w:rsid w:val="00084B8E"/>
    <w:rsid w:val="00085289"/>
    <w:rsid w:val="00085590"/>
    <w:rsid w:val="00086F88"/>
    <w:rsid w:val="0008719C"/>
    <w:rsid w:val="00090DBE"/>
    <w:rsid w:val="000916CA"/>
    <w:rsid w:val="000918CC"/>
    <w:rsid w:val="000919CF"/>
    <w:rsid w:val="00091C61"/>
    <w:rsid w:val="00092310"/>
    <w:rsid w:val="00092339"/>
    <w:rsid w:val="00092544"/>
    <w:rsid w:val="00092741"/>
    <w:rsid w:val="0009278F"/>
    <w:rsid w:val="000929EE"/>
    <w:rsid w:val="00092BB5"/>
    <w:rsid w:val="00092DEF"/>
    <w:rsid w:val="00093081"/>
    <w:rsid w:val="000932DF"/>
    <w:rsid w:val="0009355B"/>
    <w:rsid w:val="000953F4"/>
    <w:rsid w:val="00095EFA"/>
    <w:rsid w:val="0009650D"/>
    <w:rsid w:val="0009653D"/>
    <w:rsid w:val="0009761C"/>
    <w:rsid w:val="00097D69"/>
    <w:rsid w:val="000A02B5"/>
    <w:rsid w:val="000A040E"/>
    <w:rsid w:val="000A0F2F"/>
    <w:rsid w:val="000A1980"/>
    <w:rsid w:val="000A1E72"/>
    <w:rsid w:val="000A2D79"/>
    <w:rsid w:val="000A2FDE"/>
    <w:rsid w:val="000A327C"/>
    <w:rsid w:val="000A37A2"/>
    <w:rsid w:val="000A5027"/>
    <w:rsid w:val="000A58A8"/>
    <w:rsid w:val="000A7A43"/>
    <w:rsid w:val="000A7AF7"/>
    <w:rsid w:val="000B00EB"/>
    <w:rsid w:val="000B078C"/>
    <w:rsid w:val="000B0807"/>
    <w:rsid w:val="000B188F"/>
    <w:rsid w:val="000B1A54"/>
    <w:rsid w:val="000B24B4"/>
    <w:rsid w:val="000B4807"/>
    <w:rsid w:val="000B5142"/>
    <w:rsid w:val="000B55F8"/>
    <w:rsid w:val="000B6639"/>
    <w:rsid w:val="000B6BF4"/>
    <w:rsid w:val="000B78B1"/>
    <w:rsid w:val="000B7A35"/>
    <w:rsid w:val="000B7D2B"/>
    <w:rsid w:val="000C0599"/>
    <w:rsid w:val="000C132E"/>
    <w:rsid w:val="000C1624"/>
    <w:rsid w:val="000C16E5"/>
    <w:rsid w:val="000C1D74"/>
    <w:rsid w:val="000C26BF"/>
    <w:rsid w:val="000C2AA4"/>
    <w:rsid w:val="000C2B12"/>
    <w:rsid w:val="000C2FA6"/>
    <w:rsid w:val="000C30E6"/>
    <w:rsid w:val="000C33E9"/>
    <w:rsid w:val="000C359C"/>
    <w:rsid w:val="000C3F46"/>
    <w:rsid w:val="000C447B"/>
    <w:rsid w:val="000C44B1"/>
    <w:rsid w:val="000C4E87"/>
    <w:rsid w:val="000C4F50"/>
    <w:rsid w:val="000C506A"/>
    <w:rsid w:val="000C5161"/>
    <w:rsid w:val="000C5251"/>
    <w:rsid w:val="000C5784"/>
    <w:rsid w:val="000C606D"/>
    <w:rsid w:val="000C642E"/>
    <w:rsid w:val="000C64C4"/>
    <w:rsid w:val="000C68DC"/>
    <w:rsid w:val="000C6A8D"/>
    <w:rsid w:val="000C6D9B"/>
    <w:rsid w:val="000C7060"/>
    <w:rsid w:val="000C7D1D"/>
    <w:rsid w:val="000D0120"/>
    <w:rsid w:val="000D0307"/>
    <w:rsid w:val="000D09D5"/>
    <w:rsid w:val="000D3004"/>
    <w:rsid w:val="000D38C6"/>
    <w:rsid w:val="000D3C67"/>
    <w:rsid w:val="000D4025"/>
    <w:rsid w:val="000D413B"/>
    <w:rsid w:val="000D4E9F"/>
    <w:rsid w:val="000D63B0"/>
    <w:rsid w:val="000D7956"/>
    <w:rsid w:val="000D7FF3"/>
    <w:rsid w:val="000E04CA"/>
    <w:rsid w:val="000E0B58"/>
    <w:rsid w:val="000E0B6E"/>
    <w:rsid w:val="000E1692"/>
    <w:rsid w:val="000E2E80"/>
    <w:rsid w:val="000E4B1D"/>
    <w:rsid w:val="000E4BEC"/>
    <w:rsid w:val="000E52AD"/>
    <w:rsid w:val="000E5DD8"/>
    <w:rsid w:val="000E6070"/>
    <w:rsid w:val="000E640C"/>
    <w:rsid w:val="000E6AF2"/>
    <w:rsid w:val="000E6EC5"/>
    <w:rsid w:val="000F1E15"/>
    <w:rsid w:val="000F2A89"/>
    <w:rsid w:val="000F4D88"/>
    <w:rsid w:val="000F61C6"/>
    <w:rsid w:val="000F68B6"/>
    <w:rsid w:val="000F69F3"/>
    <w:rsid w:val="000F6CD5"/>
    <w:rsid w:val="000F7D59"/>
    <w:rsid w:val="000F7EFB"/>
    <w:rsid w:val="00100C35"/>
    <w:rsid w:val="00100CF8"/>
    <w:rsid w:val="00102C74"/>
    <w:rsid w:val="00102F28"/>
    <w:rsid w:val="00103049"/>
    <w:rsid w:val="0010310F"/>
    <w:rsid w:val="00103A86"/>
    <w:rsid w:val="00104820"/>
    <w:rsid w:val="00104C9A"/>
    <w:rsid w:val="0010772F"/>
    <w:rsid w:val="00107B23"/>
    <w:rsid w:val="00110081"/>
    <w:rsid w:val="00110333"/>
    <w:rsid w:val="001104C2"/>
    <w:rsid w:val="001119DC"/>
    <w:rsid w:val="00111C8B"/>
    <w:rsid w:val="001120C9"/>
    <w:rsid w:val="00112A84"/>
    <w:rsid w:val="00112B7E"/>
    <w:rsid w:val="001130E9"/>
    <w:rsid w:val="00116008"/>
    <w:rsid w:val="0011732E"/>
    <w:rsid w:val="001174B3"/>
    <w:rsid w:val="00117756"/>
    <w:rsid w:val="001201F0"/>
    <w:rsid w:val="001222BD"/>
    <w:rsid w:val="00123709"/>
    <w:rsid w:val="001242EE"/>
    <w:rsid w:val="00126AD7"/>
    <w:rsid w:val="0013011E"/>
    <w:rsid w:val="00130238"/>
    <w:rsid w:val="001305F4"/>
    <w:rsid w:val="00130640"/>
    <w:rsid w:val="00131458"/>
    <w:rsid w:val="00131620"/>
    <w:rsid w:val="0013177D"/>
    <w:rsid w:val="00132115"/>
    <w:rsid w:val="00132B5E"/>
    <w:rsid w:val="00132BE4"/>
    <w:rsid w:val="00133D74"/>
    <w:rsid w:val="001348AD"/>
    <w:rsid w:val="00135CCB"/>
    <w:rsid w:val="0013607A"/>
    <w:rsid w:val="001365F6"/>
    <w:rsid w:val="00136B4A"/>
    <w:rsid w:val="00137CD6"/>
    <w:rsid w:val="00137F1E"/>
    <w:rsid w:val="001402D3"/>
    <w:rsid w:val="00140943"/>
    <w:rsid w:val="00141251"/>
    <w:rsid w:val="00141366"/>
    <w:rsid w:val="00141642"/>
    <w:rsid w:val="00141EC2"/>
    <w:rsid w:val="00143013"/>
    <w:rsid w:val="001438D2"/>
    <w:rsid w:val="0014396A"/>
    <w:rsid w:val="00143F31"/>
    <w:rsid w:val="00145657"/>
    <w:rsid w:val="00145967"/>
    <w:rsid w:val="001468D0"/>
    <w:rsid w:val="00146BD6"/>
    <w:rsid w:val="0014737C"/>
    <w:rsid w:val="001478FE"/>
    <w:rsid w:val="00150075"/>
    <w:rsid w:val="0015059F"/>
    <w:rsid w:val="00151454"/>
    <w:rsid w:val="00151D0D"/>
    <w:rsid w:val="0015390F"/>
    <w:rsid w:val="00153CD4"/>
    <w:rsid w:val="00154797"/>
    <w:rsid w:val="00154BE4"/>
    <w:rsid w:val="0015512A"/>
    <w:rsid w:val="001562B5"/>
    <w:rsid w:val="001576EC"/>
    <w:rsid w:val="00157ED6"/>
    <w:rsid w:val="00160240"/>
    <w:rsid w:val="00160630"/>
    <w:rsid w:val="001621D5"/>
    <w:rsid w:val="001622E1"/>
    <w:rsid w:val="00162897"/>
    <w:rsid w:val="0016401D"/>
    <w:rsid w:val="00165C97"/>
    <w:rsid w:val="00166244"/>
    <w:rsid w:val="00166291"/>
    <w:rsid w:val="00167F75"/>
    <w:rsid w:val="0017024B"/>
    <w:rsid w:val="0017075B"/>
    <w:rsid w:val="00170CCA"/>
    <w:rsid w:val="0017121C"/>
    <w:rsid w:val="00171666"/>
    <w:rsid w:val="00172422"/>
    <w:rsid w:val="001725A1"/>
    <w:rsid w:val="0017331D"/>
    <w:rsid w:val="001734D4"/>
    <w:rsid w:val="0017383C"/>
    <w:rsid w:val="00173BF9"/>
    <w:rsid w:val="00173D74"/>
    <w:rsid w:val="001740F1"/>
    <w:rsid w:val="001741FA"/>
    <w:rsid w:val="0017649C"/>
    <w:rsid w:val="00176AE4"/>
    <w:rsid w:val="00176FB3"/>
    <w:rsid w:val="00177336"/>
    <w:rsid w:val="00177552"/>
    <w:rsid w:val="0018025C"/>
    <w:rsid w:val="001812CB"/>
    <w:rsid w:val="00181EE1"/>
    <w:rsid w:val="0018216D"/>
    <w:rsid w:val="001832C6"/>
    <w:rsid w:val="00184206"/>
    <w:rsid w:val="00184663"/>
    <w:rsid w:val="00184C03"/>
    <w:rsid w:val="001855B4"/>
    <w:rsid w:val="00185E9E"/>
    <w:rsid w:val="00186D8C"/>
    <w:rsid w:val="00186DEA"/>
    <w:rsid w:val="0018737C"/>
    <w:rsid w:val="00187A3B"/>
    <w:rsid w:val="00187B1A"/>
    <w:rsid w:val="00190546"/>
    <w:rsid w:val="001912D4"/>
    <w:rsid w:val="00191EDF"/>
    <w:rsid w:val="0019380D"/>
    <w:rsid w:val="00193CB1"/>
    <w:rsid w:val="0019492F"/>
    <w:rsid w:val="00194AC8"/>
    <w:rsid w:val="00194BAE"/>
    <w:rsid w:val="001964AC"/>
    <w:rsid w:val="001968D3"/>
    <w:rsid w:val="00197D6C"/>
    <w:rsid w:val="001A062C"/>
    <w:rsid w:val="001A070B"/>
    <w:rsid w:val="001A0987"/>
    <w:rsid w:val="001A0A37"/>
    <w:rsid w:val="001A108B"/>
    <w:rsid w:val="001A126F"/>
    <w:rsid w:val="001A1A2E"/>
    <w:rsid w:val="001A1C2D"/>
    <w:rsid w:val="001A26FB"/>
    <w:rsid w:val="001A29C9"/>
    <w:rsid w:val="001A3870"/>
    <w:rsid w:val="001A3E30"/>
    <w:rsid w:val="001A442F"/>
    <w:rsid w:val="001A4E48"/>
    <w:rsid w:val="001A543B"/>
    <w:rsid w:val="001A574E"/>
    <w:rsid w:val="001A5BBE"/>
    <w:rsid w:val="001A6BAE"/>
    <w:rsid w:val="001A7040"/>
    <w:rsid w:val="001A75A5"/>
    <w:rsid w:val="001A7648"/>
    <w:rsid w:val="001B0876"/>
    <w:rsid w:val="001B0E59"/>
    <w:rsid w:val="001B1707"/>
    <w:rsid w:val="001B37D1"/>
    <w:rsid w:val="001B43D0"/>
    <w:rsid w:val="001B44D9"/>
    <w:rsid w:val="001B54D1"/>
    <w:rsid w:val="001B63AC"/>
    <w:rsid w:val="001B64C6"/>
    <w:rsid w:val="001B6A1D"/>
    <w:rsid w:val="001B7718"/>
    <w:rsid w:val="001C071E"/>
    <w:rsid w:val="001C0875"/>
    <w:rsid w:val="001C14F2"/>
    <w:rsid w:val="001C1BA7"/>
    <w:rsid w:val="001C231F"/>
    <w:rsid w:val="001C2908"/>
    <w:rsid w:val="001C34DB"/>
    <w:rsid w:val="001C3A7F"/>
    <w:rsid w:val="001C4234"/>
    <w:rsid w:val="001C4903"/>
    <w:rsid w:val="001C5005"/>
    <w:rsid w:val="001C5241"/>
    <w:rsid w:val="001C5862"/>
    <w:rsid w:val="001D0847"/>
    <w:rsid w:val="001D0905"/>
    <w:rsid w:val="001D12A9"/>
    <w:rsid w:val="001D1660"/>
    <w:rsid w:val="001D2494"/>
    <w:rsid w:val="001D2BA1"/>
    <w:rsid w:val="001D35DA"/>
    <w:rsid w:val="001D4847"/>
    <w:rsid w:val="001D5653"/>
    <w:rsid w:val="001E044C"/>
    <w:rsid w:val="001E0C22"/>
    <w:rsid w:val="001E16AD"/>
    <w:rsid w:val="001E1A4B"/>
    <w:rsid w:val="001E1D50"/>
    <w:rsid w:val="001E312D"/>
    <w:rsid w:val="001E32B0"/>
    <w:rsid w:val="001E39DF"/>
    <w:rsid w:val="001E4253"/>
    <w:rsid w:val="001E4379"/>
    <w:rsid w:val="001E43D0"/>
    <w:rsid w:val="001E510C"/>
    <w:rsid w:val="001E5CA9"/>
    <w:rsid w:val="001E6A99"/>
    <w:rsid w:val="001E6F90"/>
    <w:rsid w:val="001E761C"/>
    <w:rsid w:val="001E7A8A"/>
    <w:rsid w:val="001F08CA"/>
    <w:rsid w:val="001F20EC"/>
    <w:rsid w:val="001F212C"/>
    <w:rsid w:val="001F2590"/>
    <w:rsid w:val="001F2FEA"/>
    <w:rsid w:val="001F3430"/>
    <w:rsid w:val="001F3A47"/>
    <w:rsid w:val="001F44D1"/>
    <w:rsid w:val="001F471E"/>
    <w:rsid w:val="001F6FF2"/>
    <w:rsid w:val="001F72C4"/>
    <w:rsid w:val="002003F1"/>
    <w:rsid w:val="002007C3"/>
    <w:rsid w:val="00201FB4"/>
    <w:rsid w:val="00201FBD"/>
    <w:rsid w:val="0020218B"/>
    <w:rsid w:val="00202300"/>
    <w:rsid w:val="00202717"/>
    <w:rsid w:val="00203E70"/>
    <w:rsid w:val="0020535E"/>
    <w:rsid w:val="00205A7A"/>
    <w:rsid w:val="00206981"/>
    <w:rsid w:val="00207C40"/>
    <w:rsid w:val="00210238"/>
    <w:rsid w:val="002103F4"/>
    <w:rsid w:val="002106D3"/>
    <w:rsid w:val="00210C7B"/>
    <w:rsid w:val="002119DB"/>
    <w:rsid w:val="002119E8"/>
    <w:rsid w:val="00212C1E"/>
    <w:rsid w:val="00212CCE"/>
    <w:rsid w:val="002138EA"/>
    <w:rsid w:val="00214C02"/>
    <w:rsid w:val="00216BF5"/>
    <w:rsid w:val="00220A20"/>
    <w:rsid w:val="00221B3B"/>
    <w:rsid w:val="00222014"/>
    <w:rsid w:val="002224AE"/>
    <w:rsid w:val="002226AC"/>
    <w:rsid w:val="00222803"/>
    <w:rsid w:val="0022308A"/>
    <w:rsid w:val="00223A14"/>
    <w:rsid w:val="00223BDA"/>
    <w:rsid w:val="00224B8F"/>
    <w:rsid w:val="002277B6"/>
    <w:rsid w:val="00227A55"/>
    <w:rsid w:val="00230173"/>
    <w:rsid w:val="002318D5"/>
    <w:rsid w:val="002324AB"/>
    <w:rsid w:val="00233C80"/>
    <w:rsid w:val="00233FD6"/>
    <w:rsid w:val="00235613"/>
    <w:rsid w:val="00235A90"/>
    <w:rsid w:val="00236A9F"/>
    <w:rsid w:val="0023705E"/>
    <w:rsid w:val="00237CD7"/>
    <w:rsid w:val="00240F08"/>
    <w:rsid w:val="002410B1"/>
    <w:rsid w:val="0024261E"/>
    <w:rsid w:val="0024275C"/>
    <w:rsid w:val="00242C0A"/>
    <w:rsid w:val="002434FC"/>
    <w:rsid w:val="00243821"/>
    <w:rsid w:val="00244DD5"/>
    <w:rsid w:val="00245067"/>
    <w:rsid w:val="002459C1"/>
    <w:rsid w:val="00246327"/>
    <w:rsid w:val="00246730"/>
    <w:rsid w:val="00247258"/>
    <w:rsid w:val="002477FD"/>
    <w:rsid w:val="00250942"/>
    <w:rsid w:val="00250D8E"/>
    <w:rsid w:val="0025113D"/>
    <w:rsid w:val="0025135A"/>
    <w:rsid w:val="0025153E"/>
    <w:rsid w:val="0025176D"/>
    <w:rsid w:val="0025232E"/>
    <w:rsid w:val="00252641"/>
    <w:rsid w:val="00252FCD"/>
    <w:rsid w:val="002534E7"/>
    <w:rsid w:val="002545E8"/>
    <w:rsid w:val="00254F1A"/>
    <w:rsid w:val="00255542"/>
    <w:rsid w:val="00255E9B"/>
    <w:rsid w:val="00255FF5"/>
    <w:rsid w:val="0025667A"/>
    <w:rsid w:val="00256928"/>
    <w:rsid w:val="00256FDA"/>
    <w:rsid w:val="00260A49"/>
    <w:rsid w:val="00261E9C"/>
    <w:rsid w:val="00262584"/>
    <w:rsid w:val="0026374D"/>
    <w:rsid w:val="002646EA"/>
    <w:rsid w:val="00264843"/>
    <w:rsid w:val="00264B7C"/>
    <w:rsid w:val="00264D12"/>
    <w:rsid w:val="00265E46"/>
    <w:rsid w:val="0026613A"/>
    <w:rsid w:val="0026621F"/>
    <w:rsid w:val="002664E8"/>
    <w:rsid w:val="002675C4"/>
    <w:rsid w:val="00270E4E"/>
    <w:rsid w:val="0027104C"/>
    <w:rsid w:val="00271566"/>
    <w:rsid w:val="00271803"/>
    <w:rsid w:val="00272652"/>
    <w:rsid w:val="00272746"/>
    <w:rsid w:val="0027493D"/>
    <w:rsid w:val="00275A18"/>
    <w:rsid w:val="00276355"/>
    <w:rsid w:val="00276406"/>
    <w:rsid w:val="00276969"/>
    <w:rsid w:val="00276CF8"/>
    <w:rsid w:val="002771D7"/>
    <w:rsid w:val="002779FE"/>
    <w:rsid w:val="00281518"/>
    <w:rsid w:val="00282098"/>
    <w:rsid w:val="00282323"/>
    <w:rsid w:val="0028247F"/>
    <w:rsid w:val="00282B29"/>
    <w:rsid w:val="00282EA8"/>
    <w:rsid w:val="00283054"/>
    <w:rsid w:val="00283472"/>
    <w:rsid w:val="002834AD"/>
    <w:rsid w:val="0028359C"/>
    <w:rsid w:val="00284134"/>
    <w:rsid w:val="002842FB"/>
    <w:rsid w:val="00284759"/>
    <w:rsid w:val="00284DC9"/>
    <w:rsid w:val="00284ECE"/>
    <w:rsid w:val="002853AB"/>
    <w:rsid w:val="00285624"/>
    <w:rsid w:val="00286AA1"/>
    <w:rsid w:val="00286F34"/>
    <w:rsid w:val="002879E7"/>
    <w:rsid w:val="00287F1B"/>
    <w:rsid w:val="002909DF"/>
    <w:rsid w:val="00290BE0"/>
    <w:rsid w:val="00291975"/>
    <w:rsid w:val="00291A96"/>
    <w:rsid w:val="00291C15"/>
    <w:rsid w:val="00292127"/>
    <w:rsid w:val="00292C6B"/>
    <w:rsid w:val="0029337F"/>
    <w:rsid w:val="00293985"/>
    <w:rsid w:val="002946C9"/>
    <w:rsid w:val="002961BE"/>
    <w:rsid w:val="00296A61"/>
    <w:rsid w:val="002A08D5"/>
    <w:rsid w:val="002A205A"/>
    <w:rsid w:val="002A241B"/>
    <w:rsid w:val="002A291D"/>
    <w:rsid w:val="002A2B9D"/>
    <w:rsid w:val="002A3E5D"/>
    <w:rsid w:val="002A41AC"/>
    <w:rsid w:val="002A4361"/>
    <w:rsid w:val="002A54D4"/>
    <w:rsid w:val="002A610E"/>
    <w:rsid w:val="002A7311"/>
    <w:rsid w:val="002A7D07"/>
    <w:rsid w:val="002B02A5"/>
    <w:rsid w:val="002B0F00"/>
    <w:rsid w:val="002B1E56"/>
    <w:rsid w:val="002B34D5"/>
    <w:rsid w:val="002B4CEE"/>
    <w:rsid w:val="002B521C"/>
    <w:rsid w:val="002B5851"/>
    <w:rsid w:val="002B69EE"/>
    <w:rsid w:val="002B6D80"/>
    <w:rsid w:val="002B73E3"/>
    <w:rsid w:val="002B76F4"/>
    <w:rsid w:val="002C0886"/>
    <w:rsid w:val="002C1884"/>
    <w:rsid w:val="002C2177"/>
    <w:rsid w:val="002C2B0B"/>
    <w:rsid w:val="002C348F"/>
    <w:rsid w:val="002C3ABB"/>
    <w:rsid w:val="002C3EEF"/>
    <w:rsid w:val="002C4846"/>
    <w:rsid w:val="002C4F17"/>
    <w:rsid w:val="002C5A0B"/>
    <w:rsid w:val="002C5F2A"/>
    <w:rsid w:val="002C63C6"/>
    <w:rsid w:val="002C6514"/>
    <w:rsid w:val="002C77A4"/>
    <w:rsid w:val="002C7B06"/>
    <w:rsid w:val="002D1378"/>
    <w:rsid w:val="002D166C"/>
    <w:rsid w:val="002D1A87"/>
    <w:rsid w:val="002D1F63"/>
    <w:rsid w:val="002D209E"/>
    <w:rsid w:val="002D24AB"/>
    <w:rsid w:val="002D2619"/>
    <w:rsid w:val="002D3EB2"/>
    <w:rsid w:val="002D4803"/>
    <w:rsid w:val="002D4B88"/>
    <w:rsid w:val="002D58A2"/>
    <w:rsid w:val="002D6E14"/>
    <w:rsid w:val="002D7B71"/>
    <w:rsid w:val="002D7EFD"/>
    <w:rsid w:val="002E0641"/>
    <w:rsid w:val="002E0914"/>
    <w:rsid w:val="002E0AE7"/>
    <w:rsid w:val="002E0E03"/>
    <w:rsid w:val="002E0F03"/>
    <w:rsid w:val="002E222D"/>
    <w:rsid w:val="002E2497"/>
    <w:rsid w:val="002E34CA"/>
    <w:rsid w:val="002E421F"/>
    <w:rsid w:val="002E4816"/>
    <w:rsid w:val="002E4C5E"/>
    <w:rsid w:val="002E4DED"/>
    <w:rsid w:val="002E5573"/>
    <w:rsid w:val="002E57E2"/>
    <w:rsid w:val="002E59B2"/>
    <w:rsid w:val="002E644A"/>
    <w:rsid w:val="002E7489"/>
    <w:rsid w:val="002E7593"/>
    <w:rsid w:val="002F0840"/>
    <w:rsid w:val="002F24DC"/>
    <w:rsid w:val="002F2C23"/>
    <w:rsid w:val="002F2F21"/>
    <w:rsid w:val="002F3156"/>
    <w:rsid w:val="002F38D4"/>
    <w:rsid w:val="002F3CB1"/>
    <w:rsid w:val="002F43F6"/>
    <w:rsid w:val="002F4B32"/>
    <w:rsid w:val="002F5B68"/>
    <w:rsid w:val="002F61B3"/>
    <w:rsid w:val="00301061"/>
    <w:rsid w:val="003018C8"/>
    <w:rsid w:val="003020F6"/>
    <w:rsid w:val="00302F81"/>
    <w:rsid w:val="003036CA"/>
    <w:rsid w:val="0030371C"/>
    <w:rsid w:val="00303DC8"/>
    <w:rsid w:val="0030489C"/>
    <w:rsid w:val="0030580A"/>
    <w:rsid w:val="00310A73"/>
    <w:rsid w:val="00310F2C"/>
    <w:rsid w:val="00313562"/>
    <w:rsid w:val="00314644"/>
    <w:rsid w:val="00315359"/>
    <w:rsid w:val="00316707"/>
    <w:rsid w:val="003167C0"/>
    <w:rsid w:val="00317549"/>
    <w:rsid w:val="003175B1"/>
    <w:rsid w:val="00317A11"/>
    <w:rsid w:val="00317AB6"/>
    <w:rsid w:val="00317BE4"/>
    <w:rsid w:val="00317FC0"/>
    <w:rsid w:val="003213A6"/>
    <w:rsid w:val="003224F4"/>
    <w:rsid w:val="00322F85"/>
    <w:rsid w:val="003232E4"/>
    <w:rsid w:val="003234F4"/>
    <w:rsid w:val="00323BD6"/>
    <w:rsid w:val="003268EE"/>
    <w:rsid w:val="00327894"/>
    <w:rsid w:val="0033082F"/>
    <w:rsid w:val="00330B5A"/>
    <w:rsid w:val="00330C29"/>
    <w:rsid w:val="00330E82"/>
    <w:rsid w:val="00330F3F"/>
    <w:rsid w:val="0033215E"/>
    <w:rsid w:val="003333B4"/>
    <w:rsid w:val="00334E99"/>
    <w:rsid w:val="00336FE2"/>
    <w:rsid w:val="0034028D"/>
    <w:rsid w:val="00341CF5"/>
    <w:rsid w:val="003422DF"/>
    <w:rsid w:val="00344A02"/>
    <w:rsid w:val="00344E12"/>
    <w:rsid w:val="00345C03"/>
    <w:rsid w:val="00345D08"/>
    <w:rsid w:val="00346516"/>
    <w:rsid w:val="00347781"/>
    <w:rsid w:val="00347AA8"/>
    <w:rsid w:val="00350A2A"/>
    <w:rsid w:val="003547E1"/>
    <w:rsid w:val="00356136"/>
    <w:rsid w:val="00357EB3"/>
    <w:rsid w:val="003608EF"/>
    <w:rsid w:val="00362825"/>
    <w:rsid w:val="00363491"/>
    <w:rsid w:val="00363FBB"/>
    <w:rsid w:val="00364430"/>
    <w:rsid w:val="00364B73"/>
    <w:rsid w:val="0036599F"/>
    <w:rsid w:val="0036643E"/>
    <w:rsid w:val="003665E9"/>
    <w:rsid w:val="0036708C"/>
    <w:rsid w:val="00367B3E"/>
    <w:rsid w:val="00370487"/>
    <w:rsid w:val="00370C67"/>
    <w:rsid w:val="003710B2"/>
    <w:rsid w:val="00372183"/>
    <w:rsid w:val="00373281"/>
    <w:rsid w:val="00373BB6"/>
    <w:rsid w:val="00373F4E"/>
    <w:rsid w:val="00374328"/>
    <w:rsid w:val="00376380"/>
    <w:rsid w:val="00376558"/>
    <w:rsid w:val="003769DA"/>
    <w:rsid w:val="00376B83"/>
    <w:rsid w:val="003777F0"/>
    <w:rsid w:val="0037787A"/>
    <w:rsid w:val="00380039"/>
    <w:rsid w:val="003804E8"/>
    <w:rsid w:val="0038193B"/>
    <w:rsid w:val="00381F0D"/>
    <w:rsid w:val="00383B0E"/>
    <w:rsid w:val="00386F6E"/>
    <w:rsid w:val="00387010"/>
    <w:rsid w:val="00387AD3"/>
    <w:rsid w:val="00390033"/>
    <w:rsid w:val="0039087D"/>
    <w:rsid w:val="003908AF"/>
    <w:rsid w:val="00390E90"/>
    <w:rsid w:val="00391681"/>
    <w:rsid w:val="003916CA"/>
    <w:rsid w:val="00391C54"/>
    <w:rsid w:val="00392783"/>
    <w:rsid w:val="00392C5A"/>
    <w:rsid w:val="00394070"/>
    <w:rsid w:val="0039423A"/>
    <w:rsid w:val="00395403"/>
    <w:rsid w:val="00395628"/>
    <w:rsid w:val="00396D79"/>
    <w:rsid w:val="00397A56"/>
    <w:rsid w:val="003A0467"/>
    <w:rsid w:val="003A1F66"/>
    <w:rsid w:val="003A2580"/>
    <w:rsid w:val="003A2B21"/>
    <w:rsid w:val="003A2EAC"/>
    <w:rsid w:val="003A30D7"/>
    <w:rsid w:val="003A3AB5"/>
    <w:rsid w:val="003A57E8"/>
    <w:rsid w:val="003A6BA0"/>
    <w:rsid w:val="003A756A"/>
    <w:rsid w:val="003A78FA"/>
    <w:rsid w:val="003B02C3"/>
    <w:rsid w:val="003B09D0"/>
    <w:rsid w:val="003B0CC3"/>
    <w:rsid w:val="003B1523"/>
    <w:rsid w:val="003B244B"/>
    <w:rsid w:val="003B294F"/>
    <w:rsid w:val="003B3AA6"/>
    <w:rsid w:val="003B3EAF"/>
    <w:rsid w:val="003B4529"/>
    <w:rsid w:val="003B46C8"/>
    <w:rsid w:val="003B49B5"/>
    <w:rsid w:val="003B5744"/>
    <w:rsid w:val="003B5E94"/>
    <w:rsid w:val="003B7420"/>
    <w:rsid w:val="003B75D2"/>
    <w:rsid w:val="003B77E7"/>
    <w:rsid w:val="003C0903"/>
    <w:rsid w:val="003C14E8"/>
    <w:rsid w:val="003C217C"/>
    <w:rsid w:val="003C2831"/>
    <w:rsid w:val="003C2D9A"/>
    <w:rsid w:val="003C2FA0"/>
    <w:rsid w:val="003C3A2A"/>
    <w:rsid w:val="003C3E38"/>
    <w:rsid w:val="003C4770"/>
    <w:rsid w:val="003C4AA2"/>
    <w:rsid w:val="003C5243"/>
    <w:rsid w:val="003C5310"/>
    <w:rsid w:val="003C587C"/>
    <w:rsid w:val="003C5E1B"/>
    <w:rsid w:val="003C6035"/>
    <w:rsid w:val="003C6084"/>
    <w:rsid w:val="003C660D"/>
    <w:rsid w:val="003C69F6"/>
    <w:rsid w:val="003C6E5C"/>
    <w:rsid w:val="003C712C"/>
    <w:rsid w:val="003C7CC8"/>
    <w:rsid w:val="003D3F4E"/>
    <w:rsid w:val="003D54A3"/>
    <w:rsid w:val="003D7BDB"/>
    <w:rsid w:val="003E13A2"/>
    <w:rsid w:val="003E2525"/>
    <w:rsid w:val="003E2773"/>
    <w:rsid w:val="003E285A"/>
    <w:rsid w:val="003E35DF"/>
    <w:rsid w:val="003E4ACC"/>
    <w:rsid w:val="003E4B0A"/>
    <w:rsid w:val="003E6A47"/>
    <w:rsid w:val="003E782D"/>
    <w:rsid w:val="003F06BA"/>
    <w:rsid w:val="003F10AD"/>
    <w:rsid w:val="003F187D"/>
    <w:rsid w:val="003F205F"/>
    <w:rsid w:val="003F26E5"/>
    <w:rsid w:val="003F33EE"/>
    <w:rsid w:val="003F375E"/>
    <w:rsid w:val="003F3EDB"/>
    <w:rsid w:val="003F4161"/>
    <w:rsid w:val="003F49BB"/>
    <w:rsid w:val="003F551B"/>
    <w:rsid w:val="003F5F7A"/>
    <w:rsid w:val="003F637F"/>
    <w:rsid w:val="003F6618"/>
    <w:rsid w:val="003F72DA"/>
    <w:rsid w:val="003F7386"/>
    <w:rsid w:val="003F7400"/>
    <w:rsid w:val="00400E7D"/>
    <w:rsid w:val="00400FD7"/>
    <w:rsid w:val="004023BC"/>
    <w:rsid w:val="004023CF"/>
    <w:rsid w:val="0040274C"/>
    <w:rsid w:val="004031B3"/>
    <w:rsid w:val="00403875"/>
    <w:rsid w:val="0040456B"/>
    <w:rsid w:val="00404875"/>
    <w:rsid w:val="0040496C"/>
    <w:rsid w:val="0040530E"/>
    <w:rsid w:val="004068E8"/>
    <w:rsid w:val="004118B1"/>
    <w:rsid w:val="00411DB6"/>
    <w:rsid w:val="00412190"/>
    <w:rsid w:val="00412249"/>
    <w:rsid w:val="004138C7"/>
    <w:rsid w:val="004146FD"/>
    <w:rsid w:val="0041498E"/>
    <w:rsid w:val="00414C9C"/>
    <w:rsid w:val="00414CB3"/>
    <w:rsid w:val="00415305"/>
    <w:rsid w:val="00415912"/>
    <w:rsid w:val="00415C91"/>
    <w:rsid w:val="00415CE3"/>
    <w:rsid w:val="00416031"/>
    <w:rsid w:val="0041639D"/>
    <w:rsid w:val="004163F7"/>
    <w:rsid w:val="00416D5E"/>
    <w:rsid w:val="00416D8E"/>
    <w:rsid w:val="00417862"/>
    <w:rsid w:val="00417DA1"/>
    <w:rsid w:val="00420091"/>
    <w:rsid w:val="00421453"/>
    <w:rsid w:val="004221DB"/>
    <w:rsid w:val="004233D4"/>
    <w:rsid w:val="004235D4"/>
    <w:rsid w:val="00423EBC"/>
    <w:rsid w:val="00426CC4"/>
    <w:rsid w:val="00427901"/>
    <w:rsid w:val="00427A3F"/>
    <w:rsid w:val="00427E5C"/>
    <w:rsid w:val="004306D0"/>
    <w:rsid w:val="00430BB5"/>
    <w:rsid w:val="00430CF7"/>
    <w:rsid w:val="00431B54"/>
    <w:rsid w:val="00431DB9"/>
    <w:rsid w:val="00432114"/>
    <w:rsid w:val="00432997"/>
    <w:rsid w:val="00433C72"/>
    <w:rsid w:val="00433FE5"/>
    <w:rsid w:val="004343A4"/>
    <w:rsid w:val="004347EE"/>
    <w:rsid w:val="00435DB5"/>
    <w:rsid w:val="00436E05"/>
    <w:rsid w:val="00437781"/>
    <w:rsid w:val="00440356"/>
    <w:rsid w:val="00440C05"/>
    <w:rsid w:val="00441360"/>
    <w:rsid w:val="00441AAE"/>
    <w:rsid w:val="004421A1"/>
    <w:rsid w:val="00444F06"/>
    <w:rsid w:val="00445881"/>
    <w:rsid w:val="00445B42"/>
    <w:rsid w:val="00445D35"/>
    <w:rsid w:val="00445FF8"/>
    <w:rsid w:val="004462C2"/>
    <w:rsid w:val="004463BA"/>
    <w:rsid w:val="004469F9"/>
    <w:rsid w:val="00447F1D"/>
    <w:rsid w:val="00452742"/>
    <w:rsid w:val="00453F06"/>
    <w:rsid w:val="0045405C"/>
    <w:rsid w:val="00454C01"/>
    <w:rsid w:val="004567C2"/>
    <w:rsid w:val="004568D4"/>
    <w:rsid w:val="00456F2D"/>
    <w:rsid w:val="00457882"/>
    <w:rsid w:val="0045795B"/>
    <w:rsid w:val="00457A03"/>
    <w:rsid w:val="00457C89"/>
    <w:rsid w:val="00461242"/>
    <w:rsid w:val="004618E7"/>
    <w:rsid w:val="004637F4"/>
    <w:rsid w:val="00464735"/>
    <w:rsid w:val="00465F5D"/>
    <w:rsid w:val="00466BCC"/>
    <w:rsid w:val="004678F7"/>
    <w:rsid w:val="004708E5"/>
    <w:rsid w:val="00470BED"/>
    <w:rsid w:val="00471011"/>
    <w:rsid w:val="00472695"/>
    <w:rsid w:val="00472C3A"/>
    <w:rsid w:val="00473ED3"/>
    <w:rsid w:val="0047573C"/>
    <w:rsid w:val="00475C5E"/>
    <w:rsid w:val="0047758C"/>
    <w:rsid w:val="00477AB6"/>
    <w:rsid w:val="00477C5C"/>
    <w:rsid w:val="0048095C"/>
    <w:rsid w:val="00480FC2"/>
    <w:rsid w:val="00481157"/>
    <w:rsid w:val="004811D1"/>
    <w:rsid w:val="004812F5"/>
    <w:rsid w:val="004837A2"/>
    <w:rsid w:val="00483981"/>
    <w:rsid w:val="00483DE5"/>
    <w:rsid w:val="00486429"/>
    <w:rsid w:val="0048736B"/>
    <w:rsid w:val="0049135E"/>
    <w:rsid w:val="0049137A"/>
    <w:rsid w:val="004922D6"/>
    <w:rsid w:val="004925C4"/>
    <w:rsid w:val="00492821"/>
    <w:rsid w:val="004932DE"/>
    <w:rsid w:val="0049332C"/>
    <w:rsid w:val="0049380B"/>
    <w:rsid w:val="00493D0A"/>
    <w:rsid w:val="00494CF3"/>
    <w:rsid w:val="00495254"/>
    <w:rsid w:val="00497C41"/>
    <w:rsid w:val="004A0B87"/>
    <w:rsid w:val="004A1F7B"/>
    <w:rsid w:val="004A2011"/>
    <w:rsid w:val="004A3D7C"/>
    <w:rsid w:val="004A435A"/>
    <w:rsid w:val="004A4B6F"/>
    <w:rsid w:val="004A4FD1"/>
    <w:rsid w:val="004A6755"/>
    <w:rsid w:val="004A7A83"/>
    <w:rsid w:val="004B01BC"/>
    <w:rsid w:val="004B0288"/>
    <w:rsid w:val="004B3864"/>
    <w:rsid w:val="004B4260"/>
    <w:rsid w:val="004B43C6"/>
    <w:rsid w:val="004B48E2"/>
    <w:rsid w:val="004B4AE5"/>
    <w:rsid w:val="004B4C70"/>
    <w:rsid w:val="004B5686"/>
    <w:rsid w:val="004B66C7"/>
    <w:rsid w:val="004B68A5"/>
    <w:rsid w:val="004B7872"/>
    <w:rsid w:val="004B7F2C"/>
    <w:rsid w:val="004C01EF"/>
    <w:rsid w:val="004C03D7"/>
    <w:rsid w:val="004C1427"/>
    <w:rsid w:val="004C216A"/>
    <w:rsid w:val="004C2394"/>
    <w:rsid w:val="004C2AC6"/>
    <w:rsid w:val="004C2CB0"/>
    <w:rsid w:val="004C33F1"/>
    <w:rsid w:val="004C366A"/>
    <w:rsid w:val="004C367B"/>
    <w:rsid w:val="004C3C6A"/>
    <w:rsid w:val="004C3D9B"/>
    <w:rsid w:val="004C4DD4"/>
    <w:rsid w:val="004C525D"/>
    <w:rsid w:val="004C5344"/>
    <w:rsid w:val="004C5572"/>
    <w:rsid w:val="004C5831"/>
    <w:rsid w:val="004C66F5"/>
    <w:rsid w:val="004D0920"/>
    <w:rsid w:val="004D196D"/>
    <w:rsid w:val="004D1E8E"/>
    <w:rsid w:val="004D27B6"/>
    <w:rsid w:val="004D33F5"/>
    <w:rsid w:val="004D33F6"/>
    <w:rsid w:val="004D3CB6"/>
    <w:rsid w:val="004D4151"/>
    <w:rsid w:val="004D4331"/>
    <w:rsid w:val="004D51F4"/>
    <w:rsid w:val="004D57AC"/>
    <w:rsid w:val="004D5ACA"/>
    <w:rsid w:val="004D5DC9"/>
    <w:rsid w:val="004D5FBB"/>
    <w:rsid w:val="004D6A43"/>
    <w:rsid w:val="004D6FAD"/>
    <w:rsid w:val="004E0529"/>
    <w:rsid w:val="004E0A11"/>
    <w:rsid w:val="004E16B4"/>
    <w:rsid w:val="004E1C6C"/>
    <w:rsid w:val="004E1D4E"/>
    <w:rsid w:val="004E2234"/>
    <w:rsid w:val="004E2B3B"/>
    <w:rsid w:val="004E2BD9"/>
    <w:rsid w:val="004E2D50"/>
    <w:rsid w:val="004E4C3B"/>
    <w:rsid w:val="004E5365"/>
    <w:rsid w:val="004E560D"/>
    <w:rsid w:val="004E7A14"/>
    <w:rsid w:val="004F1772"/>
    <w:rsid w:val="004F2396"/>
    <w:rsid w:val="004F2A20"/>
    <w:rsid w:val="004F42C2"/>
    <w:rsid w:val="004F5288"/>
    <w:rsid w:val="004F53C3"/>
    <w:rsid w:val="004F556F"/>
    <w:rsid w:val="004F606E"/>
    <w:rsid w:val="004F6398"/>
    <w:rsid w:val="004F6410"/>
    <w:rsid w:val="004F648C"/>
    <w:rsid w:val="005002F3"/>
    <w:rsid w:val="00501968"/>
    <w:rsid w:val="00502FB6"/>
    <w:rsid w:val="00503126"/>
    <w:rsid w:val="00504C7D"/>
    <w:rsid w:val="00510937"/>
    <w:rsid w:val="00510B01"/>
    <w:rsid w:val="00510CE3"/>
    <w:rsid w:val="00510E24"/>
    <w:rsid w:val="00510E9C"/>
    <w:rsid w:val="00511609"/>
    <w:rsid w:val="00512C14"/>
    <w:rsid w:val="005131D2"/>
    <w:rsid w:val="0051405B"/>
    <w:rsid w:val="00514AB1"/>
    <w:rsid w:val="00514C20"/>
    <w:rsid w:val="00515848"/>
    <w:rsid w:val="005169C2"/>
    <w:rsid w:val="005169E4"/>
    <w:rsid w:val="00516A61"/>
    <w:rsid w:val="00516E8F"/>
    <w:rsid w:val="005203D5"/>
    <w:rsid w:val="00521AAA"/>
    <w:rsid w:val="00521BDB"/>
    <w:rsid w:val="0052224F"/>
    <w:rsid w:val="00522E97"/>
    <w:rsid w:val="00523098"/>
    <w:rsid w:val="00523434"/>
    <w:rsid w:val="00523DDC"/>
    <w:rsid w:val="00525D2F"/>
    <w:rsid w:val="00527546"/>
    <w:rsid w:val="00527698"/>
    <w:rsid w:val="00527D8A"/>
    <w:rsid w:val="005306A7"/>
    <w:rsid w:val="0053128F"/>
    <w:rsid w:val="005315A1"/>
    <w:rsid w:val="00531BD8"/>
    <w:rsid w:val="00531E9B"/>
    <w:rsid w:val="00532571"/>
    <w:rsid w:val="00534C22"/>
    <w:rsid w:val="00535485"/>
    <w:rsid w:val="005379E2"/>
    <w:rsid w:val="005408B1"/>
    <w:rsid w:val="00540E10"/>
    <w:rsid w:val="00540F11"/>
    <w:rsid w:val="00541BD2"/>
    <w:rsid w:val="005424E3"/>
    <w:rsid w:val="00542D60"/>
    <w:rsid w:val="00543D53"/>
    <w:rsid w:val="00543F6B"/>
    <w:rsid w:val="005443EF"/>
    <w:rsid w:val="005449C1"/>
    <w:rsid w:val="00546BFA"/>
    <w:rsid w:val="00546C6D"/>
    <w:rsid w:val="00546F5D"/>
    <w:rsid w:val="005470A8"/>
    <w:rsid w:val="00547141"/>
    <w:rsid w:val="005479AE"/>
    <w:rsid w:val="00547EED"/>
    <w:rsid w:val="00550C0D"/>
    <w:rsid w:val="0055317A"/>
    <w:rsid w:val="005539F6"/>
    <w:rsid w:val="00553A06"/>
    <w:rsid w:val="00553D81"/>
    <w:rsid w:val="005540BD"/>
    <w:rsid w:val="005541C2"/>
    <w:rsid w:val="00554ACE"/>
    <w:rsid w:val="00554D5C"/>
    <w:rsid w:val="005553C8"/>
    <w:rsid w:val="00555F45"/>
    <w:rsid w:val="00556C02"/>
    <w:rsid w:val="00557447"/>
    <w:rsid w:val="00557B5B"/>
    <w:rsid w:val="00560C36"/>
    <w:rsid w:val="0056238E"/>
    <w:rsid w:val="005626D9"/>
    <w:rsid w:val="00562828"/>
    <w:rsid w:val="00563219"/>
    <w:rsid w:val="00563FE5"/>
    <w:rsid w:val="00564F86"/>
    <w:rsid w:val="00565293"/>
    <w:rsid w:val="00566152"/>
    <w:rsid w:val="005661A9"/>
    <w:rsid w:val="00566221"/>
    <w:rsid w:val="005668B8"/>
    <w:rsid w:val="00566A74"/>
    <w:rsid w:val="00566E81"/>
    <w:rsid w:val="00567432"/>
    <w:rsid w:val="00567DEB"/>
    <w:rsid w:val="00570CFE"/>
    <w:rsid w:val="005724D7"/>
    <w:rsid w:val="00572B93"/>
    <w:rsid w:val="005737D8"/>
    <w:rsid w:val="005743BD"/>
    <w:rsid w:val="00575085"/>
    <w:rsid w:val="00576D4A"/>
    <w:rsid w:val="005771E3"/>
    <w:rsid w:val="005810AF"/>
    <w:rsid w:val="00581538"/>
    <w:rsid w:val="00581EA9"/>
    <w:rsid w:val="00581F37"/>
    <w:rsid w:val="00582E0B"/>
    <w:rsid w:val="00583023"/>
    <w:rsid w:val="005830B2"/>
    <w:rsid w:val="005834C3"/>
    <w:rsid w:val="0058381D"/>
    <w:rsid w:val="005845F3"/>
    <w:rsid w:val="0058636C"/>
    <w:rsid w:val="005869D4"/>
    <w:rsid w:val="0059357F"/>
    <w:rsid w:val="00593682"/>
    <w:rsid w:val="00593AA1"/>
    <w:rsid w:val="005941B2"/>
    <w:rsid w:val="00594825"/>
    <w:rsid w:val="005956D5"/>
    <w:rsid w:val="00595C68"/>
    <w:rsid w:val="00596F42"/>
    <w:rsid w:val="0059706A"/>
    <w:rsid w:val="0059745D"/>
    <w:rsid w:val="005979AA"/>
    <w:rsid w:val="005A09E8"/>
    <w:rsid w:val="005A0C9C"/>
    <w:rsid w:val="005A0E82"/>
    <w:rsid w:val="005A1160"/>
    <w:rsid w:val="005A3262"/>
    <w:rsid w:val="005A36FD"/>
    <w:rsid w:val="005A3CA7"/>
    <w:rsid w:val="005A404A"/>
    <w:rsid w:val="005A44FB"/>
    <w:rsid w:val="005A4DD0"/>
    <w:rsid w:val="005A5133"/>
    <w:rsid w:val="005A5238"/>
    <w:rsid w:val="005A65A4"/>
    <w:rsid w:val="005A7696"/>
    <w:rsid w:val="005A7709"/>
    <w:rsid w:val="005A77F3"/>
    <w:rsid w:val="005B0331"/>
    <w:rsid w:val="005B0748"/>
    <w:rsid w:val="005B0A08"/>
    <w:rsid w:val="005B1642"/>
    <w:rsid w:val="005B2880"/>
    <w:rsid w:val="005B2EC5"/>
    <w:rsid w:val="005B40F6"/>
    <w:rsid w:val="005B4CDA"/>
    <w:rsid w:val="005B5867"/>
    <w:rsid w:val="005B617F"/>
    <w:rsid w:val="005B6DA3"/>
    <w:rsid w:val="005B764D"/>
    <w:rsid w:val="005B79D7"/>
    <w:rsid w:val="005C05BF"/>
    <w:rsid w:val="005C05E8"/>
    <w:rsid w:val="005C0B75"/>
    <w:rsid w:val="005C0DCF"/>
    <w:rsid w:val="005C19BE"/>
    <w:rsid w:val="005C336C"/>
    <w:rsid w:val="005C3D79"/>
    <w:rsid w:val="005C3F8D"/>
    <w:rsid w:val="005C414F"/>
    <w:rsid w:val="005C4AA3"/>
    <w:rsid w:val="005C6214"/>
    <w:rsid w:val="005C6747"/>
    <w:rsid w:val="005C6B81"/>
    <w:rsid w:val="005C6C95"/>
    <w:rsid w:val="005C6D16"/>
    <w:rsid w:val="005C75C7"/>
    <w:rsid w:val="005C7F1A"/>
    <w:rsid w:val="005D0056"/>
    <w:rsid w:val="005D0BD3"/>
    <w:rsid w:val="005D1334"/>
    <w:rsid w:val="005D2042"/>
    <w:rsid w:val="005D386A"/>
    <w:rsid w:val="005D39D5"/>
    <w:rsid w:val="005D5399"/>
    <w:rsid w:val="005D5496"/>
    <w:rsid w:val="005D5650"/>
    <w:rsid w:val="005D56DC"/>
    <w:rsid w:val="005D5C8C"/>
    <w:rsid w:val="005D7E1B"/>
    <w:rsid w:val="005E029B"/>
    <w:rsid w:val="005E093D"/>
    <w:rsid w:val="005E1998"/>
    <w:rsid w:val="005E201A"/>
    <w:rsid w:val="005E274F"/>
    <w:rsid w:val="005E342A"/>
    <w:rsid w:val="005E369E"/>
    <w:rsid w:val="005E487D"/>
    <w:rsid w:val="005E5460"/>
    <w:rsid w:val="005E58D4"/>
    <w:rsid w:val="005E5DFD"/>
    <w:rsid w:val="005E609A"/>
    <w:rsid w:val="005E6E58"/>
    <w:rsid w:val="005E70C5"/>
    <w:rsid w:val="005E7C4C"/>
    <w:rsid w:val="005E7DA5"/>
    <w:rsid w:val="005E7DCD"/>
    <w:rsid w:val="005F0408"/>
    <w:rsid w:val="005F04EA"/>
    <w:rsid w:val="005F0866"/>
    <w:rsid w:val="005F0CB5"/>
    <w:rsid w:val="005F18DB"/>
    <w:rsid w:val="005F1F68"/>
    <w:rsid w:val="005F3090"/>
    <w:rsid w:val="005F3292"/>
    <w:rsid w:val="005F383E"/>
    <w:rsid w:val="005F40C3"/>
    <w:rsid w:val="005F45C2"/>
    <w:rsid w:val="005F47BC"/>
    <w:rsid w:val="005F656A"/>
    <w:rsid w:val="005F68E8"/>
    <w:rsid w:val="005F7068"/>
    <w:rsid w:val="005F7957"/>
    <w:rsid w:val="00600F2F"/>
    <w:rsid w:val="0060150F"/>
    <w:rsid w:val="00601705"/>
    <w:rsid w:val="00601A1C"/>
    <w:rsid w:val="00602192"/>
    <w:rsid w:val="006021E4"/>
    <w:rsid w:val="0060236F"/>
    <w:rsid w:val="00602D5E"/>
    <w:rsid w:val="006033A4"/>
    <w:rsid w:val="006033D2"/>
    <w:rsid w:val="006039C4"/>
    <w:rsid w:val="00604032"/>
    <w:rsid w:val="00604695"/>
    <w:rsid w:val="0060642D"/>
    <w:rsid w:val="0060666E"/>
    <w:rsid w:val="00606DA9"/>
    <w:rsid w:val="006072FF"/>
    <w:rsid w:val="00607DF4"/>
    <w:rsid w:val="0061001A"/>
    <w:rsid w:val="0061084F"/>
    <w:rsid w:val="006112F1"/>
    <w:rsid w:val="006119CD"/>
    <w:rsid w:val="00611F1F"/>
    <w:rsid w:val="0061218F"/>
    <w:rsid w:val="00612332"/>
    <w:rsid w:val="0061426D"/>
    <w:rsid w:val="00615AC5"/>
    <w:rsid w:val="00616C8A"/>
    <w:rsid w:val="00617535"/>
    <w:rsid w:val="00617AA3"/>
    <w:rsid w:val="006206D5"/>
    <w:rsid w:val="00620D9A"/>
    <w:rsid w:val="00621080"/>
    <w:rsid w:val="006228E6"/>
    <w:rsid w:val="00622D80"/>
    <w:rsid w:val="0062352A"/>
    <w:rsid w:val="00623C54"/>
    <w:rsid w:val="006245F1"/>
    <w:rsid w:val="006254E9"/>
    <w:rsid w:val="0062580F"/>
    <w:rsid w:val="00626A00"/>
    <w:rsid w:val="00626F0F"/>
    <w:rsid w:val="00630622"/>
    <w:rsid w:val="006310EF"/>
    <w:rsid w:val="0063155D"/>
    <w:rsid w:val="006320B3"/>
    <w:rsid w:val="006327B4"/>
    <w:rsid w:val="00632D42"/>
    <w:rsid w:val="006330AB"/>
    <w:rsid w:val="00633E23"/>
    <w:rsid w:val="00634A1E"/>
    <w:rsid w:val="00634BAE"/>
    <w:rsid w:val="00634EC6"/>
    <w:rsid w:val="0063510E"/>
    <w:rsid w:val="00635582"/>
    <w:rsid w:val="0063672E"/>
    <w:rsid w:val="00636A27"/>
    <w:rsid w:val="00636DE2"/>
    <w:rsid w:val="00636EC1"/>
    <w:rsid w:val="006370D5"/>
    <w:rsid w:val="0063741D"/>
    <w:rsid w:val="00640210"/>
    <w:rsid w:val="00640FA3"/>
    <w:rsid w:val="00641D5F"/>
    <w:rsid w:val="00642B0A"/>
    <w:rsid w:val="00642E91"/>
    <w:rsid w:val="00643581"/>
    <w:rsid w:val="00643DC0"/>
    <w:rsid w:val="00644BD7"/>
    <w:rsid w:val="00644C04"/>
    <w:rsid w:val="006450A5"/>
    <w:rsid w:val="00645160"/>
    <w:rsid w:val="00645E75"/>
    <w:rsid w:val="006467AC"/>
    <w:rsid w:val="00646DBD"/>
    <w:rsid w:val="00647C0B"/>
    <w:rsid w:val="00650DDD"/>
    <w:rsid w:val="0065197B"/>
    <w:rsid w:val="00652603"/>
    <w:rsid w:val="0065376B"/>
    <w:rsid w:val="0065400C"/>
    <w:rsid w:val="00654C30"/>
    <w:rsid w:val="00654FBE"/>
    <w:rsid w:val="00655506"/>
    <w:rsid w:val="006563C2"/>
    <w:rsid w:val="0065650A"/>
    <w:rsid w:val="0065658C"/>
    <w:rsid w:val="00656D0C"/>
    <w:rsid w:val="006571FA"/>
    <w:rsid w:val="006600C3"/>
    <w:rsid w:val="00660BD9"/>
    <w:rsid w:val="00660D12"/>
    <w:rsid w:val="00661480"/>
    <w:rsid w:val="006619B9"/>
    <w:rsid w:val="00661A43"/>
    <w:rsid w:val="006630A3"/>
    <w:rsid w:val="00664724"/>
    <w:rsid w:val="006650FB"/>
    <w:rsid w:val="00665711"/>
    <w:rsid w:val="00665C0D"/>
    <w:rsid w:val="00667D0F"/>
    <w:rsid w:val="00670C80"/>
    <w:rsid w:val="00671036"/>
    <w:rsid w:val="00671151"/>
    <w:rsid w:val="0067121A"/>
    <w:rsid w:val="0067139F"/>
    <w:rsid w:val="00672B90"/>
    <w:rsid w:val="00673344"/>
    <w:rsid w:val="006758F9"/>
    <w:rsid w:val="00675978"/>
    <w:rsid w:val="006761CE"/>
    <w:rsid w:val="00676C64"/>
    <w:rsid w:val="0067752C"/>
    <w:rsid w:val="006801DD"/>
    <w:rsid w:val="006804BE"/>
    <w:rsid w:val="00681D83"/>
    <w:rsid w:val="00681DFC"/>
    <w:rsid w:val="006822A9"/>
    <w:rsid w:val="00682F63"/>
    <w:rsid w:val="00682F73"/>
    <w:rsid w:val="006831C0"/>
    <w:rsid w:val="0068387D"/>
    <w:rsid w:val="0068436B"/>
    <w:rsid w:val="006844DB"/>
    <w:rsid w:val="00684FA7"/>
    <w:rsid w:val="00685A20"/>
    <w:rsid w:val="00685E09"/>
    <w:rsid w:val="006862FC"/>
    <w:rsid w:val="006863B5"/>
    <w:rsid w:val="0068643D"/>
    <w:rsid w:val="006864D0"/>
    <w:rsid w:val="0068654E"/>
    <w:rsid w:val="006875BD"/>
    <w:rsid w:val="00690F48"/>
    <w:rsid w:val="0069102D"/>
    <w:rsid w:val="00691D9A"/>
    <w:rsid w:val="006925CC"/>
    <w:rsid w:val="00692810"/>
    <w:rsid w:val="006931BE"/>
    <w:rsid w:val="006944B4"/>
    <w:rsid w:val="00694BF1"/>
    <w:rsid w:val="0069527F"/>
    <w:rsid w:val="006958D5"/>
    <w:rsid w:val="00695997"/>
    <w:rsid w:val="00696656"/>
    <w:rsid w:val="00696C6A"/>
    <w:rsid w:val="00697006"/>
    <w:rsid w:val="00697459"/>
    <w:rsid w:val="00697FA0"/>
    <w:rsid w:val="006A0993"/>
    <w:rsid w:val="006A2899"/>
    <w:rsid w:val="006A2A2D"/>
    <w:rsid w:val="006A2E27"/>
    <w:rsid w:val="006A3A5D"/>
    <w:rsid w:val="006A3F9F"/>
    <w:rsid w:val="006A4605"/>
    <w:rsid w:val="006A47DA"/>
    <w:rsid w:val="006A5648"/>
    <w:rsid w:val="006A682D"/>
    <w:rsid w:val="006A717F"/>
    <w:rsid w:val="006A73B9"/>
    <w:rsid w:val="006A78EC"/>
    <w:rsid w:val="006A7F51"/>
    <w:rsid w:val="006B0043"/>
    <w:rsid w:val="006B0573"/>
    <w:rsid w:val="006B07E7"/>
    <w:rsid w:val="006B0C3F"/>
    <w:rsid w:val="006B20E9"/>
    <w:rsid w:val="006B2691"/>
    <w:rsid w:val="006B2BAF"/>
    <w:rsid w:val="006B4431"/>
    <w:rsid w:val="006B4580"/>
    <w:rsid w:val="006B62CA"/>
    <w:rsid w:val="006B691D"/>
    <w:rsid w:val="006B699F"/>
    <w:rsid w:val="006B6EE0"/>
    <w:rsid w:val="006B71F7"/>
    <w:rsid w:val="006B755F"/>
    <w:rsid w:val="006B7E27"/>
    <w:rsid w:val="006C1E99"/>
    <w:rsid w:val="006C1FF2"/>
    <w:rsid w:val="006C233C"/>
    <w:rsid w:val="006C27BC"/>
    <w:rsid w:val="006C3EB6"/>
    <w:rsid w:val="006C600C"/>
    <w:rsid w:val="006C658F"/>
    <w:rsid w:val="006C67D3"/>
    <w:rsid w:val="006C6D55"/>
    <w:rsid w:val="006C773E"/>
    <w:rsid w:val="006D030B"/>
    <w:rsid w:val="006D0509"/>
    <w:rsid w:val="006D26D1"/>
    <w:rsid w:val="006D276B"/>
    <w:rsid w:val="006D34EB"/>
    <w:rsid w:val="006D42B4"/>
    <w:rsid w:val="006D566F"/>
    <w:rsid w:val="006D66BA"/>
    <w:rsid w:val="006D6C85"/>
    <w:rsid w:val="006D7688"/>
    <w:rsid w:val="006D7D5A"/>
    <w:rsid w:val="006E00BC"/>
    <w:rsid w:val="006E090B"/>
    <w:rsid w:val="006E0EED"/>
    <w:rsid w:val="006E17DA"/>
    <w:rsid w:val="006E25A5"/>
    <w:rsid w:val="006E2EE9"/>
    <w:rsid w:val="006E359E"/>
    <w:rsid w:val="006E3698"/>
    <w:rsid w:val="006E482B"/>
    <w:rsid w:val="006E50B2"/>
    <w:rsid w:val="006E56B3"/>
    <w:rsid w:val="006E5F36"/>
    <w:rsid w:val="006E663B"/>
    <w:rsid w:val="006E667B"/>
    <w:rsid w:val="006E6D14"/>
    <w:rsid w:val="006E6ECE"/>
    <w:rsid w:val="006F0491"/>
    <w:rsid w:val="006F10A8"/>
    <w:rsid w:val="006F1672"/>
    <w:rsid w:val="006F17AA"/>
    <w:rsid w:val="006F3AB7"/>
    <w:rsid w:val="006F44CC"/>
    <w:rsid w:val="006F5453"/>
    <w:rsid w:val="006F6620"/>
    <w:rsid w:val="006F7322"/>
    <w:rsid w:val="00700B56"/>
    <w:rsid w:val="007010DE"/>
    <w:rsid w:val="007026D6"/>
    <w:rsid w:val="007036C3"/>
    <w:rsid w:val="007048DC"/>
    <w:rsid w:val="00704DB2"/>
    <w:rsid w:val="007054C8"/>
    <w:rsid w:val="00705C0C"/>
    <w:rsid w:val="00705F73"/>
    <w:rsid w:val="00706738"/>
    <w:rsid w:val="00707757"/>
    <w:rsid w:val="007100F6"/>
    <w:rsid w:val="00710F18"/>
    <w:rsid w:val="00712C11"/>
    <w:rsid w:val="007134EE"/>
    <w:rsid w:val="00713604"/>
    <w:rsid w:val="007136F2"/>
    <w:rsid w:val="00714C33"/>
    <w:rsid w:val="00714ECA"/>
    <w:rsid w:val="007158D0"/>
    <w:rsid w:val="0071640A"/>
    <w:rsid w:val="00717307"/>
    <w:rsid w:val="00720F89"/>
    <w:rsid w:val="0072102E"/>
    <w:rsid w:val="00723884"/>
    <w:rsid w:val="00723F98"/>
    <w:rsid w:val="00724205"/>
    <w:rsid w:val="0072429E"/>
    <w:rsid w:val="00724A1A"/>
    <w:rsid w:val="00724B8D"/>
    <w:rsid w:val="0072555F"/>
    <w:rsid w:val="007259D9"/>
    <w:rsid w:val="00726AAA"/>
    <w:rsid w:val="007311DB"/>
    <w:rsid w:val="00731631"/>
    <w:rsid w:val="0073197F"/>
    <w:rsid w:val="00731F5D"/>
    <w:rsid w:val="0073272B"/>
    <w:rsid w:val="00732FF5"/>
    <w:rsid w:val="0073377F"/>
    <w:rsid w:val="00735A4C"/>
    <w:rsid w:val="00736137"/>
    <w:rsid w:val="007364FB"/>
    <w:rsid w:val="0073688F"/>
    <w:rsid w:val="0074055C"/>
    <w:rsid w:val="00741316"/>
    <w:rsid w:val="00744773"/>
    <w:rsid w:val="0074478E"/>
    <w:rsid w:val="00744D39"/>
    <w:rsid w:val="0074505B"/>
    <w:rsid w:val="00746C76"/>
    <w:rsid w:val="00746CC2"/>
    <w:rsid w:val="00746D64"/>
    <w:rsid w:val="007471A2"/>
    <w:rsid w:val="00747EB9"/>
    <w:rsid w:val="007500EB"/>
    <w:rsid w:val="00751481"/>
    <w:rsid w:val="00753492"/>
    <w:rsid w:val="007544D9"/>
    <w:rsid w:val="00756137"/>
    <w:rsid w:val="00756179"/>
    <w:rsid w:val="007576E5"/>
    <w:rsid w:val="00757B36"/>
    <w:rsid w:val="007607BF"/>
    <w:rsid w:val="007614CA"/>
    <w:rsid w:val="00761E24"/>
    <w:rsid w:val="00761E31"/>
    <w:rsid w:val="00761F20"/>
    <w:rsid w:val="00762562"/>
    <w:rsid w:val="00762AE7"/>
    <w:rsid w:val="00763321"/>
    <w:rsid w:val="00763D1E"/>
    <w:rsid w:val="00764656"/>
    <w:rsid w:val="007647E6"/>
    <w:rsid w:val="00764BE9"/>
    <w:rsid w:val="00765750"/>
    <w:rsid w:val="00765ED8"/>
    <w:rsid w:val="00765EEE"/>
    <w:rsid w:val="00765F14"/>
    <w:rsid w:val="00766F2C"/>
    <w:rsid w:val="00770C54"/>
    <w:rsid w:val="00770CC3"/>
    <w:rsid w:val="00771244"/>
    <w:rsid w:val="00771D90"/>
    <w:rsid w:val="007727AD"/>
    <w:rsid w:val="0077304E"/>
    <w:rsid w:val="0077368A"/>
    <w:rsid w:val="00773A28"/>
    <w:rsid w:val="00773BA9"/>
    <w:rsid w:val="00773DC0"/>
    <w:rsid w:val="00774E25"/>
    <w:rsid w:val="00775967"/>
    <w:rsid w:val="00775BEC"/>
    <w:rsid w:val="00775EAA"/>
    <w:rsid w:val="007765A3"/>
    <w:rsid w:val="0077694D"/>
    <w:rsid w:val="00777523"/>
    <w:rsid w:val="007804C9"/>
    <w:rsid w:val="007833AD"/>
    <w:rsid w:val="00783B77"/>
    <w:rsid w:val="00784C5E"/>
    <w:rsid w:val="00784E2B"/>
    <w:rsid w:val="007859A5"/>
    <w:rsid w:val="00785A30"/>
    <w:rsid w:val="00785DBC"/>
    <w:rsid w:val="00786178"/>
    <w:rsid w:val="00786626"/>
    <w:rsid w:val="007872A8"/>
    <w:rsid w:val="00787931"/>
    <w:rsid w:val="00790ACF"/>
    <w:rsid w:val="0079208E"/>
    <w:rsid w:val="00792B6E"/>
    <w:rsid w:val="007930F4"/>
    <w:rsid w:val="007938B6"/>
    <w:rsid w:val="00793DA6"/>
    <w:rsid w:val="0079445A"/>
    <w:rsid w:val="00794A5E"/>
    <w:rsid w:val="00795F24"/>
    <w:rsid w:val="007963D5"/>
    <w:rsid w:val="0079690D"/>
    <w:rsid w:val="00796B04"/>
    <w:rsid w:val="00797050"/>
    <w:rsid w:val="0079743A"/>
    <w:rsid w:val="0079749F"/>
    <w:rsid w:val="0079754F"/>
    <w:rsid w:val="007976F9"/>
    <w:rsid w:val="00797D4F"/>
    <w:rsid w:val="00797D5C"/>
    <w:rsid w:val="00797F03"/>
    <w:rsid w:val="00797F67"/>
    <w:rsid w:val="007A01C9"/>
    <w:rsid w:val="007A099E"/>
    <w:rsid w:val="007A17C7"/>
    <w:rsid w:val="007A27ED"/>
    <w:rsid w:val="007A2961"/>
    <w:rsid w:val="007A2EBF"/>
    <w:rsid w:val="007A38B2"/>
    <w:rsid w:val="007A3DC2"/>
    <w:rsid w:val="007A4197"/>
    <w:rsid w:val="007A42D4"/>
    <w:rsid w:val="007A4626"/>
    <w:rsid w:val="007A47AC"/>
    <w:rsid w:val="007A4B31"/>
    <w:rsid w:val="007A50BD"/>
    <w:rsid w:val="007A5981"/>
    <w:rsid w:val="007A5D54"/>
    <w:rsid w:val="007A5DA7"/>
    <w:rsid w:val="007A6AFD"/>
    <w:rsid w:val="007A6D2A"/>
    <w:rsid w:val="007A6DD7"/>
    <w:rsid w:val="007A74F9"/>
    <w:rsid w:val="007A7D31"/>
    <w:rsid w:val="007B0059"/>
    <w:rsid w:val="007B05D5"/>
    <w:rsid w:val="007B1B31"/>
    <w:rsid w:val="007B34E3"/>
    <w:rsid w:val="007B5BA7"/>
    <w:rsid w:val="007B60EF"/>
    <w:rsid w:val="007C090F"/>
    <w:rsid w:val="007C0F14"/>
    <w:rsid w:val="007C141E"/>
    <w:rsid w:val="007C1798"/>
    <w:rsid w:val="007C2B4D"/>
    <w:rsid w:val="007C3516"/>
    <w:rsid w:val="007C371A"/>
    <w:rsid w:val="007C37CC"/>
    <w:rsid w:val="007C3953"/>
    <w:rsid w:val="007C4AD7"/>
    <w:rsid w:val="007C5095"/>
    <w:rsid w:val="007C5532"/>
    <w:rsid w:val="007C553A"/>
    <w:rsid w:val="007C735D"/>
    <w:rsid w:val="007C7851"/>
    <w:rsid w:val="007C7AEB"/>
    <w:rsid w:val="007D0164"/>
    <w:rsid w:val="007D0B68"/>
    <w:rsid w:val="007D2CD3"/>
    <w:rsid w:val="007D2DFD"/>
    <w:rsid w:val="007D3138"/>
    <w:rsid w:val="007D367A"/>
    <w:rsid w:val="007D3B09"/>
    <w:rsid w:val="007D3DD1"/>
    <w:rsid w:val="007D476E"/>
    <w:rsid w:val="007D544D"/>
    <w:rsid w:val="007D5E2F"/>
    <w:rsid w:val="007D7376"/>
    <w:rsid w:val="007E007A"/>
    <w:rsid w:val="007E0C27"/>
    <w:rsid w:val="007E12B2"/>
    <w:rsid w:val="007E1909"/>
    <w:rsid w:val="007E221D"/>
    <w:rsid w:val="007E28BF"/>
    <w:rsid w:val="007E2AE7"/>
    <w:rsid w:val="007E2B3A"/>
    <w:rsid w:val="007E307E"/>
    <w:rsid w:val="007E39C0"/>
    <w:rsid w:val="007E473F"/>
    <w:rsid w:val="007E65BE"/>
    <w:rsid w:val="007E6F87"/>
    <w:rsid w:val="007E7317"/>
    <w:rsid w:val="007E7602"/>
    <w:rsid w:val="007F1851"/>
    <w:rsid w:val="007F1B73"/>
    <w:rsid w:val="007F212D"/>
    <w:rsid w:val="007F2A23"/>
    <w:rsid w:val="007F2D50"/>
    <w:rsid w:val="007F2E83"/>
    <w:rsid w:val="007F33FD"/>
    <w:rsid w:val="007F4104"/>
    <w:rsid w:val="007F533B"/>
    <w:rsid w:val="007F571F"/>
    <w:rsid w:val="007F5833"/>
    <w:rsid w:val="007F5E90"/>
    <w:rsid w:val="007F639B"/>
    <w:rsid w:val="007F684F"/>
    <w:rsid w:val="007F715D"/>
    <w:rsid w:val="007F73B2"/>
    <w:rsid w:val="007F7798"/>
    <w:rsid w:val="00800804"/>
    <w:rsid w:val="00800977"/>
    <w:rsid w:val="00800A7E"/>
    <w:rsid w:val="00800FD7"/>
    <w:rsid w:val="008017A3"/>
    <w:rsid w:val="008020DB"/>
    <w:rsid w:val="00802A29"/>
    <w:rsid w:val="00802D10"/>
    <w:rsid w:val="0080311B"/>
    <w:rsid w:val="00803949"/>
    <w:rsid w:val="008045D2"/>
    <w:rsid w:val="00804D93"/>
    <w:rsid w:val="008050CF"/>
    <w:rsid w:val="008068E1"/>
    <w:rsid w:val="00806C72"/>
    <w:rsid w:val="008070C3"/>
    <w:rsid w:val="008071B2"/>
    <w:rsid w:val="00810747"/>
    <w:rsid w:val="008107AE"/>
    <w:rsid w:val="0081184A"/>
    <w:rsid w:val="00811A3D"/>
    <w:rsid w:val="00812B1F"/>
    <w:rsid w:val="008130B2"/>
    <w:rsid w:val="00813940"/>
    <w:rsid w:val="0081411A"/>
    <w:rsid w:val="008147E4"/>
    <w:rsid w:val="008152A5"/>
    <w:rsid w:val="00817F2C"/>
    <w:rsid w:val="00820058"/>
    <w:rsid w:val="00820F6C"/>
    <w:rsid w:val="00821046"/>
    <w:rsid w:val="00821A1D"/>
    <w:rsid w:val="0082264D"/>
    <w:rsid w:val="008228B3"/>
    <w:rsid w:val="00823C43"/>
    <w:rsid w:val="008260F3"/>
    <w:rsid w:val="008301A4"/>
    <w:rsid w:val="00832A0C"/>
    <w:rsid w:val="008336F3"/>
    <w:rsid w:val="00834A90"/>
    <w:rsid w:val="00834FDF"/>
    <w:rsid w:val="00835F17"/>
    <w:rsid w:val="0083741F"/>
    <w:rsid w:val="008375F8"/>
    <w:rsid w:val="00837D70"/>
    <w:rsid w:val="008403F6"/>
    <w:rsid w:val="00840586"/>
    <w:rsid w:val="00840B14"/>
    <w:rsid w:val="0084119A"/>
    <w:rsid w:val="00841D45"/>
    <w:rsid w:val="00842CDD"/>
    <w:rsid w:val="0084302D"/>
    <w:rsid w:val="0084356A"/>
    <w:rsid w:val="00843F7D"/>
    <w:rsid w:val="008444B4"/>
    <w:rsid w:val="00844720"/>
    <w:rsid w:val="0084494F"/>
    <w:rsid w:val="00845850"/>
    <w:rsid w:val="00845E42"/>
    <w:rsid w:val="0084626C"/>
    <w:rsid w:val="00847763"/>
    <w:rsid w:val="00847F67"/>
    <w:rsid w:val="0085076E"/>
    <w:rsid w:val="00850780"/>
    <w:rsid w:val="00851124"/>
    <w:rsid w:val="0085187A"/>
    <w:rsid w:val="00852892"/>
    <w:rsid w:val="0085450C"/>
    <w:rsid w:val="00855936"/>
    <w:rsid w:val="00856900"/>
    <w:rsid w:val="008569BF"/>
    <w:rsid w:val="00856AA0"/>
    <w:rsid w:val="00857950"/>
    <w:rsid w:val="00857D85"/>
    <w:rsid w:val="008607D5"/>
    <w:rsid w:val="0086152F"/>
    <w:rsid w:val="00862D6B"/>
    <w:rsid w:val="00863007"/>
    <w:rsid w:val="00863837"/>
    <w:rsid w:val="0086390F"/>
    <w:rsid w:val="0086428D"/>
    <w:rsid w:val="0086430E"/>
    <w:rsid w:val="00864491"/>
    <w:rsid w:val="00864925"/>
    <w:rsid w:val="00864B16"/>
    <w:rsid w:val="00865407"/>
    <w:rsid w:val="00865436"/>
    <w:rsid w:val="008662E6"/>
    <w:rsid w:val="0086647E"/>
    <w:rsid w:val="00866509"/>
    <w:rsid w:val="00866A2B"/>
    <w:rsid w:val="00866AC1"/>
    <w:rsid w:val="00867313"/>
    <w:rsid w:val="008673B8"/>
    <w:rsid w:val="008675AE"/>
    <w:rsid w:val="00867884"/>
    <w:rsid w:val="008679CF"/>
    <w:rsid w:val="00867AEE"/>
    <w:rsid w:val="00867B86"/>
    <w:rsid w:val="00867C97"/>
    <w:rsid w:val="00867F5F"/>
    <w:rsid w:val="008717AA"/>
    <w:rsid w:val="008742C6"/>
    <w:rsid w:val="00875540"/>
    <w:rsid w:val="0087659D"/>
    <w:rsid w:val="008765B0"/>
    <w:rsid w:val="008805CF"/>
    <w:rsid w:val="0088078F"/>
    <w:rsid w:val="0088156D"/>
    <w:rsid w:val="008816A3"/>
    <w:rsid w:val="008823F6"/>
    <w:rsid w:val="008840C1"/>
    <w:rsid w:val="008846A6"/>
    <w:rsid w:val="00884D53"/>
    <w:rsid w:val="00885167"/>
    <w:rsid w:val="00885F69"/>
    <w:rsid w:val="0088682C"/>
    <w:rsid w:val="00886F14"/>
    <w:rsid w:val="0088730F"/>
    <w:rsid w:val="00890593"/>
    <w:rsid w:val="00890AEF"/>
    <w:rsid w:val="0089132F"/>
    <w:rsid w:val="008919D3"/>
    <w:rsid w:val="00892872"/>
    <w:rsid w:val="0089298C"/>
    <w:rsid w:val="00893B24"/>
    <w:rsid w:val="008943EE"/>
    <w:rsid w:val="00894F83"/>
    <w:rsid w:val="008955C1"/>
    <w:rsid w:val="0089625E"/>
    <w:rsid w:val="00896CE0"/>
    <w:rsid w:val="00896EF9"/>
    <w:rsid w:val="008970B8"/>
    <w:rsid w:val="00897B40"/>
    <w:rsid w:val="008A0C5F"/>
    <w:rsid w:val="008A1A8A"/>
    <w:rsid w:val="008A245B"/>
    <w:rsid w:val="008A2510"/>
    <w:rsid w:val="008A2A2F"/>
    <w:rsid w:val="008A2B5D"/>
    <w:rsid w:val="008A3E80"/>
    <w:rsid w:val="008A4482"/>
    <w:rsid w:val="008A47DE"/>
    <w:rsid w:val="008A4D22"/>
    <w:rsid w:val="008A514E"/>
    <w:rsid w:val="008A57D9"/>
    <w:rsid w:val="008A5B9B"/>
    <w:rsid w:val="008A6B3F"/>
    <w:rsid w:val="008A6FE0"/>
    <w:rsid w:val="008B12E8"/>
    <w:rsid w:val="008B1E5D"/>
    <w:rsid w:val="008B2F6B"/>
    <w:rsid w:val="008B66D6"/>
    <w:rsid w:val="008B66FE"/>
    <w:rsid w:val="008B791F"/>
    <w:rsid w:val="008C000A"/>
    <w:rsid w:val="008C0B8E"/>
    <w:rsid w:val="008C1969"/>
    <w:rsid w:val="008C1E1D"/>
    <w:rsid w:val="008C25C8"/>
    <w:rsid w:val="008C2C44"/>
    <w:rsid w:val="008C45CC"/>
    <w:rsid w:val="008C4B64"/>
    <w:rsid w:val="008C5B12"/>
    <w:rsid w:val="008C63BE"/>
    <w:rsid w:val="008C64C7"/>
    <w:rsid w:val="008C69E1"/>
    <w:rsid w:val="008C761C"/>
    <w:rsid w:val="008C7DED"/>
    <w:rsid w:val="008D1E4D"/>
    <w:rsid w:val="008D2F34"/>
    <w:rsid w:val="008D38B5"/>
    <w:rsid w:val="008D3926"/>
    <w:rsid w:val="008D3F8A"/>
    <w:rsid w:val="008D423F"/>
    <w:rsid w:val="008D49C6"/>
    <w:rsid w:val="008D5300"/>
    <w:rsid w:val="008D5ED2"/>
    <w:rsid w:val="008D609C"/>
    <w:rsid w:val="008D6A60"/>
    <w:rsid w:val="008D7EC8"/>
    <w:rsid w:val="008E0CDA"/>
    <w:rsid w:val="008E0F8A"/>
    <w:rsid w:val="008E2546"/>
    <w:rsid w:val="008E550F"/>
    <w:rsid w:val="008E5C46"/>
    <w:rsid w:val="008E60CA"/>
    <w:rsid w:val="008E7A65"/>
    <w:rsid w:val="008E7AF1"/>
    <w:rsid w:val="008F0D79"/>
    <w:rsid w:val="008F0D96"/>
    <w:rsid w:val="008F0E04"/>
    <w:rsid w:val="008F0E2D"/>
    <w:rsid w:val="008F1A84"/>
    <w:rsid w:val="008F3190"/>
    <w:rsid w:val="008F3432"/>
    <w:rsid w:val="008F3BE6"/>
    <w:rsid w:val="008F4D57"/>
    <w:rsid w:val="008F5035"/>
    <w:rsid w:val="008F507C"/>
    <w:rsid w:val="008F53DF"/>
    <w:rsid w:val="008F57AF"/>
    <w:rsid w:val="008F59D0"/>
    <w:rsid w:val="008F5DD3"/>
    <w:rsid w:val="008F70C5"/>
    <w:rsid w:val="008F71C3"/>
    <w:rsid w:val="008F7D51"/>
    <w:rsid w:val="0090068F"/>
    <w:rsid w:val="009006E6"/>
    <w:rsid w:val="00900BD4"/>
    <w:rsid w:val="009014B1"/>
    <w:rsid w:val="0090215D"/>
    <w:rsid w:val="009026BE"/>
    <w:rsid w:val="00903668"/>
    <w:rsid w:val="009043E2"/>
    <w:rsid w:val="0090451D"/>
    <w:rsid w:val="009058AE"/>
    <w:rsid w:val="00905CBC"/>
    <w:rsid w:val="00907554"/>
    <w:rsid w:val="009106A5"/>
    <w:rsid w:val="00911176"/>
    <w:rsid w:val="0091186F"/>
    <w:rsid w:val="00911AD2"/>
    <w:rsid w:val="00912322"/>
    <w:rsid w:val="00912F34"/>
    <w:rsid w:val="00914872"/>
    <w:rsid w:val="00914CC6"/>
    <w:rsid w:val="0091539E"/>
    <w:rsid w:val="0091542A"/>
    <w:rsid w:val="0091558D"/>
    <w:rsid w:val="009162B2"/>
    <w:rsid w:val="00916A3B"/>
    <w:rsid w:val="00916BB1"/>
    <w:rsid w:val="00920434"/>
    <w:rsid w:val="00921F95"/>
    <w:rsid w:val="00923028"/>
    <w:rsid w:val="00924CAE"/>
    <w:rsid w:val="009302BA"/>
    <w:rsid w:val="009315F8"/>
    <w:rsid w:val="009318E9"/>
    <w:rsid w:val="00931BF3"/>
    <w:rsid w:val="00932410"/>
    <w:rsid w:val="00933144"/>
    <w:rsid w:val="00933B08"/>
    <w:rsid w:val="00933D11"/>
    <w:rsid w:val="009347C3"/>
    <w:rsid w:val="00934F99"/>
    <w:rsid w:val="009352EE"/>
    <w:rsid w:val="0093547F"/>
    <w:rsid w:val="00936EA6"/>
    <w:rsid w:val="00937B39"/>
    <w:rsid w:val="00940AEC"/>
    <w:rsid w:val="009416F9"/>
    <w:rsid w:val="00941890"/>
    <w:rsid w:val="009422DA"/>
    <w:rsid w:val="0094344B"/>
    <w:rsid w:val="00943657"/>
    <w:rsid w:val="00943D92"/>
    <w:rsid w:val="0094418C"/>
    <w:rsid w:val="00944CCA"/>
    <w:rsid w:val="009465E1"/>
    <w:rsid w:val="009469D4"/>
    <w:rsid w:val="00946C48"/>
    <w:rsid w:val="009475E5"/>
    <w:rsid w:val="00947D4D"/>
    <w:rsid w:val="0095072A"/>
    <w:rsid w:val="00950AC6"/>
    <w:rsid w:val="009520DF"/>
    <w:rsid w:val="009525EF"/>
    <w:rsid w:val="009545D6"/>
    <w:rsid w:val="009548BA"/>
    <w:rsid w:val="00954F90"/>
    <w:rsid w:val="00955AAA"/>
    <w:rsid w:val="00956819"/>
    <w:rsid w:val="00956C67"/>
    <w:rsid w:val="00956C73"/>
    <w:rsid w:val="00960C9C"/>
    <w:rsid w:val="00960D55"/>
    <w:rsid w:val="00960E0E"/>
    <w:rsid w:val="00961BF6"/>
    <w:rsid w:val="00963183"/>
    <w:rsid w:val="00964305"/>
    <w:rsid w:val="0096444F"/>
    <w:rsid w:val="0096498D"/>
    <w:rsid w:val="00965855"/>
    <w:rsid w:val="00966A6E"/>
    <w:rsid w:val="0097009D"/>
    <w:rsid w:val="0097057E"/>
    <w:rsid w:val="00971829"/>
    <w:rsid w:val="00971BE4"/>
    <w:rsid w:val="00971F33"/>
    <w:rsid w:val="009730AD"/>
    <w:rsid w:val="00973957"/>
    <w:rsid w:val="00973B87"/>
    <w:rsid w:val="00974074"/>
    <w:rsid w:val="00974388"/>
    <w:rsid w:val="009748FB"/>
    <w:rsid w:val="009753CF"/>
    <w:rsid w:val="00976542"/>
    <w:rsid w:val="009776E3"/>
    <w:rsid w:val="009807BE"/>
    <w:rsid w:val="0098092B"/>
    <w:rsid w:val="00981563"/>
    <w:rsid w:val="00981B31"/>
    <w:rsid w:val="00981E08"/>
    <w:rsid w:val="009825DC"/>
    <w:rsid w:val="00982AC6"/>
    <w:rsid w:val="00982AE4"/>
    <w:rsid w:val="00982EE3"/>
    <w:rsid w:val="009838E4"/>
    <w:rsid w:val="00984661"/>
    <w:rsid w:val="009849B6"/>
    <w:rsid w:val="00985274"/>
    <w:rsid w:val="0098614E"/>
    <w:rsid w:val="0098667D"/>
    <w:rsid w:val="00986710"/>
    <w:rsid w:val="00986C70"/>
    <w:rsid w:val="0098709C"/>
    <w:rsid w:val="00987AA9"/>
    <w:rsid w:val="0099031E"/>
    <w:rsid w:val="00990623"/>
    <w:rsid w:val="0099140D"/>
    <w:rsid w:val="00993063"/>
    <w:rsid w:val="00993173"/>
    <w:rsid w:val="0099331C"/>
    <w:rsid w:val="009934D0"/>
    <w:rsid w:val="00994D8F"/>
    <w:rsid w:val="00994FD2"/>
    <w:rsid w:val="0099697F"/>
    <w:rsid w:val="00996C76"/>
    <w:rsid w:val="00996EBD"/>
    <w:rsid w:val="009976EB"/>
    <w:rsid w:val="009A0E8B"/>
    <w:rsid w:val="009A141D"/>
    <w:rsid w:val="009A2F0E"/>
    <w:rsid w:val="009A397B"/>
    <w:rsid w:val="009A44D0"/>
    <w:rsid w:val="009A46A8"/>
    <w:rsid w:val="009A4EA9"/>
    <w:rsid w:val="009A649F"/>
    <w:rsid w:val="009A7AA9"/>
    <w:rsid w:val="009A7D65"/>
    <w:rsid w:val="009A7E57"/>
    <w:rsid w:val="009B2084"/>
    <w:rsid w:val="009B2A80"/>
    <w:rsid w:val="009B2E85"/>
    <w:rsid w:val="009B3615"/>
    <w:rsid w:val="009B5C37"/>
    <w:rsid w:val="009B79D3"/>
    <w:rsid w:val="009B7B2A"/>
    <w:rsid w:val="009C0362"/>
    <w:rsid w:val="009C1028"/>
    <w:rsid w:val="009C15F3"/>
    <w:rsid w:val="009C17E1"/>
    <w:rsid w:val="009C1A1A"/>
    <w:rsid w:val="009C3223"/>
    <w:rsid w:val="009C3497"/>
    <w:rsid w:val="009C4104"/>
    <w:rsid w:val="009C64BA"/>
    <w:rsid w:val="009C6815"/>
    <w:rsid w:val="009C6DD4"/>
    <w:rsid w:val="009C78DB"/>
    <w:rsid w:val="009D05B9"/>
    <w:rsid w:val="009D0C48"/>
    <w:rsid w:val="009D13CC"/>
    <w:rsid w:val="009D166B"/>
    <w:rsid w:val="009D1B1C"/>
    <w:rsid w:val="009D21EB"/>
    <w:rsid w:val="009D244E"/>
    <w:rsid w:val="009D2D5B"/>
    <w:rsid w:val="009D317C"/>
    <w:rsid w:val="009D36ED"/>
    <w:rsid w:val="009D3714"/>
    <w:rsid w:val="009D4136"/>
    <w:rsid w:val="009D44FC"/>
    <w:rsid w:val="009D496D"/>
    <w:rsid w:val="009D4DE4"/>
    <w:rsid w:val="009D637D"/>
    <w:rsid w:val="009D63C7"/>
    <w:rsid w:val="009D6955"/>
    <w:rsid w:val="009E02AF"/>
    <w:rsid w:val="009E055D"/>
    <w:rsid w:val="009E0B33"/>
    <w:rsid w:val="009E25C9"/>
    <w:rsid w:val="009E420E"/>
    <w:rsid w:val="009E4381"/>
    <w:rsid w:val="009E4E5A"/>
    <w:rsid w:val="009E4F2C"/>
    <w:rsid w:val="009E53A4"/>
    <w:rsid w:val="009E55A2"/>
    <w:rsid w:val="009E697E"/>
    <w:rsid w:val="009E77B3"/>
    <w:rsid w:val="009E7DD7"/>
    <w:rsid w:val="009F037B"/>
    <w:rsid w:val="009F0651"/>
    <w:rsid w:val="009F1C64"/>
    <w:rsid w:val="009F284E"/>
    <w:rsid w:val="009F294D"/>
    <w:rsid w:val="009F299C"/>
    <w:rsid w:val="009F2D6B"/>
    <w:rsid w:val="009F3123"/>
    <w:rsid w:val="009F40C5"/>
    <w:rsid w:val="009F6025"/>
    <w:rsid w:val="009F60FF"/>
    <w:rsid w:val="009F6318"/>
    <w:rsid w:val="009F6C1D"/>
    <w:rsid w:val="009F70A2"/>
    <w:rsid w:val="009F7603"/>
    <w:rsid w:val="00A01060"/>
    <w:rsid w:val="00A01BE5"/>
    <w:rsid w:val="00A032FC"/>
    <w:rsid w:val="00A0344F"/>
    <w:rsid w:val="00A03813"/>
    <w:rsid w:val="00A0392C"/>
    <w:rsid w:val="00A0466F"/>
    <w:rsid w:val="00A05076"/>
    <w:rsid w:val="00A050F0"/>
    <w:rsid w:val="00A05267"/>
    <w:rsid w:val="00A059BE"/>
    <w:rsid w:val="00A05FE8"/>
    <w:rsid w:val="00A06A0B"/>
    <w:rsid w:val="00A0746B"/>
    <w:rsid w:val="00A1007E"/>
    <w:rsid w:val="00A10EE2"/>
    <w:rsid w:val="00A124AD"/>
    <w:rsid w:val="00A12E71"/>
    <w:rsid w:val="00A1318C"/>
    <w:rsid w:val="00A13471"/>
    <w:rsid w:val="00A14316"/>
    <w:rsid w:val="00A14EA3"/>
    <w:rsid w:val="00A16885"/>
    <w:rsid w:val="00A1707D"/>
    <w:rsid w:val="00A17118"/>
    <w:rsid w:val="00A17601"/>
    <w:rsid w:val="00A20486"/>
    <w:rsid w:val="00A20899"/>
    <w:rsid w:val="00A22AF0"/>
    <w:rsid w:val="00A238E9"/>
    <w:rsid w:val="00A23E6F"/>
    <w:rsid w:val="00A240EF"/>
    <w:rsid w:val="00A25BCA"/>
    <w:rsid w:val="00A25F9A"/>
    <w:rsid w:val="00A26106"/>
    <w:rsid w:val="00A263B6"/>
    <w:rsid w:val="00A26407"/>
    <w:rsid w:val="00A26636"/>
    <w:rsid w:val="00A27E9F"/>
    <w:rsid w:val="00A313AE"/>
    <w:rsid w:val="00A31D2D"/>
    <w:rsid w:val="00A32D2E"/>
    <w:rsid w:val="00A33F45"/>
    <w:rsid w:val="00A35109"/>
    <w:rsid w:val="00A35228"/>
    <w:rsid w:val="00A3567C"/>
    <w:rsid w:val="00A359D4"/>
    <w:rsid w:val="00A36618"/>
    <w:rsid w:val="00A40B08"/>
    <w:rsid w:val="00A424B2"/>
    <w:rsid w:val="00A4334E"/>
    <w:rsid w:val="00A43BF0"/>
    <w:rsid w:val="00A44511"/>
    <w:rsid w:val="00A44550"/>
    <w:rsid w:val="00A445EB"/>
    <w:rsid w:val="00A44DF8"/>
    <w:rsid w:val="00A44EB7"/>
    <w:rsid w:val="00A45623"/>
    <w:rsid w:val="00A45B32"/>
    <w:rsid w:val="00A45F09"/>
    <w:rsid w:val="00A461E1"/>
    <w:rsid w:val="00A502E9"/>
    <w:rsid w:val="00A504F8"/>
    <w:rsid w:val="00A50C6B"/>
    <w:rsid w:val="00A515DC"/>
    <w:rsid w:val="00A529F3"/>
    <w:rsid w:val="00A5462D"/>
    <w:rsid w:val="00A54809"/>
    <w:rsid w:val="00A549AE"/>
    <w:rsid w:val="00A55F53"/>
    <w:rsid w:val="00A603C3"/>
    <w:rsid w:val="00A60E1E"/>
    <w:rsid w:val="00A61462"/>
    <w:rsid w:val="00A61762"/>
    <w:rsid w:val="00A620EF"/>
    <w:rsid w:val="00A62285"/>
    <w:rsid w:val="00A62DF2"/>
    <w:rsid w:val="00A632E9"/>
    <w:rsid w:val="00A64259"/>
    <w:rsid w:val="00A64333"/>
    <w:rsid w:val="00A65488"/>
    <w:rsid w:val="00A65FC8"/>
    <w:rsid w:val="00A6607C"/>
    <w:rsid w:val="00A661B4"/>
    <w:rsid w:val="00A673CD"/>
    <w:rsid w:val="00A67CE7"/>
    <w:rsid w:val="00A70D09"/>
    <w:rsid w:val="00A71112"/>
    <w:rsid w:val="00A723A0"/>
    <w:rsid w:val="00A73ED1"/>
    <w:rsid w:val="00A74348"/>
    <w:rsid w:val="00A74A1D"/>
    <w:rsid w:val="00A74B44"/>
    <w:rsid w:val="00A74C5B"/>
    <w:rsid w:val="00A74CAC"/>
    <w:rsid w:val="00A75A0A"/>
    <w:rsid w:val="00A76192"/>
    <w:rsid w:val="00A76710"/>
    <w:rsid w:val="00A77774"/>
    <w:rsid w:val="00A777B7"/>
    <w:rsid w:val="00A8031C"/>
    <w:rsid w:val="00A805B8"/>
    <w:rsid w:val="00A817EC"/>
    <w:rsid w:val="00A8206F"/>
    <w:rsid w:val="00A844BA"/>
    <w:rsid w:val="00A849C9"/>
    <w:rsid w:val="00A84D28"/>
    <w:rsid w:val="00A85A5F"/>
    <w:rsid w:val="00A872A6"/>
    <w:rsid w:val="00A87376"/>
    <w:rsid w:val="00A87E03"/>
    <w:rsid w:val="00A9187F"/>
    <w:rsid w:val="00A918EC"/>
    <w:rsid w:val="00A92D41"/>
    <w:rsid w:val="00A95B28"/>
    <w:rsid w:val="00A960A7"/>
    <w:rsid w:val="00A974BC"/>
    <w:rsid w:val="00A974F5"/>
    <w:rsid w:val="00A97829"/>
    <w:rsid w:val="00AA0012"/>
    <w:rsid w:val="00AA278D"/>
    <w:rsid w:val="00AA297B"/>
    <w:rsid w:val="00AA2990"/>
    <w:rsid w:val="00AA3B77"/>
    <w:rsid w:val="00AA5195"/>
    <w:rsid w:val="00AA54E1"/>
    <w:rsid w:val="00AA57B9"/>
    <w:rsid w:val="00AA5D06"/>
    <w:rsid w:val="00AA5ED0"/>
    <w:rsid w:val="00AA5EEA"/>
    <w:rsid w:val="00AA6C67"/>
    <w:rsid w:val="00AA706F"/>
    <w:rsid w:val="00AB0107"/>
    <w:rsid w:val="00AB0FEF"/>
    <w:rsid w:val="00AB1070"/>
    <w:rsid w:val="00AB1729"/>
    <w:rsid w:val="00AB1CE4"/>
    <w:rsid w:val="00AB1EE4"/>
    <w:rsid w:val="00AB31B8"/>
    <w:rsid w:val="00AB346E"/>
    <w:rsid w:val="00AB3F40"/>
    <w:rsid w:val="00AB42DC"/>
    <w:rsid w:val="00AB4B92"/>
    <w:rsid w:val="00AB5E83"/>
    <w:rsid w:val="00AB5F63"/>
    <w:rsid w:val="00AB64F6"/>
    <w:rsid w:val="00AB7A71"/>
    <w:rsid w:val="00AB7AE7"/>
    <w:rsid w:val="00AC052F"/>
    <w:rsid w:val="00AC0B28"/>
    <w:rsid w:val="00AC0CED"/>
    <w:rsid w:val="00AC1791"/>
    <w:rsid w:val="00AC190A"/>
    <w:rsid w:val="00AC1989"/>
    <w:rsid w:val="00AC1AF3"/>
    <w:rsid w:val="00AC1EEC"/>
    <w:rsid w:val="00AC31FD"/>
    <w:rsid w:val="00AC350F"/>
    <w:rsid w:val="00AC5747"/>
    <w:rsid w:val="00AC77C6"/>
    <w:rsid w:val="00AC7FDE"/>
    <w:rsid w:val="00AD01BE"/>
    <w:rsid w:val="00AD15C6"/>
    <w:rsid w:val="00AD1B78"/>
    <w:rsid w:val="00AD1EFD"/>
    <w:rsid w:val="00AD217B"/>
    <w:rsid w:val="00AD3E91"/>
    <w:rsid w:val="00AD4730"/>
    <w:rsid w:val="00AD4AC1"/>
    <w:rsid w:val="00AD564A"/>
    <w:rsid w:val="00AD58F9"/>
    <w:rsid w:val="00AD5AC5"/>
    <w:rsid w:val="00AD6107"/>
    <w:rsid w:val="00AD647B"/>
    <w:rsid w:val="00AD6810"/>
    <w:rsid w:val="00AD7631"/>
    <w:rsid w:val="00AD78D9"/>
    <w:rsid w:val="00AE1B9E"/>
    <w:rsid w:val="00AE2148"/>
    <w:rsid w:val="00AE47CD"/>
    <w:rsid w:val="00AE5C61"/>
    <w:rsid w:val="00AE5D2C"/>
    <w:rsid w:val="00AE6212"/>
    <w:rsid w:val="00AE68FC"/>
    <w:rsid w:val="00AE75AD"/>
    <w:rsid w:val="00AE7631"/>
    <w:rsid w:val="00AE7E85"/>
    <w:rsid w:val="00AF02BD"/>
    <w:rsid w:val="00AF0944"/>
    <w:rsid w:val="00AF1572"/>
    <w:rsid w:val="00AF2133"/>
    <w:rsid w:val="00AF28BD"/>
    <w:rsid w:val="00AF2F96"/>
    <w:rsid w:val="00AF3191"/>
    <w:rsid w:val="00AF326D"/>
    <w:rsid w:val="00AF410F"/>
    <w:rsid w:val="00AF5F61"/>
    <w:rsid w:val="00AF667C"/>
    <w:rsid w:val="00AF677E"/>
    <w:rsid w:val="00AF690B"/>
    <w:rsid w:val="00AF75A3"/>
    <w:rsid w:val="00B014D9"/>
    <w:rsid w:val="00B0154B"/>
    <w:rsid w:val="00B01CCD"/>
    <w:rsid w:val="00B0214F"/>
    <w:rsid w:val="00B021A7"/>
    <w:rsid w:val="00B02230"/>
    <w:rsid w:val="00B0395C"/>
    <w:rsid w:val="00B0431E"/>
    <w:rsid w:val="00B04C66"/>
    <w:rsid w:val="00B062F2"/>
    <w:rsid w:val="00B06381"/>
    <w:rsid w:val="00B06F0B"/>
    <w:rsid w:val="00B0720C"/>
    <w:rsid w:val="00B07212"/>
    <w:rsid w:val="00B073DE"/>
    <w:rsid w:val="00B07A6D"/>
    <w:rsid w:val="00B07B69"/>
    <w:rsid w:val="00B07EB0"/>
    <w:rsid w:val="00B107E7"/>
    <w:rsid w:val="00B10C46"/>
    <w:rsid w:val="00B10FDE"/>
    <w:rsid w:val="00B1447A"/>
    <w:rsid w:val="00B14959"/>
    <w:rsid w:val="00B1587D"/>
    <w:rsid w:val="00B16018"/>
    <w:rsid w:val="00B16368"/>
    <w:rsid w:val="00B167AF"/>
    <w:rsid w:val="00B17299"/>
    <w:rsid w:val="00B209FA"/>
    <w:rsid w:val="00B20DC7"/>
    <w:rsid w:val="00B21D8E"/>
    <w:rsid w:val="00B21EC2"/>
    <w:rsid w:val="00B2219D"/>
    <w:rsid w:val="00B22433"/>
    <w:rsid w:val="00B22918"/>
    <w:rsid w:val="00B22E0F"/>
    <w:rsid w:val="00B22EED"/>
    <w:rsid w:val="00B23039"/>
    <w:rsid w:val="00B2349D"/>
    <w:rsid w:val="00B24929"/>
    <w:rsid w:val="00B25348"/>
    <w:rsid w:val="00B2542E"/>
    <w:rsid w:val="00B258FF"/>
    <w:rsid w:val="00B26111"/>
    <w:rsid w:val="00B27057"/>
    <w:rsid w:val="00B27277"/>
    <w:rsid w:val="00B2773A"/>
    <w:rsid w:val="00B30679"/>
    <w:rsid w:val="00B310EB"/>
    <w:rsid w:val="00B31235"/>
    <w:rsid w:val="00B3284F"/>
    <w:rsid w:val="00B32F6C"/>
    <w:rsid w:val="00B3666A"/>
    <w:rsid w:val="00B372E4"/>
    <w:rsid w:val="00B40262"/>
    <w:rsid w:val="00B411D4"/>
    <w:rsid w:val="00B41C53"/>
    <w:rsid w:val="00B42EE9"/>
    <w:rsid w:val="00B4422C"/>
    <w:rsid w:val="00B4530E"/>
    <w:rsid w:val="00B47476"/>
    <w:rsid w:val="00B47C59"/>
    <w:rsid w:val="00B50E02"/>
    <w:rsid w:val="00B5121E"/>
    <w:rsid w:val="00B512C1"/>
    <w:rsid w:val="00B51EFF"/>
    <w:rsid w:val="00B52CD3"/>
    <w:rsid w:val="00B53818"/>
    <w:rsid w:val="00B54612"/>
    <w:rsid w:val="00B54A72"/>
    <w:rsid w:val="00B55A35"/>
    <w:rsid w:val="00B57E5C"/>
    <w:rsid w:val="00B60AC5"/>
    <w:rsid w:val="00B61090"/>
    <w:rsid w:val="00B6266C"/>
    <w:rsid w:val="00B62933"/>
    <w:rsid w:val="00B62D96"/>
    <w:rsid w:val="00B63666"/>
    <w:rsid w:val="00B64AA0"/>
    <w:rsid w:val="00B66380"/>
    <w:rsid w:val="00B66388"/>
    <w:rsid w:val="00B672A7"/>
    <w:rsid w:val="00B67BC7"/>
    <w:rsid w:val="00B7072F"/>
    <w:rsid w:val="00B71C86"/>
    <w:rsid w:val="00B72D7A"/>
    <w:rsid w:val="00B72F28"/>
    <w:rsid w:val="00B73DDB"/>
    <w:rsid w:val="00B74434"/>
    <w:rsid w:val="00B75B59"/>
    <w:rsid w:val="00B77143"/>
    <w:rsid w:val="00B77B3D"/>
    <w:rsid w:val="00B801BA"/>
    <w:rsid w:val="00B807C4"/>
    <w:rsid w:val="00B80973"/>
    <w:rsid w:val="00B810BA"/>
    <w:rsid w:val="00B81117"/>
    <w:rsid w:val="00B828E9"/>
    <w:rsid w:val="00B83A8D"/>
    <w:rsid w:val="00B83E70"/>
    <w:rsid w:val="00B842A1"/>
    <w:rsid w:val="00B8439D"/>
    <w:rsid w:val="00B84A83"/>
    <w:rsid w:val="00B862D4"/>
    <w:rsid w:val="00B907A7"/>
    <w:rsid w:val="00B90FF7"/>
    <w:rsid w:val="00B9121C"/>
    <w:rsid w:val="00B9208B"/>
    <w:rsid w:val="00B93706"/>
    <w:rsid w:val="00B947CB"/>
    <w:rsid w:val="00B94A4F"/>
    <w:rsid w:val="00B95C65"/>
    <w:rsid w:val="00B95FD2"/>
    <w:rsid w:val="00B9644B"/>
    <w:rsid w:val="00B966C7"/>
    <w:rsid w:val="00B96A19"/>
    <w:rsid w:val="00B977D2"/>
    <w:rsid w:val="00B97D14"/>
    <w:rsid w:val="00BA08E4"/>
    <w:rsid w:val="00BA0CAA"/>
    <w:rsid w:val="00BA0CB7"/>
    <w:rsid w:val="00BA0CF0"/>
    <w:rsid w:val="00BA1000"/>
    <w:rsid w:val="00BA2824"/>
    <w:rsid w:val="00BA2A9D"/>
    <w:rsid w:val="00BA3419"/>
    <w:rsid w:val="00BA3740"/>
    <w:rsid w:val="00BA3876"/>
    <w:rsid w:val="00BA496B"/>
    <w:rsid w:val="00BA5552"/>
    <w:rsid w:val="00BA56C7"/>
    <w:rsid w:val="00BA5C59"/>
    <w:rsid w:val="00BA6814"/>
    <w:rsid w:val="00BB0618"/>
    <w:rsid w:val="00BB2749"/>
    <w:rsid w:val="00BB27CA"/>
    <w:rsid w:val="00BB3147"/>
    <w:rsid w:val="00BB3972"/>
    <w:rsid w:val="00BB4CBF"/>
    <w:rsid w:val="00BB6E74"/>
    <w:rsid w:val="00BB7DEF"/>
    <w:rsid w:val="00BC0620"/>
    <w:rsid w:val="00BC1429"/>
    <w:rsid w:val="00BC1AB3"/>
    <w:rsid w:val="00BC1CB4"/>
    <w:rsid w:val="00BC3502"/>
    <w:rsid w:val="00BC350A"/>
    <w:rsid w:val="00BC3522"/>
    <w:rsid w:val="00BC41B0"/>
    <w:rsid w:val="00BC4230"/>
    <w:rsid w:val="00BC477D"/>
    <w:rsid w:val="00BC477F"/>
    <w:rsid w:val="00BC5C63"/>
    <w:rsid w:val="00BC5D78"/>
    <w:rsid w:val="00BC62B1"/>
    <w:rsid w:val="00BC652B"/>
    <w:rsid w:val="00BD1AD1"/>
    <w:rsid w:val="00BD204D"/>
    <w:rsid w:val="00BD2340"/>
    <w:rsid w:val="00BD276E"/>
    <w:rsid w:val="00BD32C5"/>
    <w:rsid w:val="00BD3CDB"/>
    <w:rsid w:val="00BD5163"/>
    <w:rsid w:val="00BD5A8C"/>
    <w:rsid w:val="00BD71BA"/>
    <w:rsid w:val="00BD78E9"/>
    <w:rsid w:val="00BD7952"/>
    <w:rsid w:val="00BD7D1F"/>
    <w:rsid w:val="00BE0EC6"/>
    <w:rsid w:val="00BE231E"/>
    <w:rsid w:val="00BE2369"/>
    <w:rsid w:val="00BE3445"/>
    <w:rsid w:val="00BE3AB6"/>
    <w:rsid w:val="00BE432E"/>
    <w:rsid w:val="00BE4B7C"/>
    <w:rsid w:val="00BE4FDA"/>
    <w:rsid w:val="00BE5114"/>
    <w:rsid w:val="00BE582A"/>
    <w:rsid w:val="00BE5959"/>
    <w:rsid w:val="00BE5FD8"/>
    <w:rsid w:val="00BE70D2"/>
    <w:rsid w:val="00BE769E"/>
    <w:rsid w:val="00BE78A8"/>
    <w:rsid w:val="00BF1670"/>
    <w:rsid w:val="00BF2130"/>
    <w:rsid w:val="00BF2AFF"/>
    <w:rsid w:val="00BF53CE"/>
    <w:rsid w:val="00BF617D"/>
    <w:rsid w:val="00BF671B"/>
    <w:rsid w:val="00BF7170"/>
    <w:rsid w:val="00BF7551"/>
    <w:rsid w:val="00BF7C32"/>
    <w:rsid w:val="00C00313"/>
    <w:rsid w:val="00C0070B"/>
    <w:rsid w:val="00C018B0"/>
    <w:rsid w:val="00C01ED4"/>
    <w:rsid w:val="00C0285E"/>
    <w:rsid w:val="00C03547"/>
    <w:rsid w:val="00C050F4"/>
    <w:rsid w:val="00C05BBF"/>
    <w:rsid w:val="00C06B90"/>
    <w:rsid w:val="00C06D8C"/>
    <w:rsid w:val="00C071E4"/>
    <w:rsid w:val="00C07C63"/>
    <w:rsid w:val="00C07D7D"/>
    <w:rsid w:val="00C07D80"/>
    <w:rsid w:val="00C10144"/>
    <w:rsid w:val="00C108A2"/>
    <w:rsid w:val="00C1101C"/>
    <w:rsid w:val="00C13F8E"/>
    <w:rsid w:val="00C13FC7"/>
    <w:rsid w:val="00C1442B"/>
    <w:rsid w:val="00C1467C"/>
    <w:rsid w:val="00C14AFF"/>
    <w:rsid w:val="00C1594D"/>
    <w:rsid w:val="00C15973"/>
    <w:rsid w:val="00C16990"/>
    <w:rsid w:val="00C17332"/>
    <w:rsid w:val="00C17855"/>
    <w:rsid w:val="00C178DC"/>
    <w:rsid w:val="00C17A8E"/>
    <w:rsid w:val="00C2035C"/>
    <w:rsid w:val="00C2089D"/>
    <w:rsid w:val="00C21317"/>
    <w:rsid w:val="00C21C2B"/>
    <w:rsid w:val="00C2293F"/>
    <w:rsid w:val="00C22FFB"/>
    <w:rsid w:val="00C2370D"/>
    <w:rsid w:val="00C2389E"/>
    <w:rsid w:val="00C23E9B"/>
    <w:rsid w:val="00C23EDB"/>
    <w:rsid w:val="00C246AC"/>
    <w:rsid w:val="00C24902"/>
    <w:rsid w:val="00C254B3"/>
    <w:rsid w:val="00C269F5"/>
    <w:rsid w:val="00C26DB4"/>
    <w:rsid w:val="00C27D5D"/>
    <w:rsid w:val="00C307F5"/>
    <w:rsid w:val="00C30DCB"/>
    <w:rsid w:val="00C33E05"/>
    <w:rsid w:val="00C34317"/>
    <w:rsid w:val="00C35DE7"/>
    <w:rsid w:val="00C3605D"/>
    <w:rsid w:val="00C36118"/>
    <w:rsid w:val="00C36E22"/>
    <w:rsid w:val="00C3757C"/>
    <w:rsid w:val="00C37FF0"/>
    <w:rsid w:val="00C40568"/>
    <w:rsid w:val="00C41096"/>
    <w:rsid w:val="00C420BA"/>
    <w:rsid w:val="00C43FCD"/>
    <w:rsid w:val="00C43FD7"/>
    <w:rsid w:val="00C45BA3"/>
    <w:rsid w:val="00C45D14"/>
    <w:rsid w:val="00C46194"/>
    <w:rsid w:val="00C46558"/>
    <w:rsid w:val="00C46636"/>
    <w:rsid w:val="00C4663D"/>
    <w:rsid w:val="00C46989"/>
    <w:rsid w:val="00C46B4F"/>
    <w:rsid w:val="00C47240"/>
    <w:rsid w:val="00C501F1"/>
    <w:rsid w:val="00C506EE"/>
    <w:rsid w:val="00C5093F"/>
    <w:rsid w:val="00C51719"/>
    <w:rsid w:val="00C51936"/>
    <w:rsid w:val="00C53D44"/>
    <w:rsid w:val="00C53EED"/>
    <w:rsid w:val="00C54186"/>
    <w:rsid w:val="00C54448"/>
    <w:rsid w:val="00C54BF4"/>
    <w:rsid w:val="00C55C55"/>
    <w:rsid w:val="00C55DF7"/>
    <w:rsid w:val="00C57CE2"/>
    <w:rsid w:val="00C60A38"/>
    <w:rsid w:val="00C618B7"/>
    <w:rsid w:val="00C61FAE"/>
    <w:rsid w:val="00C63252"/>
    <w:rsid w:val="00C63FC6"/>
    <w:rsid w:val="00C6448A"/>
    <w:rsid w:val="00C64B91"/>
    <w:rsid w:val="00C64C19"/>
    <w:rsid w:val="00C66581"/>
    <w:rsid w:val="00C6688B"/>
    <w:rsid w:val="00C67214"/>
    <w:rsid w:val="00C6763F"/>
    <w:rsid w:val="00C679EE"/>
    <w:rsid w:val="00C67D63"/>
    <w:rsid w:val="00C71ADC"/>
    <w:rsid w:val="00C71D62"/>
    <w:rsid w:val="00C71FC0"/>
    <w:rsid w:val="00C726C5"/>
    <w:rsid w:val="00C733B2"/>
    <w:rsid w:val="00C74919"/>
    <w:rsid w:val="00C75AA8"/>
    <w:rsid w:val="00C761C9"/>
    <w:rsid w:val="00C762D7"/>
    <w:rsid w:val="00C7676C"/>
    <w:rsid w:val="00C770A8"/>
    <w:rsid w:val="00C7729F"/>
    <w:rsid w:val="00C7782B"/>
    <w:rsid w:val="00C8017A"/>
    <w:rsid w:val="00C80391"/>
    <w:rsid w:val="00C80CE8"/>
    <w:rsid w:val="00C81B53"/>
    <w:rsid w:val="00C81C22"/>
    <w:rsid w:val="00C81FEB"/>
    <w:rsid w:val="00C821F8"/>
    <w:rsid w:val="00C82FEA"/>
    <w:rsid w:val="00C8320C"/>
    <w:rsid w:val="00C83755"/>
    <w:rsid w:val="00C84091"/>
    <w:rsid w:val="00C84452"/>
    <w:rsid w:val="00C85B3C"/>
    <w:rsid w:val="00C86D3E"/>
    <w:rsid w:val="00C87A27"/>
    <w:rsid w:val="00C87BD2"/>
    <w:rsid w:val="00C90B49"/>
    <w:rsid w:val="00C91502"/>
    <w:rsid w:val="00C91C36"/>
    <w:rsid w:val="00C91DA6"/>
    <w:rsid w:val="00C932F4"/>
    <w:rsid w:val="00C934F0"/>
    <w:rsid w:val="00C942F3"/>
    <w:rsid w:val="00C94545"/>
    <w:rsid w:val="00C94BDD"/>
    <w:rsid w:val="00C95304"/>
    <w:rsid w:val="00C95617"/>
    <w:rsid w:val="00C966AB"/>
    <w:rsid w:val="00C96817"/>
    <w:rsid w:val="00C9795C"/>
    <w:rsid w:val="00C97E62"/>
    <w:rsid w:val="00CA03A0"/>
    <w:rsid w:val="00CA07F1"/>
    <w:rsid w:val="00CA0ABA"/>
    <w:rsid w:val="00CA0DC3"/>
    <w:rsid w:val="00CA32B4"/>
    <w:rsid w:val="00CA35D6"/>
    <w:rsid w:val="00CA3DFC"/>
    <w:rsid w:val="00CA3FAA"/>
    <w:rsid w:val="00CA4176"/>
    <w:rsid w:val="00CA4E8F"/>
    <w:rsid w:val="00CA56C5"/>
    <w:rsid w:val="00CA6070"/>
    <w:rsid w:val="00CB1B17"/>
    <w:rsid w:val="00CB2E8A"/>
    <w:rsid w:val="00CB30B4"/>
    <w:rsid w:val="00CB3915"/>
    <w:rsid w:val="00CB3C56"/>
    <w:rsid w:val="00CB40AC"/>
    <w:rsid w:val="00CB4DD5"/>
    <w:rsid w:val="00CB686B"/>
    <w:rsid w:val="00CB6F5C"/>
    <w:rsid w:val="00CB7F5E"/>
    <w:rsid w:val="00CC0ABF"/>
    <w:rsid w:val="00CC17ED"/>
    <w:rsid w:val="00CC1C30"/>
    <w:rsid w:val="00CC2F8E"/>
    <w:rsid w:val="00CC3131"/>
    <w:rsid w:val="00CC358A"/>
    <w:rsid w:val="00CC4DC4"/>
    <w:rsid w:val="00CC5870"/>
    <w:rsid w:val="00CC5DB1"/>
    <w:rsid w:val="00CC5E0D"/>
    <w:rsid w:val="00CC609F"/>
    <w:rsid w:val="00CC782B"/>
    <w:rsid w:val="00CC7D8B"/>
    <w:rsid w:val="00CD1A9A"/>
    <w:rsid w:val="00CD1D67"/>
    <w:rsid w:val="00CD239A"/>
    <w:rsid w:val="00CD2C53"/>
    <w:rsid w:val="00CD2D70"/>
    <w:rsid w:val="00CD3823"/>
    <w:rsid w:val="00CD4F31"/>
    <w:rsid w:val="00CD53AD"/>
    <w:rsid w:val="00CD5D66"/>
    <w:rsid w:val="00CD7BC8"/>
    <w:rsid w:val="00CD7C70"/>
    <w:rsid w:val="00CE094A"/>
    <w:rsid w:val="00CE09EB"/>
    <w:rsid w:val="00CE0B7E"/>
    <w:rsid w:val="00CE10FA"/>
    <w:rsid w:val="00CE2F32"/>
    <w:rsid w:val="00CE43FB"/>
    <w:rsid w:val="00CE443C"/>
    <w:rsid w:val="00CE45B1"/>
    <w:rsid w:val="00CE4F77"/>
    <w:rsid w:val="00CE5CA7"/>
    <w:rsid w:val="00CE6493"/>
    <w:rsid w:val="00CE6785"/>
    <w:rsid w:val="00CE73BD"/>
    <w:rsid w:val="00CE7512"/>
    <w:rsid w:val="00CE7853"/>
    <w:rsid w:val="00CF144A"/>
    <w:rsid w:val="00CF1AC3"/>
    <w:rsid w:val="00CF1ACC"/>
    <w:rsid w:val="00CF21C5"/>
    <w:rsid w:val="00CF2219"/>
    <w:rsid w:val="00CF2587"/>
    <w:rsid w:val="00CF27E7"/>
    <w:rsid w:val="00CF28E3"/>
    <w:rsid w:val="00CF3015"/>
    <w:rsid w:val="00CF305E"/>
    <w:rsid w:val="00CF3194"/>
    <w:rsid w:val="00CF4ABD"/>
    <w:rsid w:val="00CF5DA5"/>
    <w:rsid w:val="00CF6A7D"/>
    <w:rsid w:val="00CF6BE7"/>
    <w:rsid w:val="00CF6F45"/>
    <w:rsid w:val="00CF7121"/>
    <w:rsid w:val="00CF7CCF"/>
    <w:rsid w:val="00CF7F95"/>
    <w:rsid w:val="00D000B4"/>
    <w:rsid w:val="00D00647"/>
    <w:rsid w:val="00D00B6A"/>
    <w:rsid w:val="00D00BE4"/>
    <w:rsid w:val="00D00E13"/>
    <w:rsid w:val="00D01022"/>
    <w:rsid w:val="00D0379B"/>
    <w:rsid w:val="00D04417"/>
    <w:rsid w:val="00D05BE4"/>
    <w:rsid w:val="00D05E35"/>
    <w:rsid w:val="00D067CA"/>
    <w:rsid w:val="00D06A1A"/>
    <w:rsid w:val="00D076D5"/>
    <w:rsid w:val="00D078BB"/>
    <w:rsid w:val="00D07C52"/>
    <w:rsid w:val="00D109A3"/>
    <w:rsid w:val="00D115C0"/>
    <w:rsid w:val="00D115E8"/>
    <w:rsid w:val="00D115EE"/>
    <w:rsid w:val="00D11B1F"/>
    <w:rsid w:val="00D11B36"/>
    <w:rsid w:val="00D11F98"/>
    <w:rsid w:val="00D13370"/>
    <w:rsid w:val="00D1519A"/>
    <w:rsid w:val="00D15475"/>
    <w:rsid w:val="00D15733"/>
    <w:rsid w:val="00D15BBB"/>
    <w:rsid w:val="00D1613B"/>
    <w:rsid w:val="00D1685B"/>
    <w:rsid w:val="00D1694E"/>
    <w:rsid w:val="00D17950"/>
    <w:rsid w:val="00D2047D"/>
    <w:rsid w:val="00D212DC"/>
    <w:rsid w:val="00D21DB6"/>
    <w:rsid w:val="00D22B03"/>
    <w:rsid w:val="00D23425"/>
    <w:rsid w:val="00D234CC"/>
    <w:rsid w:val="00D236C7"/>
    <w:rsid w:val="00D23C20"/>
    <w:rsid w:val="00D2431B"/>
    <w:rsid w:val="00D243CB"/>
    <w:rsid w:val="00D25080"/>
    <w:rsid w:val="00D2519E"/>
    <w:rsid w:val="00D2532D"/>
    <w:rsid w:val="00D25740"/>
    <w:rsid w:val="00D25C16"/>
    <w:rsid w:val="00D3025F"/>
    <w:rsid w:val="00D30E8C"/>
    <w:rsid w:val="00D31039"/>
    <w:rsid w:val="00D31213"/>
    <w:rsid w:val="00D322F5"/>
    <w:rsid w:val="00D3262D"/>
    <w:rsid w:val="00D32672"/>
    <w:rsid w:val="00D326CF"/>
    <w:rsid w:val="00D336F3"/>
    <w:rsid w:val="00D342B4"/>
    <w:rsid w:val="00D34D20"/>
    <w:rsid w:val="00D37252"/>
    <w:rsid w:val="00D41AF4"/>
    <w:rsid w:val="00D41E1D"/>
    <w:rsid w:val="00D42800"/>
    <w:rsid w:val="00D43C86"/>
    <w:rsid w:val="00D43CAB"/>
    <w:rsid w:val="00D45D30"/>
    <w:rsid w:val="00D45D4E"/>
    <w:rsid w:val="00D45F4C"/>
    <w:rsid w:val="00D4626A"/>
    <w:rsid w:val="00D46748"/>
    <w:rsid w:val="00D50755"/>
    <w:rsid w:val="00D51136"/>
    <w:rsid w:val="00D51B24"/>
    <w:rsid w:val="00D521DE"/>
    <w:rsid w:val="00D524C3"/>
    <w:rsid w:val="00D527A2"/>
    <w:rsid w:val="00D533F2"/>
    <w:rsid w:val="00D53F3E"/>
    <w:rsid w:val="00D54098"/>
    <w:rsid w:val="00D541A0"/>
    <w:rsid w:val="00D541F7"/>
    <w:rsid w:val="00D54860"/>
    <w:rsid w:val="00D55775"/>
    <w:rsid w:val="00D558BF"/>
    <w:rsid w:val="00D55B31"/>
    <w:rsid w:val="00D56619"/>
    <w:rsid w:val="00D57FB6"/>
    <w:rsid w:val="00D60DF1"/>
    <w:rsid w:val="00D6105F"/>
    <w:rsid w:val="00D62566"/>
    <w:rsid w:val="00D62CB7"/>
    <w:rsid w:val="00D64046"/>
    <w:rsid w:val="00D645DA"/>
    <w:rsid w:val="00D65DDE"/>
    <w:rsid w:val="00D66699"/>
    <w:rsid w:val="00D667DE"/>
    <w:rsid w:val="00D66A27"/>
    <w:rsid w:val="00D67075"/>
    <w:rsid w:val="00D678B4"/>
    <w:rsid w:val="00D67B61"/>
    <w:rsid w:val="00D705A1"/>
    <w:rsid w:val="00D7099C"/>
    <w:rsid w:val="00D70AD7"/>
    <w:rsid w:val="00D70B9D"/>
    <w:rsid w:val="00D72440"/>
    <w:rsid w:val="00D73BEC"/>
    <w:rsid w:val="00D741DA"/>
    <w:rsid w:val="00D74B30"/>
    <w:rsid w:val="00D74F8C"/>
    <w:rsid w:val="00D75055"/>
    <w:rsid w:val="00D757D2"/>
    <w:rsid w:val="00D75A7C"/>
    <w:rsid w:val="00D76CFA"/>
    <w:rsid w:val="00D8097E"/>
    <w:rsid w:val="00D80D93"/>
    <w:rsid w:val="00D8139B"/>
    <w:rsid w:val="00D81BEE"/>
    <w:rsid w:val="00D81D81"/>
    <w:rsid w:val="00D82DF1"/>
    <w:rsid w:val="00D8347F"/>
    <w:rsid w:val="00D84D62"/>
    <w:rsid w:val="00D85E6D"/>
    <w:rsid w:val="00D8625C"/>
    <w:rsid w:val="00D86A32"/>
    <w:rsid w:val="00D86AD0"/>
    <w:rsid w:val="00D86B72"/>
    <w:rsid w:val="00D86B81"/>
    <w:rsid w:val="00D90016"/>
    <w:rsid w:val="00D9138C"/>
    <w:rsid w:val="00D91E68"/>
    <w:rsid w:val="00D92162"/>
    <w:rsid w:val="00D9218C"/>
    <w:rsid w:val="00D9349B"/>
    <w:rsid w:val="00D938CA"/>
    <w:rsid w:val="00D93E1F"/>
    <w:rsid w:val="00D95805"/>
    <w:rsid w:val="00D9657B"/>
    <w:rsid w:val="00D975A2"/>
    <w:rsid w:val="00DA042E"/>
    <w:rsid w:val="00DA0488"/>
    <w:rsid w:val="00DA05C7"/>
    <w:rsid w:val="00DA1988"/>
    <w:rsid w:val="00DA2544"/>
    <w:rsid w:val="00DA332F"/>
    <w:rsid w:val="00DA3A0F"/>
    <w:rsid w:val="00DA3CD5"/>
    <w:rsid w:val="00DA3F8B"/>
    <w:rsid w:val="00DA4C25"/>
    <w:rsid w:val="00DA4C30"/>
    <w:rsid w:val="00DA4F5E"/>
    <w:rsid w:val="00DA5187"/>
    <w:rsid w:val="00DA5231"/>
    <w:rsid w:val="00DA524F"/>
    <w:rsid w:val="00DA529E"/>
    <w:rsid w:val="00DA532F"/>
    <w:rsid w:val="00DA59BE"/>
    <w:rsid w:val="00DA5B41"/>
    <w:rsid w:val="00DA615F"/>
    <w:rsid w:val="00DA64FB"/>
    <w:rsid w:val="00DB06A3"/>
    <w:rsid w:val="00DB26F7"/>
    <w:rsid w:val="00DB2AD8"/>
    <w:rsid w:val="00DB2DC6"/>
    <w:rsid w:val="00DB33F2"/>
    <w:rsid w:val="00DB345D"/>
    <w:rsid w:val="00DB553E"/>
    <w:rsid w:val="00DB7127"/>
    <w:rsid w:val="00DC139C"/>
    <w:rsid w:val="00DC18EE"/>
    <w:rsid w:val="00DC1E89"/>
    <w:rsid w:val="00DC24CA"/>
    <w:rsid w:val="00DC2B42"/>
    <w:rsid w:val="00DC2CC8"/>
    <w:rsid w:val="00DC2D6D"/>
    <w:rsid w:val="00DC37B0"/>
    <w:rsid w:val="00DC3876"/>
    <w:rsid w:val="00DC3B4B"/>
    <w:rsid w:val="00DC3FDB"/>
    <w:rsid w:val="00DC4853"/>
    <w:rsid w:val="00DC49CC"/>
    <w:rsid w:val="00DC51D3"/>
    <w:rsid w:val="00DC5458"/>
    <w:rsid w:val="00DC54E3"/>
    <w:rsid w:val="00DC6556"/>
    <w:rsid w:val="00DC776A"/>
    <w:rsid w:val="00DC783D"/>
    <w:rsid w:val="00DD01DC"/>
    <w:rsid w:val="00DD0234"/>
    <w:rsid w:val="00DD0294"/>
    <w:rsid w:val="00DD1C53"/>
    <w:rsid w:val="00DD27D4"/>
    <w:rsid w:val="00DD35E5"/>
    <w:rsid w:val="00DD3B73"/>
    <w:rsid w:val="00DD4ABC"/>
    <w:rsid w:val="00DD6390"/>
    <w:rsid w:val="00DD6A70"/>
    <w:rsid w:val="00DD734A"/>
    <w:rsid w:val="00DE065C"/>
    <w:rsid w:val="00DE33F9"/>
    <w:rsid w:val="00DE419F"/>
    <w:rsid w:val="00DE41F5"/>
    <w:rsid w:val="00DE478A"/>
    <w:rsid w:val="00DE5DDF"/>
    <w:rsid w:val="00DE6A2B"/>
    <w:rsid w:val="00DE6B34"/>
    <w:rsid w:val="00DE7D2F"/>
    <w:rsid w:val="00DF05E4"/>
    <w:rsid w:val="00DF08F4"/>
    <w:rsid w:val="00DF2205"/>
    <w:rsid w:val="00DF225E"/>
    <w:rsid w:val="00DF26E7"/>
    <w:rsid w:val="00DF307A"/>
    <w:rsid w:val="00DF5165"/>
    <w:rsid w:val="00DF6517"/>
    <w:rsid w:val="00DF6592"/>
    <w:rsid w:val="00DF6BF2"/>
    <w:rsid w:val="00E0008C"/>
    <w:rsid w:val="00E00534"/>
    <w:rsid w:val="00E00707"/>
    <w:rsid w:val="00E01918"/>
    <w:rsid w:val="00E01A05"/>
    <w:rsid w:val="00E01E04"/>
    <w:rsid w:val="00E022B5"/>
    <w:rsid w:val="00E02AAB"/>
    <w:rsid w:val="00E03A48"/>
    <w:rsid w:val="00E03AA8"/>
    <w:rsid w:val="00E03FBC"/>
    <w:rsid w:val="00E04D48"/>
    <w:rsid w:val="00E059B7"/>
    <w:rsid w:val="00E07774"/>
    <w:rsid w:val="00E077E2"/>
    <w:rsid w:val="00E11CA9"/>
    <w:rsid w:val="00E121F0"/>
    <w:rsid w:val="00E12AAF"/>
    <w:rsid w:val="00E1371C"/>
    <w:rsid w:val="00E13F34"/>
    <w:rsid w:val="00E14692"/>
    <w:rsid w:val="00E15C5D"/>
    <w:rsid w:val="00E16213"/>
    <w:rsid w:val="00E166BB"/>
    <w:rsid w:val="00E17365"/>
    <w:rsid w:val="00E200B4"/>
    <w:rsid w:val="00E20A0C"/>
    <w:rsid w:val="00E20F72"/>
    <w:rsid w:val="00E2122F"/>
    <w:rsid w:val="00E22693"/>
    <w:rsid w:val="00E226D7"/>
    <w:rsid w:val="00E23138"/>
    <w:rsid w:val="00E23EA6"/>
    <w:rsid w:val="00E24985"/>
    <w:rsid w:val="00E25415"/>
    <w:rsid w:val="00E26299"/>
    <w:rsid w:val="00E2754B"/>
    <w:rsid w:val="00E27840"/>
    <w:rsid w:val="00E304ED"/>
    <w:rsid w:val="00E3079A"/>
    <w:rsid w:val="00E30993"/>
    <w:rsid w:val="00E30CA7"/>
    <w:rsid w:val="00E30FA7"/>
    <w:rsid w:val="00E313BD"/>
    <w:rsid w:val="00E31600"/>
    <w:rsid w:val="00E3163B"/>
    <w:rsid w:val="00E318D8"/>
    <w:rsid w:val="00E33670"/>
    <w:rsid w:val="00E33772"/>
    <w:rsid w:val="00E352CE"/>
    <w:rsid w:val="00E3562D"/>
    <w:rsid w:val="00E36019"/>
    <w:rsid w:val="00E3672C"/>
    <w:rsid w:val="00E36B74"/>
    <w:rsid w:val="00E37924"/>
    <w:rsid w:val="00E400E7"/>
    <w:rsid w:val="00E40788"/>
    <w:rsid w:val="00E41132"/>
    <w:rsid w:val="00E41E89"/>
    <w:rsid w:val="00E42A9F"/>
    <w:rsid w:val="00E4320A"/>
    <w:rsid w:val="00E4333B"/>
    <w:rsid w:val="00E43C4A"/>
    <w:rsid w:val="00E448CF"/>
    <w:rsid w:val="00E46350"/>
    <w:rsid w:val="00E47B73"/>
    <w:rsid w:val="00E50A77"/>
    <w:rsid w:val="00E50B9E"/>
    <w:rsid w:val="00E5148E"/>
    <w:rsid w:val="00E547DC"/>
    <w:rsid w:val="00E54BDD"/>
    <w:rsid w:val="00E54FE5"/>
    <w:rsid w:val="00E55A27"/>
    <w:rsid w:val="00E55E41"/>
    <w:rsid w:val="00E568EF"/>
    <w:rsid w:val="00E56CE5"/>
    <w:rsid w:val="00E57168"/>
    <w:rsid w:val="00E57197"/>
    <w:rsid w:val="00E604D2"/>
    <w:rsid w:val="00E60583"/>
    <w:rsid w:val="00E612BC"/>
    <w:rsid w:val="00E62080"/>
    <w:rsid w:val="00E629EC"/>
    <w:rsid w:val="00E62AD6"/>
    <w:rsid w:val="00E62BE6"/>
    <w:rsid w:val="00E63A7A"/>
    <w:rsid w:val="00E63FE8"/>
    <w:rsid w:val="00E6405E"/>
    <w:rsid w:val="00E64BF9"/>
    <w:rsid w:val="00E6633D"/>
    <w:rsid w:val="00E66D76"/>
    <w:rsid w:val="00E67949"/>
    <w:rsid w:val="00E67EEA"/>
    <w:rsid w:val="00E712DE"/>
    <w:rsid w:val="00E72404"/>
    <w:rsid w:val="00E7251F"/>
    <w:rsid w:val="00E72EAE"/>
    <w:rsid w:val="00E730DE"/>
    <w:rsid w:val="00E7335A"/>
    <w:rsid w:val="00E740F7"/>
    <w:rsid w:val="00E745DD"/>
    <w:rsid w:val="00E74985"/>
    <w:rsid w:val="00E75BB8"/>
    <w:rsid w:val="00E7648C"/>
    <w:rsid w:val="00E76A7C"/>
    <w:rsid w:val="00E77EA2"/>
    <w:rsid w:val="00E82A7C"/>
    <w:rsid w:val="00E82CCA"/>
    <w:rsid w:val="00E83440"/>
    <w:rsid w:val="00E83598"/>
    <w:rsid w:val="00E84A17"/>
    <w:rsid w:val="00E84C9A"/>
    <w:rsid w:val="00E851D4"/>
    <w:rsid w:val="00E858E0"/>
    <w:rsid w:val="00E868F1"/>
    <w:rsid w:val="00E86C06"/>
    <w:rsid w:val="00E86E3E"/>
    <w:rsid w:val="00E87677"/>
    <w:rsid w:val="00E87AE3"/>
    <w:rsid w:val="00E9056A"/>
    <w:rsid w:val="00E90AD5"/>
    <w:rsid w:val="00E90B1A"/>
    <w:rsid w:val="00E90D05"/>
    <w:rsid w:val="00E9216D"/>
    <w:rsid w:val="00E92A55"/>
    <w:rsid w:val="00E94305"/>
    <w:rsid w:val="00E947DA"/>
    <w:rsid w:val="00E94A72"/>
    <w:rsid w:val="00E96025"/>
    <w:rsid w:val="00E963C3"/>
    <w:rsid w:val="00E967F9"/>
    <w:rsid w:val="00E974B7"/>
    <w:rsid w:val="00E975C3"/>
    <w:rsid w:val="00E97DE0"/>
    <w:rsid w:val="00EA164E"/>
    <w:rsid w:val="00EA1D48"/>
    <w:rsid w:val="00EA34A8"/>
    <w:rsid w:val="00EA3626"/>
    <w:rsid w:val="00EA3ABD"/>
    <w:rsid w:val="00EA3B07"/>
    <w:rsid w:val="00EA5A46"/>
    <w:rsid w:val="00EB06FF"/>
    <w:rsid w:val="00EB084E"/>
    <w:rsid w:val="00EB1803"/>
    <w:rsid w:val="00EB231A"/>
    <w:rsid w:val="00EB287A"/>
    <w:rsid w:val="00EB311E"/>
    <w:rsid w:val="00EB3309"/>
    <w:rsid w:val="00EB3413"/>
    <w:rsid w:val="00EB3D47"/>
    <w:rsid w:val="00EB4274"/>
    <w:rsid w:val="00EB46AF"/>
    <w:rsid w:val="00EB4823"/>
    <w:rsid w:val="00EB494C"/>
    <w:rsid w:val="00EB5FB7"/>
    <w:rsid w:val="00EB6049"/>
    <w:rsid w:val="00EB6301"/>
    <w:rsid w:val="00EB7080"/>
    <w:rsid w:val="00EB7485"/>
    <w:rsid w:val="00EC148C"/>
    <w:rsid w:val="00EC2104"/>
    <w:rsid w:val="00EC33B4"/>
    <w:rsid w:val="00EC39C8"/>
    <w:rsid w:val="00EC441B"/>
    <w:rsid w:val="00EC45FE"/>
    <w:rsid w:val="00EC4982"/>
    <w:rsid w:val="00EC4C17"/>
    <w:rsid w:val="00EC55D4"/>
    <w:rsid w:val="00EC5A11"/>
    <w:rsid w:val="00EC5D4D"/>
    <w:rsid w:val="00EC5EA2"/>
    <w:rsid w:val="00ED0750"/>
    <w:rsid w:val="00ED0D80"/>
    <w:rsid w:val="00ED15C6"/>
    <w:rsid w:val="00ED180E"/>
    <w:rsid w:val="00ED18A9"/>
    <w:rsid w:val="00ED1F6B"/>
    <w:rsid w:val="00ED2070"/>
    <w:rsid w:val="00ED27D7"/>
    <w:rsid w:val="00ED2AD7"/>
    <w:rsid w:val="00ED3275"/>
    <w:rsid w:val="00ED3586"/>
    <w:rsid w:val="00ED35FB"/>
    <w:rsid w:val="00ED3C87"/>
    <w:rsid w:val="00ED4533"/>
    <w:rsid w:val="00ED531E"/>
    <w:rsid w:val="00ED5A53"/>
    <w:rsid w:val="00ED6D85"/>
    <w:rsid w:val="00ED788B"/>
    <w:rsid w:val="00ED797D"/>
    <w:rsid w:val="00EE01D3"/>
    <w:rsid w:val="00EE236B"/>
    <w:rsid w:val="00EE2852"/>
    <w:rsid w:val="00EE29A2"/>
    <w:rsid w:val="00EE3DC5"/>
    <w:rsid w:val="00EE4185"/>
    <w:rsid w:val="00EE43B3"/>
    <w:rsid w:val="00EE540B"/>
    <w:rsid w:val="00EE6671"/>
    <w:rsid w:val="00EE698A"/>
    <w:rsid w:val="00EE6A01"/>
    <w:rsid w:val="00EF0191"/>
    <w:rsid w:val="00EF21FC"/>
    <w:rsid w:val="00EF2E28"/>
    <w:rsid w:val="00EF4026"/>
    <w:rsid w:val="00EF6758"/>
    <w:rsid w:val="00EF6E2A"/>
    <w:rsid w:val="00F00848"/>
    <w:rsid w:val="00F01287"/>
    <w:rsid w:val="00F0171F"/>
    <w:rsid w:val="00F017E4"/>
    <w:rsid w:val="00F01AF6"/>
    <w:rsid w:val="00F01B4A"/>
    <w:rsid w:val="00F01DC0"/>
    <w:rsid w:val="00F0299D"/>
    <w:rsid w:val="00F02ADA"/>
    <w:rsid w:val="00F036D8"/>
    <w:rsid w:val="00F036E8"/>
    <w:rsid w:val="00F0403E"/>
    <w:rsid w:val="00F043AF"/>
    <w:rsid w:val="00F05FE4"/>
    <w:rsid w:val="00F0635C"/>
    <w:rsid w:val="00F0645D"/>
    <w:rsid w:val="00F07476"/>
    <w:rsid w:val="00F07FE6"/>
    <w:rsid w:val="00F07FF2"/>
    <w:rsid w:val="00F12D9F"/>
    <w:rsid w:val="00F12EC0"/>
    <w:rsid w:val="00F1391C"/>
    <w:rsid w:val="00F1429E"/>
    <w:rsid w:val="00F153F7"/>
    <w:rsid w:val="00F16073"/>
    <w:rsid w:val="00F16A1F"/>
    <w:rsid w:val="00F17A21"/>
    <w:rsid w:val="00F17C3C"/>
    <w:rsid w:val="00F17C77"/>
    <w:rsid w:val="00F20052"/>
    <w:rsid w:val="00F20438"/>
    <w:rsid w:val="00F207BD"/>
    <w:rsid w:val="00F21117"/>
    <w:rsid w:val="00F21459"/>
    <w:rsid w:val="00F218F0"/>
    <w:rsid w:val="00F2290B"/>
    <w:rsid w:val="00F22F99"/>
    <w:rsid w:val="00F23A80"/>
    <w:rsid w:val="00F23F1D"/>
    <w:rsid w:val="00F23FEA"/>
    <w:rsid w:val="00F245A0"/>
    <w:rsid w:val="00F24C7E"/>
    <w:rsid w:val="00F25CBA"/>
    <w:rsid w:val="00F25CF3"/>
    <w:rsid w:val="00F26240"/>
    <w:rsid w:val="00F2711B"/>
    <w:rsid w:val="00F30334"/>
    <w:rsid w:val="00F31D06"/>
    <w:rsid w:val="00F333DA"/>
    <w:rsid w:val="00F34243"/>
    <w:rsid w:val="00F344B3"/>
    <w:rsid w:val="00F402D5"/>
    <w:rsid w:val="00F40DFC"/>
    <w:rsid w:val="00F4174E"/>
    <w:rsid w:val="00F4190E"/>
    <w:rsid w:val="00F4357E"/>
    <w:rsid w:val="00F442A0"/>
    <w:rsid w:val="00F444EF"/>
    <w:rsid w:val="00F44C03"/>
    <w:rsid w:val="00F45342"/>
    <w:rsid w:val="00F456C1"/>
    <w:rsid w:val="00F45C96"/>
    <w:rsid w:val="00F46161"/>
    <w:rsid w:val="00F461DE"/>
    <w:rsid w:val="00F46765"/>
    <w:rsid w:val="00F472AA"/>
    <w:rsid w:val="00F474BE"/>
    <w:rsid w:val="00F476D3"/>
    <w:rsid w:val="00F5017B"/>
    <w:rsid w:val="00F5075A"/>
    <w:rsid w:val="00F5105A"/>
    <w:rsid w:val="00F51105"/>
    <w:rsid w:val="00F52216"/>
    <w:rsid w:val="00F53482"/>
    <w:rsid w:val="00F56A2A"/>
    <w:rsid w:val="00F5748C"/>
    <w:rsid w:val="00F5755C"/>
    <w:rsid w:val="00F57B6D"/>
    <w:rsid w:val="00F57FF7"/>
    <w:rsid w:val="00F60BB6"/>
    <w:rsid w:val="00F6110E"/>
    <w:rsid w:val="00F61383"/>
    <w:rsid w:val="00F6256B"/>
    <w:rsid w:val="00F62A67"/>
    <w:rsid w:val="00F63067"/>
    <w:rsid w:val="00F63F34"/>
    <w:rsid w:val="00F63F3C"/>
    <w:rsid w:val="00F64B4C"/>
    <w:rsid w:val="00F65C15"/>
    <w:rsid w:val="00F70A04"/>
    <w:rsid w:val="00F70BF7"/>
    <w:rsid w:val="00F711B4"/>
    <w:rsid w:val="00F71A86"/>
    <w:rsid w:val="00F71BB2"/>
    <w:rsid w:val="00F71E4B"/>
    <w:rsid w:val="00F71FF8"/>
    <w:rsid w:val="00F7257A"/>
    <w:rsid w:val="00F73100"/>
    <w:rsid w:val="00F73111"/>
    <w:rsid w:val="00F740A1"/>
    <w:rsid w:val="00F7449E"/>
    <w:rsid w:val="00F74DE7"/>
    <w:rsid w:val="00F755D2"/>
    <w:rsid w:val="00F75A85"/>
    <w:rsid w:val="00F76879"/>
    <w:rsid w:val="00F76DD4"/>
    <w:rsid w:val="00F76E0E"/>
    <w:rsid w:val="00F76E78"/>
    <w:rsid w:val="00F772A7"/>
    <w:rsid w:val="00F808A2"/>
    <w:rsid w:val="00F80CA9"/>
    <w:rsid w:val="00F81898"/>
    <w:rsid w:val="00F81B75"/>
    <w:rsid w:val="00F81C4F"/>
    <w:rsid w:val="00F81C9A"/>
    <w:rsid w:val="00F8221C"/>
    <w:rsid w:val="00F82453"/>
    <w:rsid w:val="00F827A8"/>
    <w:rsid w:val="00F82A26"/>
    <w:rsid w:val="00F82F9E"/>
    <w:rsid w:val="00F84033"/>
    <w:rsid w:val="00F843B1"/>
    <w:rsid w:val="00F84533"/>
    <w:rsid w:val="00F84AFF"/>
    <w:rsid w:val="00F84E59"/>
    <w:rsid w:val="00F8569E"/>
    <w:rsid w:val="00F8640E"/>
    <w:rsid w:val="00F871F6"/>
    <w:rsid w:val="00F904EA"/>
    <w:rsid w:val="00F90D88"/>
    <w:rsid w:val="00F91C9B"/>
    <w:rsid w:val="00F9222B"/>
    <w:rsid w:val="00F924D0"/>
    <w:rsid w:val="00F92603"/>
    <w:rsid w:val="00F92683"/>
    <w:rsid w:val="00F94454"/>
    <w:rsid w:val="00F95181"/>
    <w:rsid w:val="00F9528F"/>
    <w:rsid w:val="00F9705A"/>
    <w:rsid w:val="00F9799E"/>
    <w:rsid w:val="00FA0449"/>
    <w:rsid w:val="00FA236D"/>
    <w:rsid w:val="00FA30CF"/>
    <w:rsid w:val="00FA3CF0"/>
    <w:rsid w:val="00FA4220"/>
    <w:rsid w:val="00FA42A0"/>
    <w:rsid w:val="00FA53D0"/>
    <w:rsid w:val="00FA665D"/>
    <w:rsid w:val="00FA760A"/>
    <w:rsid w:val="00FA7A35"/>
    <w:rsid w:val="00FA7B14"/>
    <w:rsid w:val="00FA7EEB"/>
    <w:rsid w:val="00FB0BAF"/>
    <w:rsid w:val="00FB1661"/>
    <w:rsid w:val="00FB202B"/>
    <w:rsid w:val="00FB21BF"/>
    <w:rsid w:val="00FB28EF"/>
    <w:rsid w:val="00FB2E3C"/>
    <w:rsid w:val="00FB3F7D"/>
    <w:rsid w:val="00FB495A"/>
    <w:rsid w:val="00FB4A36"/>
    <w:rsid w:val="00FB5156"/>
    <w:rsid w:val="00FB5B5B"/>
    <w:rsid w:val="00FB5E74"/>
    <w:rsid w:val="00FB68AA"/>
    <w:rsid w:val="00FB702C"/>
    <w:rsid w:val="00FB7032"/>
    <w:rsid w:val="00FC067D"/>
    <w:rsid w:val="00FC1921"/>
    <w:rsid w:val="00FC1E47"/>
    <w:rsid w:val="00FC264B"/>
    <w:rsid w:val="00FC294B"/>
    <w:rsid w:val="00FC30D7"/>
    <w:rsid w:val="00FC3704"/>
    <w:rsid w:val="00FC3CA7"/>
    <w:rsid w:val="00FC7589"/>
    <w:rsid w:val="00FD016F"/>
    <w:rsid w:val="00FD0242"/>
    <w:rsid w:val="00FD0EB7"/>
    <w:rsid w:val="00FD2556"/>
    <w:rsid w:val="00FD2C37"/>
    <w:rsid w:val="00FD446E"/>
    <w:rsid w:val="00FD4BDF"/>
    <w:rsid w:val="00FD5353"/>
    <w:rsid w:val="00FD6C1F"/>
    <w:rsid w:val="00FD7A9B"/>
    <w:rsid w:val="00FE16EE"/>
    <w:rsid w:val="00FE1E19"/>
    <w:rsid w:val="00FE2857"/>
    <w:rsid w:val="00FE2EB9"/>
    <w:rsid w:val="00FE3423"/>
    <w:rsid w:val="00FE3B80"/>
    <w:rsid w:val="00FE42D5"/>
    <w:rsid w:val="00FE4BA7"/>
    <w:rsid w:val="00FE58F8"/>
    <w:rsid w:val="00FE64C3"/>
    <w:rsid w:val="00FE742E"/>
    <w:rsid w:val="00FF05E8"/>
    <w:rsid w:val="00FF1434"/>
    <w:rsid w:val="00FF20E5"/>
    <w:rsid w:val="00FF3BBF"/>
    <w:rsid w:val="00FF4966"/>
    <w:rsid w:val="00FF4CD3"/>
    <w:rsid w:val="00FF5D7F"/>
    <w:rsid w:val="00FF5E55"/>
    <w:rsid w:val="00FF6275"/>
    <w:rsid w:val="00FF6C3C"/>
    <w:rsid w:val="00FF716C"/>
    <w:rsid w:val="016221F0"/>
    <w:rsid w:val="01A3BECA"/>
    <w:rsid w:val="01B315C2"/>
    <w:rsid w:val="02B4272D"/>
    <w:rsid w:val="02C5B61A"/>
    <w:rsid w:val="03C04EA2"/>
    <w:rsid w:val="058C3A82"/>
    <w:rsid w:val="0623F5D0"/>
    <w:rsid w:val="06FF982C"/>
    <w:rsid w:val="07C23D2F"/>
    <w:rsid w:val="083194E6"/>
    <w:rsid w:val="098E32BB"/>
    <w:rsid w:val="09FB9408"/>
    <w:rsid w:val="09FE6AFA"/>
    <w:rsid w:val="0B6EA3E8"/>
    <w:rsid w:val="0BCEBDA8"/>
    <w:rsid w:val="0BEA10F1"/>
    <w:rsid w:val="0C095D8D"/>
    <w:rsid w:val="0D647D5D"/>
    <w:rsid w:val="0FB5226C"/>
    <w:rsid w:val="0FB535A5"/>
    <w:rsid w:val="0FFE1D37"/>
    <w:rsid w:val="10063EF1"/>
    <w:rsid w:val="1009DAA3"/>
    <w:rsid w:val="111214ED"/>
    <w:rsid w:val="11646797"/>
    <w:rsid w:val="121A77BA"/>
    <w:rsid w:val="129CECB5"/>
    <w:rsid w:val="13A6FCB5"/>
    <w:rsid w:val="150A5849"/>
    <w:rsid w:val="1510B737"/>
    <w:rsid w:val="154591DA"/>
    <w:rsid w:val="170124D0"/>
    <w:rsid w:val="1783B169"/>
    <w:rsid w:val="18A46A2C"/>
    <w:rsid w:val="19243342"/>
    <w:rsid w:val="1A381307"/>
    <w:rsid w:val="1DF8448A"/>
    <w:rsid w:val="1E3048EF"/>
    <w:rsid w:val="1EBF59D6"/>
    <w:rsid w:val="1F8635CA"/>
    <w:rsid w:val="21A780A3"/>
    <w:rsid w:val="21DF135F"/>
    <w:rsid w:val="223A9798"/>
    <w:rsid w:val="22674731"/>
    <w:rsid w:val="22D30D8E"/>
    <w:rsid w:val="24B93483"/>
    <w:rsid w:val="266D9965"/>
    <w:rsid w:val="26987364"/>
    <w:rsid w:val="272263E7"/>
    <w:rsid w:val="27B03333"/>
    <w:rsid w:val="27CC7CEF"/>
    <w:rsid w:val="2930A077"/>
    <w:rsid w:val="29CA39B2"/>
    <w:rsid w:val="2A492A28"/>
    <w:rsid w:val="2A78B710"/>
    <w:rsid w:val="2ADF7AA7"/>
    <w:rsid w:val="2C2031D8"/>
    <w:rsid w:val="2C988DD7"/>
    <w:rsid w:val="2D545651"/>
    <w:rsid w:val="2D8AEAC3"/>
    <w:rsid w:val="30EA06C7"/>
    <w:rsid w:val="31358C91"/>
    <w:rsid w:val="31597FF1"/>
    <w:rsid w:val="3213DDBC"/>
    <w:rsid w:val="326916A9"/>
    <w:rsid w:val="339B0EC2"/>
    <w:rsid w:val="33D354EB"/>
    <w:rsid w:val="33E316D9"/>
    <w:rsid w:val="34466DB9"/>
    <w:rsid w:val="36076FC3"/>
    <w:rsid w:val="37A9FDBF"/>
    <w:rsid w:val="37FAFCBD"/>
    <w:rsid w:val="3854B9A4"/>
    <w:rsid w:val="388121CC"/>
    <w:rsid w:val="3897937B"/>
    <w:rsid w:val="3A795DB2"/>
    <w:rsid w:val="3B27F981"/>
    <w:rsid w:val="3CEA85AB"/>
    <w:rsid w:val="3EADBC60"/>
    <w:rsid w:val="3FFA6C3A"/>
    <w:rsid w:val="40E8224D"/>
    <w:rsid w:val="41025C46"/>
    <w:rsid w:val="41431518"/>
    <w:rsid w:val="42315F01"/>
    <w:rsid w:val="43A07C33"/>
    <w:rsid w:val="43CA26B2"/>
    <w:rsid w:val="43F4B01B"/>
    <w:rsid w:val="45C300FC"/>
    <w:rsid w:val="477D36A9"/>
    <w:rsid w:val="47D6690B"/>
    <w:rsid w:val="48601EFC"/>
    <w:rsid w:val="491424BC"/>
    <w:rsid w:val="494088BF"/>
    <w:rsid w:val="4A05692C"/>
    <w:rsid w:val="4A601F6D"/>
    <w:rsid w:val="4B0A187E"/>
    <w:rsid w:val="4C447C2E"/>
    <w:rsid w:val="4CDB378C"/>
    <w:rsid w:val="4DDB29B7"/>
    <w:rsid w:val="4E1E76D1"/>
    <w:rsid w:val="4EAF973D"/>
    <w:rsid w:val="4F554749"/>
    <w:rsid w:val="4FB5B254"/>
    <w:rsid w:val="502537CF"/>
    <w:rsid w:val="50603CC1"/>
    <w:rsid w:val="50B03CC4"/>
    <w:rsid w:val="5181EE94"/>
    <w:rsid w:val="52E4F4F1"/>
    <w:rsid w:val="54554D35"/>
    <w:rsid w:val="54DD3199"/>
    <w:rsid w:val="58A828D7"/>
    <w:rsid w:val="58FCCCB3"/>
    <w:rsid w:val="591D8A14"/>
    <w:rsid w:val="5A3A2A47"/>
    <w:rsid w:val="5AAF8184"/>
    <w:rsid w:val="5AD9B41C"/>
    <w:rsid w:val="5DC5EDAE"/>
    <w:rsid w:val="5E16B301"/>
    <w:rsid w:val="5F9584B9"/>
    <w:rsid w:val="5F990ED2"/>
    <w:rsid w:val="602559A3"/>
    <w:rsid w:val="60CAAB3E"/>
    <w:rsid w:val="63A5AE55"/>
    <w:rsid w:val="63C39B57"/>
    <w:rsid w:val="642F476B"/>
    <w:rsid w:val="6664D009"/>
    <w:rsid w:val="67864576"/>
    <w:rsid w:val="68D0F859"/>
    <w:rsid w:val="694C04BF"/>
    <w:rsid w:val="6A2B49D2"/>
    <w:rsid w:val="6A392D46"/>
    <w:rsid w:val="6AACF099"/>
    <w:rsid w:val="6AB0AD7B"/>
    <w:rsid w:val="6B2984BF"/>
    <w:rsid w:val="6C80594A"/>
    <w:rsid w:val="6CD6072A"/>
    <w:rsid w:val="6D0F4903"/>
    <w:rsid w:val="6F479537"/>
    <w:rsid w:val="6F5F34BF"/>
    <w:rsid w:val="701E7466"/>
    <w:rsid w:val="709816F8"/>
    <w:rsid w:val="710B17C8"/>
    <w:rsid w:val="71571C7D"/>
    <w:rsid w:val="719DB6DD"/>
    <w:rsid w:val="72399EDC"/>
    <w:rsid w:val="73B3A9EB"/>
    <w:rsid w:val="73B8B081"/>
    <w:rsid w:val="73C59BCD"/>
    <w:rsid w:val="7501C76F"/>
    <w:rsid w:val="75F8A114"/>
    <w:rsid w:val="76439499"/>
    <w:rsid w:val="767460AC"/>
    <w:rsid w:val="77C3D542"/>
    <w:rsid w:val="787227ED"/>
    <w:rsid w:val="79B6C339"/>
    <w:rsid w:val="79DAEFCC"/>
    <w:rsid w:val="7A08FD3E"/>
    <w:rsid w:val="7A8E28D5"/>
    <w:rsid w:val="7E42A15E"/>
    <w:rsid w:val="7E64FB19"/>
    <w:rsid w:val="7EB953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C3247E3-EF1F-470D-BC90-9BF40343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2F"/>
    <w:pPr>
      <w:spacing w:after="0" w:line="240" w:lineRule="auto"/>
    </w:pPr>
    <w:rPr>
      <w:rFonts w:ascii="Times New Roman" w:eastAsia="Times New Roman" w:hAnsi="Times New Roman" w:cs="Times New Roman"/>
      <w:kern w:val="0"/>
      <w:sz w:val="24"/>
      <w:szCs w:val="24"/>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Textoindependiente">
    <w:name w:val="Body Text"/>
    <w:basedOn w:val="Normal"/>
    <w:link w:val="TextoindependienteCar"/>
    <w:uiPriority w:val="99"/>
    <w:semiHidden/>
    <w:unhideWhenUsed/>
    <w:rsid w:val="00E13F34"/>
    <w:pPr>
      <w:spacing w:after="120"/>
    </w:pPr>
  </w:style>
  <w:style w:type="character" w:customStyle="1" w:styleId="TextoindependienteCar">
    <w:name w:val="Texto independiente Car"/>
    <w:basedOn w:val="Fuentedeprrafopredeter"/>
    <w:link w:val="Textoindependiente"/>
    <w:uiPriority w:val="99"/>
    <w:semiHidden/>
    <w:rsid w:val="00E13F34"/>
    <w:rPr>
      <w:rFonts w:ascii="Times New Roman" w:eastAsia="MS Mincho" w:hAnsi="Times New Roman" w:cs="Times New Roman"/>
      <w:kern w:val="0"/>
      <w:sz w:val="24"/>
      <w:szCs w:val="24"/>
      <w:lang w:val="es-ES" w:eastAsia="es-ES"/>
      <w14:ligatures w14:val="none"/>
    </w:rPr>
  </w:style>
  <w:style w:type="paragraph" w:styleId="Revisin">
    <w:name w:val="Revision"/>
    <w:hidden/>
    <w:uiPriority w:val="99"/>
    <w:semiHidden/>
    <w:rsid w:val="005A1160"/>
    <w:pPr>
      <w:spacing w:after="0" w:line="240" w:lineRule="auto"/>
    </w:pPr>
    <w:rPr>
      <w:rFonts w:ascii="Times New Roman" w:eastAsia="MS Mincho" w:hAnsi="Times New Roman" w:cs="Times New Roman"/>
      <w:kern w:val="0"/>
      <w:sz w:val="24"/>
      <w:szCs w:val="24"/>
      <w:lang w:val="es-ES" w:eastAsia="es-ES"/>
      <w14:ligatures w14:val="none"/>
    </w:rPr>
  </w:style>
  <w:style w:type="character" w:styleId="Textodelmarcadordeposicin">
    <w:name w:val="Placeholder Text"/>
    <w:basedOn w:val="Fuentedeprrafopredeter"/>
    <w:uiPriority w:val="99"/>
    <w:semiHidden/>
    <w:rsid w:val="00B02230"/>
    <w:rPr>
      <w:color w:val="666666"/>
    </w:rPr>
  </w:style>
  <w:style w:type="character" w:styleId="Refdecomentario">
    <w:name w:val="annotation reference"/>
    <w:basedOn w:val="Fuentedeprrafopredeter"/>
    <w:uiPriority w:val="99"/>
    <w:semiHidden/>
    <w:unhideWhenUsed/>
    <w:rsid w:val="003B77E7"/>
    <w:rPr>
      <w:sz w:val="16"/>
      <w:szCs w:val="16"/>
    </w:rPr>
  </w:style>
  <w:style w:type="paragraph" w:styleId="Textocomentario">
    <w:name w:val="annotation text"/>
    <w:basedOn w:val="Normal"/>
    <w:link w:val="TextocomentarioCar"/>
    <w:uiPriority w:val="99"/>
    <w:unhideWhenUsed/>
    <w:rsid w:val="003B77E7"/>
    <w:rPr>
      <w:sz w:val="20"/>
      <w:szCs w:val="20"/>
    </w:rPr>
  </w:style>
  <w:style w:type="character" w:customStyle="1" w:styleId="TextocomentarioCar">
    <w:name w:val="Texto comentario Car"/>
    <w:basedOn w:val="Fuentedeprrafopredeter"/>
    <w:link w:val="Textocomentario"/>
    <w:uiPriority w:val="99"/>
    <w:rsid w:val="003B77E7"/>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3B77E7"/>
    <w:rPr>
      <w:b/>
      <w:bCs/>
    </w:rPr>
  </w:style>
  <w:style w:type="character" w:customStyle="1" w:styleId="AsuntodelcomentarioCar">
    <w:name w:val="Asunto del comentario Car"/>
    <w:basedOn w:val="TextocomentarioCar"/>
    <w:link w:val="Asuntodelcomentario"/>
    <w:uiPriority w:val="99"/>
    <w:semiHidden/>
    <w:rsid w:val="003B77E7"/>
    <w:rPr>
      <w:rFonts w:ascii="Times New Roman" w:eastAsia="MS Mincho" w:hAnsi="Times New Roman"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797">
      <w:bodyDiv w:val="1"/>
      <w:marLeft w:val="0"/>
      <w:marRight w:val="0"/>
      <w:marTop w:val="0"/>
      <w:marBottom w:val="0"/>
      <w:divBdr>
        <w:top w:val="none" w:sz="0" w:space="0" w:color="auto"/>
        <w:left w:val="none" w:sz="0" w:space="0" w:color="auto"/>
        <w:bottom w:val="none" w:sz="0" w:space="0" w:color="auto"/>
        <w:right w:val="none" w:sz="0" w:space="0" w:color="auto"/>
      </w:divBdr>
    </w:div>
    <w:div w:id="58359551">
      <w:bodyDiv w:val="1"/>
      <w:marLeft w:val="0"/>
      <w:marRight w:val="0"/>
      <w:marTop w:val="0"/>
      <w:marBottom w:val="0"/>
      <w:divBdr>
        <w:top w:val="none" w:sz="0" w:space="0" w:color="auto"/>
        <w:left w:val="none" w:sz="0" w:space="0" w:color="auto"/>
        <w:bottom w:val="none" w:sz="0" w:space="0" w:color="auto"/>
        <w:right w:val="none" w:sz="0" w:space="0" w:color="auto"/>
      </w:divBdr>
    </w:div>
    <w:div w:id="75984693">
      <w:bodyDiv w:val="1"/>
      <w:marLeft w:val="0"/>
      <w:marRight w:val="0"/>
      <w:marTop w:val="0"/>
      <w:marBottom w:val="0"/>
      <w:divBdr>
        <w:top w:val="none" w:sz="0" w:space="0" w:color="auto"/>
        <w:left w:val="none" w:sz="0" w:space="0" w:color="auto"/>
        <w:bottom w:val="none" w:sz="0" w:space="0" w:color="auto"/>
        <w:right w:val="none" w:sz="0" w:space="0" w:color="auto"/>
      </w:divBdr>
    </w:div>
    <w:div w:id="119492499">
      <w:bodyDiv w:val="1"/>
      <w:marLeft w:val="0"/>
      <w:marRight w:val="0"/>
      <w:marTop w:val="0"/>
      <w:marBottom w:val="0"/>
      <w:divBdr>
        <w:top w:val="none" w:sz="0" w:space="0" w:color="auto"/>
        <w:left w:val="none" w:sz="0" w:space="0" w:color="auto"/>
        <w:bottom w:val="none" w:sz="0" w:space="0" w:color="auto"/>
        <w:right w:val="none" w:sz="0" w:space="0" w:color="auto"/>
      </w:divBdr>
    </w:div>
    <w:div w:id="166747501">
      <w:bodyDiv w:val="1"/>
      <w:marLeft w:val="0"/>
      <w:marRight w:val="0"/>
      <w:marTop w:val="0"/>
      <w:marBottom w:val="0"/>
      <w:divBdr>
        <w:top w:val="none" w:sz="0" w:space="0" w:color="auto"/>
        <w:left w:val="none" w:sz="0" w:space="0" w:color="auto"/>
        <w:bottom w:val="none" w:sz="0" w:space="0" w:color="auto"/>
        <w:right w:val="none" w:sz="0" w:space="0" w:color="auto"/>
      </w:divBdr>
    </w:div>
    <w:div w:id="175313032">
      <w:bodyDiv w:val="1"/>
      <w:marLeft w:val="0"/>
      <w:marRight w:val="0"/>
      <w:marTop w:val="0"/>
      <w:marBottom w:val="0"/>
      <w:divBdr>
        <w:top w:val="none" w:sz="0" w:space="0" w:color="auto"/>
        <w:left w:val="none" w:sz="0" w:space="0" w:color="auto"/>
        <w:bottom w:val="none" w:sz="0" w:space="0" w:color="auto"/>
        <w:right w:val="none" w:sz="0" w:space="0" w:color="auto"/>
      </w:divBdr>
    </w:div>
    <w:div w:id="181675685">
      <w:bodyDiv w:val="1"/>
      <w:marLeft w:val="0"/>
      <w:marRight w:val="0"/>
      <w:marTop w:val="0"/>
      <w:marBottom w:val="0"/>
      <w:divBdr>
        <w:top w:val="none" w:sz="0" w:space="0" w:color="auto"/>
        <w:left w:val="none" w:sz="0" w:space="0" w:color="auto"/>
        <w:bottom w:val="none" w:sz="0" w:space="0" w:color="auto"/>
        <w:right w:val="none" w:sz="0" w:space="0" w:color="auto"/>
      </w:divBdr>
    </w:div>
    <w:div w:id="196241213">
      <w:bodyDiv w:val="1"/>
      <w:marLeft w:val="0"/>
      <w:marRight w:val="0"/>
      <w:marTop w:val="0"/>
      <w:marBottom w:val="0"/>
      <w:divBdr>
        <w:top w:val="none" w:sz="0" w:space="0" w:color="auto"/>
        <w:left w:val="none" w:sz="0" w:space="0" w:color="auto"/>
        <w:bottom w:val="none" w:sz="0" w:space="0" w:color="auto"/>
        <w:right w:val="none" w:sz="0" w:space="0" w:color="auto"/>
      </w:divBdr>
    </w:div>
    <w:div w:id="215897023">
      <w:bodyDiv w:val="1"/>
      <w:marLeft w:val="0"/>
      <w:marRight w:val="0"/>
      <w:marTop w:val="0"/>
      <w:marBottom w:val="0"/>
      <w:divBdr>
        <w:top w:val="none" w:sz="0" w:space="0" w:color="auto"/>
        <w:left w:val="none" w:sz="0" w:space="0" w:color="auto"/>
        <w:bottom w:val="none" w:sz="0" w:space="0" w:color="auto"/>
        <w:right w:val="none" w:sz="0" w:space="0" w:color="auto"/>
      </w:divBdr>
    </w:div>
    <w:div w:id="218173589">
      <w:bodyDiv w:val="1"/>
      <w:marLeft w:val="0"/>
      <w:marRight w:val="0"/>
      <w:marTop w:val="0"/>
      <w:marBottom w:val="0"/>
      <w:divBdr>
        <w:top w:val="none" w:sz="0" w:space="0" w:color="auto"/>
        <w:left w:val="none" w:sz="0" w:space="0" w:color="auto"/>
        <w:bottom w:val="none" w:sz="0" w:space="0" w:color="auto"/>
        <w:right w:val="none" w:sz="0" w:space="0" w:color="auto"/>
      </w:divBdr>
    </w:div>
    <w:div w:id="219053761">
      <w:bodyDiv w:val="1"/>
      <w:marLeft w:val="0"/>
      <w:marRight w:val="0"/>
      <w:marTop w:val="0"/>
      <w:marBottom w:val="0"/>
      <w:divBdr>
        <w:top w:val="none" w:sz="0" w:space="0" w:color="auto"/>
        <w:left w:val="none" w:sz="0" w:space="0" w:color="auto"/>
        <w:bottom w:val="none" w:sz="0" w:space="0" w:color="auto"/>
        <w:right w:val="none" w:sz="0" w:space="0" w:color="auto"/>
      </w:divBdr>
    </w:div>
    <w:div w:id="329526126">
      <w:bodyDiv w:val="1"/>
      <w:marLeft w:val="0"/>
      <w:marRight w:val="0"/>
      <w:marTop w:val="0"/>
      <w:marBottom w:val="0"/>
      <w:divBdr>
        <w:top w:val="none" w:sz="0" w:space="0" w:color="auto"/>
        <w:left w:val="none" w:sz="0" w:space="0" w:color="auto"/>
        <w:bottom w:val="none" w:sz="0" w:space="0" w:color="auto"/>
        <w:right w:val="none" w:sz="0" w:space="0" w:color="auto"/>
      </w:divBdr>
    </w:div>
    <w:div w:id="337389142">
      <w:bodyDiv w:val="1"/>
      <w:marLeft w:val="0"/>
      <w:marRight w:val="0"/>
      <w:marTop w:val="0"/>
      <w:marBottom w:val="0"/>
      <w:divBdr>
        <w:top w:val="none" w:sz="0" w:space="0" w:color="auto"/>
        <w:left w:val="none" w:sz="0" w:space="0" w:color="auto"/>
        <w:bottom w:val="none" w:sz="0" w:space="0" w:color="auto"/>
        <w:right w:val="none" w:sz="0" w:space="0" w:color="auto"/>
      </w:divBdr>
    </w:div>
    <w:div w:id="416026824">
      <w:bodyDiv w:val="1"/>
      <w:marLeft w:val="0"/>
      <w:marRight w:val="0"/>
      <w:marTop w:val="0"/>
      <w:marBottom w:val="0"/>
      <w:divBdr>
        <w:top w:val="none" w:sz="0" w:space="0" w:color="auto"/>
        <w:left w:val="none" w:sz="0" w:space="0" w:color="auto"/>
        <w:bottom w:val="none" w:sz="0" w:space="0" w:color="auto"/>
        <w:right w:val="none" w:sz="0" w:space="0" w:color="auto"/>
      </w:divBdr>
    </w:div>
    <w:div w:id="453788908">
      <w:bodyDiv w:val="1"/>
      <w:marLeft w:val="0"/>
      <w:marRight w:val="0"/>
      <w:marTop w:val="0"/>
      <w:marBottom w:val="0"/>
      <w:divBdr>
        <w:top w:val="none" w:sz="0" w:space="0" w:color="auto"/>
        <w:left w:val="none" w:sz="0" w:space="0" w:color="auto"/>
        <w:bottom w:val="none" w:sz="0" w:space="0" w:color="auto"/>
        <w:right w:val="none" w:sz="0" w:space="0" w:color="auto"/>
      </w:divBdr>
    </w:div>
    <w:div w:id="484469009">
      <w:bodyDiv w:val="1"/>
      <w:marLeft w:val="0"/>
      <w:marRight w:val="0"/>
      <w:marTop w:val="0"/>
      <w:marBottom w:val="0"/>
      <w:divBdr>
        <w:top w:val="none" w:sz="0" w:space="0" w:color="auto"/>
        <w:left w:val="none" w:sz="0" w:space="0" w:color="auto"/>
        <w:bottom w:val="none" w:sz="0" w:space="0" w:color="auto"/>
        <w:right w:val="none" w:sz="0" w:space="0" w:color="auto"/>
      </w:divBdr>
    </w:div>
    <w:div w:id="519315394">
      <w:bodyDiv w:val="1"/>
      <w:marLeft w:val="0"/>
      <w:marRight w:val="0"/>
      <w:marTop w:val="0"/>
      <w:marBottom w:val="0"/>
      <w:divBdr>
        <w:top w:val="none" w:sz="0" w:space="0" w:color="auto"/>
        <w:left w:val="none" w:sz="0" w:space="0" w:color="auto"/>
        <w:bottom w:val="none" w:sz="0" w:space="0" w:color="auto"/>
        <w:right w:val="none" w:sz="0" w:space="0" w:color="auto"/>
      </w:divBdr>
    </w:div>
    <w:div w:id="529345769">
      <w:bodyDiv w:val="1"/>
      <w:marLeft w:val="0"/>
      <w:marRight w:val="0"/>
      <w:marTop w:val="0"/>
      <w:marBottom w:val="0"/>
      <w:divBdr>
        <w:top w:val="none" w:sz="0" w:space="0" w:color="auto"/>
        <w:left w:val="none" w:sz="0" w:space="0" w:color="auto"/>
        <w:bottom w:val="none" w:sz="0" w:space="0" w:color="auto"/>
        <w:right w:val="none" w:sz="0" w:space="0" w:color="auto"/>
      </w:divBdr>
    </w:div>
    <w:div w:id="550196270">
      <w:bodyDiv w:val="1"/>
      <w:marLeft w:val="0"/>
      <w:marRight w:val="0"/>
      <w:marTop w:val="0"/>
      <w:marBottom w:val="0"/>
      <w:divBdr>
        <w:top w:val="none" w:sz="0" w:space="0" w:color="auto"/>
        <w:left w:val="none" w:sz="0" w:space="0" w:color="auto"/>
        <w:bottom w:val="none" w:sz="0" w:space="0" w:color="auto"/>
        <w:right w:val="none" w:sz="0" w:space="0" w:color="auto"/>
      </w:divBdr>
    </w:div>
    <w:div w:id="572160395">
      <w:bodyDiv w:val="1"/>
      <w:marLeft w:val="0"/>
      <w:marRight w:val="0"/>
      <w:marTop w:val="0"/>
      <w:marBottom w:val="0"/>
      <w:divBdr>
        <w:top w:val="none" w:sz="0" w:space="0" w:color="auto"/>
        <w:left w:val="none" w:sz="0" w:space="0" w:color="auto"/>
        <w:bottom w:val="none" w:sz="0" w:space="0" w:color="auto"/>
        <w:right w:val="none" w:sz="0" w:space="0" w:color="auto"/>
      </w:divBdr>
    </w:div>
    <w:div w:id="575408115">
      <w:bodyDiv w:val="1"/>
      <w:marLeft w:val="0"/>
      <w:marRight w:val="0"/>
      <w:marTop w:val="0"/>
      <w:marBottom w:val="0"/>
      <w:divBdr>
        <w:top w:val="none" w:sz="0" w:space="0" w:color="auto"/>
        <w:left w:val="none" w:sz="0" w:space="0" w:color="auto"/>
        <w:bottom w:val="none" w:sz="0" w:space="0" w:color="auto"/>
        <w:right w:val="none" w:sz="0" w:space="0" w:color="auto"/>
      </w:divBdr>
    </w:div>
    <w:div w:id="592593629">
      <w:bodyDiv w:val="1"/>
      <w:marLeft w:val="0"/>
      <w:marRight w:val="0"/>
      <w:marTop w:val="0"/>
      <w:marBottom w:val="0"/>
      <w:divBdr>
        <w:top w:val="none" w:sz="0" w:space="0" w:color="auto"/>
        <w:left w:val="none" w:sz="0" w:space="0" w:color="auto"/>
        <w:bottom w:val="none" w:sz="0" w:space="0" w:color="auto"/>
        <w:right w:val="none" w:sz="0" w:space="0" w:color="auto"/>
      </w:divBdr>
    </w:div>
    <w:div w:id="617420306">
      <w:bodyDiv w:val="1"/>
      <w:marLeft w:val="0"/>
      <w:marRight w:val="0"/>
      <w:marTop w:val="0"/>
      <w:marBottom w:val="0"/>
      <w:divBdr>
        <w:top w:val="none" w:sz="0" w:space="0" w:color="auto"/>
        <w:left w:val="none" w:sz="0" w:space="0" w:color="auto"/>
        <w:bottom w:val="none" w:sz="0" w:space="0" w:color="auto"/>
        <w:right w:val="none" w:sz="0" w:space="0" w:color="auto"/>
      </w:divBdr>
    </w:div>
    <w:div w:id="618682119">
      <w:bodyDiv w:val="1"/>
      <w:marLeft w:val="0"/>
      <w:marRight w:val="0"/>
      <w:marTop w:val="0"/>
      <w:marBottom w:val="0"/>
      <w:divBdr>
        <w:top w:val="none" w:sz="0" w:space="0" w:color="auto"/>
        <w:left w:val="none" w:sz="0" w:space="0" w:color="auto"/>
        <w:bottom w:val="none" w:sz="0" w:space="0" w:color="auto"/>
        <w:right w:val="none" w:sz="0" w:space="0" w:color="auto"/>
      </w:divBdr>
    </w:div>
    <w:div w:id="626400988">
      <w:bodyDiv w:val="1"/>
      <w:marLeft w:val="0"/>
      <w:marRight w:val="0"/>
      <w:marTop w:val="0"/>
      <w:marBottom w:val="0"/>
      <w:divBdr>
        <w:top w:val="none" w:sz="0" w:space="0" w:color="auto"/>
        <w:left w:val="none" w:sz="0" w:space="0" w:color="auto"/>
        <w:bottom w:val="none" w:sz="0" w:space="0" w:color="auto"/>
        <w:right w:val="none" w:sz="0" w:space="0" w:color="auto"/>
      </w:divBdr>
    </w:div>
    <w:div w:id="649093800">
      <w:bodyDiv w:val="1"/>
      <w:marLeft w:val="0"/>
      <w:marRight w:val="0"/>
      <w:marTop w:val="0"/>
      <w:marBottom w:val="0"/>
      <w:divBdr>
        <w:top w:val="none" w:sz="0" w:space="0" w:color="auto"/>
        <w:left w:val="none" w:sz="0" w:space="0" w:color="auto"/>
        <w:bottom w:val="none" w:sz="0" w:space="0" w:color="auto"/>
        <w:right w:val="none" w:sz="0" w:space="0" w:color="auto"/>
      </w:divBdr>
    </w:div>
    <w:div w:id="651955301">
      <w:bodyDiv w:val="1"/>
      <w:marLeft w:val="0"/>
      <w:marRight w:val="0"/>
      <w:marTop w:val="0"/>
      <w:marBottom w:val="0"/>
      <w:divBdr>
        <w:top w:val="none" w:sz="0" w:space="0" w:color="auto"/>
        <w:left w:val="none" w:sz="0" w:space="0" w:color="auto"/>
        <w:bottom w:val="none" w:sz="0" w:space="0" w:color="auto"/>
        <w:right w:val="none" w:sz="0" w:space="0" w:color="auto"/>
      </w:divBdr>
    </w:div>
    <w:div w:id="718558141">
      <w:bodyDiv w:val="1"/>
      <w:marLeft w:val="0"/>
      <w:marRight w:val="0"/>
      <w:marTop w:val="0"/>
      <w:marBottom w:val="0"/>
      <w:divBdr>
        <w:top w:val="none" w:sz="0" w:space="0" w:color="auto"/>
        <w:left w:val="none" w:sz="0" w:space="0" w:color="auto"/>
        <w:bottom w:val="none" w:sz="0" w:space="0" w:color="auto"/>
        <w:right w:val="none" w:sz="0" w:space="0" w:color="auto"/>
      </w:divBdr>
    </w:div>
    <w:div w:id="730884659">
      <w:bodyDiv w:val="1"/>
      <w:marLeft w:val="0"/>
      <w:marRight w:val="0"/>
      <w:marTop w:val="0"/>
      <w:marBottom w:val="0"/>
      <w:divBdr>
        <w:top w:val="none" w:sz="0" w:space="0" w:color="auto"/>
        <w:left w:val="none" w:sz="0" w:space="0" w:color="auto"/>
        <w:bottom w:val="none" w:sz="0" w:space="0" w:color="auto"/>
        <w:right w:val="none" w:sz="0" w:space="0" w:color="auto"/>
      </w:divBdr>
    </w:div>
    <w:div w:id="766313976">
      <w:bodyDiv w:val="1"/>
      <w:marLeft w:val="0"/>
      <w:marRight w:val="0"/>
      <w:marTop w:val="0"/>
      <w:marBottom w:val="0"/>
      <w:divBdr>
        <w:top w:val="none" w:sz="0" w:space="0" w:color="auto"/>
        <w:left w:val="none" w:sz="0" w:space="0" w:color="auto"/>
        <w:bottom w:val="none" w:sz="0" w:space="0" w:color="auto"/>
        <w:right w:val="none" w:sz="0" w:space="0" w:color="auto"/>
      </w:divBdr>
    </w:div>
    <w:div w:id="814494078">
      <w:bodyDiv w:val="1"/>
      <w:marLeft w:val="0"/>
      <w:marRight w:val="0"/>
      <w:marTop w:val="0"/>
      <w:marBottom w:val="0"/>
      <w:divBdr>
        <w:top w:val="none" w:sz="0" w:space="0" w:color="auto"/>
        <w:left w:val="none" w:sz="0" w:space="0" w:color="auto"/>
        <w:bottom w:val="none" w:sz="0" w:space="0" w:color="auto"/>
        <w:right w:val="none" w:sz="0" w:space="0" w:color="auto"/>
      </w:divBdr>
    </w:div>
    <w:div w:id="824204063">
      <w:bodyDiv w:val="1"/>
      <w:marLeft w:val="0"/>
      <w:marRight w:val="0"/>
      <w:marTop w:val="0"/>
      <w:marBottom w:val="0"/>
      <w:divBdr>
        <w:top w:val="none" w:sz="0" w:space="0" w:color="auto"/>
        <w:left w:val="none" w:sz="0" w:space="0" w:color="auto"/>
        <w:bottom w:val="none" w:sz="0" w:space="0" w:color="auto"/>
        <w:right w:val="none" w:sz="0" w:space="0" w:color="auto"/>
      </w:divBdr>
    </w:div>
    <w:div w:id="896279642">
      <w:bodyDiv w:val="1"/>
      <w:marLeft w:val="0"/>
      <w:marRight w:val="0"/>
      <w:marTop w:val="0"/>
      <w:marBottom w:val="0"/>
      <w:divBdr>
        <w:top w:val="none" w:sz="0" w:space="0" w:color="auto"/>
        <w:left w:val="none" w:sz="0" w:space="0" w:color="auto"/>
        <w:bottom w:val="none" w:sz="0" w:space="0" w:color="auto"/>
        <w:right w:val="none" w:sz="0" w:space="0" w:color="auto"/>
      </w:divBdr>
    </w:div>
    <w:div w:id="910650949">
      <w:bodyDiv w:val="1"/>
      <w:marLeft w:val="0"/>
      <w:marRight w:val="0"/>
      <w:marTop w:val="0"/>
      <w:marBottom w:val="0"/>
      <w:divBdr>
        <w:top w:val="none" w:sz="0" w:space="0" w:color="auto"/>
        <w:left w:val="none" w:sz="0" w:space="0" w:color="auto"/>
        <w:bottom w:val="none" w:sz="0" w:space="0" w:color="auto"/>
        <w:right w:val="none" w:sz="0" w:space="0" w:color="auto"/>
      </w:divBdr>
    </w:div>
    <w:div w:id="948394257">
      <w:bodyDiv w:val="1"/>
      <w:marLeft w:val="0"/>
      <w:marRight w:val="0"/>
      <w:marTop w:val="0"/>
      <w:marBottom w:val="0"/>
      <w:divBdr>
        <w:top w:val="none" w:sz="0" w:space="0" w:color="auto"/>
        <w:left w:val="none" w:sz="0" w:space="0" w:color="auto"/>
        <w:bottom w:val="none" w:sz="0" w:space="0" w:color="auto"/>
        <w:right w:val="none" w:sz="0" w:space="0" w:color="auto"/>
      </w:divBdr>
    </w:div>
    <w:div w:id="956257038">
      <w:bodyDiv w:val="1"/>
      <w:marLeft w:val="0"/>
      <w:marRight w:val="0"/>
      <w:marTop w:val="0"/>
      <w:marBottom w:val="0"/>
      <w:divBdr>
        <w:top w:val="none" w:sz="0" w:space="0" w:color="auto"/>
        <w:left w:val="none" w:sz="0" w:space="0" w:color="auto"/>
        <w:bottom w:val="none" w:sz="0" w:space="0" w:color="auto"/>
        <w:right w:val="none" w:sz="0" w:space="0" w:color="auto"/>
      </w:divBdr>
    </w:div>
    <w:div w:id="956717641">
      <w:bodyDiv w:val="1"/>
      <w:marLeft w:val="0"/>
      <w:marRight w:val="0"/>
      <w:marTop w:val="0"/>
      <w:marBottom w:val="0"/>
      <w:divBdr>
        <w:top w:val="none" w:sz="0" w:space="0" w:color="auto"/>
        <w:left w:val="none" w:sz="0" w:space="0" w:color="auto"/>
        <w:bottom w:val="none" w:sz="0" w:space="0" w:color="auto"/>
        <w:right w:val="none" w:sz="0" w:space="0" w:color="auto"/>
      </w:divBdr>
    </w:div>
    <w:div w:id="959800193">
      <w:bodyDiv w:val="1"/>
      <w:marLeft w:val="0"/>
      <w:marRight w:val="0"/>
      <w:marTop w:val="0"/>
      <w:marBottom w:val="0"/>
      <w:divBdr>
        <w:top w:val="none" w:sz="0" w:space="0" w:color="auto"/>
        <w:left w:val="none" w:sz="0" w:space="0" w:color="auto"/>
        <w:bottom w:val="none" w:sz="0" w:space="0" w:color="auto"/>
        <w:right w:val="none" w:sz="0" w:space="0" w:color="auto"/>
      </w:divBdr>
    </w:div>
    <w:div w:id="994912066">
      <w:bodyDiv w:val="1"/>
      <w:marLeft w:val="0"/>
      <w:marRight w:val="0"/>
      <w:marTop w:val="0"/>
      <w:marBottom w:val="0"/>
      <w:divBdr>
        <w:top w:val="none" w:sz="0" w:space="0" w:color="auto"/>
        <w:left w:val="none" w:sz="0" w:space="0" w:color="auto"/>
        <w:bottom w:val="none" w:sz="0" w:space="0" w:color="auto"/>
        <w:right w:val="none" w:sz="0" w:space="0" w:color="auto"/>
      </w:divBdr>
    </w:div>
    <w:div w:id="1014650387">
      <w:bodyDiv w:val="1"/>
      <w:marLeft w:val="0"/>
      <w:marRight w:val="0"/>
      <w:marTop w:val="0"/>
      <w:marBottom w:val="0"/>
      <w:divBdr>
        <w:top w:val="none" w:sz="0" w:space="0" w:color="auto"/>
        <w:left w:val="none" w:sz="0" w:space="0" w:color="auto"/>
        <w:bottom w:val="none" w:sz="0" w:space="0" w:color="auto"/>
        <w:right w:val="none" w:sz="0" w:space="0" w:color="auto"/>
      </w:divBdr>
    </w:div>
    <w:div w:id="1019889832">
      <w:bodyDiv w:val="1"/>
      <w:marLeft w:val="0"/>
      <w:marRight w:val="0"/>
      <w:marTop w:val="0"/>
      <w:marBottom w:val="0"/>
      <w:divBdr>
        <w:top w:val="none" w:sz="0" w:space="0" w:color="auto"/>
        <w:left w:val="none" w:sz="0" w:space="0" w:color="auto"/>
        <w:bottom w:val="none" w:sz="0" w:space="0" w:color="auto"/>
        <w:right w:val="none" w:sz="0" w:space="0" w:color="auto"/>
      </w:divBdr>
    </w:div>
    <w:div w:id="1038167479">
      <w:bodyDiv w:val="1"/>
      <w:marLeft w:val="0"/>
      <w:marRight w:val="0"/>
      <w:marTop w:val="0"/>
      <w:marBottom w:val="0"/>
      <w:divBdr>
        <w:top w:val="none" w:sz="0" w:space="0" w:color="auto"/>
        <w:left w:val="none" w:sz="0" w:space="0" w:color="auto"/>
        <w:bottom w:val="none" w:sz="0" w:space="0" w:color="auto"/>
        <w:right w:val="none" w:sz="0" w:space="0" w:color="auto"/>
      </w:divBdr>
    </w:div>
    <w:div w:id="1076632016">
      <w:bodyDiv w:val="1"/>
      <w:marLeft w:val="0"/>
      <w:marRight w:val="0"/>
      <w:marTop w:val="0"/>
      <w:marBottom w:val="0"/>
      <w:divBdr>
        <w:top w:val="none" w:sz="0" w:space="0" w:color="auto"/>
        <w:left w:val="none" w:sz="0" w:space="0" w:color="auto"/>
        <w:bottom w:val="none" w:sz="0" w:space="0" w:color="auto"/>
        <w:right w:val="none" w:sz="0" w:space="0" w:color="auto"/>
      </w:divBdr>
    </w:div>
    <w:div w:id="1120682169">
      <w:bodyDiv w:val="1"/>
      <w:marLeft w:val="0"/>
      <w:marRight w:val="0"/>
      <w:marTop w:val="0"/>
      <w:marBottom w:val="0"/>
      <w:divBdr>
        <w:top w:val="none" w:sz="0" w:space="0" w:color="auto"/>
        <w:left w:val="none" w:sz="0" w:space="0" w:color="auto"/>
        <w:bottom w:val="none" w:sz="0" w:space="0" w:color="auto"/>
        <w:right w:val="none" w:sz="0" w:space="0" w:color="auto"/>
      </w:divBdr>
    </w:div>
    <w:div w:id="1123889705">
      <w:bodyDiv w:val="1"/>
      <w:marLeft w:val="0"/>
      <w:marRight w:val="0"/>
      <w:marTop w:val="0"/>
      <w:marBottom w:val="0"/>
      <w:divBdr>
        <w:top w:val="none" w:sz="0" w:space="0" w:color="auto"/>
        <w:left w:val="none" w:sz="0" w:space="0" w:color="auto"/>
        <w:bottom w:val="none" w:sz="0" w:space="0" w:color="auto"/>
        <w:right w:val="none" w:sz="0" w:space="0" w:color="auto"/>
      </w:divBdr>
    </w:div>
    <w:div w:id="1148133545">
      <w:bodyDiv w:val="1"/>
      <w:marLeft w:val="0"/>
      <w:marRight w:val="0"/>
      <w:marTop w:val="0"/>
      <w:marBottom w:val="0"/>
      <w:divBdr>
        <w:top w:val="none" w:sz="0" w:space="0" w:color="auto"/>
        <w:left w:val="none" w:sz="0" w:space="0" w:color="auto"/>
        <w:bottom w:val="none" w:sz="0" w:space="0" w:color="auto"/>
        <w:right w:val="none" w:sz="0" w:space="0" w:color="auto"/>
      </w:divBdr>
    </w:div>
    <w:div w:id="1209342418">
      <w:bodyDiv w:val="1"/>
      <w:marLeft w:val="0"/>
      <w:marRight w:val="0"/>
      <w:marTop w:val="0"/>
      <w:marBottom w:val="0"/>
      <w:divBdr>
        <w:top w:val="none" w:sz="0" w:space="0" w:color="auto"/>
        <w:left w:val="none" w:sz="0" w:space="0" w:color="auto"/>
        <w:bottom w:val="none" w:sz="0" w:space="0" w:color="auto"/>
        <w:right w:val="none" w:sz="0" w:space="0" w:color="auto"/>
      </w:divBdr>
    </w:div>
    <w:div w:id="1215849730">
      <w:bodyDiv w:val="1"/>
      <w:marLeft w:val="0"/>
      <w:marRight w:val="0"/>
      <w:marTop w:val="0"/>
      <w:marBottom w:val="0"/>
      <w:divBdr>
        <w:top w:val="none" w:sz="0" w:space="0" w:color="auto"/>
        <w:left w:val="none" w:sz="0" w:space="0" w:color="auto"/>
        <w:bottom w:val="none" w:sz="0" w:space="0" w:color="auto"/>
        <w:right w:val="none" w:sz="0" w:space="0" w:color="auto"/>
      </w:divBdr>
    </w:div>
    <w:div w:id="1258520014">
      <w:bodyDiv w:val="1"/>
      <w:marLeft w:val="0"/>
      <w:marRight w:val="0"/>
      <w:marTop w:val="0"/>
      <w:marBottom w:val="0"/>
      <w:divBdr>
        <w:top w:val="none" w:sz="0" w:space="0" w:color="auto"/>
        <w:left w:val="none" w:sz="0" w:space="0" w:color="auto"/>
        <w:bottom w:val="none" w:sz="0" w:space="0" w:color="auto"/>
        <w:right w:val="none" w:sz="0" w:space="0" w:color="auto"/>
      </w:divBdr>
    </w:div>
    <w:div w:id="1258560036">
      <w:bodyDiv w:val="1"/>
      <w:marLeft w:val="0"/>
      <w:marRight w:val="0"/>
      <w:marTop w:val="0"/>
      <w:marBottom w:val="0"/>
      <w:divBdr>
        <w:top w:val="none" w:sz="0" w:space="0" w:color="auto"/>
        <w:left w:val="none" w:sz="0" w:space="0" w:color="auto"/>
        <w:bottom w:val="none" w:sz="0" w:space="0" w:color="auto"/>
        <w:right w:val="none" w:sz="0" w:space="0" w:color="auto"/>
      </w:divBdr>
    </w:div>
    <w:div w:id="1394156694">
      <w:bodyDiv w:val="1"/>
      <w:marLeft w:val="0"/>
      <w:marRight w:val="0"/>
      <w:marTop w:val="0"/>
      <w:marBottom w:val="0"/>
      <w:divBdr>
        <w:top w:val="none" w:sz="0" w:space="0" w:color="auto"/>
        <w:left w:val="none" w:sz="0" w:space="0" w:color="auto"/>
        <w:bottom w:val="none" w:sz="0" w:space="0" w:color="auto"/>
        <w:right w:val="none" w:sz="0" w:space="0" w:color="auto"/>
      </w:divBdr>
    </w:div>
    <w:div w:id="1454593671">
      <w:bodyDiv w:val="1"/>
      <w:marLeft w:val="0"/>
      <w:marRight w:val="0"/>
      <w:marTop w:val="0"/>
      <w:marBottom w:val="0"/>
      <w:divBdr>
        <w:top w:val="none" w:sz="0" w:space="0" w:color="auto"/>
        <w:left w:val="none" w:sz="0" w:space="0" w:color="auto"/>
        <w:bottom w:val="none" w:sz="0" w:space="0" w:color="auto"/>
        <w:right w:val="none" w:sz="0" w:space="0" w:color="auto"/>
      </w:divBdr>
    </w:div>
    <w:div w:id="1543908555">
      <w:bodyDiv w:val="1"/>
      <w:marLeft w:val="0"/>
      <w:marRight w:val="0"/>
      <w:marTop w:val="0"/>
      <w:marBottom w:val="0"/>
      <w:divBdr>
        <w:top w:val="none" w:sz="0" w:space="0" w:color="auto"/>
        <w:left w:val="none" w:sz="0" w:space="0" w:color="auto"/>
        <w:bottom w:val="none" w:sz="0" w:space="0" w:color="auto"/>
        <w:right w:val="none" w:sz="0" w:space="0" w:color="auto"/>
      </w:divBdr>
    </w:div>
    <w:div w:id="1662275443">
      <w:bodyDiv w:val="1"/>
      <w:marLeft w:val="0"/>
      <w:marRight w:val="0"/>
      <w:marTop w:val="0"/>
      <w:marBottom w:val="0"/>
      <w:divBdr>
        <w:top w:val="none" w:sz="0" w:space="0" w:color="auto"/>
        <w:left w:val="none" w:sz="0" w:space="0" w:color="auto"/>
        <w:bottom w:val="none" w:sz="0" w:space="0" w:color="auto"/>
        <w:right w:val="none" w:sz="0" w:space="0" w:color="auto"/>
      </w:divBdr>
    </w:div>
    <w:div w:id="1663120440">
      <w:bodyDiv w:val="1"/>
      <w:marLeft w:val="0"/>
      <w:marRight w:val="0"/>
      <w:marTop w:val="0"/>
      <w:marBottom w:val="0"/>
      <w:divBdr>
        <w:top w:val="none" w:sz="0" w:space="0" w:color="auto"/>
        <w:left w:val="none" w:sz="0" w:space="0" w:color="auto"/>
        <w:bottom w:val="none" w:sz="0" w:space="0" w:color="auto"/>
        <w:right w:val="none" w:sz="0" w:space="0" w:color="auto"/>
      </w:divBdr>
    </w:div>
    <w:div w:id="1762212182">
      <w:bodyDiv w:val="1"/>
      <w:marLeft w:val="0"/>
      <w:marRight w:val="0"/>
      <w:marTop w:val="0"/>
      <w:marBottom w:val="0"/>
      <w:divBdr>
        <w:top w:val="none" w:sz="0" w:space="0" w:color="auto"/>
        <w:left w:val="none" w:sz="0" w:space="0" w:color="auto"/>
        <w:bottom w:val="none" w:sz="0" w:space="0" w:color="auto"/>
        <w:right w:val="none" w:sz="0" w:space="0" w:color="auto"/>
      </w:divBdr>
    </w:div>
    <w:div w:id="1828353869">
      <w:bodyDiv w:val="1"/>
      <w:marLeft w:val="0"/>
      <w:marRight w:val="0"/>
      <w:marTop w:val="0"/>
      <w:marBottom w:val="0"/>
      <w:divBdr>
        <w:top w:val="none" w:sz="0" w:space="0" w:color="auto"/>
        <w:left w:val="none" w:sz="0" w:space="0" w:color="auto"/>
        <w:bottom w:val="none" w:sz="0" w:space="0" w:color="auto"/>
        <w:right w:val="none" w:sz="0" w:space="0" w:color="auto"/>
      </w:divBdr>
    </w:div>
    <w:div w:id="1850176112">
      <w:bodyDiv w:val="1"/>
      <w:marLeft w:val="0"/>
      <w:marRight w:val="0"/>
      <w:marTop w:val="0"/>
      <w:marBottom w:val="0"/>
      <w:divBdr>
        <w:top w:val="none" w:sz="0" w:space="0" w:color="auto"/>
        <w:left w:val="none" w:sz="0" w:space="0" w:color="auto"/>
        <w:bottom w:val="none" w:sz="0" w:space="0" w:color="auto"/>
        <w:right w:val="none" w:sz="0" w:space="0" w:color="auto"/>
      </w:divBdr>
    </w:div>
    <w:div w:id="1854026453">
      <w:bodyDiv w:val="1"/>
      <w:marLeft w:val="0"/>
      <w:marRight w:val="0"/>
      <w:marTop w:val="0"/>
      <w:marBottom w:val="0"/>
      <w:divBdr>
        <w:top w:val="none" w:sz="0" w:space="0" w:color="auto"/>
        <w:left w:val="none" w:sz="0" w:space="0" w:color="auto"/>
        <w:bottom w:val="none" w:sz="0" w:space="0" w:color="auto"/>
        <w:right w:val="none" w:sz="0" w:space="0" w:color="auto"/>
      </w:divBdr>
    </w:div>
    <w:div w:id="1886791606">
      <w:bodyDiv w:val="1"/>
      <w:marLeft w:val="0"/>
      <w:marRight w:val="0"/>
      <w:marTop w:val="0"/>
      <w:marBottom w:val="0"/>
      <w:divBdr>
        <w:top w:val="none" w:sz="0" w:space="0" w:color="auto"/>
        <w:left w:val="none" w:sz="0" w:space="0" w:color="auto"/>
        <w:bottom w:val="none" w:sz="0" w:space="0" w:color="auto"/>
        <w:right w:val="none" w:sz="0" w:space="0" w:color="auto"/>
      </w:divBdr>
    </w:div>
    <w:div w:id="1926528502">
      <w:bodyDiv w:val="1"/>
      <w:marLeft w:val="0"/>
      <w:marRight w:val="0"/>
      <w:marTop w:val="0"/>
      <w:marBottom w:val="0"/>
      <w:divBdr>
        <w:top w:val="none" w:sz="0" w:space="0" w:color="auto"/>
        <w:left w:val="none" w:sz="0" w:space="0" w:color="auto"/>
        <w:bottom w:val="none" w:sz="0" w:space="0" w:color="auto"/>
        <w:right w:val="none" w:sz="0" w:space="0" w:color="auto"/>
      </w:divBdr>
    </w:div>
    <w:div w:id="1927954257">
      <w:bodyDiv w:val="1"/>
      <w:marLeft w:val="0"/>
      <w:marRight w:val="0"/>
      <w:marTop w:val="0"/>
      <w:marBottom w:val="0"/>
      <w:divBdr>
        <w:top w:val="none" w:sz="0" w:space="0" w:color="auto"/>
        <w:left w:val="none" w:sz="0" w:space="0" w:color="auto"/>
        <w:bottom w:val="none" w:sz="0" w:space="0" w:color="auto"/>
        <w:right w:val="none" w:sz="0" w:space="0" w:color="auto"/>
      </w:divBdr>
    </w:div>
    <w:div w:id="2041512131">
      <w:bodyDiv w:val="1"/>
      <w:marLeft w:val="0"/>
      <w:marRight w:val="0"/>
      <w:marTop w:val="0"/>
      <w:marBottom w:val="0"/>
      <w:divBdr>
        <w:top w:val="none" w:sz="0" w:space="0" w:color="auto"/>
        <w:left w:val="none" w:sz="0" w:space="0" w:color="auto"/>
        <w:bottom w:val="none" w:sz="0" w:space="0" w:color="auto"/>
        <w:right w:val="none" w:sz="0" w:space="0" w:color="auto"/>
      </w:divBdr>
    </w:div>
    <w:div w:id="2073186980">
      <w:bodyDiv w:val="1"/>
      <w:marLeft w:val="0"/>
      <w:marRight w:val="0"/>
      <w:marTop w:val="0"/>
      <w:marBottom w:val="0"/>
      <w:divBdr>
        <w:top w:val="none" w:sz="0" w:space="0" w:color="auto"/>
        <w:left w:val="none" w:sz="0" w:space="0" w:color="auto"/>
        <w:bottom w:val="none" w:sz="0" w:space="0" w:color="auto"/>
        <w:right w:val="none" w:sz="0" w:space="0" w:color="auto"/>
      </w:divBdr>
    </w:div>
    <w:div w:id="21003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9AF2439FA7E4E988314C44DB5AA59" ma:contentTypeVersion="4" ma:contentTypeDescription="Create a new document." ma:contentTypeScope="" ma:versionID="2c5a09b80c1fd93302390f922635c7dd">
  <xsd:schema xmlns:xsd="http://www.w3.org/2001/XMLSchema" xmlns:xs="http://www.w3.org/2001/XMLSchema" xmlns:p="http://schemas.microsoft.com/office/2006/metadata/properties" xmlns:ns2="95a0a79e-7ff5-48b1-9982-9626409a05d1" targetNamespace="http://schemas.microsoft.com/office/2006/metadata/properties" ma:root="true" ma:fieldsID="df3ec597f10fb24804f0133d03624874" ns2:_="">
    <xsd:import namespace="95a0a79e-7ff5-48b1-9982-9626409a0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a79e-7ff5-48b1-9982-9626409a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20410-E4AD-444B-BAC9-B043D3E6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0a79e-7ff5-48b1-9982-9626409a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4273C-3247-4797-9E5F-78C1C25CD9F4}">
  <ds:schemaRefs>
    <ds:schemaRef ds:uri="http://schemas.openxmlformats.org/officeDocument/2006/bibliography"/>
  </ds:schemaRefs>
</ds:datastoreItem>
</file>

<file path=customXml/itemProps3.xml><?xml version="1.0" encoding="utf-8"?>
<ds:datastoreItem xmlns:ds="http://schemas.openxmlformats.org/officeDocument/2006/customXml" ds:itemID="{53EFECED-C89D-4D58-9EA1-17AF7E912C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DFC0B-CEA2-4553-8277-E0E9053F7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3292</Words>
  <Characters>18112</Characters>
  <Application>Microsoft Office Word</Application>
  <DocSecurity>0</DocSecurity>
  <Lines>150</Lines>
  <Paragraphs>42</Paragraphs>
  <ScaleCrop>false</ScaleCrop>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Maya Alejandra Bhatia Ramos</cp:lastModifiedBy>
  <cp:revision>18</cp:revision>
  <cp:lastPrinted>2024-10-01T04:58:00Z</cp:lastPrinted>
  <dcterms:created xsi:type="dcterms:W3CDTF">2025-07-31T18:27:00Z</dcterms:created>
  <dcterms:modified xsi:type="dcterms:W3CDTF">2025-08-22T19:37:00Z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0x01010008E9AF2439FA7E4E988314C44DB5AA59</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