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39077" w14:textId="193C940F" w:rsidR="005222D4" w:rsidRPr="005222D4" w:rsidRDefault="005222D4" w:rsidP="00F91CEB">
      <w:pPr>
        <w:widowControl w:val="0"/>
        <w:autoSpaceDE w:val="0"/>
        <w:autoSpaceDN w:val="0"/>
        <w:adjustRightInd w:val="0"/>
        <w:jc w:val="center"/>
        <w:rPr>
          <w:rFonts w:ascii="Verdana" w:hAnsi="Verdana" w:cs="Arial"/>
          <w:b/>
          <w:sz w:val="22"/>
          <w:szCs w:val="22"/>
        </w:rPr>
      </w:pPr>
    </w:p>
    <w:p w14:paraId="52B9EB83" w14:textId="77777777" w:rsidR="00F91CEB" w:rsidRDefault="00F91CEB" w:rsidP="00F91CEB">
      <w:pPr>
        <w:widowControl w:val="0"/>
        <w:autoSpaceDE w:val="0"/>
        <w:autoSpaceDN w:val="0"/>
        <w:adjustRightInd w:val="0"/>
        <w:jc w:val="center"/>
        <w:rPr>
          <w:rFonts w:ascii="Verdana" w:hAnsi="Verdana" w:cs="Arial"/>
          <w:b/>
          <w:sz w:val="22"/>
          <w:szCs w:val="22"/>
        </w:rPr>
      </w:pPr>
    </w:p>
    <w:p w14:paraId="418CE8F7" w14:textId="77777777" w:rsidR="00F91CEB" w:rsidRPr="00E12AAF" w:rsidRDefault="00F91CEB" w:rsidP="00F91CEB">
      <w:pPr>
        <w:pBdr>
          <w:top w:val="single" w:sz="4" w:space="0" w:color="auto"/>
          <w:left w:val="single" w:sz="4" w:space="4" w:color="auto"/>
          <w:bottom w:val="single" w:sz="4" w:space="1" w:color="auto"/>
          <w:right w:val="single" w:sz="4" w:space="4" w:color="auto"/>
        </w:pBdr>
        <w:jc w:val="center"/>
        <w:rPr>
          <w:rFonts w:ascii="Verdana" w:hAnsi="Verdana" w:cs="Arial"/>
          <w:b/>
          <w:sz w:val="22"/>
          <w:szCs w:val="22"/>
        </w:rPr>
      </w:pPr>
    </w:p>
    <w:p w14:paraId="55D2268B" w14:textId="77777777" w:rsidR="00F91CEB" w:rsidRPr="00E12AAF" w:rsidRDefault="00F91CEB" w:rsidP="00F91CEB">
      <w:pPr>
        <w:pBdr>
          <w:top w:val="single" w:sz="4" w:space="0" w:color="auto"/>
          <w:left w:val="single" w:sz="4" w:space="4" w:color="auto"/>
          <w:bottom w:val="single" w:sz="4" w:space="1" w:color="auto"/>
          <w:right w:val="single" w:sz="4" w:space="4" w:color="auto"/>
        </w:pBdr>
        <w:jc w:val="center"/>
        <w:outlineLvl w:val="0"/>
        <w:rPr>
          <w:rFonts w:ascii="Verdana" w:hAnsi="Verdana" w:cs="Arial"/>
          <w:b/>
          <w:sz w:val="22"/>
          <w:szCs w:val="22"/>
        </w:rPr>
      </w:pPr>
      <w:r w:rsidRPr="00E12AAF">
        <w:rPr>
          <w:rFonts w:ascii="Verdana" w:hAnsi="Verdana" w:cs="Arial"/>
          <w:b/>
          <w:sz w:val="22"/>
          <w:szCs w:val="22"/>
        </w:rPr>
        <w:t>Se publica para comentarios del público el siguiente:</w:t>
      </w:r>
    </w:p>
    <w:p w14:paraId="7A1D8207" w14:textId="77777777" w:rsidR="00F91CEB" w:rsidRPr="00E12AAF" w:rsidRDefault="00F91CEB" w:rsidP="00F91CEB">
      <w:pPr>
        <w:pBdr>
          <w:top w:val="single" w:sz="4" w:space="0" w:color="auto"/>
          <w:left w:val="single" w:sz="4" w:space="4" w:color="auto"/>
          <w:bottom w:val="single" w:sz="4" w:space="1" w:color="auto"/>
          <w:right w:val="single" w:sz="4" w:space="4" w:color="auto"/>
        </w:pBdr>
        <w:rPr>
          <w:rFonts w:ascii="Verdana" w:hAnsi="Verdana" w:cs="Arial"/>
          <w:sz w:val="22"/>
          <w:szCs w:val="22"/>
        </w:rPr>
      </w:pPr>
    </w:p>
    <w:p w14:paraId="59123716" w14:textId="77777777" w:rsidR="00F91CEB" w:rsidRPr="00E12AAF" w:rsidRDefault="00F91CEB" w:rsidP="00F91CEB">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2AD81A3D" w14:textId="6408D04B" w:rsidR="00F91CEB" w:rsidRPr="00E12AAF" w:rsidRDefault="00F91CEB" w:rsidP="00F91CEB">
      <w:pPr>
        <w:pBdr>
          <w:top w:val="single" w:sz="4" w:space="0" w:color="auto"/>
          <w:left w:val="single" w:sz="4" w:space="4" w:color="auto"/>
          <w:bottom w:val="single" w:sz="4" w:space="1" w:color="auto"/>
          <w:right w:val="single" w:sz="4" w:space="4" w:color="auto"/>
        </w:pBdr>
        <w:jc w:val="both"/>
        <w:rPr>
          <w:rFonts w:ascii="Verdana" w:hAnsi="Verdana" w:cs="Arial"/>
          <w:sz w:val="22"/>
          <w:szCs w:val="22"/>
        </w:rPr>
      </w:pPr>
      <w:r w:rsidRPr="00E12AAF">
        <w:rPr>
          <w:rFonts w:ascii="Verdana" w:hAnsi="Verdana" w:cs="Arial"/>
          <w:b/>
          <w:sz w:val="22"/>
          <w:szCs w:val="22"/>
        </w:rPr>
        <w:t xml:space="preserve">PROYECTO DE CIRCULAR EXTERNA: </w:t>
      </w:r>
      <w:r w:rsidR="003A640A" w:rsidRPr="003A640A">
        <w:rPr>
          <w:rFonts w:ascii="Verdana" w:hAnsi="Verdana" w:cs="Arial"/>
          <w:sz w:val="22"/>
          <w:szCs w:val="22"/>
        </w:rPr>
        <w:t xml:space="preserve">Ampliación del plazo de la </w:t>
      </w:r>
      <w:proofErr w:type="gramStart"/>
      <w:r w:rsidR="003A640A" w:rsidRPr="003A640A">
        <w:rPr>
          <w:rFonts w:ascii="Verdana" w:hAnsi="Verdana" w:cs="Arial"/>
          <w:sz w:val="22"/>
          <w:szCs w:val="22"/>
        </w:rPr>
        <w:t>entrada en vigencia</w:t>
      </w:r>
      <w:proofErr w:type="gramEnd"/>
      <w:r w:rsidR="003A640A" w:rsidRPr="003A640A">
        <w:rPr>
          <w:rFonts w:ascii="Verdana" w:hAnsi="Verdana" w:cs="Arial"/>
          <w:sz w:val="22"/>
          <w:szCs w:val="22"/>
        </w:rPr>
        <w:t xml:space="preserve"> de las instrucciones de la Circular Externa 013 de 2025</w:t>
      </w:r>
    </w:p>
    <w:p w14:paraId="3F73686F" w14:textId="77777777" w:rsidR="00F91CEB" w:rsidRPr="00E12AAF" w:rsidRDefault="00F91CEB" w:rsidP="00F91CEB">
      <w:pPr>
        <w:pBdr>
          <w:top w:val="single" w:sz="4" w:space="0" w:color="auto"/>
          <w:left w:val="single" w:sz="4" w:space="4" w:color="auto"/>
          <w:bottom w:val="single" w:sz="4" w:space="1" w:color="auto"/>
          <w:right w:val="single" w:sz="4" w:space="4" w:color="auto"/>
        </w:pBdr>
        <w:jc w:val="both"/>
        <w:rPr>
          <w:rFonts w:ascii="Verdana" w:hAnsi="Verdana" w:cs="Arial"/>
          <w:b/>
          <w:sz w:val="22"/>
          <w:szCs w:val="22"/>
        </w:rPr>
      </w:pPr>
    </w:p>
    <w:p w14:paraId="497A2EBC" w14:textId="77777777" w:rsidR="00F91CEB" w:rsidRDefault="00F91CEB" w:rsidP="00F91CEB">
      <w:pPr>
        <w:pBdr>
          <w:top w:val="single" w:sz="4" w:space="0" w:color="auto"/>
          <w:left w:val="single" w:sz="4" w:space="4" w:color="auto"/>
          <w:bottom w:val="single" w:sz="4" w:space="1" w:color="auto"/>
          <w:right w:val="single" w:sz="4" w:space="4" w:color="auto"/>
        </w:pBdr>
        <w:jc w:val="both"/>
        <w:rPr>
          <w:rFonts w:ascii="Verdana" w:hAnsi="Verdana" w:cs="Arial"/>
          <w:b/>
          <w:bCs/>
          <w:sz w:val="22"/>
          <w:szCs w:val="22"/>
        </w:rPr>
      </w:pPr>
    </w:p>
    <w:p w14:paraId="6F5FB5EA" w14:textId="1C620232" w:rsidR="00F91CEB" w:rsidRPr="00E12AAF" w:rsidRDefault="00F91CEB" w:rsidP="00F91CEB">
      <w:pPr>
        <w:pBdr>
          <w:top w:val="single" w:sz="4" w:space="0" w:color="auto"/>
          <w:left w:val="single" w:sz="4" w:space="4" w:color="auto"/>
          <w:bottom w:val="single" w:sz="4" w:space="1" w:color="auto"/>
          <w:right w:val="single" w:sz="4" w:space="4" w:color="auto"/>
        </w:pBdr>
        <w:jc w:val="both"/>
        <w:rPr>
          <w:rFonts w:ascii="Verdana" w:hAnsi="Verdana" w:cs="Arial"/>
          <w:b/>
          <w:sz w:val="22"/>
          <w:szCs w:val="22"/>
        </w:rPr>
      </w:pPr>
      <w:r w:rsidRPr="00E12AAF">
        <w:rPr>
          <w:rFonts w:ascii="Verdana" w:hAnsi="Verdana" w:cs="Arial"/>
          <w:b/>
          <w:bCs/>
          <w:sz w:val="22"/>
          <w:szCs w:val="22"/>
        </w:rPr>
        <w:t xml:space="preserve">PROPÓSITO: </w:t>
      </w:r>
      <w:r w:rsidR="00437AC4" w:rsidRPr="003A640A">
        <w:rPr>
          <w:rFonts w:ascii="Verdana" w:hAnsi="Verdana" w:cs="Arial"/>
          <w:sz w:val="22"/>
          <w:szCs w:val="22"/>
        </w:rPr>
        <w:t xml:space="preserve">Ampliación del plazo de la </w:t>
      </w:r>
      <w:proofErr w:type="gramStart"/>
      <w:r w:rsidR="00437AC4" w:rsidRPr="003A640A">
        <w:rPr>
          <w:rFonts w:ascii="Verdana" w:hAnsi="Verdana" w:cs="Arial"/>
          <w:sz w:val="22"/>
          <w:szCs w:val="22"/>
        </w:rPr>
        <w:t>entrada en vigencia</w:t>
      </w:r>
      <w:proofErr w:type="gramEnd"/>
      <w:r w:rsidR="00437AC4" w:rsidRPr="003A640A">
        <w:rPr>
          <w:rFonts w:ascii="Verdana" w:hAnsi="Verdana" w:cs="Arial"/>
          <w:sz w:val="22"/>
          <w:szCs w:val="22"/>
        </w:rPr>
        <w:t xml:space="preserve"> de las instrucciones de la Circular Externa 013 de 2025</w:t>
      </w:r>
      <w:r w:rsidRPr="00E12AAF">
        <w:rPr>
          <w:rFonts w:ascii="Verdana" w:hAnsi="Verdana" w:cs="Arial"/>
          <w:sz w:val="22"/>
          <w:szCs w:val="22"/>
        </w:rPr>
        <w:t>.</w:t>
      </w:r>
    </w:p>
    <w:p w14:paraId="45D2C71F" w14:textId="77777777" w:rsidR="00F91CEB" w:rsidRPr="00E12AAF" w:rsidRDefault="00F91CEB" w:rsidP="00F91CEB">
      <w:pPr>
        <w:pBdr>
          <w:top w:val="single" w:sz="4" w:space="0" w:color="auto"/>
          <w:left w:val="single" w:sz="4" w:space="4" w:color="auto"/>
          <w:bottom w:val="single" w:sz="4" w:space="1" w:color="auto"/>
          <w:right w:val="single" w:sz="4" w:space="4" w:color="auto"/>
        </w:pBdr>
        <w:jc w:val="both"/>
        <w:rPr>
          <w:rFonts w:ascii="Verdana" w:hAnsi="Verdana" w:cs="Arial"/>
          <w:b/>
          <w:sz w:val="22"/>
          <w:szCs w:val="22"/>
        </w:rPr>
      </w:pPr>
    </w:p>
    <w:p w14:paraId="422DC681" w14:textId="77777777" w:rsidR="00F91CEB" w:rsidRPr="00E12AAF" w:rsidRDefault="00F91CEB" w:rsidP="00F91CEB">
      <w:pPr>
        <w:pBdr>
          <w:top w:val="single" w:sz="4" w:space="0" w:color="auto"/>
          <w:left w:val="single" w:sz="4" w:space="4" w:color="auto"/>
          <w:bottom w:val="single" w:sz="4" w:space="1" w:color="auto"/>
          <w:right w:val="single" w:sz="4" w:space="4" w:color="auto"/>
        </w:pBdr>
        <w:jc w:val="both"/>
        <w:rPr>
          <w:rFonts w:ascii="Verdana" w:hAnsi="Verdana" w:cs="Arial"/>
          <w:b/>
          <w:bCs/>
          <w:sz w:val="22"/>
          <w:szCs w:val="22"/>
          <w:highlight w:val="yellow"/>
        </w:rPr>
      </w:pPr>
    </w:p>
    <w:p w14:paraId="71251F52" w14:textId="55326FDE" w:rsidR="00F91CEB" w:rsidRPr="005C301E" w:rsidRDefault="00F91CEB" w:rsidP="00F91CEB">
      <w:pPr>
        <w:pBdr>
          <w:top w:val="single" w:sz="4" w:space="0" w:color="000000"/>
          <w:left w:val="single" w:sz="4" w:space="4" w:color="000000"/>
          <w:bottom w:val="single" w:sz="4" w:space="1" w:color="000000"/>
          <w:right w:val="single" w:sz="4" w:space="4" w:color="000000"/>
        </w:pBdr>
        <w:jc w:val="both"/>
        <w:outlineLvl w:val="0"/>
        <w:rPr>
          <w:rFonts w:ascii="Verdana" w:hAnsi="Verdana" w:cs="Arial"/>
          <w:b/>
          <w:bCs/>
          <w:sz w:val="22"/>
          <w:szCs w:val="22"/>
          <w:highlight w:val="yellow"/>
        </w:rPr>
      </w:pPr>
      <w:r w:rsidRPr="6AACF099">
        <w:rPr>
          <w:rFonts w:ascii="Verdana" w:hAnsi="Verdana" w:cs="Arial"/>
          <w:b/>
          <w:bCs/>
          <w:sz w:val="22"/>
          <w:szCs w:val="22"/>
        </w:rPr>
        <w:t xml:space="preserve">PLAZO PARA COMENTARIOS: </w:t>
      </w:r>
      <w:r w:rsidRPr="001E2C9B">
        <w:rPr>
          <w:rFonts w:ascii="Verdana" w:hAnsi="Verdana" w:cs="Arial"/>
          <w:sz w:val="22"/>
          <w:szCs w:val="22"/>
        </w:rPr>
        <w:t xml:space="preserve">Hasta las 5:00 p.m. del </w:t>
      </w:r>
      <w:r w:rsidR="001E2C9B" w:rsidRPr="001E2C9B">
        <w:rPr>
          <w:rFonts w:ascii="Verdana" w:hAnsi="Verdana" w:cs="Arial"/>
          <w:sz w:val="22"/>
          <w:szCs w:val="22"/>
        </w:rPr>
        <w:t>13 de marzo de 2026</w:t>
      </w:r>
    </w:p>
    <w:p w14:paraId="382F9289" w14:textId="77777777" w:rsidR="00F91CEB" w:rsidRPr="00E12AAF" w:rsidRDefault="00F91CEB" w:rsidP="00F91CEB">
      <w:pPr>
        <w:pBdr>
          <w:top w:val="single" w:sz="4" w:space="0" w:color="auto"/>
          <w:left w:val="single" w:sz="4" w:space="4" w:color="auto"/>
          <w:bottom w:val="single" w:sz="4" w:space="1" w:color="auto"/>
          <w:right w:val="single" w:sz="4" w:space="4" w:color="auto"/>
        </w:pBdr>
        <w:jc w:val="both"/>
        <w:rPr>
          <w:rFonts w:ascii="Verdana" w:hAnsi="Verdana" w:cs="Arial"/>
          <w:b/>
          <w:sz w:val="22"/>
          <w:szCs w:val="22"/>
          <w:highlight w:val="yellow"/>
        </w:rPr>
      </w:pPr>
    </w:p>
    <w:p w14:paraId="14157474" w14:textId="77777777" w:rsidR="00F91CEB" w:rsidRPr="00E12AAF" w:rsidRDefault="00F91CEB" w:rsidP="00F91CEB">
      <w:pPr>
        <w:pBdr>
          <w:top w:val="single" w:sz="4" w:space="0" w:color="auto"/>
          <w:left w:val="single" w:sz="4" w:space="4" w:color="auto"/>
          <w:bottom w:val="single" w:sz="4" w:space="1" w:color="auto"/>
          <w:right w:val="single" w:sz="4" w:space="4" w:color="auto"/>
        </w:pBdr>
        <w:jc w:val="both"/>
        <w:rPr>
          <w:rFonts w:ascii="Verdana" w:hAnsi="Verdana" w:cs="Arial"/>
          <w:b/>
          <w:sz w:val="22"/>
          <w:szCs w:val="22"/>
          <w:highlight w:val="yellow"/>
        </w:rPr>
      </w:pPr>
    </w:p>
    <w:p w14:paraId="16214216" w14:textId="77777777" w:rsidR="00F91CEB" w:rsidRPr="00E12AAF" w:rsidRDefault="00F91CEB" w:rsidP="00F91CEB">
      <w:pPr>
        <w:pBdr>
          <w:top w:val="single" w:sz="4" w:space="0" w:color="auto"/>
          <w:left w:val="single" w:sz="4" w:space="4" w:color="auto"/>
          <w:bottom w:val="single" w:sz="4" w:space="1" w:color="auto"/>
          <w:right w:val="single" w:sz="4" w:space="4" w:color="auto"/>
        </w:pBdr>
        <w:jc w:val="both"/>
        <w:outlineLvl w:val="0"/>
        <w:rPr>
          <w:rFonts w:ascii="Verdana" w:hAnsi="Verdana" w:cs="Arial"/>
          <w:sz w:val="22"/>
          <w:szCs w:val="22"/>
        </w:rPr>
      </w:pPr>
      <w:r w:rsidRPr="00E12AAF">
        <w:rPr>
          <w:rFonts w:ascii="Verdana" w:hAnsi="Verdana" w:cs="Arial"/>
          <w:b/>
          <w:sz w:val="22"/>
          <w:szCs w:val="22"/>
        </w:rPr>
        <w:t xml:space="preserve">REMISIÓN DE COMENTARIOS: </w:t>
      </w:r>
      <w:r w:rsidRPr="00E12AAF">
        <w:rPr>
          <w:rFonts w:ascii="Verdana" w:hAnsi="Verdana" w:cs="Arial"/>
          <w:sz w:val="22"/>
          <w:szCs w:val="22"/>
        </w:rPr>
        <w:t xml:space="preserve">Por favor diligenciar la proforma adjunta “MATRIZ PARA COMENTARIOS EXTERNOS - PUBLICACION WEB”. </w:t>
      </w:r>
    </w:p>
    <w:p w14:paraId="14F10576" w14:textId="76FAFDD8" w:rsidR="00F91CEB" w:rsidRPr="00E12AAF" w:rsidRDefault="00F91CEB" w:rsidP="00F91CEB">
      <w:pPr>
        <w:pBdr>
          <w:top w:val="single" w:sz="4" w:space="0" w:color="auto"/>
          <w:left w:val="single" w:sz="4" w:space="4" w:color="auto"/>
          <w:bottom w:val="single" w:sz="4" w:space="1" w:color="auto"/>
          <w:right w:val="single" w:sz="4" w:space="4" w:color="auto"/>
        </w:pBdr>
        <w:jc w:val="both"/>
        <w:outlineLvl w:val="0"/>
        <w:rPr>
          <w:rFonts w:ascii="Verdana" w:hAnsi="Verdana" w:cs="Arial"/>
          <w:sz w:val="22"/>
          <w:szCs w:val="22"/>
        </w:rPr>
      </w:pPr>
    </w:p>
    <w:p w14:paraId="7D6B2D92" w14:textId="48DAF566" w:rsidR="00F91CEB" w:rsidRPr="00360ABD" w:rsidRDefault="00F91CEB" w:rsidP="00F91CEB">
      <w:pPr>
        <w:pBdr>
          <w:top w:val="single" w:sz="4" w:space="0" w:color="auto"/>
          <w:left w:val="single" w:sz="4" w:space="4" w:color="auto"/>
          <w:bottom w:val="single" w:sz="4" w:space="1" w:color="auto"/>
          <w:right w:val="single" w:sz="4" w:space="4" w:color="auto"/>
        </w:pBdr>
        <w:jc w:val="both"/>
        <w:outlineLvl w:val="0"/>
        <w:rPr>
          <w:rFonts w:ascii="Verdana" w:hAnsi="Verdana" w:cs="Arial"/>
          <w:bCs/>
          <w:sz w:val="22"/>
          <w:szCs w:val="22"/>
        </w:rPr>
      </w:pPr>
      <w:r w:rsidRPr="00E12AAF">
        <w:rPr>
          <w:rFonts w:ascii="Verdana" w:hAnsi="Verdana" w:cs="Arial"/>
          <w:sz w:val="22"/>
          <w:szCs w:val="22"/>
        </w:rPr>
        <w:t xml:space="preserve">La proforma en formato Word puede ser radicada vía e-mail por medio del correo electrónico </w:t>
      </w:r>
      <w:hyperlink r:id="rId11" w:history="1">
        <w:r w:rsidRPr="00E12AAF">
          <w:rPr>
            <w:rStyle w:val="Hipervnculo"/>
            <w:rFonts w:ascii="Verdana" w:hAnsi="Verdana" w:cs="Arial"/>
            <w:sz w:val="22"/>
            <w:szCs w:val="22"/>
          </w:rPr>
          <w:t>normativa@superfinanciera.gov.co</w:t>
        </w:r>
      </w:hyperlink>
      <w:r w:rsidRPr="00E12AAF">
        <w:rPr>
          <w:rFonts w:ascii="Verdana" w:hAnsi="Verdana" w:cs="Arial"/>
          <w:sz w:val="22"/>
          <w:szCs w:val="22"/>
        </w:rPr>
        <w:t xml:space="preserve">. En el asunto </w:t>
      </w:r>
      <w:r w:rsidRPr="00E12AAF">
        <w:rPr>
          <w:rFonts w:ascii="Verdana" w:hAnsi="Verdana" w:cs="Arial"/>
          <w:b/>
          <w:sz w:val="22"/>
          <w:szCs w:val="22"/>
        </w:rPr>
        <w:t>únicamente</w:t>
      </w:r>
      <w:r w:rsidRPr="00E12AAF">
        <w:rPr>
          <w:rFonts w:ascii="Verdana" w:hAnsi="Verdana" w:cs="Arial"/>
          <w:sz w:val="22"/>
          <w:szCs w:val="22"/>
        </w:rPr>
        <w:t xml:space="preserve"> incluir el siguiente número de radicación: </w:t>
      </w:r>
    </w:p>
    <w:p w14:paraId="13C0329A" w14:textId="1C6FDE82" w:rsidR="00F91CEB" w:rsidRPr="00360ABD" w:rsidRDefault="00F91CEB" w:rsidP="00F91CEB">
      <w:pPr>
        <w:pBdr>
          <w:top w:val="single" w:sz="4" w:space="0" w:color="auto"/>
          <w:left w:val="single" w:sz="4" w:space="4" w:color="auto"/>
          <w:bottom w:val="single" w:sz="4" w:space="1" w:color="auto"/>
          <w:right w:val="single" w:sz="4" w:space="4" w:color="auto"/>
        </w:pBdr>
        <w:jc w:val="both"/>
        <w:rPr>
          <w:rFonts w:ascii="Verdana" w:hAnsi="Verdana" w:cs="Arial"/>
          <w:bCs/>
          <w:sz w:val="22"/>
          <w:szCs w:val="22"/>
        </w:rPr>
      </w:pPr>
    </w:p>
    <w:p w14:paraId="4F61FB76" w14:textId="77777777" w:rsidR="00F91CEB" w:rsidRPr="00360ABD" w:rsidRDefault="00F91CEB" w:rsidP="00F91CEB">
      <w:pPr>
        <w:pBdr>
          <w:top w:val="single" w:sz="4" w:space="0" w:color="auto"/>
          <w:left w:val="single" w:sz="4" w:space="4" w:color="auto"/>
          <w:bottom w:val="single" w:sz="4" w:space="1" w:color="auto"/>
          <w:right w:val="single" w:sz="4" w:space="4" w:color="auto"/>
        </w:pBdr>
        <w:jc w:val="both"/>
        <w:rPr>
          <w:rFonts w:ascii="Verdana" w:hAnsi="Verdana" w:cs="Arial"/>
          <w:bCs/>
          <w:sz w:val="22"/>
          <w:szCs w:val="22"/>
        </w:rPr>
      </w:pPr>
    </w:p>
    <w:p w14:paraId="7CF8BC93" w14:textId="77777777" w:rsidR="00F91CEB" w:rsidRPr="00E12AAF" w:rsidRDefault="00F91CEB" w:rsidP="00F91CEB">
      <w:pPr>
        <w:pBdr>
          <w:top w:val="single" w:sz="4" w:space="0" w:color="auto"/>
          <w:left w:val="single" w:sz="4" w:space="4" w:color="auto"/>
          <w:bottom w:val="single" w:sz="4" w:space="1" w:color="auto"/>
          <w:right w:val="single" w:sz="4" w:space="4" w:color="auto"/>
        </w:pBdr>
        <w:jc w:val="center"/>
        <w:rPr>
          <w:rFonts w:ascii="Verdana" w:hAnsi="Verdana" w:cs="Arial"/>
          <w:b/>
          <w:sz w:val="22"/>
          <w:szCs w:val="22"/>
        </w:rPr>
      </w:pPr>
      <w:r w:rsidRPr="00E12AAF">
        <w:rPr>
          <w:rFonts w:ascii="Verdana" w:hAnsi="Verdana" w:cs="Arial"/>
          <w:b/>
          <w:sz w:val="22"/>
          <w:szCs w:val="22"/>
        </w:rPr>
        <w:t xml:space="preserve">RADICADO No. </w:t>
      </w:r>
      <w:r w:rsidRPr="00E12AAF">
        <w:rPr>
          <w:rFonts w:ascii="Verdana" w:hAnsi="Verdana" w:cs="Arial"/>
          <w:b/>
          <w:sz w:val="22"/>
          <w:szCs w:val="22"/>
          <w:lang w:val="es-ES_tradnl"/>
        </w:rPr>
        <w:t>2025050733</w:t>
      </w:r>
    </w:p>
    <w:p w14:paraId="6D674404" w14:textId="77777777" w:rsidR="00F91CEB" w:rsidRPr="00360ABD" w:rsidRDefault="00F91CEB" w:rsidP="00F91CEB">
      <w:pPr>
        <w:pBdr>
          <w:top w:val="single" w:sz="4" w:space="0" w:color="auto"/>
          <w:left w:val="single" w:sz="4" w:space="4" w:color="auto"/>
          <w:bottom w:val="single" w:sz="4" w:space="1" w:color="auto"/>
          <w:right w:val="single" w:sz="4" w:space="4" w:color="auto"/>
        </w:pBdr>
        <w:rPr>
          <w:rFonts w:ascii="Verdana" w:hAnsi="Verdana" w:cs="Arial"/>
          <w:bCs/>
          <w:sz w:val="22"/>
          <w:szCs w:val="22"/>
        </w:rPr>
      </w:pPr>
    </w:p>
    <w:p w14:paraId="2DA94DF5" w14:textId="77777777" w:rsidR="00F91CEB" w:rsidRPr="00360ABD" w:rsidRDefault="00F91CEB" w:rsidP="00F91CEB">
      <w:pPr>
        <w:pBdr>
          <w:top w:val="single" w:sz="4" w:space="0" w:color="auto"/>
          <w:left w:val="single" w:sz="4" w:space="4" w:color="auto"/>
          <w:bottom w:val="single" w:sz="4" w:space="1" w:color="auto"/>
          <w:right w:val="single" w:sz="4" w:space="4" w:color="auto"/>
        </w:pBdr>
        <w:tabs>
          <w:tab w:val="left" w:pos="2109"/>
        </w:tabs>
        <w:jc w:val="both"/>
        <w:rPr>
          <w:rFonts w:ascii="Verdana" w:hAnsi="Verdana" w:cs="Arial"/>
          <w:bCs/>
          <w:sz w:val="22"/>
          <w:szCs w:val="22"/>
        </w:rPr>
      </w:pPr>
    </w:p>
    <w:p w14:paraId="53207743" w14:textId="77777777" w:rsidR="00F91CEB" w:rsidRPr="00E12AAF" w:rsidRDefault="00F91CEB" w:rsidP="00F91CEB">
      <w:pPr>
        <w:pBdr>
          <w:top w:val="single" w:sz="4" w:space="0" w:color="auto"/>
          <w:left w:val="single" w:sz="4" w:space="4" w:color="auto"/>
          <w:bottom w:val="single" w:sz="4" w:space="1" w:color="auto"/>
          <w:right w:val="single" w:sz="4" w:space="4" w:color="auto"/>
        </w:pBdr>
        <w:tabs>
          <w:tab w:val="left" w:pos="2109"/>
        </w:tabs>
        <w:jc w:val="both"/>
        <w:rPr>
          <w:rFonts w:ascii="Verdana" w:hAnsi="Verdana" w:cs="Arial"/>
          <w:sz w:val="22"/>
          <w:szCs w:val="22"/>
        </w:rPr>
      </w:pPr>
      <w:r w:rsidRPr="00E12AAF">
        <w:rPr>
          <w:rFonts w:ascii="Verdana" w:hAnsi="Verdana" w:cs="Arial"/>
          <w:b/>
          <w:sz w:val="22"/>
          <w:szCs w:val="22"/>
        </w:rPr>
        <w:t>POR ESCRITO A:</w:t>
      </w:r>
      <w:r w:rsidRPr="00E12AAF">
        <w:rPr>
          <w:rFonts w:ascii="Verdana" w:hAnsi="Verdana" w:cs="Arial"/>
          <w:b/>
          <w:sz w:val="22"/>
          <w:szCs w:val="22"/>
        </w:rPr>
        <w:tab/>
      </w:r>
      <w:proofErr w:type="gramStart"/>
      <w:r w:rsidRPr="00E12AAF">
        <w:rPr>
          <w:rFonts w:ascii="Verdana" w:hAnsi="Verdana" w:cs="Arial"/>
          <w:b/>
          <w:sz w:val="22"/>
          <w:szCs w:val="22"/>
        </w:rPr>
        <w:t>Subdirector</w:t>
      </w:r>
      <w:proofErr w:type="gramEnd"/>
      <w:r w:rsidRPr="00E12AAF">
        <w:rPr>
          <w:rFonts w:ascii="Verdana" w:hAnsi="Verdana" w:cs="Arial"/>
          <w:b/>
          <w:sz w:val="22"/>
          <w:szCs w:val="22"/>
        </w:rPr>
        <w:t xml:space="preserve"> de Regulación</w:t>
      </w:r>
      <w:r w:rsidRPr="00E12AAF">
        <w:rPr>
          <w:rFonts w:ascii="Verdana" w:hAnsi="Verdana" w:cs="Arial"/>
          <w:sz w:val="22"/>
          <w:szCs w:val="22"/>
        </w:rPr>
        <w:t>, con el número de radicación.</w:t>
      </w:r>
    </w:p>
    <w:p w14:paraId="1F8C1537" w14:textId="77777777" w:rsidR="00F91CEB" w:rsidRPr="00E12AAF" w:rsidRDefault="00F91CEB" w:rsidP="00F91CEB">
      <w:pPr>
        <w:pBdr>
          <w:top w:val="single" w:sz="4" w:space="0" w:color="auto"/>
          <w:left w:val="single" w:sz="4" w:space="4" w:color="auto"/>
          <w:bottom w:val="single" w:sz="4" w:space="1" w:color="auto"/>
          <w:right w:val="single" w:sz="4" w:space="4" w:color="auto"/>
        </w:pBdr>
        <w:tabs>
          <w:tab w:val="left" w:pos="2109"/>
        </w:tabs>
        <w:jc w:val="both"/>
        <w:rPr>
          <w:rFonts w:ascii="Verdana" w:hAnsi="Verdana" w:cs="Arial"/>
          <w:sz w:val="22"/>
          <w:szCs w:val="22"/>
        </w:rPr>
      </w:pPr>
    </w:p>
    <w:p w14:paraId="5C16AA95" w14:textId="77777777" w:rsidR="00F91CEB" w:rsidRPr="00E12AAF" w:rsidRDefault="00F91CEB" w:rsidP="00F91CEB">
      <w:pPr>
        <w:pBdr>
          <w:top w:val="single" w:sz="4" w:space="0" w:color="auto"/>
          <w:left w:val="single" w:sz="4" w:space="4" w:color="auto"/>
          <w:bottom w:val="single" w:sz="4" w:space="1" w:color="auto"/>
          <w:right w:val="single" w:sz="4" w:space="4" w:color="auto"/>
        </w:pBdr>
        <w:tabs>
          <w:tab w:val="left" w:pos="2109"/>
        </w:tabs>
        <w:jc w:val="both"/>
        <w:outlineLvl w:val="0"/>
        <w:rPr>
          <w:rFonts w:ascii="Verdana" w:hAnsi="Verdana" w:cs="Arial"/>
          <w:sz w:val="22"/>
          <w:szCs w:val="22"/>
        </w:rPr>
      </w:pPr>
    </w:p>
    <w:p w14:paraId="6C9AFA88" w14:textId="77777777" w:rsidR="00F91CEB" w:rsidRPr="00360ABD" w:rsidRDefault="00F91CEB" w:rsidP="00F91CEB">
      <w:pPr>
        <w:pBdr>
          <w:top w:val="single" w:sz="4" w:space="0" w:color="auto"/>
          <w:left w:val="single" w:sz="4" w:space="4" w:color="auto"/>
          <w:bottom w:val="single" w:sz="4" w:space="1" w:color="auto"/>
          <w:right w:val="single" w:sz="4" w:space="4" w:color="auto"/>
        </w:pBdr>
        <w:rPr>
          <w:rFonts w:ascii="Verdana" w:hAnsi="Verdana" w:cs="Arial"/>
          <w:bCs/>
          <w:sz w:val="22"/>
          <w:szCs w:val="22"/>
        </w:rPr>
      </w:pPr>
    </w:p>
    <w:p w14:paraId="108A1C89" w14:textId="77777777" w:rsidR="00F91CEB" w:rsidRPr="00E12AAF" w:rsidRDefault="00F91CEB" w:rsidP="00F91CEB">
      <w:pPr>
        <w:pBdr>
          <w:top w:val="single" w:sz="4" w:space="0" w:color="auto"/>
          <w:left w:val="single" w:sz="4" w:space="4" w:color="auto"/>
          <w:bottom w:val="single" w:sz="4" w:space="1" w:color="auto"/>
          <w:right w:val="single" w:sz="4" w:space="4" w:color="auto"/>
        </w:pBdr>
        <w:rPr>
          <w:rFonts w:ascii="Verdana" w:hAnsi="Verdana" w:cs="Arial"/>
          <w:sz w:val="22"/>
          <w:szCs w:val="22"/>
        </w:rPr>
      </w:pPr>
      <w:r w:rsidRPr="00E12AAF">
        <w:rPr>
          <w:rFonts w:ascii="Verdana" w:hAnsi="Verdana" w:cs="Arial"/>
          <w:b/>
          <w:sz w:val="22"/>
          <w:szCs w:val="22"/>
        </w:rPr>
        <w:t xml:space="preserve">Nota: </w:t>
      </w:r>
      <w:r w:rsidRPr="00E12AAF">
        <w:rPr>
          <w:rFonts w:ascii="Verdana" w:hAnsi="Verdana" w:cs="Arial"/>
          <w:sz w:val="22"/>
          <w:szCs w:val="22"/>
        </w:rPr>
        <w:t>Para la remisión de los comentarios por favor citar en el asunto del correo electrónico, la referencia señalada, así como por escrito.</w:t>
      </w:r>
    </w:p>
    <w:p w14:paraId="1D756141" w14:textId="77777777" w:rsidR="00F91CEB" w:rsidRPr="00E12AAF" w:rsidRDefault="00F91CEB" w:rsidP="00F91CEB">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3B20B7E8" w14:textId="77777777" w:rsidR="00F91CEB" w:rsidRPr="00E12AAF" w:rsidRDefault="00F91CEB" w:rsidP="00F91CEB">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713C0915" w14:textId="77777777" w:rsidR="00F91CEB" w:rsidRPr="00E12AAF" w:rsidRDefault="00F91CEB" w:rsidP="00F91CEB">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2735679C" w14:textId="77777777" w:rsidR="00F91CEB" w:rsidRPr="00E12AAF" w:rsidRDefault="00F91CEB" w:rsidP="00F91CEB">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46D4A49D" w14:textId="77777777" w:rsidR="00F91CEB" w:rsidRPr="00E12AAF" w:rsidRDefault="00F91CEB" w:rsidP="00F91CEB">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66BBE5D0" w14:textId="77777777" w:rsidR="00F91CEB" w:rsidRPr="00E12AAF" w:rsidRDefault="00F91CEB" w:rsidP="00F91CEB">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516C410A" w14:textId="77777777" w:rsidR="00F91CEB" w:rsidRPr="00E12AAF" w:rsidRDefault="00F91CEB" w:rsidP="00F91CEB">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41080CBA" w14:textId="77777777" w:rsidR="00F91CEB" w:rsidRPr="00E12AAF" w:rsidRDefault="00F91CEB" w:rsidP="00F91CEB">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6CDD0B37" w14:textId="77777777" w:rsidR="00F91CEB" w:rsidRPr="00E12AAF" w:rsidRDefault="00F91CEB" w:rsidP="00F91CEB">
      <w:pPr>
        <w:pBdr>
          <w:top w:val="single" w:sz="4" w:space="0" w:color="auto"/>
          <w:left w:val="single" w:sz="4" w:space="4" w:color="auto"/>
          <w:bottom w:val="single" w:sz="4" w:space="1" w:color="auto"/>
          <w:right w:val="single" w:sz="4" w:space="4" w:color="auto"/>
        </w:pBdr>
        <w:jc w:val="center"/>
        <w:rPr>
          <w:rFonts w:ascii="Verdana" w:hAnsi="Verdana" w:cs="Arial"/>
          <w:b/>
          <w:sz w:val="22"/>
          <w:szCs w:val="22"/>
        </w:rPr>
      </w:pPr>
      <w:r w:rsidRPr="00E12AAF">
        <w:rPr>
          <w:rFonts w:ascii="Verdana" w:hAnsi="Verdana" w:cs="Arial"/>
          <w:b/>
          <w:sz w:val="22"/>
          <w:szCs w:val="22"/>
        </w:rPr>
        <w:t>* Consulte en este archivo el texto del proyecto de circular externa</w:t>
      </w:r>
    </w:p>
    <w:p w14:paraId="77044067" w14:textId="77777777" w:rsidR="00F91CEB" w:rsidRDefault="00F91CEB" w:rsidP="00F91CEB">
      <w:pPr>
        <w:widowControl w:val="0"/>
        <w:autoSpaceDE w:val="0"/>
        <w:autoSpaceDN w:val="0"/>
        <w:adjustRightInd w:val="0"/>
        <w:jc w:val="center"/>
        <w:rPr>
          <w:rFonts w:ascii="Verdana" w:hAnsi="Verdana" w:cs="Arial"/>
          <w:b/>
          <w:sz w:val="22"/>
          <w:szCs w:val="22"/>
        </w:rPr>
      </w:pPr>
    </w:p>
    <w:p w14:paraId="7927A055" w14:textId="77777777" w:rsidR="00F91CEB" w:rsidRDefault="00F91CEB" w:rsidP="00F91CEB">
      <w:pPr>
        <w:widowControl w:val="0"/>
        <w:autoSpaceDE w:val="0"/>
        <w:autoSpaceDN w:val="0"/>
        <w:adjustRightInd w:val="0"/>
        <w:jc w:val="center"/>
        <w:rPr>
          <w:rFonts w:ascii="Verdana" w:hAnsi="Verdana" w:cs="Arial"/>
          <w:b/>
          <w:sz w:val="22"/>
          <w:szCs w:val="22"/>
        </w:rPr>
      </w:pPr>
    </w:p>
    <w:p w14:paraId="003ED2E5" w14:textId="77777777" w:rsidR="00F91CEB" w:rsidRDefault="00F91CEB" w:rsidP="00F91CEB">
      <w:pPr>
        <w:widowControl w:val="0"/>
        <w:autoSpaceDE w:val="0"/>
        <w:autoSpaceDN w:val="0"/>
        <w:adjustRightInd w:val="0"/>
        <w:jc w:val="center"/>
        <w:rPr>
          <w:rFonts w:ascii="Verdana" w:hAnsi="Verdana" w:cs="Arial"/>
          <w:b/>
          <w:sz w:val="22"/>
          <w:szCs w:val="22"/>
        </w:rPr>
      </w:pPr>
    </w:p>
    <w:p w14:paraId="052D51F8" w14:textId="77777777" w:rsidR="00F91CEB" w:rsidRDefault="00F91CEB" w:rsidP="00F91CEB">
      <w:pPr>
        <w:widowControl w:val="0"/>
        <w:autoSpaceDE w:val="0"/>
        <w:autoSpaceDN w:val="0"/>
        <w:adjustRightInd w:val="0"/>
        <w:jc w:val="center"/>
        <w:rPr>
          <w:rFonts w:ascii="Verdana" w:hAnsi="Verdana" w:cs="Arial"/>
          <w:b/>
          <w:sz w:val="22"/>
          <w:szCs w:val="22"/>
        </w:rPr>
      </w:pPr>
    </w:p>
    <w:p w14:paraId="36AE421B" w14:textId="77777777" w:rsidR="00F91CEB" w:rsidRDefault="00F91CEB" w:rsidP="00F91CEB">
      <w:pPr>
        <w:widowControl w:val="0"/>
        <w:autoSpaceDE w:val="0"/>
        <w:autoSpaceDN w:val="0"/>
        <w:adjustRightInd w:val="0"/>
        <w:rPr>
          <w:rFonts w:ascii="Verdana" w:hAnsi="Verdana" w:cs="Arial"/>
          <w:b/>
          <w:sz w:val="22"/>
          <w:szCs w:val="22"/>
        </w:rPr>
      </w:pPr>
    </w:p>
    <w:p w14:paraId="562AD1B2" w14:textId="77777777" w:rsidR="00F91CEB" w:rsidRDefault="00F91CEB" w:rsidP="00F91CEB">
      <w:pPr>
        <w:widowControl w:val="0"/>
        <w:autoSpaceDE w:val="0"/>
        <w:autoSpaceDN w:val="0"/>
        <w:adjustRightInd w:val="0"/>
        <w:rPr>
          <w:rFonts w:ascii="Verdana" w:hAnsi="Verdana" w:cs="Arial"/>
          <w:b/>
          <w:sz w:val="22"/>
          <w:szCs w:val="22"/>
        </w:rPr>
      </w:pPr>
    </w:p>
    <w:p w14:paraId="43BB8317" w14:textId="77777777" w:rsidR="00F91CEB" w:rsidRDefault="00F91CEB" w:rsidP="00F91CEB">
      <w:pPr>
        <w:widowControl w:val="0"/>
        <w:autoSpaceDE w:val="0"/>
        <w:autoSpaceDN w:val="0"/>
        <w:adjustRightInd w:val="0"/>
        <w:rPr>
          <w:rFonts w:ascii="Verdana" w:hAnsi="Verdana" w:cs="Arial"/>
          <w:b/>
          <w:sz w:val="22"/>
          <w:szCs w:val="22"/>
        </w:rPr>
      </w:pPr>
    </w:p>
    <w:p w14:paraId="0BA0D2A4" w14:textId="77777777" w:rsidR="00F91CEB" w:rsidRDefault="00F91CEB" w:rsidP="00F91CEB">
      <w:pPr>
        <w:widowControl w:val="0"/>
        <w:autoSpaceDE w:val="0"/>
        <w:autoSpaceDN w:val="0"/>
        <w:adjustRightInd w:val="0"/>
        <w:rPr>
          <w:rFonts w:ascii="Verdana" w:hAnsi="Verdana" w:cs="Arial"/>
          <w:b/>
          <w:sz w:val="22"/>
          <w:szCs w:val="22"/>
        </w:rPr>
      </w:pPr>
    </w:p>
    <w:p w14:paraId="33BD836B" w14:textId="77777777" w:rsidR="00F91CEB" w:rsidRDefault="00F91CEB" w:rsidP="00F91CEB">
      <w:pPr>
        <w:widowControl w:val="0"/>
        <w:autoSpaceDE w:val="0"/>
        <w:autoSpaceDN w:val="0"/>
        <w:adjustRightInd w:val="0"/>
        <w:rPr>
          <w:rFonts w:ascii="Verdana" w:hAnsi="Verdana" w:cs="Arial"/>
          <w:b/>
          <w:sz w:val="22"/>
          <w:szCs w:val="22"/>
        </w:rPr>
      </w:pPr>
    </w:p>
    <w:p w14:paraId="08676F4C" w14:textId="77777777" w:rsidR="00F91CEB" w:rsidRDefault="00F91CEB" w:rsidP="00F91CEB">
      <w:pPr>
        <w:widowControl w:val="0"/>
        <w:autoSpaceDE w:val="0"/>
        <w:autoSpaceDN w:val="0"/>
        <w:adjustRightInd w:val="0"/>
        <w:rPr>
          <w:rFonts w:ascii="Verdana" w:hAnsi="Verdana" w:cs="Arial"/>
          <w:b/>
          <w:sz w:val="22"/>
          <w:szCs w:val="22"/>
        </w:rPr>
      </w:pPr>
    </w:p>
    <w:p w14:paraId="31022826" w14:textId="77777777" w:rsidR="00437AC4" w:rsidRDefault="00437AC4" w:rsidP="00F91CEB">
      <w:pPr>
        <w:widowControl w:val="0"/>
        <w:autoSpaceDE w:val="0"/>
        <w:autoSpaceDN w:val="0"/>
        <w:adjustRightInd w:val="0"/>
        <w:rPr>
          <w:rFonts w:ascii="Verdana" w:hAnsi="Verdana" w:cs="Arial"/>
          <w:b/>
          <w:sz w:val="22"/>
          <w:szCs w:val="22"/>
        </w:rPr>
      </w:pPr>
    </w:p>
    <w:p w14:paraId="17708426" w14:textId="77777777" w:rsidR="00437AC4" w:rsidRPr="00E12AAF" w:rsidRDefault="00437AC4" w:rsidP="00F91CEB">
      <w:pPr>
        <w:widowControl w:val="0"/>
        <w:autoSpaceDE w:val="0"/>
        <w:autoSpaceDN w:val="0"/>
        <w:adjustRightInd w:val="0"/>
        <w:rPr>
          <w:rFonts w:ascii="Verdana" w:hAnsi="Verdana" w:cs="Arial"/>
          <w:b/>
          <w:sz w:val="22"/>
          <w:szCs w:val="22"/>
        </w:rPr>
      </w:pPr>
    </w:p>
    <w:p w14:paraId="40B99129" w14:textId="03257EC5" w:rsidR="005222D4" w:rsidRPr="005222D4" w:rsidRDefault="005222D4" w:rsidP="005222D4">
      <w:pPr>
        <w:widowControl w:val="0"/>
        <w:autoSpaceDE w:val="0"/>
        <w:autoSpaceDN w:val="0"/>
        <w:adjustRightInd w:val="0"/>
        <w:rPr>
          <w:rFonts w:ascii="Verdana" w:hAnsi="Verdana" w:cs="Arial"/>
          <w:b/>
          <w:sz w:val="22"/>
          <w:szCs w:val="22"/>
        </w:rPr>
      </w:pPr>
    </w:p>
    <w:p w14:paraId="17806421" w14:textId="77777777" w:rsidR="00F91CEB" w:rsidRDefault="00F91CEB" w:rsidP="005222D4">
      <w:pPr>
        <w:widowControl w:val="0"/>
        <w:autoSpaceDE w:val="0"/>
        <w:autoSpaceDN w:val="0"/>
        <w:adjustRightInd w:val="0"/>
        <w:rPr>
          <w:rFonts w:ascii="Verdana" w:hAnsi="Verdana" w:cs="Arial"/>
          <w:b/>
          <w:sz w:val="22"/>
          <w:szCs w:val="22"/>
        </w:rPr>
      </w:pPr>
    </w:p>
    <w:p w14:paraId="1D7677DF" w14:textId="77777777" w:rsidR="00F17AE1" w:rsidRDefault="00F17AE1" w:rsidP="005222D4">
      <w:pPr>
        <w:widowControl w:val="0"/>
        <w:autoSpaceDE w:val="0"/>
        <w:autoSpaceDN w:val="0"/>
        <w:adjustRightInd w:val="0"/>
        <w:rPr>
          <w:rFonts w:ascii="Verdana" w:hAnsi="Verdana" w:cs="Arial"/>
          <w:b/>
          <w:sz w:val="22"/>
          <w:szCs w:val="22"/>
        </w:rPr>
      </w:pPr>
    </w:p>
    <w:p w14:paraId="4669D0EF" w14:textId="77777777" w:rsidR="00F91CEB" w:rsidRPr="005222D4" w:rsidRDefault="00F91CEB" w:rsidP="005222D4">
      <w:pPr>
        <w:widowControl w:val="0"/>
        <w:autoSpaceDE w:val="0"/>
        <w:autoSpaceDN w:val="0"/>
        <w:adjustRightInd w:val="0"/>
        <w:rPr>
          <w:rFonts w:ascii="Verdana" w:hAnsi="Verdana" w:cs="Arial"/>
          <w:b/>
          <w:sz w:val="22"/>
          <w:szCs w:val="22"/>
        </w:rPr>
      </w:pPr>
    </w:p>
    <w:p w14:paraId="14E23A59" w14:textId="77777777" w:rsidR="00C9569F" w:rsidRPr="00D41E1D" w:rsidRDefault="00C9569F" w:rsidP="00E74264">
      <w:pPr>
        <w:widowControl w:val="0"/>
        <w:autoSpaceDE w:val="0"/>
        <w:autoSpaceDN w:val="0"/>
        <w:adjustRightInd w:val="0"/>
        <w:rPr>
          <w:rFonts w:ascii="Verdana" w:hAnsi="Verdana" w:cs="Arial"/>
          <w:b/>
          <w:sz w:val="22"/>
          <w:szCs w:val="22"/>
        </w:rPr>
      </w:pPr>
    </w:p>
    <w:p w14:paraId="3A5D4ECC" w14:textId="2DF4F0BF" w:rsidR="00D41E1D" w:rsidRPr="007C1A06" w:rsidRDefault="00D41E1D" w:rsidP="00D41E1D">
      <w:pPr>
        <w:widowControl w:val="0"/>
        <w:autoSpaceDE w:val="0"/>
        <w:autoSpaceDN w:val="0"/>
        <w:adjustRightInd w:val="0"/>
        <w:spacing w:line="276" w:lineRule="auto"/>
        <w:ind w:firstLine="708"/>
        <w:jc w:val="center"/>
        <w:rPr>
          <w:rFonts w:ascii="Verdana" w:hAnsi="Verdana" w:cs="Arial"/>
          <w:b/>
          <w:sz w:val="22"/>
          <w:szCs w:val="22"/>
        </w:rPr>
      </w:pPr>
      <w:r w:rsidRPr="007C1A06">
        <w:rPr>
          <w:rFonts w:ascii="Verdana" w:hAnsi="Verdana" w:cs="Arial"/>
          <w:b/>
          <w:sz w:val="22"/>
          <w:szCs w:val="22"/>
        </w:rPr>
        <w:lastRenderedPageBreak/>
        <w:t xml:space="preserve">CIRCULAR EXTERNA    DE </w:t>
      </w:r>
      <w:r w:rsidRPr="007C1A06">
        <w:rPr>
          <w:rFonts w:ascii="Verdana" w:hAnsi="Verdana" w:cs="Arial"/>
          <w:b/>
          <w:color w:val="999999"/>
          <w:sz w:val="22"/>
          <w:szCs w:val="22"/>
        </w:rPr>
        <w:t xml:space="preserve">       </w:t>
      </w:r>
    </w:p>
    <w:p w14:paraId="28A4A879" w14:textId="208D3A42" w:rsidR="00D41E1D" w:rsidRPr="007C1A06" w:rsidRDefault="00D41E1D" w:rsidP="00E83859">
      <w:pPr>
        <w:widowControl w:val="0"/>
        <w:autoSpaceDE w:val="0"/>
        <w:autoSpaceDN w:val="0"/>
        <w:adjustRightInd w:val="0"/>
        <w:spacing w:line="276" w:lineRule="auto"/>
        <w:ind w:left="708"/>
        <w:jc w:val="center"/>
        <w:rPr>
          <w:rFonts w:ascii="Verdana" w:hAnsi="Verdana" w:cs="Arial"/>
          <w:b/>
          <w:sz w:val="22"/>
          <w:szCs w:val="22"/>
        </w:rPr>
      </w:pPr>
      <w:r w:rsidRPr="007C1A06">
        <w:rPr>
          <w:rFonts w:ascii="Verdana" w:hAnsi="Verdana" w:cs="Arial"/>
          <w:b/>
          <w:sz w:val="22"/>
          <w:szCs w:val="22"/>
        </w:rPr>
        <w:t>(                           )</w:t>
      </w:r>
    </w:p>
    <w:p w14:paraId="602998D7" w14:textId="77777777" w:rsidR="00D41E1D" w:rsidRDefault="00D41E1D" w:rsidP="00D41E1D">
      <w:pPr>
        <w:widowControl w:val="0"/>
        <w:autoSpaceDE w:val="0"/>
        <w:autoSpaceDN w:val="0"/>
        <w:adjustRightInd w:val="0"/>
        <w:spacing w:line="276" w:lineRule="auto"/>
        <w:jc w:val="both"/>
        <w:rPr>
          <w:rFonts w:ascii="Verdana" w:hAnsi="Verdana" w:cs="Arial"/>
          <w:sz w:val="22"/>
          <w:szCs w:val="22"/>
        </w:rPr>
      </w:pPr>
    </w:p>
    <w:p w14:paraId="3485413B" w14:textId="77777777" w:rsidR="00360ABD" w:rsidRPr="007C1A06" w:rsidRDefault="00360ABD" w:rsidP="00D41E1D">
      <w:pPr>
        <w:widowControl w:val="0"/>
        <w:autoSpaceDE w:val="0"/>
        <w:autoSpaceDN w:val="0"/>
        <w:adjustRightInd w:val="0"/>
        <w:spacing w:line="276" w:lineRule="auto"/>
        <w:jc w:val="both"/>
        <w:rPr>
          <w:rFonts w:ascii="Verdana" w:hAnsi="Verdana" w:cs="Arial"/>
          <w:sz w:val="22"/>
          <w:szCs w:val="22"/>
        </w:rPr>
      </w:pPr>
    </w:p>
    <w:p w14:paraId="36D95868" w14:textId="77777777" w:rsidR="00D41E1D" w:rsidRPr="007C1A06" w:rsidRDefault="00D41E1D" w:rsidP="00D41E1D">
      <w:pPr>
        <w:widowControl w:val="0"/>
        <w:autoSpaceDE w:val="0"/>
        <w:autoSpaceDN w:val="0"/>
        <w:adjustRightInd w:val="0"/>
        <w:spacing w:line="276" w:lineRule="auto"/>
        <w:jc w:val="both"/>
        <w:rPr>
          <w:rFonts w:ascii="Verdana" w:hAnsi="Verdana" w:cs="Arial"/>
          <w:b/>
          <w:sz w:val="22"/>
          <w:szCs w:val="22"/>
        </w:rPr>
      </w:pPr>
      <w:r w:rsidRPr="007C1A06">
        <w:rPr>
          <w:rFonts w:ascii="Verdana" w:hAnsi="Verdana" w:cs="Arial"/>
          <w:b/>
          <w:sz w:val="22"/>
          <w:szCs w:val="22"/>
        </w:rPr>
        <w:t>Señores</w:t>
      </w:r>
    </w:p>
    <w:p w14:paraId="4B2161A0" w14:textId="54EFD4DC" w:rsidR="00D41E1D" w:rsidRPr="007C1A06" w:rsidRDefault="00D41E1D" w:rsidP="00D41E1D">
      <w:pPr>
        <w:widowControl w:val="0"/>
        <w:autoSpaceDE w:val="0"/>
        <w:autoSpaceDN w:val="0"/>
        <w:adjustRightInd w:val="0"/>
        <w:spacing w:line="276" w:lineRule="auto"/>
        <w:jc w:val="both"/>
        <w:rPr>
          <w:rFonts w:ascii="Verdana" w:hAnsi="Verdana" w:cs="Arial"/>
          <w:sz w:val="22"/>
          <w:szCs w:val="22"/>
        </w:rPr>
      </w:pPr>
      <w:r w:rsidRPr="007C1A06">
        <w:rPr>
          <w:rFonts w:ascii="Verdana" w:hAnsi="Verdana" w:cs="Arial"/>
          <w:sz w:val="22"/>
          <w:szCs w:val="22"/>
        </w:rPr>
        <w:t>REPRESENTANTES LEGALES DE LAS ENTIDADES VIGILADAS POR LA SUPERINTENDENCIA FINANCIERA DE COLOMBIA</w:t>
      </w:r>
      <w:r w:rsidR="00E7788B">
        <w:rPr>
          <w:rFonts w:ascii="Verdana" w:hAnsi="Verdana" w:cs="Arial"/>
          <w:sz w:val="22"/>
          <w:szCs w:val="22"/>
        </w:rPr>
        <w:t xml:space="preserve"> QUE DEBEN APLICAR LA </w:t>
      </w:r>
      <w:r w:rsidR="00BD1432">
        <w:rPr>
          <w:rFonts w:ascii="Verdana" w:hAnsi="Verdana" w:cs="Arial"/>
          <w:sz w:val="22"/>
          <w:szCs w:val="22"/>
        </w:rPr>
        <w:t>N</w:t>
      </w:r>
      <w:r w:rsidR="00E7788B">
        <w:rPr>
          <w:rFonts w:ascii="Verdana" w:hAnsi="Verdana" w:cs="Arial"/>
          <w:sz w:val="22"/>
          <w:szCs w:val="22"/>
        </w:rPr>
        <w:t xml:space="preserve">IIF 17 EN LOS TÉRMINOS PREVISTOS EN </w:t>
      </w:r>
      <w:r w:rsidR="002445A8">
        <w:rPr>
          <w:rFonts w:ascii="Verdana" w:hAnsi="Verdana" w:cs="Arial"/>
          <w:sz w:val="22"/>
          <w:szCs w:val="22"/>
        </w:rPr>
        <w:t>EL DECRETO 2420 DE 2015</w:t>
      </w:r>
      <w:r w:rsidR="007156A7">
        <w:rPr>
          <w:rFonts w:ascii="Verdana" w:hAnsi="Verdana" w:cs="Arial"/>
          <w:sz w:val="22"/>
          <w:szCs w:val="22"/>
        </w:rPr>
        <w:t xml:space="preserve">, </w:t>
      </w:r>
      <w:r w:rsidR="007156A7" w:rsidRPr="007156A7">
        <w:rPr>
          <w:rFonts w:ascii="Verdana" w:hAnsi="Verdana" w:cs="Arial"/>
          <w:sz w:val="22"/>
          <w:szCs w:val="22"/>
        </w:rPr>
        <w:t>MODIFICADO POR EL DECRETO</w:t>
      </w:r>
      <w:r w:rsidR="002A6275">
        <w:rPr>
          <w:rFonts w:ascii="Verdana" w:hAnsi="Verdana" w:cs="Arial"/>
          <w:sz w:val="22"/>
          <w:szCs w:val="22"/>
        </w:rPr>
        <w:t xml:space="preserve"> </w:t>
      </w:r>
      <w:r w:rsidR="007156A7" w:rsidRPr="007156A7">
        <w:rPr>
          <w:rFonts w:ascii="Verdana" w:hAnsi="Verdana" w:cs="Arial"/>
          <w:sz w:val="22"/>
          <w:szCs w:val="22"/>
        </w:rPr>
        <w:t>1271 DE 2024</w:t>
      </w:r>
      <w:r w:rsidR="007156A7">
        <w:rPr>
          <w:rFonts w:ascii="Verdana" w:hAnsi="Verdana" w:cs="Arial"/>
          <w:sz w:val="22"/>
          <w:szCs w:val="22"/>
        </w:rPr>
        <w:t xml:space="preserve"> Y </w:t>
      </w:r>
      <w:r w:rsidR="007F6AB0">
        <w:rPr>
          <w:rFonts w:ascii="Verdana" w:hAnsi="Verdana" w:cs="Arial"/>
          <w:sz w:val="22"/>
          <w:szCs w:val="22"/>
        </w:rPr>
        <w:t xml:space="preserve">EL DECRETO </w:t>
      </w:r>
      <w:r w:rsidR="007156A7">
        <w:rPr>
          <w:rFonts w:ascii="Verdana" w:hAnsi="Verdana" w:cs="Arial"/>
          <w:sz w:val="22"/>
          <w:szCs w:val="22"/>
        </w:rPr>
        <w:t>217 DE 2026</w:t>
      </w:r>
      <w:r w:rsidR="007156A7" w:rsidRPr="007156A7">
        <w:rPr>
          <w:rFonts w:ascii="Verdana" w:hAnsi="Verdana" w:cs="Arial"/>
          <w:sz w:val="22"/>
          <w:szCs w:val="22"/>
        </w:rPr>
        <w:t>,</w:t>
      </w:r>
      <w:r w:rsidR="002A6275">
        <w:rPr>
          <w:rFonts w:ascii="Verdana" w:hAnsi="Verdana" w:cs="Arial"/>
          <w:sz w:val="22"/>
          <w:szCs w:val="22"/>
        </w:rPr>
        <w:t xml:space="preserve"> </w:t>
      </w:r>
      <w:r w:rsidR="007F6AB0">
        <w:rPr>
          <w:rFonts w:ascii="Verdana" w:hAnsi="Verdana" w:cs="Arial"/>
          <w:sz w:val="22"/>
          <w:szCs w:val="22"/>
        </w:rPr>
        <w:t>ASÍ COMO</w:t>
      </w:r>
      <w:r w:rsidR="007156A7" w:rsidRPr="007156A7">
        <w:rPr>
          <w:rFonts w:ascii="Verdana" w:hAnsi="Verdana" w:cs="Arial"/>
          <w:sz w:val="22"/>
          <w:szCs w:val="22"/>
        </w:rPr>
        <w:t xml:space="preserve"> EL</w:t>
      </w:r>
      <w:r w:rsidR="002A6275">
        <w:rPr>
          <w:rFonts w:ascii="Verdana" w:hAnsi="Verdana" w:cs="Arial"/>
          <w:sz w:val="22"/>
          <w:szCs w:val="22"/>
        </w:rPr>
        <w:t xml:space="preserve"> </w:t>
      </w:r>
      <w:r w:rsidR="007156A7" w:rsidRPr="007156A7">
        <w:rPr>
          <w:rFonts w:ascii="Verdana" w:hAnsi="Verdana" w:cs="Arial"/>
          <w:sz w:val="22"/>
          <w:szCs w:val="22"/>
        </w:rPr>
        <w:t>DECRETO 2555 DE 2010, MODIFICADO POR EL DECRETO 1272 DE 2024</w:t>
      </w:r>
      <w:r w:rsidR="007F6AB0">
        <w:rPr>
          <w:rFonts w:ascii="Verdana" w:hAnsi="Verdana" w:cs="Arial"/>
          <w:sz w:val="22"/>
          <w:szCs w:val="22"/>
        </w:rPr>
        <w:t xml:space="preserve"> Y EL DECRETO 219 DE 2026</w:t>
      </w:r>
      <w:r w:rsidR="007156A7" w:rsidRPr="007156A7">
        <w:rPr>
          <w:rFonts w:ascii="Verdana" w:hAnsi="Verdana" w:cs="Arial"/>
          <w:sz w:val="22"/>
          <w:szCs w:val="22"/>
        </w:rPr>
        <w:t>,</w:t>
      </w:r>
      <w:r w:rsidR="002A6275">
        <w:rPr>
          <w:rFonts w:ascii="Verdana" w:hAnsi="Verdana" w:cs="Arial"/>
          <w:sz w:val="22"/>
          <w:szCs w:val="22"/>
        </w:rPr>
        <w:t xml:space="preserve"> </w:t>
      </w:r>
      <w:r w:rsidR="007156A7" w:rsidRPr="007156A7">
        <w:rPr>
          <w:rFonts w:ascii="Verdana" w:hAnsi="Verdana" w:cs="Arial"/>
          <w:sz w:val="22"/>
          <w:szCs w:val="22"/>
        </w:rPr>
        <w:t>EN MATERIA DE RESERVAS TÉCNICAS</w:t>
      </w:r>
    </w:p>
    <w:p w14:paraId="5AAB1AC7" w14:textId="77777777" w:rsidR="00D41E1D" w:rsidRPr="007C1A06" w:rsidRDefault="00D41E1D" w:rsidP="00D41E1D">
      <w:pPr>
        <w:widowControl w:val="0"/>
        <w:autoSpaceDE w:val="0"/>
        <w:autoSpaceDN w:val="0"/>
        <w:adjustRightInd w:val="0"/>
        <w:spacing w:line="276" w:lineRule="auto"/>
        <w:ind w:left="1560" w:hanging="1560"/>
        <w:jc w:val="both"/>
        <w:rPr>
          <w:rFonts w:ascii="Verdana" w:hAnsi="Verdana" w:cs="Arial"/>
          <w:b/>
          <w:sz w:val="22"/>
          <w:szCs w:val="22"/>
        </w:rPr>
      </w:pPr>
    </w:p>
    <w:p w14:paraId="712F3475" w14:textId="77777777" w:rsidR="00D41E1D" w:rsidRPr="007C1A06" w:rsidRDefault="00D41E1D" w:rsidP="00D41E1D">
      <w:pPr>
        <w:widowControl w:val="0"/>
        <w:autoSpaceDE w:val="0"/>
        <w:autoSpaceDN w:val="0"/>
        <w:adjustRightInd w:val="0"/>
        <w:spacing w:line="276" w:lineRule="auto"/>
        <w:ind w:left="1560" w:hanging="1560"/>
        <w:jc w:val="both"/>
        <w:rPr>
          <w:rFonts w:ascii="Verdana" w:hAnsi="Verdana" w:cs="Arial"/>
          <w:b/>
          <w:sz w:val="22"/>
          <w:szCs w:val="22"/>
        </w:rPr>
      </w:pPr>
    </w:p>
    <w:p w14:paraId="48AE0F0A" w14:textId="2006C53C" w:rsidR="00EF7113" w:rsidRDefault="00D41E1D" w:rsidP="00D41E1D">
      <w:pPr>
        <w:widowControl w:val="0"/>
        <w:autoSpaceDE w:val="0"/>
        <w:autoSpaceDN w:val="0"/>
        <w:adjustRightInd w:val="0"/>
        <w:spacing w:line="276" w:lineRule="auto"/>
        <w:jc w:val="both"/>
        <w:rPr>
          <w:rFonts w:ascii="Verdana" w:hAnsi="Verdana" w:cs="Arial"/>
          <w:b/>
          <w:sz w:val="22"/>
          <w:szCs w:val="22"/>
        </w:rPr>
      </w:pPr>
      <w:r w:rsidRPr="007C1A06">
        <w:rPr>
          <w:rFonts w:ascii="Verdana" w:hAnsi="Verdana" w:cs="Arial"/>
          <w:b/>
          <w:sz w:val="22"/>
          <w:szCs w:val="22"/>
        </w:rPr>
        <w:t xml:space="preserve">Referencia: </w:t>
      </w:r>
      <w:r w:rsidR="00F551FF">
        <w:rPr>
          <w:rFonts w:ascii="Verdana" w:hAnsi="Verdana" w:cs="Arial"/>
          <w:b/>
          <w:sz w:val="22"/>
          <w:szCs w:val="22"/>
        </w:rPr>
        <w:t xml:space="preserve">Ampliación del plazo </w:t>
      </w:r>
      <w:r w:rsidR="00EF7113">
        <w:rPr>
          <w:rFonts w:ascii="Verdana" w:hAnsi="Verdana" w:cs="Arial"/>
          <w:b/>
          <w:sz w:val="22"/>
          <w:szCs w:val="22"/>
        </w:rPr>
        <w:t xml:space="preserve">de la </w:t>
      </w:r>
      <w:proofErr w:type="gramStart"/>
      <w:r w:rsidR="00EF7113">
        <w:rPr>
          <w:rFonts w:ascii="Verdana" w:hAnsi="Verdana" w:cs="Arial"/>
          <w:b/>
          <w:sz w:val="22"/>
          <w:szCs w:val="22"/>
        </w:rPr>
        <w:t>entrada en vigencia</w:t>
      </w:r>
      <w:proofErr w:type="gramEnd"/>
      <w:r w:rsidR="00EF7113">
        <w:rPr>
          <w:rFonts w:ascii="Verdana" w:hAnsi="Verdana" w:cs="Arial"/>
          <w:b/>
          <w:sz w:val="22"/>
          <w:szCs w:val="22"/>
        </w:rPr>
        <w:t xml:space="preserve"> de la</w:t>
      </w:r>
      <w:r w:rsidR="00B20ED6">
        <w:rPr>
          <w:rFonts w:ascii="Verdana" w:hAnsi="Verdana" w:cs="Arial"/>
          <w:b/>
          <w:sz w:val="22"/>
          <w:szCs w:val="22"/>
        </w:rPr>
        <w:t>s instrucciones de la</w:t>
      </w:r>
      <w:r w:rsidR="00EF7113">
        <w:rPr>
          <w:rFonts w:ascii="Verdana" w:hAnsi="Verdana" w:cs="Arial"/>
          <w:b/>
          <w:sz w:val="22"/>
          <w:szCs w:val="22"/>
        </w:rPr>
        <w:t xml:space="preserve"> Circular Externa 013 de 2025</w:t>
      </w:r>
    </w:p>
    <w:p w14:paraId="006792FE" w14:textId="77777777" w:rsidR="00D41E1D" w:rsidRDefault="00D41E1D" w:rsidP="00D41E1D">
      <w:pPr>
        <w:widowControl w:val="0"/>
        <w:autoSpaceDE w:val="0"/>
        <w:autoSpaceDN w:val="0"/>
        <w:adjustRightInd w:val="0"/>
        <w:spacing w:line="276" w:lineRule="auto"/>
        <w:jc w:val="both"/>
        <w:rPr>
          <w:rFonts w:ascii="Verdana" w:hAnsi="Verdana" w:cs="Arial"/>
          <w:b/>
          <w:sz w:val="22"/>
          <w:szCs w:val="22"/>
        </w:rPr>
      </w:pPr>
    </w:p>
    <w:p w14:paraId="48B1A92E" w14:textId="77777777" w:rsidR="00360ABD" w:rsidRPr="007C1A06" w:rsidRDefault="00360ABD" w:rsidP="00D41E1D">
      <w:pPr>
        <w:widowControl w:val="0"/>
        <w:autoSpaceDE w:val="0"/>
        <w:autoSpaceDN w:val="0"/>
        <w:adjustRightInd w:val="0"/>
        <w:spacing w:line="276" w:lineRule="auto"/>
        <w:jc w:val="both"/>
        <w:rPr>
          <w:rFonts w:ascii="Verdana" w:hAnsi="Verdana" w:cs="Arial"/>
          <w:b/>
          <w:sz w:val="22"/>
          <w:szCs w:val="22"/>
        </w:rPr>
      </w:pPr>
    </w:p>
    <w:p w14:paraId="39664A6B" w14:textId="77777777" w:rsidR="00D41E1D" w:rsidRPr="007C1A06" w:rsidRDefault="00D41E1D" w:rsidP="00D41E1D">
      <w:pPr>
        <w:widowControl w:val="0"/>
        <w:adjustRightInd w:val="0"/>
        <w:spacing w:line="276" w:lineRule="auto"/>
        <w:jc w:val="both"/>
        <w:rPr>
          <w:rFonts w:ascii="Verdana" w:hAnsi="Verdana" w:cs="Arial"/>
          <w:color w:val="000000"/>
          <w:sz w:val="22"/>
          <w:szCs w:val="22"/>
        </w:rPr>
      </w:pPr>
      <w:r w:rsidRPr="007C1A06">
        <w:rPr>
          <w:rFonts w:ascii="Verdana" w:hAnsi="Verdana" w:cs="Arial"/>
          <w:color w:val="000000"/>
          <w:sz w:val="22"/>
          <w:szCs w:val="22"/>
        </w:rPr>
        <w:t>Apreciados señores:</w:t>
      </w:r>
    </w:p>
    <w:p w14:paraId="2441C2FD" w14:textId="77777777" w:rsidR="00D41E1D" w:rsidRPr="007C1A06" w:rsidRDefault="00D41E1D" w:rsidP="00D41E1D">
      <w:pPr>
        <w:pStyle w:val="Piedepgina"/>
        <w:tabs>
          <w:tab w:val="right" w:pos="8789"/>
        </w:tabs>
        <w:spacing w:line="276" w:lineRule="auto"/>
        <w:jc w:val="both"/>
        <w:rPr>
          <w:rFonts w:ascii="Verdana" w:hAnsi="Verdana" w:cs="Arial"/>
          <w:lang w:val="es-ES"/>
        </w:rPr>
      </w:pPr>
    </w:p>
    <w:p w14:paraId="7C357088" w14:textId="77777777" w:rsidR="00244195" w:rsidRPr="00244195" w:rsidRDefault="00244195" w:rsidP="00244195">
      <w:pPr>
        <w:pStyle w:val="Piedepgina"/>
        <w:tabs>
          <w:tab w:val="right" w:pos="8789"/>
        </w:tabs>
        <w:spacing w:line="276" w:lineRule="auto"/>
        <w:jc w:val="both"/>
        <w:rPr>
          <w:rFonts w:ascii="Verdana" w:hAnsi="Verdana" w:cs="Arial"/>
        </w:rPr>
      </w:pPr>
      <w:r w:rsidRPr="00244195">
        <w:rPr>
          <w:rFonts w:ascii="Verdana" w:hAnsi="Verdana" w:cs="Arial"/>
        </w:rPr>
        <w:t>Las modificaciones a las Normas Internacionales de Información Financiera (NIIF) tienen como propósito fortalecer la calidad, claridad y utilidad de los reportes financieros. Para ello, se exige a las entidades una mayor revelación de información y una presentación más adecuada, con el objetivo de apoyar de manera más efectiva la toma de decisiones por parte de quienes utilizan dichos estados financieros.</w:t>
      </w:r>
    </w:p>
    <w:p w14:paraId="292B1A9A" w14:textId="77777777" w:rsidR="00244195" w:rsidRPr="00244195" w:rsidRDefault="00244195" w:rsidP="00244195">
      <w:pPr>
        <w:pStyle w:val="Piedepgina"/>
        <w:tabs>
          <w:tab w:val="right" w:pos="8789"/>
        </w:tabs>
        <w:spacing w:line="276" w:lineRule="auto"/>
        <w:jc w:val="both"/>
        <w:rPr>
          <w:rFonts w:ascii="Verdana" w:hAnsi="Verdana" w:cs="Arial"/>
        </w:rPr>
      </w:pPr>
    </w:p>
    <w:p w14:paraId="75A84FE6" w14:textId="4844C6D4" w:rsidR="00244195" w:rsidRPr="00244195" w:rsidRDefault="00244195" w:rsidP="00244195">
      <w:pPr>
        <w:pStyle w:val="Piedepgina"/>
        <w:tabs>
          <w:tab w:val="right" w:pos="8789"/>
        </w:tabs>
        <w:spacing w:line="276" w:lineRule="auto"/>
        <w:jc w:val="both"/>
        <w:rPr>
          <w:rFonts w:ascii="Verdana" w:hAnsi="Verdana" w:cs="Arial"/>
        </w:rPr>
      </w:pPr>
      <w:r w:rsidRPr="00244195">
        <w:rPr>
          <w:rFonts w:ascii="Verdana" w:hAnsi="Verdana" w:cs="Arial"/>
        </w:rPr>
        <w:t xml:space="preserve">En este contexto, y en cumplimiento de las facultades previstas en la Ley 1314 de 2009, el Gobierno Nacional ha continuado con el proceso de convergencia hacia las NIIF. Esto se ha materializado mediante la actualización e incorporación de </w:t>
      </w:r>
      <w:r w:rsidR="002B32DA">
        <w:rPr>
          <w:rFonts w:ascii="Verdana" w:hAnsi="Verdana" w:cs="Arial"/>
        </w:rPr>
        <w:t xml:space="preserve">los </w:t>
      </w:r>
      <w:r w:rsidRPr="00244195">
        <w:rPr>
          <w:rFonts w:ascii="Verdana" w:hAnsi="Verdana" w:cs="Arial"/>
        </w:rPr>
        <w:t>estándares internacionales de información financiera en el Decreto Único Reglamentario 2420 de 2015.</w:t>
      </w:r>
    </w:p>
    <w:p w14:paraId="550E0F1C" w14:textId="77777777" w:rsidR="00244195" w:rsidRPr="00244195" w:rsidRDefault="00244195" w:rsidP="00244195">
      <w:pPr>
        <w:pStyle w:val="Piedepgina"/>
        <w:tabs>
          <w:tab w:val="right" w:pos="8789"/>
        </w:tabs>
        <w:spacing w:line="276" w:lineRule="auto"/>
        <w:jc w:val="both"/>
        <w:rPr>
          <w:rFonts w:ascii="Verdana" w:hAnsi="Verdana" w:cs="Arial"/>
        </w:rPr>
      </w:pPr>
    </w:p>
    <w:p w14:paraId="17667606" w14:textId="725D183F" w:rsidR="00244195" w:rsidRPr="00244195" w:rsidRDefault="00B05F1B" w:rsidP="00244195">
      <w:pPr>
        <w:pStyle w:val="Piedepgina"/>
        <w:tabs>
          <w:tab w:val="right" w:pos="8789"/>
        </w:tabs>
        <w:spacing w:line="276" w:lineRule="auto"/>
        <w:jc w:val="both"/>
        <w:rPr>
          <w:rFonts w:ascii="Verdana" w:hAnsi="Verdana" w:cs="Arial"/>
        </w:rPr>
      </w:pPr>
      <w:r>
        <w:rPr>
          <w:rFonts w:ascii="Verdana" w:hAnsi="Verdana" w:cs="Arial"/>
        </w:rPr>
        <w:t>Mediante</w:t>
      </w:r>
      <w:r w:rsidR="00244195" w:rsidRPr="00244195">
        <w:rPr>
          <w:rFonts w:ascii="Verdana" w:hAnsi="Verdana" w:cs="Arial"/>
        </w:rPr>
        <w:t xml:space="preserve"> la expedición del Decreto 1271 de 2024 se integró al Decreto Único 2420 de 2015 la NIIF 17 </w:t>
      </w:r>
      <w:r>
        <w:rPr>
          <w:rFonts w:ascii="Verdana" w:hAnsi="Verdana" w:cs="Arial"/>
        </w:rPr>
        <w:t>«</w:t>
      </w:r>
      <w:r w:rsidR="00244195" w:rsidRPr="00B05F1B">
        <w:rPr>
          <w:rFonts w:ascii="Verdana" w:hAnsi="Verdana" w:cs="Arial"/>
          <w:i/>
          <w:iCs/>
        </w:rPr>
        <w:t>Contratos de seguro</w:t>
      </w:r>
      <w:r>
        <w:rPr>
          <w:rFonts w:ascii="Verdana" w:hAnsi="Verdana" w:cs="Arial"/>
        </w:rPr>
        <w:t>»</w:t>
      </w:r>
      <w:r w:rsidR="00244195" w:rsidRPr="00244195">
        <w:rPr>
          <w:rFonts w:ascii="Verdana" w:hAnsi="Verdana" w:cs="Arial"/>
        </w:rPr>
        <w:t>, con el fin de que las compañías aseguradoras reconozcan y presenten la información relacionada con estos contratos en armonía con el estándar internacional. De igual manera, la Contaduría General de la Nación (CGN), a través de la Resolución 441 de 2024, modificó la Resolución 037 de 2017 para incorporar dentro de sus marcos normativos el anexo técnico contemplado en el Decreto 2420 de 2015.</w:t>
      </w:r>
    </w:p>
    <w:p w14:paraId="50CA7748" w14:textId="77777777" w:rsidR="00244195" w:rsidRPr="00244195" w:rsidRDefault="00244195" w:rsidP="00244195">
      <w:pPr>
        <w:pStyle w:val="Piedepgina"/>
        <w:tabs>
          <w:tab w:val="right" w:pos="8789"/>
        </w:tabs>
        <w:spacing w:line="276" w:lineRule="auto"/>
        <w:jc w:val="both"/>
        <w:rPr>
          <w:rFonts w:ascii="Verdana" w:hAnsi="Verdana" w:cs="Arial"/>
        </w:rPr>
      </w:pPr>
    </w:p>
    <w:p w14:paraId="024EDA5B" w14:textId="77777777" w:rsidR="00244195" w:rsidRPr="00244195" w:rsidRDefault="00244195" w:rsidP="00244195">
      <w:pPr>
        <w:pStyle w:val="Piedepgina"/>
        <w:tabs>
          <w:tab w:val="right" w:pos="8789"/>
        </w:tabs>
        <w:spacing w:line="276" w:lineRule="auto"/>
        <w:jc w:val="both"/>
        <w:rPr>
          <w:rFonts w:ascii="Verdana" w:hAnsi="Verdana" w:cs="Arial"/>
        </w:rPr>
      </w:pPr>
      <w:r w:rsidRPr="00244195">
        <w:rPr>
          <w:rFonts w:ascii="Verdana" w:hAnsi="Verdana" w:cs="Arial"/>
        </w:rPr>
        <w:t>En coherencia con estas actualizaciones en materia de información financiera, el Gobierno Nacional también expidió el Decreto 1272 de 2024, el cual introdujo ajustes al Decreto 2555 de 2010 en lo referente al régimen prudencial de reservas técnicas, en desarrollo de lo dispuesto en el artículo 186 del Estatuto Orgánico del Sistema Financiero (EOSF).</w:t>
      </w:r>
    </w:p>
    <w:p w14:paraId="261B7654" w14:textId="77777777" w:rsidR="00244195" w:rsidRPr="00244195" w:rsidRDefault="00244195" w:rsidP="00244195">
      <w:pPr>
        <w:pStyle w:val="Piedepgina"/>
        <w:tabs>
          <w:tab w:val="right" w:pos="8789"/>
        </w:tabs>
        <w:spacing w:line="276" w:lineRule="auto"/>
        <w:jc w:val="both"/>
        <w:rPr>
          <w:rFonts w:ascii="Verdana" w:hAnsi="Verdana" w:cs="Arial"/>
        </w:rPr>
      </w:pPr>
    </w:p>
    <w:p w14:paraId="1B148D04" w14:textId="38D10CFA" w:rsidR="00254A5F" w:rsidRDefault="00BE7670" w:rsidP="00D41E1D">
      <w:pPr>
        <w:pStyle w:val="Piedepgina"/>
        <w:tabs>
          <w:tab w:val="right" w:pos="8789"/>
        </w:tabs>
        <w:spacing w:line="276" w:lineRule="auto"/>
        <w:jc w:val="both"/>
        <w:rPr>
          <w:rFonts w:ascii="Verdana" w:hAnsi="Verdana" w:cs="Arial"/>
        </w:rPr>
      </w:pPr>
      <w:r>
        <w:rPr>
          <w:rFonts w:ascii="Verdana" w:hAnsi="Verdana" w:cs="Arial"/>
        </w:rPr>
        <w:t>En ese sentido,</w:t>
      </w:r>
      <w:r w:rsidR="00B54E9E">
        <w:rPr>
          <w:rFonts w:ascii="Verdana" w:hAnsi="Verdana" w:cs="Arial"/>
        </w:rPr>
        <w:t xml:space="preserve"> por medio de la Circular Externa 013 de 2025,</w:t>
      </w:r>
      <w:r w:rsidR="00D41E1D" w:rsidRPr="007C1A06">
        <w:rPr>
          <w:rFonts w:ascii="Verdana" w:hAnsi="Verdana" w:cs="Arial"/>
        </w:rPr>
        <w:t xml:space="preserve"> la Superintendencia Financiera de Colombia (SFC) impartió instrucciones </w:t>
      </w:r>
      <w:r w:rsidR="00085E9B" w:rsidRPr="00244195">
        <w:rPr>
          <w:rFonts w:ascii="Verdana" w:hAnsi="Verdana" w:cs="Arial"/>
        </w:rPr>
        <w:t>relacionadas con la aplicación de los Decretos 1271 y 1272 de 2024</w:t>
      </w:r>
      <w:r w:rsidR="008227D4">
        <w:rPr>
          <w:rFonts w:ascii="Verdana" w:hAnsi="Verdana" w:cs="Arial"/>
        </w:rPr>
        <w:t xml:space="preserve"> en las cuales se abarca e</w:t>
      </w:r>
      <w:r w:rsidR="00D21062" w:rsidRPr="00D21062">
        <w:rPr>
          <w:rFonts w:ascii="Verdana" w:hAnsi="Verdana" w:cs="Arial"/>
        </w:rPr>
        <w:t xml:space="preserve">l régimen de reservas técnicas de las entidades aseguradoras, </w:t>
      </w:r>
      <w:r w:rsidR="00085E9B">
        <w:rPr>
          <w:rFonts w:ascii="Verdana" w:hAnsi="Verdana" w:cs="Arial"/>
        </w:rPr>
        <w:t xml:space="preserve">así como </w:t>
      </w:r>
      <w:r w:rsidR="00D21062" w:rsidRPr="00D21062">
        <w:rPr>
          <w:rFonts w:ascii="Verdana" w:hAnsi="Verdana" w:cs="Arial"/>
        </w:rPr>
        <w:t>la adopción de los marcos técnicos normativos de información financiera aplicables a los contratos de seguro</w:t>
      </w:r>
      <w:r w:rsidR="008227D4">
        <w:rPr>
          <w:rFonts w:ascii="Verdana" w:hAnsi="Verdana" w:cs="Arial"/>
        </w:rPr>
        <w:t>.</w:t>
      </w:r>
    </w:p>
    <w:p w14:paraId="2150882A" w14:textId="77777777" w:rsidR="00437AC4" w:rsidRDefault="00437AC4" w:rsidP="0049143D">
      <w:pPr>
        <w:pStyle w:val="Piedepgina"/>
        <w:tabs>
          <w:tab w:val="right" w:pos="8789"/>
        </w:tabs>
        <w:spacing w:line="276" w:lineRule="auto"/>
        <w:jc w:val="both"/>
        <w:rPr>
          <w:rFonts w:ascii="Verdana" w:hAnsi="Verdana" w:cs="Arial"/>
        </w:rPr>
      </w:pPr>
    </w:p>
    <w:p w14:paraId="7D84B124" w14:textId="528A5E4D" w:rsidR="005D6307" w:rsidRDefault="008F2A96" w:rsidP="0049143D">
      <w:pPr>
        <w:pStyle w:val="Piedepgina"/>
        <w:tabs>
          <w:tab w:val="right" w:pos="8789"/>
        </w:tabs>
        <w:spacing w:line="276" w:lineRule="auto"/>
        <w:jc w:val="both"/>
        <w:rPr>
          <w:rFonts w:ascii="Verdana" w:hAnsi="Verdana" w:cs="Arial"/>
        </w:rPr>
      </w:pPr>
      <w:r>
        <w:rPr>
          <w:rFonts w:ascii="Verdana" w:hAnsi="Verdana" w:cs="Arial"/>
        </w:rPr>
        <w:t xml:space="preserve">Teniendo en cuenta la solicitud de la </w:t>
      </w:r>
      <w:r w:rsidRPr="00627E00">
        <w:rPr>
          <w:rFonts w:ascii="Verdana" w:hAnsi="Verdana" w:cs="Arial"/>
        </w:rPr>
        <w:t>Federación de Aseguradores Colombiano</w:t>
      </w:r>
      <w:r>
        <w:rPr>
          <w:rFonts w:ascii="Verdana" w:hAnsi="Verdana" w:cs="Arial"/>
        </w:rPr>
        <w:t xml:space="preserve"> (FASECOLDA) </w:t>
      </w:r>
      <w:r w:rsidR="00DC0EEA">
        <w:rPr>
          <w:rFonts w:ascii="Verdana" w:hAnsi="Verdana" w:cs="Arial"/>
        </w:rPr>
        <w:t xml:space="preserve">en la cual resaltó </w:t>
      </w:r>
      <w:r>
        <w:rPr>
          <w:rFonts w:ascii="Verdana" w:hAnsi="Verdana" w:cs="Arial"/>
        </w:rPr>
        <w:t>la alta complejidad en la aplicación de la NIIF 17 «</w:t>
      </w:r>
      <w:r w:rsidRPr="00AE04FA">
        <w:rPr>
          <w:rFonts w:ascii="Verdana" w:hAnsi="Verdana" w:cs="Arial"/>
          <w:i/>
          <w:iCs/>
        </w:rPr>
        <w:t>Contratos de seguros</w:t>
      </w:r>
      <w:r>
        <w:rPr>
          <w:rFonts w:ascii="Verdana" w:hAnsi="Verdana" w:cs="Arial"/>
        </w:rPr>
        <w:t>»,</w:t>
      </w:r>
      <w:r w:rsidR="00376673" w:rsidRPr="00FA11C5">
        <w:rPr>
          <w:rFonts w:ascii="Verdana" w:hAnsi="Verdana" w:cs="Arial"/>
        </w:rPr>
        <w:t xml:space="preserve"> el Gobierno Nacional expidió el Decreto </w:t>
      </w:r>
      <w:r w:rsidR="001E4B86" w:rsidRPr="00FA11C5">
        <w:rPr>
          <w:rFonts w:ascii="Verdana" w:hAnsi="Verdana" w:cs="Arial"/>
        </w:rPr>
        <w:t>217 de 2026 «</w:t>
      </w:r>
      <w:r w:rsidR="00AE1BC8" w:rsidRPr="00FA11C5">
        <w:rPr>
          <w:rFonts w:ascii="Verdana" w:hAnsi="Verdana" w:cs="Arial"/>
          <w:i/>
          <w:iCs/>
        </w:rPr>
        <w:t>Por el cual se modifica el artículo 4 del Decreto 1271 de 2024, en lo relacionado con la entrada en vigencia de la Norma de Información Financiera NIIF 17, Contratos de Seguro y se adiciona al Capítulo 1 del Título 4 de la Parte 1 del Libro 1 del Decreto 2420 de 2025, Único Reglamentario de las Normas de Contabilidad, de Información Financiera y de Aseguramiento de la Información</w:t>
      </w:r>
      <w:r w:rsidR="00AE1BC8" w:rsidRPr="00FA11C5">
        <w:rPr>
          <w:rFonts w:ascii="Verdana" w:hAnsi="Verdana" w:cs="Arial"/>
        </w:rPr>
        <w:t xml:space="preserve">», así como el Decreto </w:t>
      </w:r>
      <w:r w:rsidR="00F51451">
        <w:rPr>
          <w:rFonts w:ascii="Verdana" w:hAnsi="Verdana" w:cs="Arial"/>
        </w:rPr>
        <w:t xml:space="preserve">219 de 2026 </w:t>
      </w:r>
      <w:r w:rsidR="00AE1BC8" w:rsidRPr="00FA11C5">
        <w:rPr>
          <w:rFonts w:ascii="Verdana" w:hAnsi="Verdana" w:cs="Arial"/>
        </w:rPr>
        <w:t>«</w:t>
      </w:r>
      <w:r w:rsidR="00AE1BC8" w:rsidRPr="00FA11C5">
        <w:rPr>
          <w:rFonts w:ascii="Verdana" w:hAnsi="Verdana" w:cs="Arial"/>
          <w:i/>
          <w:iCs/>
        </w:rPr>
        <w:t>Por el cual se modifica el numeral 1, del artículo 13, del Decreto 1272 de 2024, en lo relacionado con la entrada vigencia del régimen de reservas técnicas de las entidades aseguradoras y se dictan otras disposiciones y se adiciona al Capítulo VI, del Título IV, del Libro 31 de la Parte 2 del Decreto 2555 de 2010</w:t>
      </w:r>
      <w:r w:rsidR="00AE1BC8" w:rsidRPr="00FA11C5">
        <w:rPr>
          <w:rFonts w:ascii="Verdana" w:hAnsi="Verdana" w:cs="Arial"/>
        </w:rPr>
        <w:t>»</w:t>
      </w:r>
      <w:r w:rsidR="00DC0EEA">
        <w:rPr>
          <w:rFonts w:ascii="Verdana" w:hAnsi="Verdana" w:cs="Arial"/>
        </w:rPr>
        <w:t>, ampliando la</w:t>
      </w:r>
      <w:r w:rsidR="00DC50A5">
        <w:rPr>
          <w:rFonts w:ascii="Verdana" w:hAnsi="Verdana" w:cs="Arial"/>
        </w:rPr>
        <w:t xml:space="preserve"> fecha de</w:t>
      </w:r>
      <w:r w:rsidR="00DC0EEA">
        <w:rPr>
          <w:rFonts w:ascii="Verdana" w:hAnsi="Verdana" w:cs="Arial"/>
        </w:rPr>
        <w:t xml:space="preserve"> </w:t>
      </w:r>
      <w:r w:rsidR="00DC50A5">
        <w:rPr>
          <w:rFonts w:ascii="Verdana" w:hAnsi="Verdana" w:cs="Arial"/>
        </w:rPr>
        <w:t xml:space="preserve">entrada en vigencia de la NIIF 17 «Contratos de seguros» a partir del 1 de enero del 2028. </w:t>
      </w:r>
    </w:p>
    <w:p w14:paraId="764E6588" w14:textId="77777777" w:rsidR="00D41E1D" w:rsidRPr="00FA11C5" w:rsidRDefault="00D41E1D" w:rsidP="00D41E1D">
      <w:pPr>
        <w:pStyle w:val="Piedepgina"/>
        <w:tabs>
          <w:tab w:val="right" w:pos="8789"/>
        </w:tabs>
        <w:spacing w:line="276" w:lineRule="auto"/>
        <w:jc w:val="both"/>
        <w:rPr>
          <w:rFonts w:ascii="Verdana" w:hAnsi="Verdana" w:cs="Arial"/>
        </w:rPr>
      </w:pPr>
    </w:p>
    <w:p w14:paraId="7E9DA81D" w14:textId="198C9BF0" w:rsidR="00AE1BC8" w:rsidRPr="00FA11C5" w:rsidRDefault="00AE1BC8" w:rsidP="00D41E1D">
      <w:pPr>
        <w:pStyle w:val="Piedepgina"/>
        <w:tabs>
          <w:tab w:val="right" w:pos="8789"/>
        </w:tabs>
        <w:spacing w:line="276" w:lineRule="auto"/>
        <w:jc w:val="both"/>
        <w:rPr>
          <w:rFonts w:ascii="Verdana" w:hAnsi="Verdana" w:cs="Arial"/>
        </w:rPr>
      </w:pPr>
      <w:r w:rsidRPr="00FA11C5">
        <w:rPr>
          <w:rFonts w:ascii="Verdana" w:hAnsi="Verdana" w:cs="Arial"/>
        </w:rPr>
        <w:t xml:space="preserve">En ese sentido, </w:t>
      </w:r>
      <w:r w:rsidR="00031CB2" w:rsidRPr="00FA11C5">
        <w:rPr>
          <w:rFonts w:ascii="Verdana" w:hAnsi="Verdana" w:cs="Arial"/>
        </w:rPr>
        <w:t>es necesario actualizar los plazos previstos por medio de la Circular Externa 013 de 2025</w:t>
      </w:r>
      <w:r w:rsidR="00FA11C5" w:rsidRPr="00FA11C5">
        <w:rPr>
          <w:rFonts w:ascii="Verdana" w:hAnsi="Verdana" w:cs="Arial"/>
        </w:rPr>
        <w:t xml:space="preserve">, con el objetivo de que los mismos atiendan lo dispuesto en los Decretos 217 y 219 de 2026 que modificaron la </w:t>
      </w:r>
      <w:proofErr w:type="gramStart"/>
      <w:r w:rsidR="00FA11C5" w:rsidRPr="00FA11C5">
        <w:rPr>
          <w:rFonts w:ascii="Verdana" w:hAnsi="Verdana" w:cs="Arial"/>
        </w:rPr>
        <w:t>entrada en vigencia</w:t>
      </w:r>
      <w:proofErr w:type="gramEnd"/>
      <w:r w:rsidR="00FA11C5" w:rsidRPr="00FA11C5">
        <w:rPr>
          <w:rFonts w:ascii="Verdana" w:hAnsi="Verdana" w:cs="Arial"/>
        </w:rPr>
        <w:t xml:space="preserve"> de los Decretos 1271 y 1272 de 2024. </w:t>
      </w:r>
    </w:p>
    <w:p w14:paraId="030F8D74" w14:textId="77777777" w:rsidR="00D41E1D" w:rsidRPr="007C1A06" w:rsidRDefault="00D41E1D" w:rsidP="00D41E1D">
      <w:pPr>
        <w:pStyle w:val="Piedepgina"/>
        <w:tabs>
          <w:tab w:val="right" w:pos="8789"/>
        </w:tabs>
        <w:spacing w:line="276" w:lineRule="auto"/>
        <w:jc w:val="both"/>
        <w:rPr>
          <w:rFonts w:ascii="Verdana" w:hAnsi="Verdana" w:cs="Arial"/>
        </w:rPr>
      </w:pPr>
    </w:p>
    <w:p w14:paraId="55051F1E" w14:textId="194DBF36" w:rsidR="001942C9" w:rsidRPr="007C1A06" w:rsidRDefault="00D41E1D" w:rsidP="00D41E1D">
      <w:pPr>
        <w:pStyle w:val="Piedepgina"/>
        <w:tabs>
          <w:tab w:val="right" w:pos="8789"/>
        </w:tabs>
        <w:spacing w:line="276" w:lineRule="auto"/>
        <w:jc w:val="both"/>
        <w:rPr>
          <w:rFonts w:ascii="Verdana" w:hAnsi="Verdana" w:cs="Arial"/>
          <w:lang w:val="es-ES"/>
        </w:rPr>
      </w:pPr>
      <w:r w:rsidRPr="007C1A06">
        <w:rPr>
          <w:rFonts w:ascii="Verdana" w:hAnsi="Verdana" w:cs="Arial"/>
          <w:lang w:val="es-ES"/>
        </w:rPr>
        <w:t xml:space="preserve">En consecuencia, y en virtud de las facultades previstas </w:t>
      </w:r>
      <w:r w:rsidR="001942C9" w:rsidRPr="001942C9">
        <w:rPr>
          <w:rFonts w:ascii="Verdana" w:hAnsi="Verdana" w:cs="Arial"/>
          <w:lang w:val="es-ES"/>
        </w:rPr>
        <w:t>en el numeral 5 del artículo 97, en el literal (a) del numeral 3 del artículo 326 del EOSF, en los numerales 4 y 5 del artículo 11.2.1.4.2 del Decreto 2555 de 2010, y en atención a las facultades especiales señaladas en los Decretos 1271 de 2024 y 1272 de 2024, esta Superintendencia imparte las siguientes instrucciones:</w:t>
      </w:r>
    </w:p>
    <w:p w14:paraId="03C65AD3" w14:textId="77777777" w:rsidR="00D41E1D" w:rsidRPr="007C1A06" w:rsidRDefault="00D41E1D" w:rsidP="00D41E1D">
      <w:pPr>
        <w:pStyle w:val="Piedepgina"/>
        <w:tabs>
          <w:tab w:val="right" w:pos="8789"/>
        </w:tabs>
        <w:spacing w:line="276" w:lineRule="auto"/>
        <w:jc w:val="both"/>
        <w:rPr>
          <w:rFonts w:ascii="Verdana" w:hAnsi="Verdana" w:cs="Arial"/>
          <w:lang w:val="es-ES"/>
        </w:rPr>
      </w:pPr>
    </w:p>
    <w:p w14:paraId="25D01954" w14:textId="1B8BD5D3" w:rsidR="00CF7422" w:rsidRPr="0050074E" w:rsidRDefault="00D41E1D" w:rsidP="00D41E1D">
      <w:pPr>
        <w:spacing w:line="276" w:lineRule="auto"/>
        <w:jc w:val="both"/>
        <w:rPr>
          <w:rFonts w:ascii="Verdana" w:hAnsi="Verdana" w:cs="Arial"/>
          <w:bCs/>
          <w:sz w:val="22"/>
          <w:szCs w:val="22"/>
          <w:lang w:val="es-ES"/>
        </w:rPr>
      </w:pPr>
      <w:r w:rsidRPr="0050074E">
        <w:rPr>
          <w:rFonts w:ascii="Verdana" w:hAnsi="Verdana" w:cs="Arial"/>
          <w:b/>
          <w:sz w:val="22"/>
          <w:szCs w:val="22"/>
          <w:lang w:val="es-ES"/>
        </w:rPr>
        <w:t xml:space="preserve">PRIMERA: </w:t>
      </w:r>
      <w:r w:rsidR="000E4DF9" w:rsidRPr="0050074E">
        <w:rPr>
          <w:rFonts w:ascii="Verdana" w:hAnsi="Verdana" w:cs="Arial"/>
          <w:bCs/>
          <w:sz w:val="22"/>
          <w:szCs w:val="22"/>
          <w:lang w:val="es-ES"/>
        </w:rPr>
        <w:t>Modificar la instrucción S</w:t>
      </w:r>
      <w:r w:rsidR="00FE752A" w:rsidRPr="0050074E">
        <w:rPr>
          <w:rFonts w:ascii="Verdana" w:hAnsi="Verdana" w:cs="Arial"/>
          <w:bCs/>
          <w:sz w:val="22"/>
          <w:szCs w:val="22"/>
          <w:lang w:val="es-ES"/>
        </w:rPr>
        <w:t>ÉPTIMA</w:t>
      </w:r>
      <w:r w:rsidR="000E4DF9" w:rsidRPr="0050074E">
        <w:rPr>
          <w:rFonts w:ascii="Verdana" w:hAnsi="Verdana" w:cs="Arial"/>
          <w:bCs/>
          <w:sz w:val="22"/>
          <w:szCs w:val="22"/>
          <w:lang w:val="es-ES"/>
        </w:rPr>
        <w:t xml:space="preserve"> de la </w:t>
      </w:r>
      <w:r w:rsidR="00BC3481" w:rsidRPr="0050074E">
        <w:rPr>
          <w:rFonts w:ascii="Verdana" w:hAnsi="Verdana" w:cs="Arial"/>
          <w:bCs/>
          <w:sz w:val="22"/>
          <w:szCs w:val="22"/>
          <w:lang w:val="es-ES"/>
        </w:rPr>
        <w:t>Circular Externa 013 de 2025</w:t>
      </w:r>
      <w:r w:rsidR="000E4DF9" w:rsidRPr="0050074E">
        <w:rPr>
          <w:rFonts w:ascii="Verdana" w:hAnsi="Verdana" w:cs="Arial"/>
          <w:bCs/>
          <w:sz w:val="22"/>
          <w:szCs w:val="22"/>
          <w:lang w:val="es-ES"/>
        </w:rPr>
        <w:t xml:space="preserve">, </w:t>
      </w:r>
      <w:r w:rsidR="0050074E" w:rsidRPr="0050074E">
        <w:rPr>
          <w:rFonts w:ascii="Verdana" w:hAnsi="Verdana" w:cs="Arial"/>
          <w:bCs/>
          <w:sz w:val="22"/>
          <w:szCs w:val="22"/>
          <w:lang w:val="es-ES"/>
        </w:rPr>
        <w:t>l</w:t>
      </w:r>
      <w:r w:rsidR="000E4DF9" w:rsidRPr="0050074E">
        <w:rPr>
          <w:rFonts w:ascii="Verdana" w:hAnsi="Verdana" w:cs="Arial"/>
          <w:bCs/>
          <w:sz w:val="22"/>
          <w:szCs w:val="22"/>
          <w:lang w:val="es-ES"/>
        </w:rPr>
        <w:t xml:space="preserve">a cual quedará así: </w:t>
      </w:r>
    </w:p>
    <w:p w14:paraId="663F143B" w14:textId="77777777" w:rsidR="001B6BC1" w:rsidRDefault="001B6BC1" w:rsidP="00D41E1D">
      <w:pPr>
        <w:spacing w:line="276" w:lineRule="auto"/>
        <w:jc w:val="both"/>
        <w:rPr>
          <w:rFonts w:ascii="Verdana" w:hAnsi="Verdana" w:cs="Arial"/>
          <w:bCs/>
          <w:sz w:val="22"/>
          <w:szCs w:val="22"/>
          <w:highlight w:val="yellow"/>
          <w:lang w:val="es-ES"/>
        </w:rPr>
      </w:pPr>
    </w:p>
    <w:p w14:paraId="5877D45D" w14:textId="7CCA2CB6" w:rsidR="001B6BC1" w:rsidRPr="00E20282" w:rsidRDefault="000E4DF9" w:rsidP="00E20282">
      <w:pPr>
        <w:spacing w:line="276" w:lineRule="auto"/>
        <w:ind w:left="708"/>
        <w:jc w:val="both"/>
        <w:rPr>
          <w:rFonts w:ascii="Verdana" w:hAnsi="Verdana" w:cs="Arial"/>
          <w:bCs/>
          <w:i/>
          <w:iCs/>
          <w:sz w:val="22"/>
          <w:szCs w:val="22"/>
          <w:lang w:val="es-ES"/>
        </w:rPr>
      </w:pPr>
      <w:r w:rsidRPr="00E20282">
        <w:rPr>
          <w:rFonts w:ascii="Verdana" w:hAnsi="Verdana" w:cs="Arial"/>
          <w:b/>
          <w:i/>
          <w:iCs/>
          <w:sz w:val="22"/>
          <w:szCs w:val="22"/>
          <w:lang w:val="es-ES"/>
        </w:rPr>
        <w:t>SÉPTIMA: PLAN DE IMPLEMENTACIÓN Y AJUSTE.</w:t>
      </w:r>
      <w:r w:rsidRPr="00E20282">
        <w:rPr>
          <w:rFonts w:ascii="Verdana" w:hAnsi="Verdana" w:cs="Arial"/>
          <w:bCs/>
          <w:i/>
          <w:iCs/>
          <w:sz w:val="22"/>
          <w:szCs w:val="22"/>
          <w:lang w:val="es-ES"/>
        </w:rPr>
        <w:t xml:space="preserve"> </w:t>
      </w:r>
      <w:r w:rsidR="00983118">
        <w:rPr>
          <w:rFonts w:ascii="Verdana" w:hAnsi="Verdana" w:cs="Arial"/>
          <w:bCs/>
          <w:i/>
          <w:iCs/>
          <w:sz w:val="22"/>
          <w:szCs w:val="22"/>
          <w:lang w:val="es-ES"/>
        </w:rPr>
        <w:t xml:space="preserve">A más tardar el </w:t>
      </w:r>
      <w:r w:rsidR="00D40437" w:rsidRPr="00225C4E">
        <w:rPr>
          <w:rFonts w:ascii="Verdana" w:hAnsi="Verdana" w:cs="Arial"/>
          <w:bCs/>
          <w:i/>
          <w:iCs/>
          <w:sz w:val="22"/>
          <w:szCs w:val="22"/>
          <w:lang w:val="es-ES"/>
        </w:rPr>
        <w:t xml:space="preserve">31 de </w:t>
      </w:r>
      <w:r w:rsidR="00DA5FAC" w:rsidRPr="00225C4E">
        <w:rPr>
          <w:rFonts w:ascii="Verdana" w:hAnsi="Verdana" w:cs="Arial"/>
          <w:bCs/>
          <w:i/>
          <w:iCs/>
          <w:sz w:val="22"/>
          <w:szCs w:val="22"/>
          <w:lang w:val="es-ES"/>
        </w:rPr>
        <w:t>agosto</w:t>
      </w:r>
      <w:r w:rsidR="00D40437" w:rsidRPr="00225C4E">
        <w:rPr>
          <w:rFonts w:ascii="Verdana" w:hAnsi="Verdana" w:cs="Arial"/>
          <w:bCs/>
          <w:i/>
          <w:iCs/>
          <w:sz w:val="22"/>
          <w:szCs w:val="22"/>
          <w:lang w:val="es-ES"/>
        </w:rPr>
        <w:t xml:space="preserve"> de 2026</w:t>
      </w:r>
      <w:r w:rsidRPr="00E20282">
        <w:rPr>
          <w:rFonts w:ascii="Verdana" w:hAnsi="Verdana" w:cs="Arial"/>
          <w:bCs/>
          <w:i/>
          <w:iCs/>
          <w:sz w:val="22"/>
          <w:szCs w:val="22"/>
          <w:lang w:val="es-ES"/>
        </w:rPr>
        <w:t xml:space="preserve">, las entidades aseguradoras deben remitir a la SFC un plan de implementación y ajuste en los términos previstos en el numeral 3 del artículo </w:t>
      </w:r>
      <w:r w:rsidR="00D40437" w:rsidRPr="00225C4E">
        <w:rPr>
          <w:rFonts w:ascii="Verdana" w:hAnsi="Verdana" w:cs="Arial"/>
          <w:bCs/>
          <w:i/>
          <w:iCs/>
          <w:sz w:val="22"/>
          <w:szCs w:val="22"/>
          <w:lang w:val="es-ES"/>
        </w:rPr>
        <w:t>1.1.4.1.5 del Decreto 2420 de 2015, adicionado por medio del Decreto 217 de 2026</w:t>
      </w:r>
      <w:r w:rsidRPr="00E20282">
        <w:rPr>
          <w:rFonts w:ascii="Verdana" w:hAnsi="Verdana" w:cs="Arial"/>
          <w:bCs/>
          <w:i/>
          <w:iCs/>
          <w:sz w:val="22"/>
          <w:szCs w:val="22"/>
          <w:lang w:val="es-ES"/>
        </w:rPr>
        <w:t>, el cual debe incluir, como mínimo:</w:t>
      </w:r>
    </w:p>
    <w:p w14:paraId="081AE229" w14:textId="77777777" w:rsidR="001B6BC1" w:rsidRPr="00E20282" w:rsidRDefault="001B6BC1" w:rsidP="00E20282">
      <w:pPr>
        <w:spacing w:line="276" w:lineRule="auto"/>
        <w:ind w:left="708"/>
        <w:jc w:val="both"/>
        <w:rPr>
          <w:rFonts w:ascii="Verdana" w:hAnsi="Verdana" w:cs="Arial"/>
          <w:bCs/>
          <w:i/>
          <w:iCs/>
          <w:sz w:val="22"/>
          <w:szCs w:val="22"/>
          <w:lang w:val="es-ES"/>
        </w:rPr>
      </w:pPr>
    </w:p>
    <w:p w14:paraId="0594C572" w14:textId="77777777" w:rsidR="009D48C0" w:rsidRDefault="001B6BC1" w:rsidP="009D48C0">
      <w:pPr>
        <w:pStyle w:val="Prrafodelista"/>
        <w:numPr>
          <w:ilvl w:val="1"/>
          <w:numId w:val="31"/>
        </w:numPr>
        <w:spacing w:line="276" w:lineRule="auto"/>
        <w:jc w:val="both"/>
        <w:rPr>
          <w:rFonts w:ascii="Verdana" w:hAnsi="Verdana" w:cs="Arial"/>
          <w:bCs/>
          <w:i/>
          <w:iCs/>
          <w:lang w:val="es-ES"/>
        </w:rPr>
      </w:pPr>
      <w:r w:rsidRPr="009D48C0">
        <w:rPr>
          <w:rFonts w:ascii="Verdana" w:hAnsi="Verdana" w:cs="Arial"/>
          <w:bCs/>
          <w:i/>
          <w:iCs/>
          <w:lang w:val="es-ES"/>
        </w:rPr>
        <w:t xml:space="preserve">Un análisis cuantitativo y cualitativo de los potenciales impactos estimados al </w:t>
      </w:r>
      <w:r w:rsidRPr="009D48C0">
        <w:rPr>
          <w:rFonts w:ascii="Verdana" w:hAnsi="Verdana" w:cs="Arial"/>
          <w:i/>
          <w:lang w:val="es-ES"/>
        </w:rPr>
        <w:t>1 de enero de 2028</w:t>
      </w:r>
      <w:r w:rsidRPr="009D48C0">
        <w:rPr>
          <w:rFonts w:ascii="Verdana" w:hAnsi="Verdana" w:cs="Arial"/>
          <w:bCs/>
          <w:i/>
          <w:iCs/>
          <w:lang w:val="es-ES"/>
        </w:rPr>
        <w:t xml:space="preserve">, por la implementación de la nueva normatividad. Este análisis debe mencionar expresamente los potenciales impactos sobre: (i) los pasivos por contratos de seguros, (ii) los activos por contratos de reaseguro mantenidos; (iii) el patrimonio contable, (iv) los requerimientos de patrimonio adecuado, (v) el calce de los activos que respaldan las reservas técnicas y (vi) el capital mínimo requerido para operar. Esta información debe ser remitida a la SFC en los términos previstos en el Anexo No. 1 «Impactos en la aplicación por primera vez de la NIIF 17» de la presente circular.  </w:t>
      </w:r>
    </w:p>
    <w:p w14:paraId="7360E564" w14:textId="77777777" w:rsidR="009D48C0" w:rsidRDefault="009D48C0" w:rsidP="009D48C0">
      <w:pPr>
        <w:pStyle w:val="Prrafodelista"/>
        <w:spacing w:line="276" w:lineRule="auto"/>
        <w:ind w:left="1788"/>
        <w:jc w:val="both"/>
        <w:rPr>
          <w:rFonts w:ascii="Verdana" w:hAnsi="Verdana" w:cs="Arial"/>
          <w:bCs/>
          <w:i/>
          <w:iCs/>
          <w:lang w:val="es-ES"/>
        </w:rPr>
      </w:pPr>
    </w:p>
    <w:p w14:paraId="29DF055B" w14:textId="77777777" w:rsidR="009D48C0" w:rsidRDefault="001B6BC1" w:rsidP="009D48C0">
      <w:pPr>
        <w:pStyle w:val="Prrafodelista"/>
        <w:numPr>
          <w:ilvl w:val="1"/>
          <w:numId w:val="31"/>
        </w:numPr>
        <w:spacing w:line="276" w:lineRule="auto"/>
        <w:jc w:val="both"/>
        <w:rPr>
          <w:rFonts w:ascii="Verdana" w:hAnsi="Verdana" w:cs="Arial"/>
          <w:bCs/>
          <w:i/>
          <w:iCs/>
          <w:lang w:val="es-ES"/>
        </w:rPr>
      </w:pPr>
      <w:r w:rsidRPr="009D48C0">
        <w:rPr>
          <w:rFonts w:ascii="Verdana" w:hAnsi="Verdana" w:cs="Arial"/>
          <w:bCs/>
          <w:i/>
          <w:iCs/>
          <w:lang w:val="es-ES"/>
        </w:rPr>
        <w:t xml:space="preserve">El periodo establecido por la entidad para el reconocimiento gradual de las diferencias netas positivas o negativas de conformidad con lo señalado el numeral 3 del artículo </w:t>
      </w:r>
      <w:r w:rsidR="006F1DBE" w:rsidRPr="009D48C0">
        <w:rPr>
          <w:rFonts w:ascii="Verdana" w:hAnsi="Verdana" w:cs="Arial"/>
          <w:bCs/>
          <w:i/>
          <w:iCs/>
          <w:lang w:val="es-ES"/>
        </w:rPr>
        <w:t xml:space="preserve">1.1.4.1.5 </w:t>
      </w:r>
      <w:r w:rsidR="006F1DBE" w:rsidRPr="009D48C0">
        <w:rPr>
          <w:rFonts w:ascii="Verdana" w:hAnsi="Verdana" w:cs="Arial"/>
          <w:bCs/>
          <w:i/>
          <w:iCs/>
          <w:lang w:val="es-ES"/>
        </w:rPr>
        <w:lastRenderedPageBreak/>
        <w:t xml:space="preserve">del Decreto </w:t>
      </w:r>
      <w:r w:rsidR="002317E7" w:rsidRPr="009D48C0">
        <w:rPr>
          <w:rFonts w:ascii="Verdana" w:hAnsi="Verdana" w:cs="Arial"/>
          <w:bCs/>
          <w:i/>
          <w:iCs/>
          <w:lang w:val="es-ES"/>
        </w:rPr>
        <w:t>2420 de 2015, adicionado por medio del Decreto 217 de 2026</w:t>
      </w:r>
      <w:r w:rsidRPr="009D48C0">
        <w:rPr>
          <w:rFonts w:ascii="Verdana" w:hAnsi="Verdana" w:cs="Arial"/>
          <w:bCs/>
          <w:i/>
          <w:iCs/>
          <w:lang w:val="es-ES"/>
        </w:rPr>
        <w:t>, teniendo en cuenta las disposiciones de la instrucción DÉCIMA de la presente circular.</w:t>
      </w:r>
    </w:p>
    <w:p w14:paraId="6BDD311F" w14:textId="77777777" w:rsidR="009D48C0" w:rsidRPr="009D48C0" w:rsidRDefault="009D48C0" w:rsidP="009D48C0">
      <w:pPr>
        <w:pStyle w:val="Prrafodelista"/>
        <w:rPr>
          <w:rFonts w:ascii="Verdana" w:hAnsi="Verdana" w:cs="Arial"/>
          <w:bCs/>
          <w:i/>
          <w:iCs/>
          <w:lang w:val="es-ES"/>
        </w:rPr>
      </w:pPr>
    </w:p>
    <w:p w14:paraId="5B947521" w14:textId="77777777" w:rsidR="009D48C0" w:rsidRDefault="001B6BC1" w:rsidP="009D48C0">
      <w:pPr>
        <w:pStyle w:val="Prrafodelista"/>
        <w:numPr>
          <w:ilvl w:val="1"/>
          <w:numId w:val="31"/>
        </w:numPr>
        <w:spacing w:line="276" w:lineRule="auto"/>
        <w:jc w:val="both"/>
        <w:rPr>
          <w:rFonts w:ascii="Verdana" w:hAnsi="Verdana" w:cs="Arial"/>
          <w:bCs/>
          <w:i/>
          <w:iCs/>
          <w:lang w:val="es-ES"/>
        </w:rPr>
      </w:pPr>
      <w:r w:rsidRPr="009D48C0">
        <w:rPr>
          <w:rFonts w:ascii="Verdana" w:hAnsi="Verdana" w:cs="Arial"/>
          <w:bCs/>
          <w:i/>
          <w:iCs/>
          <w:lang w:val="es-ES"/>
        </w:rPr>
        <w:t>La justificación cualitativa que fundamenta la solicitud del reconocimiento gradual de los impactos positivos o negativos de la aplicación por primera vez de la NIIF 17, de acuerdo con lo señalado en la instrucción DÉCIMAPRIMERA.</w:t>
      </w:r>
    </w:p>
    <w:p w14:paraId="695E5DC2" w14:textId="77777777" w:rsidR="009D48C0" w:rsidRPr="009D48C0" w:rsidRDefault="009D48C0" w:rsidP="009D48C0">
      <w:pPr>
        <w:pStyle w:val="Prrafodelista"/>
        <w:rPr>
          <w:rFonts w:ascii="Verdana" w:hAnsi="Verdana" w:cs="Arial"/>
          <w:bCs/>
          <w:i/>
          <w:iCs/>
          <w:lang w:val="es-ES"/>
        </w:rPr>
      </w:pPr>
    </w:p>
    <w:p w14:paraId="22E6BA7F" w14:textId="77777777" w:rsidR="001B6BC1" w:rsidRPr="00E20282" w:rsidRDefault="001B6BC1" w:rsidP="009D48C0">
      <w:pPr>
        <w:pStyle w:val="Prrafodelista"/>
        <w:numPr>
          <w:ilvl w:val="1"/>
          <w:numId w:val="31"/>
        </w:numPr>
        <w:spacing w:line="276" w:lineRule="auto"/>
        <w:jc w:val="both"/>
        <w:rPr>
          <w:rFonts w:ascii="Verdana" w:hAnsi="Verdana" w:cs="Arial"/>
          <w:bCs/>
          <w:i/>
          <w:iCs/>
          <w:lang w:val="es-ES"/>
        </w:rPr>
      </w:pPr>
      <w:r w:rsidRPr="009D48C0">
        <w:rPr>
          <w:rFonts w:ascii="Verdana" w:hAnsi="Verdana" w:cs="Arial"/>
          <w:i/>
          <w:lang w:val="es-ES"/>
        </w:rPr>
        <w:t>El cronograma de trabajo mensual para implementar los nuevos estándares contables incorporados al Decreto 2420 de 2015 y a la Resolución 037 de 2017 de la CGN</w:t>
      </w:r>
      <w:r w:rsidR="00D67FE9">
        <w:rPr>
          <w:rFonts w:ascii="Verdana" w:hAnsi="Verdana" w:cs="Arial"/>
          <w:bCs/>
          <w:i/>
          <w:iCs/>
          <w:lang w:val="es-ES"/>
        </w:rPr>
        <w:t>, o la norma que la modifique, adicione o sustituya</w:t>
      </w:r>
      <w:r w:rsidRPr="00E20282">
        <w:rPr>
          <w:rFonts w:ascii="Verdana" w:hAnsi="Verdana" w:cs="Arial"/>
          <w:bCs/>
          <w:i/>
          <w:iCs/>
          <w:lang w:val="es-ES"/>
        </w:rPr>
        <w:t xml:space="preserve"> (en adelante los «nuevos estándares contables»), así como para adoptar el régimen de las reservas técnicas del Decreto 2555 de 2010, modificado por el Decreto 1272 de 2024</w:t>
      </w:r>
      <w:r w:rsidR="00875431">
        <w:rPr>
          <w:rFonts w:ascii="Verdana" w:hAnsi="Verdana" w:cs="Arial"/>
          <w:bCs/>
          <w:i/>
          <w:iCs/>
          <w:lang w:val="es-ES"/>
        </w:rPr>
        <w:t xml:space="preserve"> y el Decreto 219 de 2026</w:t>
      </w:r>
      <w:r w:rsidRPr="00E20282">
        <w:rPr>
          <w:rFonts w:ascii="Verdana" w:hAnsi="Verdana" w:cs="Arial"/>
          <w:bCs/>
          <w:i/>
          <w:iCs/>
          <w:lang w:val="es-ES"/>
        </w:rPr>
        <w:t>. Este cronograma debe contemplar las tareas a ejecutar, los principales hitos, los entregables y sus fechas de entrega, así como los responsables de cada actividad y del seguimiento al nivel de avance.</w:t>
      </w:r>
    </w:p>
    <w:p w14:paraId="088D5F26" w14:textId="77777777" w:rsidR="001B6BC1" w:rsidRPr="009D48C0" w:rsidRDefault="001B6BC1" w:rsidP="009D48C0">
      <w:pPr>
        <w:pStyle w:val="Prrafodelista"/>
        <w:rPr>
          <w:rFonts w:ascii="Verdana" w:hAnsi="Verdana" w:cs="Arial"/>
          <w:i/>
          <w:lang w:val="es-ES"/>
        </w:rPr>
      </w:pPr>
    </w:p>
    <w:p w14:paraId="74911629" w14:textId="4F6CFB04" w:rsidR="001B6BC1" w:rsidRPr="00C60829" w:rsidRDefault="001B6BC1" w:rsidP="009D48C0">
      <w:pPr>
        <w:pStyle w:val="Prrafodelista"/>
        <w:spacing w:line="276" w:lineRule="auto"/>
        <w:ind w:left="1788"/>
        <w:jc w:val="both"/>
        <w:rPr>
          <w:rFonts w:ascii="Verdana" w:hAnsi="Verdana" w:cs="Arial"/>
          <w:bCs/>
          <w:i/>
          <w:iCs/>
          <w:lang w:val="es-ES"/>
        </w:rPr>
      </w:pPr>
      <w:r w:rsidRPr="009D48C0">
        <w:rPr>
          <w:rFonts w:ascii="Verdana" w:hAnsi="Verdana" w:cs="Arial"/>
          <w:i/>
          <w:lang w:val="es-ES"/>
        </w:rPr>
        <w:t xml:space="preserve">De forma posterior a la </w:t>
      </w:r>
      <w:r w:rsidRPr="00E20282">
        <w:rPr>
          <w:rFonts w:ascii="Verdana" w:hAnsi="Verdana" w:cs="Arial"/>
          <w:bCs/>
          <w:i/>
          <w:iCs/>
          <w:lang w:val="es-ES"/>
        </w:rPr>
        <w:t xml:space="preserve">presentación del plan, tanto el representante legal como el auditor interno de cada entidad deben remitir, de forma independiente, un reporte trimestral sobre el nivel de cumplimiento del plan de implementación y ajuste hasta la finalización de las actividades definidas por la entidad en dicho plan. Cuando las actividades previstas por la entidad presenten atrasos, el referido reporte debe incluir las medidas adoptadas para garantizar la implementación de los nuevos </w:t>
      </w:r>
      <w:r w:rsidRPr="00C60829">
        <w:rPr>
          <w:rFonts w:ascii="Verdana" w:hAnsi="Verdana" w:cs="Arial"/>
          <w:bCs/>
          <w:i/>
          <w:iCs/>
          <w:lang w:val="es-ES"/>
        </w:rPr>
        <w:t>estándares en las fechas definidas.</w:t>
      </w:r>
    </w:p>
    <w:p w14:paraId="1AC4D785" w14:textId="77777777" w:rsidR="00D41E1D" w:rsidRPr="00C60829" w:rsidRDefault="00D41E1D" w:rsidP="00D41E1D">
      <w:pPr>
        <w:spacing w:line="276" w:lineRule="auto"/>
        <w:ind w:left="708"/>
        <w:jc w:val="both"/>
        <w:rPr>
          <w:rFonts w:ascii="Verdana" w:hAnsi="Verdana" w:cs="Arial"/>
          <w:sz w:val="22"/>
          <w:szCs w:val="22"/>
        </w:rPr>
      </w:pPr>
    </w:p>
    <w:p w14:paraId="0C8CCFE7" w14:textId="1968E19C" w:rsidR="00D41E1D" w:rsidRPr="00C60829" w:rsidRDefault="00D41E1D" w:rsidP="00D41E1D">
      <w:pPr>
        <w:spacing w:line="276" w:lineRule="auto"/>
        <w:jc w:val="both"/>
        <w:rPr>
          <w:rFonts w:ascii="Verdana" w:hAnsi="Verdana" w:cs="Arial"/>
          <w:bCs/>
          <w:sz w:val="22"/>
          <w:szCs w:val="22"/>
          <w:lang w:val="es-ES"/>
        </w:rPr>
      </w:pPr>
      <w:r w:rsidRPr="00C60829">
        <w:rPr>
          <w:rFonts w:ascii="Verdana" w:hAnsi="Verdana" w:cs="Arial"/>
          <w:b/>
          <w:sz w:val="22"/>
          <w:szCs w:val="22"/>
          <w:lang w:val="es-ES"/>
        </w:rPr>
        <w:t xml:space="preserve">SEGUNDA: </w:t>
      </w:r>
      <w:r w:rsidRPr="00C60829">
        <w:rPr>
          <w:rFonts w:ascii="Verdana" w:hAnsi="Verdana" w:cs="Arial"/>
          <w:bCs/>
          <w:sz w:val="22"/>
          <w:szCs w:val="22"/>
          <w:lang w:val="es-ES"/>
        </w:rPr>
        <w:t xml:space="preserve">Modificar </w:t>
      </w:r>
      <w:r w:rsidR="00C60829" w:rsidRPr="00C60829">
        <w:rPr>
          <w:rFonts w:ascii="Verdana" w:hAnsi="Verdana" w:cs="Arial"/>
          <w:bCs/>
          <w:sz w:val="22"/>
          <w:szCs w:val="22"/>
          <w:lang w:val="es-ES"/>
        </w:rPr>
        <w:t xml:space="preserve">la instrucción OCTAVA de </w:t>
      </w:r>
      <w:r w:rsidRPr="00C60829">
        <w:rPr>
          <w:rFonts w:ascii="Verdana" w:hAnsi="Verdana" w:cs="Arial"/>
          <w:bCs/>
          <w:sz w:val="22"/>
          <w:szCs w:val="22"/>
          <w:lang w:val="es-ES"/>
        </w:rPr>
        <w:t xml:space="preserve">la Circular Externa </w:t>
      </w:r>
      <w:r w:rsidR="00C60829" w:rsidRPr="00C60829">
        <w:rPr>
          <w:rFonts w:ascii="Verdana" w:hAnsi="Verdana" w:cs="Arial"/>
          <w:bCs/>
          <w:sz w:val="22"/>
          <w:szCs w:val="22"/>
          <w:lang w:val="es-ES"/>
        </w:rPr>
        <w:t>013</w:t>
      </w:r>
      <w:r w:rsidRPr="00C60829">
        <w:rPr>
          <w:rFonts w:ascii="Verdana" w:hAnsi="Verdana" w:cs="Arial"/>
          <w:bCs/>
          <w:sz w:val="22"/>
          <w:szCs w:val="22"/>
          <w:lang w:val="es-ES"/>
        </w:rPr>
        <w:t xml:space="preserve"> de 202</w:t>
      </w:r>
      <w:r w:rsidR="00C60829" w:rsidRPr="00C60829">
        <w:rPr>
          <w:rFonts w:ascii="Verdana" w:hAnsi="Verdana" w:cs="Arial"/>
          <w:bCs/>
          <w:sz w:val="22"/>
          <w:szCs w:val="22"/>
          <w:lang w:val="es-ES"/>
        </w:rPr>
        <w:t>5</w:t>
      </w:r>
      <w:r w:rsidRPr="00C60829">
        <w:rPr>
          <w:rFonts w:ascii="Verdana" w:hAnsi="Verdana" w:cs="Arial"/>
          <w:bCs/>
          <w:sz w:val="22"/>
          <w:szCs w:val="22"/>
          <w:lang w:val="es-ES"/>
        </w:rPr>
        <w:t xml:space="preserve">, </w:t>
      </w:r>
      <w:r w:rsidR="00C60829" w:rsidRPr="00C60829">
        <w:rPr>
          <w:rFonts w:ascii="Verdana" w:hAnsi="Verdana" w:cs="Arial"/>
          <w:bCs/>
          <w:sz w:val="22"/>
          <w:szCs w:val="22"/>
          <w:lang w:val="es-ES"/>
        </w:rPr>
        <w:t>la</w:t>
      </w:r>
      <w:r w:rsidRPr="00C60829">
        <w:rPr>
          <w:rFonts w:ascii="Verdana" w:hAnsi="Verdana" w:cs="Arial"/>
          <w:bCs/>
          <w:sz w:val="22"/>
          <w:szCs w:val="22"/>
          <w:lang w:val="es-ES"/>
        </w:rPr>
        <w:t xml:space="preserve"> cual quedará así:</w:t>
      </w:r>
    </w:p>
    <w:p w14:paraId="11108871" w14:textId="77777777" w:rsidR="00D41E1D" w:rsidRPr="000010EA" w:rsidRDefault="00D41E1D" w:rsidP="00D41E1D">
      <w:pPr>
        <w:spacing w:line="276" w:lineRule="auto"/>
        <w:jc w:val="both"/>
        <w:rPr>
          <w:rFonts w:ascii="Verdana" w:hAnsi="Verdana" w:cs="Arial"/>
          <w:bCs/>
          <w:sz w:val="22"/>
          <w:szCs w:val="22"/>
          <w:highlight w:val="yellow"/>
          <w:lang w:val="es-ES"/>
        </w:rPr>
      </w:pPr>
    </w:p>
    <w:p w14:paraId="70C06745" w14:textId="1FCC98BE" w:rsidR="00D41E1D" w:rsidRPr="00C60829" w:rsidRDefault="00C60829" w:rsidP="00D41E1D">
      <w:pPr>
        <w:pStyle w:val="Prrafodelista"/>
        <w:widowControl w:val="0"/>
        <w:autoSpaceDE w:val="0"/>
        <w:autoSpaceDN w:val="0"/>
        <w:adjustRightInd w:val="0"/>
        <w:spacing w:line="276" w:lineRule="auto"/>
        <w:jc w:val="both"/>
        <w:rPr>
          <w:rFonts w:ascii="Verdana" w:hAnsi="Verdana" w:cs="Arial"/>
          <w:bCs/>
          <w:i/>
          <w:iCs/>
        </w:rPr>
      </w:pPr>
      <w:r w:rsidRPr="00C60829">
        <w:rPr>
          <w:rFonts w:ascii="Verdana" w:hAnsi="Verdana" w:cs="Arial"/>
          <w:b/>
          <w:i/>
          <w:iCs/>
        </w:rPr>
        <w:t>OCTAVA: NOTAS TÉCNICAS.</w:t>
      </w:r>
      <w:r w:rsidRPr="00C60829">
        <w:rPr>
          <w:rFonts w:ascii="Verdana" w:hAnsi="Verdana" w:cs="Arial"/>
          <w:bCs/>
          <w:i/>
          <w:iCs/>
        </w:rPr>
        <w:t xml:space="preserve"> </w:t>
      </w:r>
      <w:r w:rsidR="00B032FF">
        <w:rPr>
          <w:rFonts w:ascii="Verdana" w:hAnsi="Verdana" w:cs="Arial"/>
          <w:bCs/>
          <w:i/>
          <w:iCs/>
        </w:rPr>
        <w:t xml:space="preserve">A más tardar </w:t>
      </w:r>
      <w:r w:rsidR="00B032FF" w:rsidRPr="00F5221A">
        <w:rPr>
          <w:rFonts w:ascii="Verdana" w:hAnsi="Verdana" w:cs="Arial"/>
          <w:bCs/>
          <w:i/>
          <w:iCs/>
        </w:rPr>
        <w:t xml:space="preserve">el </w:t>
      </w:r>
      <w:r w:rsidR="00DA2500" w:rsidRPr="00F5221A">
        <w:rPr>
          <w:rFonts w:ascii="Verdana" w:hAnsi="Verdana" w:cs="Arial"/>
          <w:bCs/>
          <w:i/>
          <w:iCs/>
        </w:rPr>
        <w:t>31 de octubre de 202</w:t>
      </w:r>
      <w:r w:rsidR="00BF7DEE" w:rsidRPr="00F5221A">
        <w:rPr>
          <w:rFonts w:ascii="Verdana" w:hAnsi="Verdana" w:cs="Arial"/>
          <w:bCs/>
          <w:i/>
          <w:iCs/>
        </w:rPr>
        <w:t>6</w:t>
      </w:r>
      <w:r w:rsidRPr="00C60829">
        <w:rPr>
          <w:rFonts w:ascii="Verdana" w:hAnsi="Verdana" w:cs="Arial"/>
          <w:bCs/>
          <w:i/>
          <w:iCs/>
        </w:rPr>
        <w:t>, las entidades aseguradoras deben remitir a esta Superintendencia un cronograma para el depósito de las notas técnicas, de conformidad con lo previsto en el numeral 1.1.3 del Capítulo II del Título IV de la Parte II de la Circular Básica Jurídica. Este cronograma deberá estar en línea con el plan de negocio de la entidad, de manera que contemple la priorización y el envío progresivo de las notas técnicas más relevantes para la operación de la compañía, y las que se impactan en el marco del proceso de implementación de la NIIF 17. La radicación del depósito de</w:t>
      </w:r>
      <w:r w:rsidR="00B50452">
        <w:rPr>
          <w:rFonts w:ascii="Verdana" w:hAnsi="Verdana" w:cs="Arial"/>
          <w:bCs/>
          <w:i/>
          <w:iCs/>
        </w:rPr>
        <w:t xml:space="preserve"> todas</w:t>
      </w:r>
      <w:r w:rsidRPr="00C60829">
        <w:rPr>
          <w:rFonts w:ascii="Verdana" w:hAnsi="Verdana" w:cs="Arial"/>
          <w:bCs/>
          <w:i/>
          <w:iCs/>
        </w:rPr>
        <w:t xml:space="preserve"> las notas técnicas definidas en el cronograma se deberá efectuar a más tardar el </w:t>
      </w:r>
      <w:r w:rsidRPr="00F5221A">
        <w:rPr>
          <w:rFonts w:ascii="Verdana" w:hAnsi="Verdana" w:cs="Arial"/>
          <w:bCs/>
          <w:i/>
          <w:iCs/>
        </w:rPr>
        <w:t>3</w:t>
      </w:r>
      <w:r w:rsidR="003C76B3" w:rsidRPr="00F5221A">
        <w:rPr>
          <w:rFonts w:ascii="Verdana" w:hAnsi="Verdana" w:cs="Arial"/>
          <w:bCs/>
          <w:i/>
          <w:iCs/>
        </w:rPr>
        <w:t>0</w:t>
      </w:r>
      <w:r w:rsidRPr="00F5221A">
        <w:rPr>
          <w:rFonts w:ascii="Verdana" w:hAnsi="Verdana" w:cs="Arial"/>
          <w:bCs/>
          <w:i/>
          <w:iCs/>
        </w:rPr>
        <w:t xml:space="preserve"> de </w:t>
      </w:r>
      <w:r w:rsidR="003C76B3" w:rsidRPr="00F5221A">
        <w:rPr>
          <w:rFonts w:ascii="Verdana" w:hAnsi="Verdana" w:cs="Arial"/>
          <w:bCs/>
          <w:i/>
          <w:iCs/>
        </w:rPr>
        <w:t>junio</w:t>
      </w:r>
      <w:r w:rsidRPr="00F5221A">
        <w:rPr>
          <w:rFonts w:ascii="Verdana" w:hAnsi="Verdana" w:cs="Arial"/>
          <w:bCs/>
          <w:i/>
          <w:iCs/>
        </w:rPr>
        <w:t xml:space="preserve"> de 202</w:t>
      </w:r>
      <w:r w:rsidR="00760634" w:rsidRPr="00F5221A">
        <w:rPr>
          <w:rFonts w:ascii="Verdana" w:hAnsi="Verdana" w:cs="Arial"/>
          <w:bCs/>
          <w:i/>
          <w:iCs/>
        </w:rPr>
        <w:t>8</w:t>
      </w:r>
      <w:r w:rsidRPr="00F5221A">
        <w:rPr>
          <w:rFonts w:ascii="Verdana" w:hAnsi="Verdana" w:cs="Arial"/>
          <w:bCs/>
          <w:i/>
          <w:iCs/>
        </w:rPr>
        <w:t>.</w:t>
      </w:r>
    </w:p>
    <w:p w14:paraId="79177CF7" w14:textId="77777777" w:rsidR="00C60829" w:rsidRPr="007C1A06" w:rsidRDefault="00C60829" w:rsidP="00D41E1D">
      <w:pPr>
        <w:pStyle w:val="Prrafodelista"/>
        <w:widowControl w:val="0"/>
        <w:autoSpaceDE w:val="0"/>
        <w:autoSpaceDN w:val="0"/>
        <w:adjustRightInd w:val="0"/>
        <w:spacing w:line="276" w:lineRule="auto"/>
        <w:jc w:val="both"/>
        <w:rPr>
          <w:rFonts w:ascii="Verdana" w:hAnsi="Verdana" w:cs="Arial"/>
          <w:bCs/>
        </w:rPr>
      </w:pPr>
    </w:p>
    <w:p w14:paraId="4858C58B" w14:textId="7993F84C" w:rsidR="00CB4F64" w:rsidRDefault="00D41E1D" w:rsidP="00D41E1D">
      <w:pPr>
        <w:widowControl w:val="0"/>
        <w:autoSpaceDE w:val="0"/>
        <w:autoSpaceDN w:val="0"/>
        <w:adjustRightInd w:val="0"/>
        <w:spacing w:line="276" w:lineRule="auto"/>
        <w:jc w:val="both"/>
        <w:rPr>
          <w:rFonts w:ascii="Verdana" w:hAnsi="Verdana" w:cs="Arial"/>
          <w:bCs/>
          <w:sz w:val="22"/>
          <w:szCs w:val="22"/>
          <w:lang w:val="es-ES"/>
        </w:rPr>
      </w:pPr>
      <w:r w:rsidRPr="001C4FB3">
        <w:rPr>
          <w:rFonts w:ascii="Verdana" w:hAnsi="Verdana" w:cs="Arial"/>
          <w:b/>
          <w:bCs/>
          <w:sz w:val="22"/>
          <w:szCs w:val="22"/>
        </w:rPr>
        <w:t>TERCERA:</w:t>
      </w:r>
      <w:r w:rsidRPr="001C4FB3">
        <w:rPr>
          <w:rFonts w:ascii="Verdana" w:hAnsi="Verdana" w:cs="Arial"/>
          <w:sz w:val="22"/>
          <w:szCs w:val="22"/>
        </w:rPr>
        <w:t xml:space="preserve"> </w:t>
      </w:r>
      <w:r w:rsidR="00C60829" w:rsidRPr="001C4FB3">
        <w:rPr>
          <w:rFonts w:ascii="Verdana" w:hAnsi="Verdana" w:cs="Arial"/>
          <w:bCs/>
          <w:sz w:val="22"/>
          <w:szCs w:val="22"/>
          <w:lang w:val="es-ES"/>
        </w:rPr>
        <w:t>Modificar la instrucción NOVENA de la Circular Externa 013 de 2025, la cual quedará así:</w:t>
      </w:r>
    </w:p>
    <w:p w14:paraId="543C6DD7" w14:textId="77777777" w:rsidR="00B50452" w:rsidRDefault="00B50452" w:rsidP="00D41E1D">
      <w:pPr>
        <w:widowControl w:val="0"/>
        <w:autoSpaceDE w:val="0"/>
        <w:autoSpaceDN w:val="0"/>
        <w:adjustRightInd w:val="0"/>
        <w:spacing w:line="276" w:lineRule="auto"/>
        <w:jc w:val="both"/>
        <w:rPr>
          <w:rFonts w:ascii="Verdana" w:hAnsi="Verdana" w:cs="Arial"/>
          <w:bCs/>
          <w:sz w:val="22"/>
          <w:szCs w:val="22"/>
          <w:lang w:val="es-ES"/>
        </w:rPr>
      </w:pPr>
    </w:p>
    <w:p w14:paraId="137D11CB" w14:textId="3A242F36" w:rsidR="00FF211D" w:rsidRPr="00FF211D" w:rsidRDefault="00FF211D" w:rsidP="00FF211D">
      <w:pPr>
        <w:widowControl w:val="0"/>
        <w:autoSpaceDE w:val="0"/>
        <w:autoSpaceDN w:val="0"/>
        <w:adjustRightInd w:val="0"/>
        <w:spacing w:line="276" w:lineRule="auto"/>
        <w:ind w:left="708"/>
        <w:jc w:val="both"/>
        <w:rPr>
          <w:rFonts w:ascii="Verdana" w:hAnsi="Verdana" w:cs="Arial"/>
          <w:i/>
          <w:iCs/>
          <w:sz w:val="22"/>
          <w:szCs w:val="22"/>
        </w:rPr>
      </w:pPr>
      <w:r w:rsidRPr="00FF211D">
        <w:rPr>
          <w:rFonts w:ascii="Verdana" w:hAnsi="Verdana" w:cs="Arial"/>
          <w:b/>
          <w:bCs/>
          <w:i/>
          <w:iCs/>
          <w:sz w:val="22"/>
          <w:szCs w:val="22"/>
        </w:rPr>
        <w:t xml:space="preserve">NOVENA: PLAN DE AJUSTE COMPLEMENTARIO. </w:t>
      </w:r>
      <w:r w:rsidRPr="00FF211D">
        <w:rPr>
          <w:rFonts w:ascii="Verdana" w:hAnsi="Verdana" w:cs="Arial"/>
          <w:i/>
          <w:iCs/>
          <w:sz w:val="22"/>
          <w:szCs w:val="22"/>
        </w:rPr>
        <w:t xml:space="preserve">De forma consistente con el numeral 5 del artículo </w:t>
      </w:r>
      <w:r w:rsidR="004D56EC">
        <w:rPr>
          <w:rFonts w:ascii="Verdana" w:hAnsi="Verdana" w:cs="Arial"/>
          <w:bCs/>
          <w:i/>
          <w:iCs/>
          <w:sz w:val="22"/>
          <w:szCs w:val="22"/>
          <w:lang w:val="es-ES"/>
        </w:rPr>
        <w:t xml:space="preserve">1.1.4.1.5 del Decreto 2420 de 2015, </w:t>
      </w:r>
      <w:r w:rsidR="004D56EC">
        <w:rPr>
          <w:rFonts w:ascii="Verdana" w:hAnsi="Verdana" w:cs="Arial"/>
          <w:bCs/>
          <w:i/>
          <w:iCs/>
          <w:sz w:val="22"/>
          <w:szCs w:val="22"/>
          <w:lang w:val="es-ES"/>
        </w:rPr>
        <w:lastRenderedPageBreak/>
        <w:t>adicionado por medio del Decreto 217 de 2026</w:t>
      </w:r>
      <w:r w:rsidRPr="00FF211D">
        <w:rPr>
          <w:rFonts w:ascii="Verdana" w:hAnsi="Verdana" w:cs="Arial"/>
          <w:i/>
          <w:iCs/>
          <w:sz w:val="22"/>
          <w:szCs w:val="22"/>
        </w:rPr>
        <w:t>, las entidades aseguradoras que</w:t>
      </w:r>
      <w:r w:rsidRPr="00D33579">
        <w:rPr>
          <w:rFonts w:ascii="Verdana" w:hAnsi="Verdana" w:cs="Arial"/>
          <w:bCs/>
          <w:i/>
          <w:iCs/>
          <w:sz w:val="22"/>
          <w:szCs w:val="22"/>
          <w:lang w:val="es-ES"/>
        </w:rPr>
        <w:t>, al 1 de enero de 202</w:t>
      </w:r>
      <w:r w:rsidR="004D56EC" w:rsidRPr="00D33579">
        <w:rPr>
          <w:rFonts w:ascii="Verdana" w:hAnsi="Verdana" w:cs="Arial"/>
          <w:bCs/>
          <w:i/>
          <w:iCs/>
          <w:sz w:val="22"/>
          <w:szCs w:val="22"/>
          <w:lang w:val="es-ES"/>
        </w:rPr>
        <w:t>8</w:t>
      </w:r>
      <w:r w:rsidRPr="00D33579">
        <w:rPr>
          <w:rFonts w:ascii="Verdana" w:hAnsi="Verdana" w:cs="Arial"/>
          <w:bCs/>
          <w:i/>
          <w:iCs/>
          <w:sz w:val="22"/>
          <w:szCs w:val="22"/>
          <w:lang w:val="es-ES"/>
        </w:rPr>
        <w:t>, fecha de</w:t>
      </w:r>
      <w:r w:rsidRPr="00FF211D">
        <w:rPr>
          <w:rFonts w:ascii="Verdana" w:hAnsi="Verdana" w:cs="Arial"/>
          <w:i/>
          <w:iCs/>
          <w:sz w:val="22"/>
          <w:szCs w:val="22"/>
        </w:rPr>
        <w:t xml:space="preserve"> entrada en vigencia de la NIIF 17, tengan otros planes en ejecución podrán solicitar a la SFC la aprobación de un plan de ajuste complementario, en lo relacionado con el reconocimiento gradual de que trata el literal (c) del numeral 3 del </w:t>
      </w:r>
      <w:r w:rsidR="004D56EC" w:rsidRPr="004D56EC">
        <w:rPr>
          <w:rFonts w:ascii="Verdana" w:hAnsi="Verdana" w:cs="Arial"/>
          <w:i/>
          <w:iCs/>
          <w:sz w:val="22"/>
          <w:szCs w:val="22"/>
        </w:rPr>
        <w:t>1.1.4.1.5 del Decreto 2420 de 2015, adicionado por medio del Decreto 217 de 2026</w:t>
      </w:r>
      <w:r w:rsidRPr="00FF211D">
        <w:rPr>
          <w:rFonts w:ascii="Verdana" w:hAnsi="Verdana" w:cs="Arial"/>
          <w:i/>
          <w:iCs/>
          <w:sz w:val="22"/>
          <w:szCs w:val="22"/>
        </w:rPr>
        <w:t xml:space="preserve">. La solicitud de aprobación para el plan de ajuste complementario debe ser remitida a la SFC </w:t>
      </w:r>
      <w:r w:rsidR="004D56EC">
        <w:rPr>
          <w:rFonts w:ascii="Verdana" w:hAnsi="Verdana" w:cs="Arial"/>
          <w:i/>
          <w:iCs/>
          <w:sz w:val="22"/>
          <w:szCs w:val="22"/>
        </w:rPr>
        <w:t xml:space="preserve">a más tardar el </w:t>
      </w:r>
      <w:r w:rsidR="004F4182">
        <w:rPr>
          <w:rFonts w:ascii="Verdana" w:hAnsi="Verdana" w:cs="Arial"/>
          <w:i/>
          <w:iCs/>
          <w:sz w:val="22"/>
          <w:szCs w:val="22"/>
        </w:rPr>
        <w:t>31 de agosto de 2026</w:t>
      </w:r>
      <w:r w:rsidRPr="00FF211D">
        <w:rPr>
          <w:rFonts w:ascii="Verdana" w:hAnsi="Verdana" w:cs="Arial"/>
          <w:i/>
          <w:iCs/>
          <w:sz w:val="22"/>
          <w:szCs w:val="22"/>
        </w:rPr>
        <w:t>.</w:t>
      </w:r>
    </w:p>
    <w:p w14:paraId="4A16A35A" w14:textId="77777777" w:rsidR="00CB4F64" w:rsidRDefault="00CB4F64" w:rsidP="00D41E1D">
      <w:pPr>
        <w:widowControl w:val="0"/>
        <w:autoSpaceDE w:val="0"/>
        <w:autoSpaceDN w:val="0"/>
        <w:adjustRightInd w:val="0"/>
        <w:spacing w:line="276" w:lineRule="auto"/>
        <w:jc w:val="both"/>
        <w:rPr>
          <w:rFonts w:ascii="Verdana" w:hAnsi="Verdana" w:cs="Arial"/>
          <w:sz w:val="22"/>
          <w:szCs w:val="22"/>
        </w:rPr>
      </w:pPr>
    </w:p>
    <w:p w14:paraId="2FC19EB5" w14:textId="24C5CCDA" w:rsidR="00FF211D" w:rsidRDefault="00FF211D" w:rsidP="00D41E1D">
      <w:pPr>
        <w:widowControl w:val="0"/>
        <w:autoSpaceDE w:val="0"/>
        <w:autoSpaceDN w:val="0"/>
        <w:adjustRightInd w:val="0"/>
        <w:spacing w:line="276" w:lineRule="auto"/>
        <w:jc w:val="both"/>
        <w:rPr>
          <w:rFonts w:ascii="Verdana" w:hAnsi="Verdana" w:cs="Arial"/>
          <w:b/>
          <w:bCs/>
          <w:sz w:val="22"/>
          <w:szCs w:val="22"/>
        </w:rPr>
      </w:pPr>
      <w:r>
        <w:rPr>
          <w:rFonts w:ascii="Verdana" w:hAnsi="Verdana" w:cs="Arial"/>
          <w:b/>
          <w:bCs/>
          <w:sz w:val="22"/>
          <w:szCs w:val="22"/>
        </w:rPr>
        <w:t xml:space="preserve">CUARTA: </w:t>
      </w:r>
      <w:r w:rsidR="001C4FB3" w:rsidRPr="001C4FB3">
        <w:rPr>
          <w:rFonts w:ascii="Verdana" w:hAnsi="Verdana" w:cs="Arial"/>
          <w:sz w:val="22"/>
          <w:szCs w:val="22"/>
        </w:rPr>
        <w:t>Modificar la instrucción DÉCIMA de la Circular Externa 013 de 2025, la cual quedará así:</w:t>
      </w:r>
    </w:p>
    <w:p w14:paraId="0AF49EC7" w14:textId="77777777" w:rsidR="00FF211D" w:rsidRDefault="00FF211D" w:rsidP="00D41E1D">
      <w:pPr>
        <w:widowControl w:val="0"/>
        <w:autoSpaceDE w:val="0"/>
        <w:autoSpaceDN w:val="0"/>
        <w:adjustRightInd w:val="0"/>
        <w:spacing w:line="276" w:lineRule="auto"/>
        <w:jc w:val="both"/>
        <w:rPr>
          <w:rFonts w:ascii="Verdana" w:hAnsi="Verdana" w:cs="Arial"/>
          <w:b/>
          <w:bCs/>
          <w:sz w:val="22"/>
          <w:szCs w:val="22"/>
        </w:rPr>
      </w:pPr>
    </w:p>
    <w:p w14:paraId="78E39415" w14:textId="77777777" w:rsidR="002F3106" w:rsidRPr="00FC3EB2" w:rsidRDefault="002F3106" w:rsidP="00A51A83">
      <w:pPr>
        <w:widowControl w:val="0"/>
        <w:autoSpaceDE w:val="0"/>
        <w:autoSpaceDN w:val="0"/>
        <w:adjustRightInd w:val="0"/>
        <w:spacing w:line="276" w:lineRule="auto"/>
        <w:ind w:left="708"/>
        <w:jc w:val="both"/>
        <w:rPr>
          <w:rFonts w:ascii="Verdana" w:hAnsi="Verdana" w:cs="Arial"/>
          <w:i/>
          <w:sz w:val="22"/>
          <w:szCs w:val="22"/>
          <w:lang w:val="es-ES"/>
        </w:rPr>
      </w:pPr>
      <w:r w:rsidRPr="002F3106">
        <w:rPr>
          <w:rFonts w:ascii="Verdana" w:hAnsi="Verdana" w:cs="Arial"/>
          <w:b/>
          <w:bCs/>
          <w:i/>
          <w:iCs/>
          <w:sz w:val="22"/>
          <w:szCs w:val="22"/>
          <w:lang w:val="es-ES"/>
        </w:rPr>
        <w:t>DÉCIMA:</w:t>
      </w:r>
      <w:r w:rsidR="00D33579">
        <w:rPr>
          <w:rFonts w:ascii="Verdana" w:hAnsi="Verdana" w:cs="Arial"/>
          <w:b/>
          <w:bCs/>
          <w:i/>
          <w:iCs/>
          <w:sz w:val="22"/>
          <w:szCs w:val="22"/>
          <w:lang w:val="es-ES"/>
        </w:rPr>
        <w:t xml:space="preserve"> </w:t>
      </w:r>
      <w:r w:rsidRPr="002F3106">
        <w:rPr>
          <w:rFonts w:ascii="Verdana" w:hAnsi="Verdana" w:cs="Arial"/>
          <w:b/>
          <w:bCs/>
          <w:i/>
          <w:iCs/>
          <w:sz w:val="22"/>
          <w:szCs w:val="22"/>
          <w:lang w:val="es-ES"/>
        </w:rPr>
        <w:t>APLICACIÓN POR PRIMERA VEZ.</w:t>
      </w:r>
      <w:r w:rsidR="00D33579">
        <w:rPr>
          <w:rFonts w:ascii="Verdana" w:hAnsi="Verdana" w:cs="Arial"/>
          <w:b/>
          <w:bCs/>
          <w:i/>
          <w:iCs/>
          <w:sz w:val="22"/>
          <w:szCs w:val="22"/>
          <w:lang w:val="es-ES"/>
        </w:rPr>
        <w:t xml:space="preserve"> </w:t>
      </w:r>
      <w:r w:rsidRPr="002F3106">
        <w:rPr>
          <w:rFonts w:ascii="Verdana" w:hAnsi="Verdana" w:cs="Arial"/>
          <w:i/>
          <w:iCs/>
          <w:sz w:val="22"/>
          <w:szCs w:val="22"/>
          <w:lang w:val="es-ES"/>
        </w:rPr>
        <w:t>De acuerdo con los criterios técnicos de la</w:t>
      </w:r>
      <w:r w:rsidR="00D33579">
        <w:rPr>
          <w:rFonts w:ascii="Verdana" w:hAnsi="Verdana" w:cs="Arial"/>
          <w:i/>
          <w:iCs/>
          <w:sz w:val="22"/>
          <w:szCs w:val="22"/>
          <w:lang w:val="es-ES"/>
        </w:rPr>
        <w:t xml:space="preserve"> </w:t>
      </w:r>
      <w:r w:rsidRPr="002F3106">
        <w:rPr>
          <w:rFonts w:ascii="Verdana" w:hAnsi="Verdana" w:cs="Arial"/>
          <w:i/>
          <w:iCs/>
          <w:sz w:val="22"/>
          <w:szCs w:val="22"/>
          <w:lang w:val="es-ES"/>
        </w:rPr>
        <w:t>NIIF</w:t>
      </w:r>
      <w:r w:rsidR="00D33579">
        <w:rPr>
          <w:rFonts w:ascii="Verdana" w:hAnsi="Verdana" w:cs="Arial"/>
          <w:i/>
          <w:iCs/>
          <w:sz w:val="22"/>
          <w:szCs w:val="22"/>
          <w:lang w:val="es-ES"/>
        </w:rPr>
        <w:t xml:space="preserve"> </w:t>
      </w:r>
      <w:r w:rsidRPr="002F3106">
        <w:rPr>
          <w:rFonts w:ascii="Verdana" w:hAnsi="Verdana" w:cs="Arial"/>
          <w:i/>
          <w:iCs/>
          <w:sz w:val="22"/>
          <w:szCs w:val="22"/>
          <w:lang w:val="es-ES"/>
        </w:rPr>
        <w:t>17,</w:t>
      </w:r>
      <w:r w:rsidR="00D33579">
        <w:rPr>
          <w:rFonts w:ascii="Verdana" w:hAnsi="Verdana" w:cs="Arial"/>
          <w:i/>
          <w:iCs/>
          <w:sz w:val="22"/>
          <w:szCs w:val="22"/>
          <w:lang w:val="es-ES"/>
        </w:rPr>
        <w:t xml:space="preserve"> </w:t>
      </w:r>
      <w:r w:rsidRPr="002F3106">
        <w:rPr>
          <w:rFonts w:ascii="Verdana" w:hAnsi="Verdana" w:cs="Arial"/>
          <w:i/>
          <w:iCs/>
          <w:sz w:val="22"/>
          <w:szCs w:val="22"/>
          <w:lang w:val="es-ES"/>
        </w:rPr>
        <w:t>incorporada al Decreto 2420 de 2015,</w:t>
      </w:r>
      <w:r w:rsidR="00D33579">
        <w:rPr>
          <w:rFonts w:ascii="Verdana" w:hAnsi="Verdana" w:cs="Arial"/>
          <w:i/>
          <w:iCs/>
          <w:sz w:val="22"/>
          <w:szCs w:val="22"/>
          <w:lang w:val="es-ES"/>
        </w:rPr>
        <w:t xml:space="preserve"> </w:t>
      </w:r>
      <w:r w:rsidRPr="002F3106">
        <w:rPr>
          <w:rFonts w:ascii="Verdana" w:hAnsi="Verdana" w:cs="Arial"/>
          <w:i/>
          <w:iCs/>
          <w:sz w:val="22"/>
          <w:szCs w:val="22"/>
          <w:lang w:val="es-ES"/>
        </w:rPr>
        <w:t>y de la Resolución 037 de 2017</w:t>
      </w:r>
      <w:r w:rsidR="00D33579">
        <w:rPr>
          <w:rFonts w:ascii="Verdana" w:hAnsi="Verdana" w:cs="Arial"/>
          <w:i/>
          <w:iCs/>
          <w:sz w:val="22"/>
          <w:szCs w:val="22"/>
          <w:lang w:val="es-ES"/>
        </w:rPr>
        <w:t xml:space="preserve"> </w:t>
      </w:r>
      <w:r w:rsidRPr="002F3106">
        <w:rPr>
          <w:rFonts w:ascii="Verdana" w:hAnsi="Verdana" w:cs="Arial"/>
          <w:i/>
          <w:iCs/>
          <w:sz w:val="22"/>
          <w:szCs w:val="22"/>
          <w:lang w:val="es-ES"/>
        </w:rPr>
        <w:t>proferida por</w:t>
      </w:r>
      <w:r w:rsidR="00D33579">
        <w:rPr>
          <w:rFonts w:ascii="Verdana" w:hAnsi="Verdana" w:cs="Arial"/>
          <w:i/>
          <w:iCs/>
          <w:sz w:val="22"/>
          <w:szCs w:val="22"/>
          <w:lang w:val="es-ES"/>
        </w:rPr>
        <w:t xml:space="preserve"> </w:t>
      </w:r>
      <w:r w:rsidRPr="002F3106">
        <w:rPr>
          <w:rFonts w:ascii="Verdana" w:hAnsi="Verdana" w:cs="Arial"/>
          <w:i/>
          <w:iCs/>
          <w:sz w:val="22"/>
          <w:szCs w:val="22"/>
          <w:lang w:val="es-ES"/>
        </w:rPr>
        <w:t>la CGN,</w:t>
      </w:r>
      <w:r w:rsidR="00D33579">
        <w:rPr>
          <w:rFonts w:ascii="Verdana" w:hAnsi="Verdana" w:cs="Arial"/>
          <w:i/>
          <w:iCs/>
          <w:sz w:val="22"/>
          <w:szCs w:val="22"/>
          <w:lang w:val="es-ES"/>
        </w:rPr>
        <w:t xml:space="preserve"> </w:t>
      </w:r>
      <w:r w:rsidRPr="002F3106">
        <w:rPr>
          <w:rFonts w:ascii="Verdana" w:hAnsi="Verdana" w:cs="Arial"/>
          <w:i/>
          <w:iCs/>
          <w:sz w:val="22"/>
          <w:szCs w:val="22"/>
          <w:lang w:val="es-ES"/>
        </w:rPr>
        <w:t>para la aplicación de los</w:t>
      </w:r>
      <w:r w:rsidR="00D33579">
        <w:rPr>
          <w:rFonts w:ascii="Verdana" w:hAnsi="Verdana" w:cs="Arial"/>
          <w:i/>
          <w:iCs/>
          <w:sz w:val="22"/>
          <w:szCs w:val="22"/>
          <w:lang w:val="es-ES"/>
        </w:rPr>
        <w:t xml:space="preserve"> </w:t>
      </w:r>
      <w:r w:rsidRPr="002F3106">
        <w:rPr>
          <w:rFonts w:ascii="Verdana" w:hAnsi="Verdana" w:cs="Arial"/>
          <w:i/>
          <w:iCs/>
          <w:sz w:val="22"/>
          <w:szCs w:val="22"/>
          <w:lang w:val="es-ES"/>
        </w:rPr>
        <w:t>nuevos estándares contables</w:t>
      </w:r>
      <w:r w:rsidR="00D33579">
        <w:rPr>
          <w:rFonts w:ascii="Verdana" w:hAnsi="Verdana" w:cs="Arial"/>
          <w:i/>
          <w:iCs/>
          <w:sz w:val="22"/>
          <w:szCs w:val="22"/>
          <w:lang w:val="es-ES"/>
        </w:rPr>
        <w:t xml:space="preserve"> </w:t>
      </w:r>
      <w:r w:rsidRPr="002F3106">
        <w:rPr>
          <w:rFonts w:ascii="Verdana" w:hAnsi="Verdana" w:cs="Arial"/>
          <w:i/>
          <w:iCs/>
          <w:sz w:val="22"/>
          <w:szCs w:val="22"/>
          <w:lang w:val="es-ES"/>
        </w:rPr>
        <w:t>se deben considerar las siguientes fechas:</w:t>
      </w:r>
    </w:p>
    <w:p w14:paraId="3CCEBD54" w14:textId="77777777" w:rsidR="002F3106" w:rsidRDefault="002F3106" w:rsidP="00A51A83">
      <w:pPr>
        <w:widowControl w:val="0"/>
        <w:autoSpaceDE w:val="0"/>
        <w:autoSpaceDN w:val="0"/>
        <w:adjustRightInd w:val="0"/>
        <w:spacing w:line="276" w:lineRule="auto"/>
        <w:ind w:left="708"/>
        <w:jc w:val="both"/>
        <w:rPr>
          <w:rFonts w:ascii="Verdana" w:hAnsi="Verdana" w:cs="Arial"/>
          <w:i/>
          <w:lang w:val="es-ES"/>
        </w:rPr>
      </w:pPr>
    </w:p>
    <w:p w14:paraId="63E30D68" w14:textId="65DD3454" w:rsidR="0032180E" w:rsidRPr="00AD2B50" w:rsidRDefault="002F3106" w:rsidP="00766440">
      <w:pPr>
        <w:pStyle w:val="Prrafodelista"/>
        <w:widowControl w:val="0"/>
        <w:numPr>
          <w:ilvl w:val="1"/>
          <w:numId w:val="39"/>
        </w:numPr>
        <w:autoSpaceDE w:val="0"/>
        <w:autoSpaceDN w:val="0"/>
        <w:adjustRightInd w:val="0"/>
        <w:spacing w:line="276" w:lineRule="auto"/>
        <w:ind w:left="1701" w:hanging="992"/>
        <w:jc w:val="both"/>
        <w:rPr>
          <w:rFonts w:ascii="Verdana" w:hAnsi="Verdana" w:cs="Arial"/>
          <w:i/>
          <w:lang w:val="es-ES"/>
        </w:rPr>
      </w:pPr>
      <w:r w:rsidRPr="0032180E">
        <w:rPr>
          <w:rFonts w:ascii="Verdana" w:hAnsi="Verdana" w:cs="Arial"/>
          <w:bCs/>
          <w:i/>
          <w:iCs/>
          <w:lang w:val="es-ES"/>
        </w:rPr>
        <w:t>Fecha</w:t>
      </w:r>
      <w:r w:rsidR="00D33579" w:rsidRPr="0032180E">
        <w:rPr>
          <w:rFonts w:ascii="Verdana" w:hAnsi="Verdana" w:cs="Arial"/>
          <w:bCs/>
          <w:i/>
          <w:iCs/>
          <w:lang w:val="es-ES"/>
        </w:rPr>
        <w:t xml:space="preserve"> </w:t>
      </w:r>
      <w:r w:rsidRPr="0032180E">
        <w:rPr>
          <w:rFonts w:ascii="Verdana" w:hAnsi="Verdana" w:cs="Arial"/>
          <w:bCs/>
          <w:i/>
          <w:iCs/>
          <w:lang w:val="es-ES"/>
        </w:rPr>
        <w:t>de transición:</w:t>
      </w:r>
      <w:r w:rsidR="00D33579" w:rsidRPr="0032180E">
        <w:rPr>
          <w:rFonts w:ascii="Verdana" w:hAnsi="Verdana" w:cs="Arial"/>
          <w:bCs/>
          <w:i/>
          <w:iCs/>
          <w:lang w:val="es-ES"/>
        </w:rPr>
        <w:t xml:space="preserve"> </w:t>
      </w:r>
      <w:r w:rsidRPr="0032180E">
        <w:rPr>
          <w:rFonts w:ascii="Verdana" w:hAnsi="Verdana" w:cs="Arial"/>
          <w:bCs/>
          <w:i/>
          <w:iCs/>
          <w:lang w:val="es-ES"/>
        </w:rPr>
        <w:t>1 de enero de 202</w:t>
      </w:r>
      <w:r w:rsidR="004313F8" w:rsidRPr="0032180E">
        <w:rPr>
          <w:rFonts w:ascii="Verdana" w:hAnsi="Verdana" w:cs="Arial"/>
          <w:bCs/>
          <w:i/>
          <w:iCs/>
          <w:lang w:val="es-ES"/>
        </w:rPr>
        <w:t>7</w:t>
      </w:r>
      <w:r w:rsidRPr="0032180E">
        <w:rPr>
          <w:rFonts w:ascii="Verdana" w:hAnsi="Verdana" w:cs="Arial"/>
          <w:bCs/>
          <w:i/>
          <w:iCs/>
          <w:lang w:val="es-ES"/>
        </w:rPr>
        <w:t>, momento a partir del cual</w:t>
      </w:r>
      <w:r w:rsidR="00D33579" w:rsidRPr="0032180E">
        <w:rPr>
          <w:rFonts w:ascii="Verdana" w:hAnsi="Verdana" w:cs="Arial"/>
          <w:bCs/>
          <w:i/>
          <w:iCs/>
          <w:lang w:val="es-ES"/>
        </w:rPr>
        <w:t xml:space="preserve"> </w:t>
      </w:r>
      <w:r w:rsidRPr="0032180E">
        <w:rPr>
          <w:rFonts w:ascii="Verdana" w:hAnsi="Verdana" w:cs="Arial"/>
          <w:bCs/>
          <w:i/>
          <w:iCs/>
          <w:lang w:val="es-ES"/>
        </w:rPr>
        <w:t>inicia el periodo de transición</w:t>
      </w:r>
      <w:r w:rsidR="00D33579" w:rsidRPr="0032180E">
        <w:rPr>
          <w:rFonts w:ascii="Verdana" w:hAnsi="Verdana" w:cs="Arial"/>
          <w:bCs/>
          <w:i/>
          <w:iCs/>
          <w:lang w:val="es-ES"/>
        </w:rPr>
        <w:t xml:space="preserve"> </w:t>
      </w:r>
      <w:r w:rsidRPr="0032180E">
        <w:rPr>
          <w:rFonts w:ascii="Verdana" w:hAnsi="Verdana" w:cs="Arial"/>
          <w:bCs/>
          <w:i/>
          <w:iCs/>
          <w:lang w:val="es-ES"/>
        </w:rPr>
        <w:t>que se extiende hasta el 31 de diciembre de 202</w:t>
      </w:r>
      <w:r w:rsidR="004313F8" w:rsidRPr="0032180E">
        <w:rPr>
          <w:rFonts w:ascii="Verdana" w:hAnsi="Verdana" w:cs="Arial"/>
          <w:bCs/>
          <w:i/>
          <w:iCs/>
          <w:lang w:val="es-ES"/>
        </w:rPr>
        <w:t>7</w:t>
      </w:r>
      <w:r w:rsidRPr="0032180E">
        <w:rPr>
          <w:rFonts w:ascii="Verdana" w:hAnsi="Verdana" w:cs="Arial"/>
          <w:bCs/>
          <w:i/>
          <w:iCs/>
          <w:lang w:val="es-ES"/>
        </w:rPr>
        <w:t>. En consecuencia, durante el año 202</w:t>
      </w:r>
      <w:r w:rsidR="002D3E54" w:rsidRPr="0032180E">
        <w:rPr>
          <w:rFonts w:ascii="Verdana" w:hAnsi="Verdana" w:cs="Arial"/>
          <w:bCs/>
          <w:i/>
          <w:iCs/>
          <w:lang w:val="es-ES"/>
        </w:rPr>
        <w:t>7</w:t>
      </w:r>
      <w:r w:rsidRPr="0032180E">
        <w:rPr>
          <w:rFonts w:ascii="Verdana" w:hAnsi="Verdana" w:cs="Arial"/>
          <w:bCs/>
          <w:i/>
          <w:iCs/>
          <w:lang w:val="es-ES"/>
        </w:rPr>
        <w:t xml:space="preserve"> las entidades</w:t>
      </w:r>
      <w:r w:rsidR="00D33579" w:rsidRPr="0032180E">
        <w:rPr>
          <w:rFonts w:ascii="Verdana" w:hAnsi="Verdana" w:cs="Arial"/>
          <w:bCs/>
          <w:i/>
          <w:iCs/>
          <w:lang w:val="es-ES"/>
        </w:rPr>
        <w:t xml:space="preserve"> </w:t>
      </w:r>
      <w:r w:rsidRPr="0032180E">
        <w:rPr>
          <w:rFonts w:ascii="Verdana" w:hAnsi="Verdana" w:cs="Arial"/>
          <w:bCs/>
          <w:i/>
          <w:iCs/>
          <w:lang w:val="es-ES"/>
        </w:rPr>
        <w:t>aseguradoras</w:t>
      </w:r>
      <w:r w:rsidR="00D33579" w:rsidRPr="0032180E">
        <w:rPr>
          <w:rFonts w:ascii="Verdana" w:hAnsi="Verdana" w:cs="Arial"/>
          <w:bCs/>
          <w:i/>
          <w:iCs/>
          <w:lang w:val="es-ES"/>
        </w:rPr>
        <w:t xml:space="preserve"> </w:t>
      </w:r>
      <w:r w:rsidRPr="0032180E">
        <w:rPr>
          <w:rFonts w:ascii="Verdana" w:hAnsi="Verdana" w:cs="Arial"/>
          <w:bCs/>
          <w:i/>
          <w:iCs/>
          <w:lang w:val="es-ES"/>
        </w:rPr>
        <w:t>deben</w:t>
      </w:r>
      <w:r w:rsidR="00D33579" w:rsidRPr="0032180E">
        <w:rPr>
          <w:rFonts w:ascii="Verdana" w:hAnsi="Verdana" w:cs="Arial"/>
          <w:bCs/>
          <w:i/>
          <w:iCs/>
          <w:lang w:val="es-ES"/>
        </w:rPr>
        <w:t xml:space="preserve"> </w:t>
      </w:r>
      <w:r w:rsidRPr="0032180E">
        <w:rPr>
          <w:rFonts w:ascii="Verdana" w:hAnsi="Verdana" w:cs="Arial"/>
          <w:bCs/>
          <w:i/>
          <w:iCs/>
          <w:lang w:val="es-ES"/>
        </w:rPr>
        <w:t>adoptar los preparativos</w:t>
      </w:r>
      <w:r w:rsidR="00D33579" w:rsidRPr="0032180E">
        <w:rPr>
          <w:rFonts w:ascii="Verdana" w:hAnsi="Verdana" w:cs="Arial"/>
          <w:bCs/>
          <w:i/>
          <w:iCs/>
          <w:lang w:val="es-ES"/>
        </w:rPr>
        <w:t xml:space="preserve"> </w:t>
      </w:r>
      <w:r w:rsidRPr="0032180E">
        <w:rPr>
          <w:rFonts w:ascii="Verdana" w:hAnsi="Verdana" w:cs="Arial"/>
          <w:bCs/>
          <w:i/>
          <w:iCs/>
          <w:lang w:val="es-ES"/>
        </w:rPr>
        <w:t>necesarios</w:t>
      </w:r>
      <w:r w:rsidR="00D33579" w:rsidRPr="0032180E">
        <w:rPr>
          <w:rFonts w:ascii="Verdana" w:hAnsi="Verdana" w:cs="Arial"/>
          <w:bCs/>
          <w:i/>
          <w:iCs/>
          <w:lang w:val="es-ES"/>
        </w:rPr>
        <w:t xml:space="preserve"> </w:t>
      </w:r>
      <w:r w:rsidRPr="0032180E">
        <w:rPr>
          <w:rFonts w:ascii="Verdana" w:hAnsi="Verdana" w:cs="Arial"/>
          <w:bCs/>
          <w:i/>
          <w:iCs/>
          <w:lang w:val="es-ES"/>
        </w:rPr>
        <w:t>para</w:t>
      </w:r>
      <w:r w:rsidR="00D33579" w:rsidRPr="0032180E">
        <w:rPr>
          <w:rFonts w:ascii="Verdana" w:hAnsi="Verdana" w:cs="Arial"/>
          <w:bCs/>
          <w:i/>
          <w:iCs/>
          <w:lang w:val="es-ES"/>
        </w:rPr>
        <w:t xml:space="preserve"> </w:t>
      </w:r>
      <w:r w:rsidRPr="0032180E">
        <w:rPr>
          <w:rFonts w:ascii="Verdana" w:hAnsi="Verdana" w:cs="Arial"/>
          <w:bCs/>
          <w:i/>
          <w:iCs/>
          <w:lang w:val="es-ES"/>
        </w:rPr>
        <w:t>realizar la medición, reconocimiento y baja en cuentas</w:t>
      </w:r>
      <w:r w:rsidR="00D33579" w:rsidRPr="0032180E">
        <w:rPr>
          <w:rFonts w:ascii="Verdana" w:hAnsi="Verdana" w:cs="Arial"/>
          <w:bCs/>
          <w:i/>
          <w:iCs/>
          <w:lang w:val="es-ES"/>
        </w:rPr>
        <w:t xml:space="preserve"> </w:t>
      </w:r>
      <w:r w:rsidRPr="0032180E">
        <w:rPr>
          <w:rFonts w:ascii="Verdana" w:hAnsi="Verdana" w:cs="Arial"/>
          <w:bCs/>
          <w:i/>
          <w:iCs/>
          <w:lang w:val="es-ES"/>
        </w:rPr>
        <w:t>de cara a</w:t>
      </w:r>
      <w:r w:rsidR="00D33579" w:rsidRPr="0032180E">
        <w:rPr>
          <w:rFonts w:ascii="Verdana" w:hAnsi="Verdana" w:cs="Arial"/>
          <w:bCs/>
          <w:i/>
          <w:iCs/>
          <w:lang w:val="es-ES"/>
        </w:rPr>
        <w:t xml:space="preserve"> </w:t>
      </w:r>
      <w:r w:rsidRPr="0032180E">
        <w:rPr>
          <w:rFonts w:ascii="Verdana" w:hAnsi="Verdana" w:cs="Arial"/>
          <w:bCs/>
          <w:i/>
          <w:iCs/>
          <w:lang w:val="es-ES"/>
        </w:rPr>
        <w:t>la aplicación plena</w:t>
      </w:r>
      <w:r w:rsidR="00D33579" w:rsidRPr="0032180E">
        <w:rPr>
          <w:rFonts w:ascii="Verdana" w:hAnsi="Verdana" w:cs="Arial"/>
          <w:bCs/>
          <w:i/>
          <w:iCs/>
          <w:lang w:val="es-ES"/>
        </w:rPr>
        <w:t xml:space="preserve"> </w:t>
      </w:r>
      <w:r w:rsidRPr="0032180E">
        <w:rPr>
          <w:rFonts w:ascii="Verdana" w:hAnsi="Verdana" w:cs="Arial"/>
          <w:bCs/>
          <w:i/>
          <w:iCs/>
          <w:lang w:val="es-ES"/>
        </w:rPr>
        <w:t>del</w:t>
      </w:r>
      <w:r w:rsidR="00D33579" w:rsidRPr="0032180E">
        <w:rPr>
          <w:rFonts w:ascii="Verdana" w:hAnsi="Verdana" w:cs="Arial"/>
          <w:bCs/>
          <w:i/>
          <w:iCs/>
          <w:lang w:val="es-ES"/>
        </w:rPr>
        <w:t xml:space="preserve"> </w:t>
      </w:r>
      <w:r w:rsidRPr="0032180E">
        <w:rPr>
          <w:rFonts w:ascii="Verdana" w:hAnsi="Verdana" w:cs="Arial"/>
          <w:bCs/>
          <w:i/>
          <w:iCs/>
          <w:lang w:val="es-ES"/>
        </w:rPr>
        <w:t>nuevo estándar contable,</w:t>
      </w:r>
      <w:r w:rsidR="00D33579" w:rsidRPr="0032180E">
        <w:rPr>
          <w:rFonts w:ascii="Verdana" w:hAnsi="Verdana" w:cs="Arial"/>
          <w:bCs/>
          <w:i/>
          <w:iCs/>
          <w:lang w:val="es-ES"/>
        </w:rPr>
        <w:t xml:space="preserve"> </w:t>
      </w:r>
      <w:r w:rsidRPr="0032180E">
        <w:rPr>
          <w:rFonts w:ascii="Verdana" w:hAnsi="Verdana" w:cs="Arial"/>
          <w:bCs/>
          <w:i/>
          <w:iCs/>
          <w:lang w:val="es-ES"/>
        </w:rPr>
        <w:t>teniendo en cuenta las reglas de transición señaladas en la presente instrucción.</w:t>
      </w:r>
    </w:p>
    <w:p w14:paraId="50810EC6" w14:textId="77777777" w:rsidR="007338BC" w:rsidRPr="00A1649C" w:rsidRDefault="007338BC" w:rsidP="007338BC">
      <w:pPr>
        <w:pStyle w:val="Prrafodelista"/>
        <w:widowControl w:val="0"/>
        <w:autoSpaceDE w:val="0"/>
        <w:autoSpaceDN w:val="0"/>
        <w:adjustRightInd w:val="0"/>
        <w:spacing w:line="276" w:lineRule="auto"/>
        <w:ind w:left="1701"/>
        <w:jc w:val="both"/>
        <w:rPr>
          <w:rFonts w:ascii="Verdana" w:hAnsi="Verdana" w:cs="Arial"/>
          <w:i/>
          <w:iCs/>
          <w:lang w:val="es-ES"/>
        </w:rPr>
      </w:pPr>
    </w:p>
    <w:p w14:paraId="5B8EB13C" w14:textId="4381C157" w:rsidR="002F3106" w:rsidRPr="00DA3317" w:rsidRDefault="002F3106" w:rsidP="00766440">
      <w:pPr>
        <w:pStyle w:val="Prrafodelista"/>
        <w:widowControl w:val="0"/>
        <w:numPr>
          <w:ilvl w:val="1"/>
          <w:numId w:val="39"/>
        </w:numPr>
        <w:autoSpaceDE w:val="0"/>
        <w:autoSpaceDN w:val="0"/>
        <w:adjustRightInd w:val="0"/>
        <w:spacing w:line="276" w:lineRule="auto"/>
        <w:ind w:left="1701" w:hanging="992"/>
        <w:jc w:val="both"/>
        <w:rPr>
          <w:rFonts w:ascii="Verdana" w:hAnsi="Verdana" w:cs="Arial"/>
          <w:i/>
          <w:iCs/>
          <w:lang w:val="es-ES"/>
        </w:rPr>
      </w:pPr>
      <w:r w:rsidRPr="0032180E">
        <w:rPr>
          <w:rFonts w:ascii="Verdana" w:hAnsi="Verdana" w:cs="Arial"/>
          <w:i/>
          <w:lang w:val="es-ES"/>
        </w:rPr>
        <w:t xml:space="preserve">Fecha de aplicación inicial: </w:t>
      </w:r>
      <w:r w:rsidRPr="00DA3317">
        <w:rPr>
          <w:rFonts w:ascii="Verdana" w:hAnsi="Verdana" w:cs="Arial"/>
          <w:i/>
          <w:iCs/>
          <w:lang w:val="es-ES"/>
        </w:rPr>
        <w:t>1 de enero de 202</w:t>
      </w:r>
      <w:r w:rsidR="009361D8" w:rsidRPr="00DA3317">
        <w:rPr>
          <w:rFonts w:ascii="Verdana" w:hAnsi="Verdana" w:cs="Arial"/>
          <w:i/>
          <w:iCs/>
          <w:lang w:val="es-ES"/>
        </w:rPr>
        <w:t>8</w:t>
      </w:r>
      <w:r w:rsidRPr="002F3106">
        <w:rPr>
          <w:rFonts w:ascii="Verdana" w:hAnsi="Verdana" w:cs="Arial"/>
          <w:i/>
          <w:iCs/>
          <w:lang w:val="es-ES"/>
        </w:rPr>
        <w:t>.</w:t>
      </w:r>
      <w:r w:rsidR="00DA3317">
        <w:rPr>
          <w:rFonts w:ascii="Verdana" w:hAnsi="Verdana" w:cs="Arial"/>
          <w:i/>
          <w:iCs/>
          <w:lang w:val="es-ES"/>
        </w:rPr>
        <w:t xml:space="preserve"> </w:t>
      </w:r>
      <w:r w:rsidRPr="002F3106">
        <w:rPr>
          <w:rFonts w:ascii="Verdana" w:hAnsi="Verdana" w:cs="Arial"/>
          <w:i/>
          <w:iCs/>
          <w:lang w:val="es-ES"/>
        </w:rPr>
        <w:t>A partir de esta fecha las entidades</w:t>
      </w:r>
      <w:r w:rsidR="00DA3317">
        <w:rPr>
          <w:rFonts w:ascii="Verdana" w:hAnsi="Verdana" w:cs="Arial"/>
          <w:i/>
          <w:iCs/>
          <w:lang w:val="es-ES"/>
        </w:rPr>
        <w:t xml:space="preserve"> </w:t>
      </w:r>
      <w:r w:rsidRPr="002F3106">
        <w:rPr>
          <w:rFonts w:ascii="Verdana" w:hAnsi="Verdana" w:cs="Arial"/>
          <w:i/>
          <w:iCs/>
          <w:lang w:val="es-ES"/>
        </w:rPr>
        <w:t>aseguradoras</w:t>
      </w:r>
      <w:r w:rsidR="00DA3317">
        <w:rPr>
          <w:rFonts w:ascii="Verdana" w:hAnsi="Verdana" w:cs="Arial"/>
          <w:i/>
          <w:iCs/>
          <w:lang w:val="es-ES"/>
        </w:rPr>
        <w:t xml:space="preserve"> </w:t>
      </w:r>
      <w:r w:rsidRPr="002F3106">
        <w:rPr>
          <w:rFonts w:ascii="Verdana" w:hAnsi="Verdana" w:cs="Arial"/>
          <w:i/>
          <w:iCs/>
          <w:lang w:val="es-ES"/>
        </w:rPr>
        <w:t>deben dar aplicación plena a los marcos técnicos normativos de información financiera adoptados</w:t>
      </w:r>
      <w:r w:rsidR="00DA3317">
        <w:rPr>
          <w:rFonts w:ascii="Verdana" w:hAnsi="Verdana" w:cs="Arial"/>
          <w:i/>
          <w:iCs/>
          <w:lang w:val="es-ES"/>
        </w:rPr>
        <w:t xml:space="preserve"> </w:t>
      </w:r>
      <w:r w:rsidRPr="002F3106">
        <w:rPr>
          <w:rFonts w:ascii="Verdana" w:hAnsi="Verdana" w:cs="Arial"/>
          <w:i/>
          <w:iCs/>
          <w:lang w:val="es-ES"/>
        </w:rPr>
        <w:t>en los nuevos estándares contables,</w:t>
      </w:r>
      <w:r w:rsidR="00DA3317">
        <w:rPr>
          <w:rFonts w:ascii="Verdana" w:hAnsi="Verdana" w:cs="Arial"/>
          <w:i/>
          <w:iCs/>
          <w:lang w:val="es-ES"/>
        </w:rPr>
        <w:t xml:space="preserve"> </w:t>
      </w:r>
      <w:r w:rsidRPr="002F3106">
        <w:rPr>
          <w:rFonts w:ascii="Verdana" w:hAnsi="Verdana" w:cs="Arial"/>
          <w:i/>
          <w:iCs/>
          <w:lang w:val="es-ES"/>
        </w:rPr>
        <w:t>incluyendo las simplificaciones correspondientes.</w:t>
      </w:r>
    </w:p>
    <w:p w14:paraId="7F184051" w14:textId="4C445F67" w:rsidR="002F3106" w:rsidRPr="002F3106" w:rsidRDefault="002F3106" w:rsidP="00A51A83">
      <w:pPr>
        <w:widowControl w:val="0"/>
        <w:autoSpaceDE w:val="0"/>
        <w:autoSpaceDN w:val="0"/>
        <w:adjustRightInd w:val="0"/>
        <w:spacing w:line="276" w:lineRule="auto"/>
        <w:ind w:left="708"/>
        <w:jc w:val="both"/>
        <w:rPr>
          <w:rFonts w:ascii="Verdana" w:hAnsi="Verdana" w:cs="Arial"/>
          <w:i/>
          <w:iCs/>
          <w:sz w:val="22"/>
          <w:szCs w:val="22"/>
        </w:rPr>
      </w:pPr>
      <w:r w:rsidRPr="002F3106">
        <w:rPr>
          <w:rFonts w:ascii="Verdana" w:hAnsi="Verdana" w:cs="Arial"/>
          <w:i/>
          <w:iCs/>
          <w:sz w:val="22"/>
          <w:szCs w:val="22"/>
          <w:lang w:val="es-ES"/>
        </w:rPr>
        <w:t>Sin perjuicio de lo</w:t>
      </w:r>
      <w:r w:rsidR="003C5A27">
        <w:rPr>
          <w:rFonts w:ascii="Verdana" w:hAnsi="Verdana" w:cs="Arial"/>
          <w:i/>
          <w:iCs/>
          <w:sz w:val="22"/>
          <w:szCs w:val="22"/>
          <w:lang w:val="es-ES"/>
        </w:rPr>
        <w:t xml:space="preserve"> </w:t>
      </w:r>
      <w:r w:rsidRPr="002F3106">
        <w:rPr>
          <w:rFonts w:ascii="Verdana" w:hAnsi="Verdana" w:cs="Arial"/>
          <w:i/>
          <w:iCs/>
          <w:sz w:val="22"/>
          <w:szCs w:val="22"/>
          <w:lang w:val="es-ES"/>
        </w:rPr>
        <w:t>previsto</w:t>
      </w:r>
      <w:r w:rsidR="003C5A27">
        <w:rPr>
          <w:rFonts w:ascii="Verdana" w:hAnsi="Verdana" w:cs="Arial"/>
          <w:i/>
          <w:iCs/>
          <w:sz w:val="22"/>
          <w:szCs w:val="22"/>
          <w:lang w:val="es-ES"/>
        </w:rPr>
        <w:t xml:space="preserve"> </w:t>
      </w:r>
      <w:r w:rsidRPr="002F3106">
        <w:rPr>
          <w:rFonts w:ascii="Verdana" w:hAnsi="Verdana" w:cs="Arial"/>
          <w:i/>
          <w:iCs/>
          <w:sz w:val="22"/>
          <w:szCs w:val="22"/>
          <w:lang w:val="es-ES"/>
        </w:rPr>
        <w:t>en la instrucción</w:t>
      </w:r>
      <w:r w:rsidR="003C5A27">
        <w:rPr>
          <w:rFonts w:ascii="Verdana" w:hAnsi="Verdana" w:cs="Arial"/>
          <w:i/>
          <w:iCs/>
          <w:sz w:val="22"/>
          <w:szCs w:val="22"/>
          <w:lang w:val="es-ES"/>
        </w:rPr>
        <w:t xml:space="preserve"> </w:t>
      </w:r>
      <w:r w:rsidRPr="002F3106">
        <w:rPr>
          <w:rFonts w:ascii="Verdana" w:hAnsi="Verdana" w:cs="Arial"/>
          <w:i/>
          <w:iCs/>
          <w:sz w:val="22"/>
          <w:szCs w:val="22"/>
          <w:lang w:val="es-ES"/>
        </w:rPr>
        <w:t>DÉCIMAPRIMERA, a</w:t>
      </w:r>
      <w:r w:rsidR="003C5A27">
        <w:rPr>
          <w:rFonts w:ascii="Verdana" w:hAnsi="Verdana" w:cs="Arial"/>
          <w:i/>
          <w:iCs/>
          <w:sz w:val="22"/>
          <w:szCs w:val="22"/>
          <w:lang w:val="es-ES"/>
        </w:rPr>
        <w:t xml:space="preserve"> </w:t>
      </w:r>
      <w:r w:rsidRPr="002F3106">
        <w:rPr>
          <w:rFonts w:ascii="Verdana" w:hAnsi="Verdana" w:cs="Arial"/>
          <w:i/>
          <w:iCs/>
          <w:sz w:val="22"/>
          <w:szCs w:val="22"/>
          <w:lang w:val="es-ES"/>
        </w:rPr>
        <w:t xml:space="preserve">partir del </w:t>
      </w:r>
      <w:r w:rsidRPr="00DA3317">
        <w:rPr>
          <w:rFonts w:ascii="Verdana" w:hAnsi="Verdana" w:cs="Arial"/>
          <w:i/>
          <w:iCs/>
          <w:sz w:val="22"/>
          <w:szCs w:val="22"/>
          <w:lang w:val="es-ES"/>
        </w:rPr>
        <w:t>1 de enero de 202</w:t>
      </w:r>
      <w:r w:rsidR="009361D8" w:rsidRPr="00DA3317">
        <w:rPr>
          <w:rFonts w:ascii="Verdana" w:hAnsi="Verdana" w:cs="Arial"/>
          <w:i/>
          <w:iCs/>
          <w:sz w:val="22"/>
          <w:szCs w:val="22"/>
          <w:lang w:val="es-ES"/>
        </w:rPr>
        <w:t>7</w:t>
      </w:r>
      <w:r w:rsidRPr="002F3106">
        <w:rPr>
          <w:rFonts w:ascii="Verdana" w:hAnsi="Verdana" w:cs="Arial"/>
          <w:i/>
          <w:iCs/>
          <w:sz w:val="22"/>
          <w:szCs w:val="22"/>
          <w:lang w:val="es-ES"/>
        </w:rPr>
        <w:t>,</w:t>
      </w:r>
      <w:r w:rsidR="003C5A27">
        <w:rPr>
          <w:rFonts w:ascii="Verdana" w:hAnsi="Verdana" w:cs="Arial"/>
          <w:i/>
          <w:iCs/>
          <w:sz w:val="22"/>
          <w:szCs w:val="22"/>
          <w:lang w:val="es-ES"/>
        </w:rPr>
        <w:t xml:space="preserve"> </w:t>
      </w:r>
      <w:r w:rsidRPr="002F3106">
        <w:rPr>
          <w:rFonts w:ascii="Verdana" w:hAnsi="Verdana" w:cs="Arial"/>
          <w:i/>
          <w:iCs/>
          <w:sz w:val="22"/>
          <w:szCs w:val="22"/>
          <w:lang w:val="es-ES"/>
        </w:rPr>
        <w:t>las entidades aseguradoras</w:t>
      </w:r>
      <w:r w:rsidR="003C5A27">
        <w:rPr>
          <w:rFonts w:ascii="Verdana" w:hAnsi="Verdana" w:cs="Arial"/>
          <w:i/>
          <w:iCs/>
          <w:sz w:val="22"/>
          <w:szCs w:val="22"/>
          <w:lang w:val="es-ES"/>
        </w:rPr>
        <w:t xml:space="preserve"> </w:t>
      </w:r>
      <w:r w:rsidRPr="002F3106">
        <w:rPr>
          <w:rFonts w:ascii="Verdana" w:hAnsi="Verdana" w:cs="Arial"/>
          <w:i/>
          <w:iCs/>
          <w:sz w:val="22"/>
          <w:szCs w:val="22"/>
          <w:lang w:val="es-ES"/>
        </w:rPr>
        <w:t>deben</w:t>
      </w:r>
      <w:r w:rsidR="003C5A27">
        <w:rPr>
          <w:rFonts w:ascii="Verdana" w:hAnsi="Verdana" w:cs="Arial"/>
          <w:i/>
          <w:iCs/>
          <w:sz w:val="22"/>
          <w:szCs w:val="22"/>
          <w:lang w:val="es-ES"/>
        </w:rPr>
        <w:t xml:space="preserve"> </w:t>
      </w:r>
      <w:r w:rsidRPr="002F3106">
        <w:rPr>
          <w:rFonts w:ascii="Verdana" w:hAnsi="Verdana" w:cs="Arial"/>
          <w:i/>
          <w:iCs/>
          <w:sz w:val="22"/>
          <w:szCs w:val="22"/>
          <w:lang w:val="es-ES"/>
        </w:rPr>
        <w:t>iniciar</w:t>
      </w:r>
      <w:r w:rsidR="003C5A27">
        <w:rPr>
          <w:rFonts w:ascii="Verdana" w:hAnsi="Verdana" w:cs="Arial"/>
          <w:i/>
          <w:iCs/>
          <w:sz w:val="22"/>
          <w:szCs w:val="22"/>
          <w:lang w:val="es-ES"/>
        </w:rPr>
        <w:t xml:space="preserve"> </w:t>
      </w:r>
      <w:r w:rsidRPr="002F3106">
        <w:rPr>
          <w:rFonts w:ascii="Verdana" w:hAnsi="Verdana" w:cs="Arial"/>
          <w:i/>
          <w:iCs/>
          <w:sz w:val="22"/>
          <w:szCs w:val="22"/>
          <w:lang w:val="es-ES"/>
        </w:rPr>
        <w:t>la</w:t>
      </w:r>
      <w:r w:rsidR="003C5A27">
        <w:rPr>
          <w:rFonts w:ascii="Verdana" w:hAnsi="Verdana" w:cs="Arial"/>
          <w:i/>
          <w:iCs/>
          <w:sz w:val="22"/>
          <w:szCs w:val="22"/>
          <w:lang w:val="es-ES"/>
        </w:rPr>
        <w:t xml:space="preserve"> </w:t>
      </w:r>
      <w:r w:rsidRPr="002F3106">
        <w:rPr>
          <w:rFonts w:ascii="Verdana" w:hAnsi="Verdana" w:cs="Arial"/>
          <w:i/>
          <w:iCs/>
          <w:sz w:val="22"/>
          <w:szCs w:val="22"/>
          <w:lang w:val="es-ES"/>
        </w:rPr>
        <w:t>transición</w:t>
      </w:r>
      <w:r w:rsidR="003C5A27">
        <w:rPr>
          <w:rFonts w:ascii="Verdana" w:hAnsi="Verdana" w:cs="Arial"/>
          <w:i/>
          <w:iCs/>
          <w:sz w:val="22"/>
          <w:szCs w:val="22"/>
          <w:lang w:val="es-ES"/>
        </w:rPr>
        <w:t xml:space="preserve"> </w:t>
      </w:r>
      <w:r w:rsidRPr="002F3106">
        <w:rPr>
          <w:rFonts w:ascii="Verdana" w:hAnsi="Verdana" w:cs="Arial"/>
          <w:i/>
          <w:iCs/>
          <w:sz w:val="22"/>
          <w:szCs w:val="22"/>
          <w:lang w:val="es-ES"/>
        </w:rPr>
        <w:t>para la aplicación por primera vez,</w:t>
      </w:r>
      <w:r w:rsidR="003C5A27">
        <w:rPr>
          <w:rFonts w:ascii="Verdana" w:hAnsi="Verdana" w:cs="Arial"/>
          <w:i/>
          <w:iCs/>
          <w:sz w:val="22"/>
          <w:szCs w:val="22"/>
          <w:lang w:val="es-ES"/>
        </w:rPr>
        <w:t xml:space="preserve"> </w:t>
      </w:r>
      <w:r w:rsidRPr="002F3106">
        <w:rPr>
          <w:rFonts w:ascii="Verdana" w:hAnsi="Verdana" w:cs="Arial"/>
          <w:i/>
          <w:iCs/>
          <w:sz w:val="22"/>
          <w:szCs w:val="22"/>
          <w:lang w:val="es-ES"/>
        </w:rPr>
        <w:t>teniendo en cuenta los enfoques</w:t>
      </w:r>
      <w:r w:rsidR="003C5A27">
        <w:rPr>
          <w:rFonts w:ascii="Verdana" w:hAnsi="Verdana" w:cs="Arial"/>
          <w:i/>
          <w:iCs/>
          <w:sz w:val="22"/>
          <w:szCs w:val="22"/>
          <w:lang w:val="es-ES"/>
        </w:rPr>
        <w:t xml:space="preserve"> </w:t>
      </w:r>
      <w:r w:rsidRPr="002F3106">
        <w:rPr>
          <w:rFonts w:ascii="Verdana" w:hAnsi="Verdana" w:cs="Arial"/>
          <w:i/>
          <w:iCs/>
          <w:sz w:val="22"/>
          <w:szCs w:val="22"/>
          <w:lang w:val="es-ES"/>
        </w:rPr>
        <w:t>regulados en el apéndice</w:t>
      </w:r>
      <w:r w:rsidR="003C5A27">
        <w:rPr>
          <w:rFonts w:ascii="Verdana" w:hAnsi="Verdana" w:cs="Arial"/>
          <w:i/>
          <w:iCs/>
          <w:sz w:val="22"/>
          <w:szCs w:val="22"/>
          <w:lang w:val="es-ES"/>
        </w:rPr>
        <w:t xml:space="preserve"> </w:t>
      </w:r>
      <w:r w:rsidRPr="002F3106">
        <w:rPr>
          <w:rFonts w:ascii="Verdana" w:hAnsi="Verdana" w:cs="Arial"/>
          <w:i/>
          <w:iCs/>
          <w:sz w:val="22"/>
          <w:szCs w:val="22"/>
          <w:lang w:val="es-ES"/>
        </w:rPr>
        <w:t>c</w:t>
      </w:r>
      <w:r w:rsidR="003C5A27">
        <w:rPr>
          <w:rFonts w:ascii="Verdana" w:hAnsi="Verdana" w:cs="Arial"/>
          <w:i/>
          <w:iCs/>
          <w:sz w:val="22"/>
          <w:szCs w:val="22"/>
          <w:lang w:val="es-ES"/>
        </w:rPr>
        <w:t xml:space="preserve"> </w:t>
      </w:r>
      <w:r w:rsidRPr="002F3106">
        <w:rPr>
          <w:rFonts w:ascii="Verdana" w:hAnsi="Verdana" w:cs="Arial"/>
          <w:i/>
          <w:iCs/>
          <w:sz w:val="22"/>
          <w:szCs w:val="22"/>
          <w:lang w:val="es-ES"/>
        </w:rPr>
        <w:t>de la</w:t>
      </w:r>
      <w:r w:rsidR="003C5A27">
        <w:rPr>
          <w:rFonts w:ascii="Verdana" w:hAnsi="Verdana" w:cs="Arial"/>
          <w:i/>
          <w:iCs/>
          <w:sz w:val="22"/>
          <w:szCs w:val="22"/>
          <w:lang w:val="es-ES"/>
        </w:rPr>
        <w:t xml:space="preserve"> </w:t>
      </w:r>
      <w:r w:rsidRPr="002F3106">
        <w:rPr>
          <w:rFonts w:ascii="Verdana" w:hAnsi="Verdana" w:cs="Arial"/>
          <w:i/>
          <w:iCs/>
          <w:sz w:val="22"/>
          <w:szCs w:val="22"/>
          <w:lang w:val="es-ES"/>
        </w:rPr>
        <w:t>NIIF 17, contenida en los</w:t>
      </w:r>
      <w:r w:rsidR="003C5A27">
        <w:rPr>
          <w:rFonts w:ascii="Verdana" w:hAnsi="Verdana" w:cs="Arial"/>
          <w:i/>
          <w:iCs/>
          <w:sz w:val="22"/>
          <w:szCs w:val="22"/>
          <w:lang w:val="es-ES"/>
        </w:rPr>
        <w:t xml:space="preserve"> </w:t>
      </w:r>
      <w:r w:rsidRPr="002F3106">
        <w:rPr>
          <w:rFonts w:ascii="Verdana" w:hAnsi="Verdana" w:cs="Arial"/>
          <w:i/>
          <w:iCs/>
          <w:sz w:val="22"/>
          <w:szCs w:val="22"/>
          <w:lang w:val="es-ES"/>
        </w:rPr>
        <w:t>nuevos estándares contables. En consecuencia,</w:t>
      </w:r>
      <w:r w:rsidR="003C5A27">
        <w:rPr>
          <w:rFonts w:ascii="Verdana" w:hAnsi="Verdana" w:cs="Arial"/>
          <w:i/>
          <w:iCs/>
          <w:sz w:val="22"/>
          <w:szCs w:val="22"/>
          <w:lang w:val="es-ES"/>
        </w:rPr>
        <w:t xml:space="preserve"> </w:t>
      </w:r>
      <w:r w:rsidRPr="002F3106">
        <w:rPr>
          <w:rFonts w:ascii="Verdana" w:hAnsi="Verdana" w:cs="Arial"/>
          <w:i/>
          <w:iCs/>
          <w:sz w:val="22"/>
          <w:szCs w:val="22"/>
          <w:lang w:val="es-ES"/>
        </w:rPr>
        <w:t>la aplicación por primera vez</w:t>
      </w:r>
      <w:r w:rsidR="003C5A27">
        <w:rPr>
          <w:rFonts w:ascii="Verdana" w:hAnsi="Verdana" w:cs="Arial"/>
          <w:i/>
          <w:iCs/>
          <w:sz w:val="22"/>
          <w:szCs w:val="22"/>
          <w:lang w:val="es-ES"/>
        </w:rPr>
        <w:t xml:space="preserve"> </w:t>
      </w:r>
      <w:r w:rsidRPr="002F3106">
        <w:rPr>
          <w:rFonts w:ascii="Verdana" w:hAnsi="Verdana" w:cs="Arial"/>
          <w:i/>
          <w:iCs/>
          <w:sz w:val="22"/>
          <w:szCs w:val="22"/>
          <w:lang w:val="es-ES"/>
        </w:rPr>
        <w:t>debe</w:t>
      </w:r>
      <w:r w:rsidR="003C5A27">
        <w:rPr>
          <w:rFonts w:ascii="Verdana" w:hAnsi="Verdana" w:cs="Arial"/>
          <w:i/>
          <w:iCs/>
          <w:sz w:val="22"/>
          <w:szCs w:val="22"/>
          <w:lang w:val="es-ES"/>
        </w:rPr>
        <w:t xml:space="preserve"> </w:t>
      </w:r>
      <w:r w:rsidRPr="002F3106">
        <w:rPr>
          <w:rFonts w:ascii="Verdana" w:hAnsi="Verdana" w:cs="Arial"/>
          <w:i/>
          <w:iCs/>
          <w:sz w:val="22"/>
          <w:szCs w:val="22"/>
          <w:lang w:val="es-ES"/>
        </w:rPr>
        <w:t>ejecutarse</w:t>
      </w:r>
      <w:r w:rsidR="003C5A27">
        <w:rPr>
          <w:rFonts w:ascii="Verdana" w:hAnsi="Verdana" w:cs="Arial"/>
          <w:i/>
          <w:iCs/>
          <w:sz w:val="22"/>
          <w:szCs w:val="22"/>
          <w:lang w:val="es-ES"/>
        </w:rPr>
        <w:t xml:space="preserve"> </w:t>
      </w:r>
      <w:r w:rsidRPr="002F3106">
        <w:rPr>
          <w:rFonts w:ascii="Verdana" w:hAnsi="Verdana" w:cs="Arial"/>
          <w:i/>
          <w:iCs/>
          <w:sz w:val="22"/>
          <w:szCs w:val="22"/>
          <w:lang w:val="es-ES"/>
        </w:rPr>
        <w:t>bajo uno de los siguientes enfoques:</w:t>
      </w:r>
    </w:p>
    <w:p w14:paraId="6068631A" w14:textId="265AB518" w:rsidR="002F3106" w:rsidRPr="002F3106" w:rsidRDefault="002F3106" w:rsidP="00A51A83">
      <w:pPr>
        <w:widowControl w:val="0"/>
        <w:autoSpaceDE w:val="0"/>
        <w:autoSpaceDN w:val="0"/>
        <w:adjustRightInd w:val="0"/>
        <w:spacing w:line="276" w:lineRule="auto"/>
        <w:ind w:left="708"/>
        <w:jc w:val="both"/>
        <w:rPr>
          <w:rFonts w:ascii="Verdana" w:hAnsi="Verdana" w:cs="Arial"/>
          <w:i/>
          <w:iCs/>
          <w:sz w:val="22"/>
          <w:szCs w:val="22"/>
        </w:rPr>
      </w:pPr>
    </w:p>
    <w:p w14:paraId="1FAECA11" w14:textId="2D2346B2" w:rsidR="002F3106" w:rsidRPr="002F3106" w:rsidRDefault="002F3106" w:rsidP="00A51A83">
      <w:pPr>
        <w:widowControl w:val="0"/>
        <w:numPr>
          <w:ilvl w:val="0"/>
          <w:numId w:val="20"/>
        </w:numPr>
        <w:tabs>
          <w:tab w:val="clear" w:pos="720"/>
          <w:tab w:val="num" w:pos="1428"/>
        </w:tabs>
        <w:autoSpaceDE w:val="0"/>
        <w:autoSpaceDN w:val="0"/>
        <w:adjustRightInd w:val="0"/>
        <w:spacing w:line="276" w:lineRule="auto"/>
        <w:ind w:left="1428"/>
        <w:jc w:val="both"/>
        <w:rPr>
          <w:rFonts w:ascii="Verdana" w:hAnsi="Verdana" w:cs="Arial"/>
          <w:i/>
          <w:iCs/>
          <w:sz w:val="22"/>
          <w:szCs w:val="22"/>
        </w:rPr>
      </w:pPr>
      <w:r w:rsidRPr="002F3106">
        <w:rPr>
          <w:rFonts w:ascii="Verdana" w:hAnsi="Verdana" w:cs="Arial"/>
          <w:i/>
          <w:iCs/>
          <w:sz w:val="22"/>
          <w:szCs w:val="22"/>
        </w:rPr>
        <w:t>Enfoque</w:t>
      </w:r>
      <w:r w:rsidR="003C5A27">
        <w:rPr>
          <w:rFonts w:ascii="Verdana" w:hAnsi="Verdana" w:cs="Arial"/>
          <w:i/>
          <w:iCs/>
          <w:sz w:val="22"/>
          <w:szCs w:val="22"/>
        </w:rPr>
        <w:t xml:space="preserve"> </w:t>
      </w:r>
      <w:r w:rsidRPr="002F3106">
        <w:rPr>
          <w:rFonts w:ascii="Verdana" w:hAnsi="Verdana" w:cs="Arial"/>
          <w:i/>
          <w:iCs/>
          <w:sz w:val="22"/>
          <w:szCs w:val="22"/>
        </w:rPr>
        <w:t>retrospectivo total.</w:t>
      </w:r>
    </w:p>
    <w:p w14:paraId="0F8ABE0D" w14:textId="225FD796" w:rsidR="002F3106" w:rsidRPr="002F3106" w:rsidRDefault="002F3106" w:rsidP="00A51A83">
      <w:pPr>
        <w:widowControl w:val="0"/>
        <w:autoSpaceDE w:val="0"/>
        <w:autoSpaceDN w:val="0"/>
        <w:adjustRightInd w:val="0"/>
        <w:spacing w:line="276" w:lineRule="auto"/>
        <w:ind w:left="708"/>
        <w:jc w:val="both"/>
        <w:rPr>
          <w:rFonts w:ascii="Verdana" w:hAnsi="Verdana" w:cs="Arial"/>
          <w:i/>
          <w:iCs/>
          <w:sz w:val="22"/>
          <w:szCs w:val="22"/>
        </w:rPr>
      </w:pPr>
    </w:p>
    <w:p w14:paraId="58A9C453" w14:textId="40C76D24" w:rsidR="002F3106" w:rsidRPr="002F3106" w:rsidRDefault="002F3106" w:rsidP="00A51A83">
      <w:pPr>
        <w:widowControl w:val="0"/>
        <w:numPr>
          <w:ilvl w:val="0"/>
          <w:numId w:val="21"/>
        </w:numPr>
        <w:tabs>
          <w:tab w:val="clear" w:pos="720"/>
          <w:tab w:val="num" w:pos="1428"/>
        </w:tabs>
        <w:autoSpaceDE w:val="0"/>
        <w:autoSpaceDN w:val="0"/>
        <w:adjustRightInd w:val="0"/>
        <w:spacing w:line="276" w:lineRule="auto"/>
        <w:ind w:left="1428"/>
        <w:jc w:val="both"/>
        <w:rPr>
          <w:rFonts w:ascii="Verdana" w:hAnsi="Verdana" w:cs="Arial"/>
          <w:i/>
          <w:iCs/>
          <w:sz w:val="22"/>
          <w:szCs w:val="22"/>
        </w:rPr>
      </w:pPr>
      <w:r w:rsidRPr="002F3106">
        <w:rPr>
          <w:rFonts w:ascii="Verdana" w:hAnsi="Verdana" w:cs="Arial"/>
          <w:i/>
          <w:iCs/>
          <w:sz w:val="22"/>
          <w:szCs w:val="22"/>
        </w:rPr>
        <w:t>Enfoque retrospectivo</w:t>
      </w:r>
      <w:r w:rsidR="003C5A27">
        <w:rPr>
          <w:rFonts w:ascii="Verdana" w:hAnsi="Verdana" w:cs="Arial"/>
          <w:i/>
          <w:iCs/>
          <w:sz w:val="22"/>
          <w:szCs w:val="22"/>
        </w:rPr>
        <w:t xml:space="preserve"> </w:t>
      </w:r>
      <w:r w:rsidRPr="002F3106">
        <w:rPr>
          <w:rFonts w:ascii="Verdana" w:hAnsi="Verdana" w:cs="Arial"/>
          <w:i/>
          <w:iCs/>
          <w:sz w:val="22"/>
          <w:szCs w:val="22"/>
        </w:rPr>
        <w:t>modificado.</w:t>
      </w:r>
    </w:p>
    <w:p w14:paraId="03DD888F" w14:textId="3A98BAD6" w:rsidR="002F3106" w:rsidRPr="002F3106" w:rsidRDefault="002F3106" w:rsidP="00A51A83">
      <w:pPr>
        <w:widowControl w:val="0"/>
        <w:autoSpaceDE w:val="0"/>
        <w:autoSpaceDN w:val="0"/>
        <w:adjustRightInd w:val="0"/>
        <w:spacing w:line="276" w:lineRule="auto"/>
        <w:ind w:left="708"/>
        <w:jc w:val="both"/>
        <w:rPr>
          <w:rFonts w:ascii="Verdana" w:hAnsi="Verdana" w:cs="Arial"/>
          <w:i/>
          <w:iCs/>
          <w:sz w:val="22"/>
          <w:szCs w:val="22"/>
        </w:rPr>
      </w:pPr>
    </w:p>
    <w:p w14:paraId="64CC98B5" w14:textId="0CC313C0" w:rsidR="002F3106" w:rsidRDefault="002F3106" w:rsidP="00A51A83">
      <w:pPr>
        <w:widowControl w:val="0"/>
        <w:numPr>
          <w:ilvl w:val="0"/>
          <w:numId w:val="22"/>
        </w:numPr>
        <w:tabs>
          <w:tab w:val="clear" w:pos="720"/>
          <w:tab w:val="num" w:pos="1428"/>
        </w:tabs>
        <w:autoSpaceDE w:val="0"/>
        <w:autoSpaceDN w:val="0"/>
        <w:adjustRightInd w:val="0"/>
        <w:spacing w:line="276" w:lineRule="auto"/>
        <w:ind w:left="1428"/>
        <w:jc w:val="both"/>
        <w:rPr>
          <w:rFonts w:ascii="Verdana" w:hAnsi="Verdana" w:cs="Arial"/>
          <w:i/>
          <w:iCs/>
          <w:sz w:val="22"/>
          <w:szCs w:val="22"/>
        </w:rPr>
      </w:pPr>
      <w:r w:rsidRPr="002F3106">
        <w:rPr>
          <w:rFonts w:ascii="Verdana" w:hAnsi="Verdana" w:cs="Arial"/>
          <w:i/>
          <w:iCs/>
          <w:sz w:val="22"/>
          <w:szCs w:val="22"/>
        </w:rPr>
        <w:t>Enfoque de valor razonable.</w:t>
      </w:r>
    </w:p>
    <w:p w14:paraId="69EB751E" w14:textId="77777777" w:rsidR="009361D8" w:rsidRPr="002F3106" w:rsidRDefault="009361D8" w:rsidP="009361D8">
      <w:pPr>
        <w:widowControl w:val="0"/>
        <w:autoSpaceDE w:val="0"/>
        <w:autoSpaceDN w:val="0"/>
        <w:adjustRightInd w:val="0"/>
        <w:spacing w:line="276" w:lineRule="auto"/>
        <w:ind w:left="1428"/>
        <w:jc w:val="both"/>
        <w:rPr>
          <w:rFonts w:ascii="Verdana" w:hAnsi="Verdana" w:cs="Arial"/>
          <w:i/>
          <w:iCs/>
          <w:sz w:val="22"/>
          <w:szCs w:val="22"/>
        </w:rPr>
      </w:pPr>
    </w:p>
    <w:p w14:paraId="180B51E4" w14:textId="032DFE20" w:rsidR="002F3106" w:rsidRPr="002F3106" w:rsidRDefault="002F3106" w:rsidP="00A51A83">
      <w:pPr>
        <w:widowControl w:val="0"/>
        <w:autoSpaceDE w:val="0"/>
        <w:autoSpaceDN w:val="0"/>
        <w:adjustRightInd w:val="0"/>
        <w:spacing w:line="276" w:lineRule="auto"/>
        <w:ind w:left="708"/>
        <w:jc w:val="both"/>
        <w:rPr>
          <w:rFonts w:ascii="Verdana" w:hAnsi="Verdana" w:cs="Arial"/>
          <w:i/>
          <w:iCs/>
          <w:sz w:val="22"/>
          <w:szCs w:val="22"/>
        </w:rPr>
      </w:pPr>
      <w:r w:rsidRPr="002F3106">
        <w:rPr>
          <w:rFonts w:ascii="Verdana" w:hAnsi="Verdana" w:cs="Arial"/>
          <w:i/>
          <w:iCs/>
          <w:sz w:val="22"/>
          <w:szCs w:val="22"/>
          <w:lang w:val="es-ES"/>
        </w:rPr>
        <w:t>Las</w:t>
      </w:r>
      <w:r w:rsidR="003C5A27">
        <w:rPr>
          <w:rFonts w:ascii="Verdana" w:hAnsi="Verdana" w:cs="Arial"/>
          <w:i/>
          <w:iCs/>
          <w:sz w:val="22"/>
          <w:szCs w:val="22"/>
          <w:lang w:val="es-ES"/>
        </w:rPr>
        <w:t xml:space="preserve"> </w:t>
      </w:r>
      <w:r w:rsidRPr="002F3106">
        <w:rPr>
          <w:rFonts w:ascii="Verdana" w:hAnsi="Verdana" w:cs="Arial"/>
          <w:i/>
          <w:iCs/>
          <w:sz w:val="22"/>
          <w:szCs w:val="22"/>
          <w:lang w:val="es-ES"/>
        </w:rPr>
        <w:t>entidades</w:t>
      </w:r>
      <w:r w:rsidR="003C5A27">
        <w:rPr>
          <w:rFonts w:ascii="Verdana" w:hAnsi="Verdana" w:cs="Arial"/>
          <w:i/>
          <w:iCs/>
          <w:sz w:val="22"/>
          <w:szCs w:val="22"/>
          <w:lang w:val="es-ES"/>
        </w:rPr>
        <w:t xml:space="preserve"> </w:t>
      </w:r>
      <w:r w:rsidRPr="002F3106">
        <w:rPr>
          <w:rFonts w:ascii="Verdana" w:hAnsi="Verdana" w:cs="Arial"/>
          <w:i/>
          <w:iCs/>
          <w:sz w:val="22"/>
          <w:szCs w:val="22"/>
          <w:lang w:val="es-ES"/>
        </w:rPr>
        <w:t>aseguradoras</w:t>
      </w:r>
      <w:r w:rsidR="003C5A27">
        <w:rPr>
          <w:rFonts w:ascii="Verdana" w:hAnsi="Verdana" w:cs="Arial"/>
          <w:i/>
          <w:iCs/>
          <w:sz w:val="22"/>
          <w:szCs w:val="22"/>
          <w:lang w:val="es-ES"/>
        </w:rPr>
        <w:t xml:space="preserve"> </w:t>
      </w:r>
      <w:r w:rsidRPr="002F3106">
        <w:rPr>
          <w:rFonts w:ascii="Verdana" w:hAnsi="Verdana" w:cs="Arial"/>
          <w:i/>
          <w:iCs/>
          <w:sz w:val="22"/>
          <w:szCs w:val="22"/>
          <w:lang w:val="es-ES"/>
        </w:rPr>
        <w:t>deben aplicar de forma obligatoria el enfoque retrospectivo total,</w:t>
      </w:r>
      <w:r w:rsidR="003C5A27">
        <w:rPr>
          <w:rFonts w:ascii="Verdana" w:hAnsi="Verdana" w:cs="Arial"/>
          <w:i/>
          <w:iCs/>
          <w:sz w:val="22"/>
          <w:szCs w:val="22"/>
          <w:lang w:val="es-ES"/>
        </w:rPr>
        <w:t xml:space="preserve"> </w:t>
      </w:r>
      <w:r w:rsidRPr="002F3106">
        <w:rPr>
          <w:rFonts w:ascii="Verdana" w:hAnsi="Verdana" w:cs="Arial"/>
          <w:i/>
          <w:iCs/>
          <w:sz w:val="22"/>
          <w:szCs w:val="22"/>
          <w:lang w:val="es-ES"/>
        </w:rPr>
        <w:t>salvo que cumplan los requisitos señalados en los marcos técnicos normativos de información financiera</w:t>
      </w:r>
      <w:r w:rsidR="003C5A27">
        <w:rPr>
          <w:rFonts w:ascii="Verdana" w:hAnsi="Verdana" w:cs="Arial"/>
          <w:i/>
          <w:iCs/>
          <w:sz w:val="22"/>
          <w:szCs w:val="22"/>
          <w:lang w:val="es-ES"/>
        </w:rPr>
        <w:t xml:space="preserve"> </w:t>
      </w:r>
      <w:r w:rsidRPr="002F3106">
        <w:rPr>
          <w:rFonts w:ascii="Verdana" w:hAnsi="Verdana" w:cs="Arial"/>
          <w:i/>
          <w:iCs/>
          <w:sz w:val="22"/>
          <w:szCs w:val="22"/>
          <w:lang w:val="es-ES"/>
        </w:rPr>
        <w:t>para aplicar los</w:t>
      </w:r>
      <w:r w:rsidR="003C5A27">
        <w:rPr>
          <w:rFonts w:ascii="Verdana" w:hAnsi="Verdana" w:cs="Arial"/>
          <w:i/>
          <w:iCs/>
          <w:sz w:val="22"/>
          <w:szCs w:val="22"/>
          <w:lang w:val="es-ES"/>
        </w:rPr>
        <w:t xml:space="preserve"> </w:t>
      </w:r>
      <w:r w:rsidRPr="002F3106">
        <w:rPr>
          <w:rFonts w:ascii="Verdana" w:hAnsi="Verdana" w:cs="Arial"/>
          <w:i/>
          <w:iCs/>
          <w:sz w:val="22"/>
          <w:szCs w:val="22"/>
          <w:lang w:val="es-ES"/>
        </w:rPr>
        <w:t>enfoques</w:t>
      </w:r>
      <w:r w:rsidR="003C5A27">
        <w:rPr>
          <w:rFonts w:ascii="Verdana" w:hAnsi="Verdana" w:cs="Arial"/>
          <w:i/>
          <w:iCs/>
          <w:sz w:val="22"/>
          <w:szCs w:val="22"/>
          <w:lang w:val="es-ES"/>
        </w:rPr>
        <w:t xml:space="preserve"> </w:t>
      </w:r>
      <w:r w:rsidRPr="002F3106">
        <w:rPr>
          <w:rFonts w:ascii="Verdana" w:hAnsi="Verdana" w:cs="Arial"/>
          <w:i/>
          <w:iCs/>
          <w:sz w:val="22"/>
          <w:szCs w:val="22"/>
          <w:lang w:val="es-ES"/>
        </w:rPr>
        <w:t>retrospectivos</w:t>
      </w:r>
      <w:r w:rsidR="003C5A27">
        <w:rPr>
          <w:rFonts w:ascii="Verdana" w:hAnsi="Verdana" w:cs="Arial"/>
          <w:i/>
          <w:iCs/>
          <w:sz w:val="22"/>
          <w:szCs w:val="22"/>
          <w:lang w:val="es-ES"/>
        </w:rPr>
        <w:t xml:space="preserve"> </w:t>
      </w:r>
      <w:r w:rsidRPr="002F3106">
        <w:rPr>
          <w:rFonts w:ascii="Verdana" w:hAnsi="Verdana" w:cs="Arial"/>
          <w:i/>
          <w:iCs/>
          <w:sz w:val="22"/>
          <w:szCs w:val="22"/>
          <w:lang w:val="es-ES"/>
        </w:rPr>
        <w:t>modificado o de valor razonable, lo cual debe quedar documentado y a disposición de la SFC.</w:t>
      </w:r>
    </w:p>
    <w:p w14:paraId="05514E28" w14:textId="23719C69" w:rsidR="002F3106" w:rsidRPr="002F3106" w:rsidRDefault="002F3106" w:rsidP="00A51A83">
      <w:pPr>
        <w:widowControl w:val="0"/>
        <w:autoSpaceDE w:val="0"/>
        <w:autoSpaceDN w:val="0"/>
        <w:adjustRightInd w:val="0"/>
        <w:spacing w:line="276" w:lineRule="auto"/>
        <w:ind w:left="708"/>
        <w:jc w:val="both"/>
        <w:rPr>
          <w:rFonts w:ascii="Verdana" w:hAnsi="Verdana" w:cs="Arial"/>
          <w:i/>
          <w:iCs/>
          <w:sz w:val="22"/>
          <w:szCs w:val="22"/>
        </w:rPr>
      </w:pPr>
    </w:p>
    <w:p w14:paraId="1B2FFC19" w14:textId="4A4C877C" w:rsidR="002F3106" w:rsidRPr="003C5A27" w:rsidRDefault="002F3106" w:rsidP="004979A7">
      <w:pPr>
        <w:widowControl w:val="0"/>
        <w:autoSpaceDE w:val="0"/>
        <w:autoSpaceDN w:val="0"/>
        <w:adjustRightInd w:val="0"/>
        <w:spacing w:line="276" w:lineRule="auto"/>
        <w:ind w:left="708"/>
        <w:jc w:val="both"/>
        <w:rPr>
          <w:rFonts w:ascii="Verdana" w:hAnsi="Verdana" w:cs="Arial"/>
          <w:i/>
          <w:iCs/>
          <w:sz w:val="22"/>
          <w:szCs w:val="22"/>
          <w:lang w:val="es-ES"/>
        </w:rPr>
      </w:pPr>
      <w:r w:rsidRPr="002F3106">
        <w:rPr>
          <w:rFonts w:ascii="Verdana" w:hAnsi="Verdana" w:cs="Arial"/>
          <w:i/>
          <w:iCs/>
          <w:sz w:val="22"/>
          <w:szCs w:val="22"/>
          <w:lang w:val="es-ES"/>
        </w:rPr>
        <w:lastRenderedPageBreak/>
        <w:t>De conformidad con</w:t>
      </w:r>
      <w:r w:rsidR="003C5A27">
        <w:rPr>
          <w:rFonts w:ascii="Verdana" w:hAnsi="Verdana" w:cs="Arial"/>
          <w:i/>
          <w:iCs/>
          <w:sz w:val="22"/>
          <w:szCs w:val="22"/>
          <w:lang w:val="es-ES"/>
        </w:rPr>
        <w:t xml:space="preserve"> </w:t>
      </w:r>
      <w:r w:rsidRPr="002F3106">
        <w:rPr>
          <w:rFonts w:ascii="Verdana" w:hAnsi="Verdana" w:cs="Arial"/>
          <w:i/>
          <w:iCs/>
          <w:sz w:val="22"/>
          <w:szCs w:val="22"/>
          <w:lang w:val="es-ES"/>
        </w:rPr>
        <w:t>el</w:t>
      </w:r>
      <w:r w:rsidR="003C5A27">
        <w:rPr>
          <w:rFonts w:ascii="Verdana" w:hAnsi="Verdana" w:cs="Arial"/>
          <w:i/>
          <w:iCs/>
          <w:sz w:val="22"/>
          <w:szCs w:val="22"/>
          <w:lang w:val="es-ES"/>
        </w:rPr>
        <w:t xml:space="preserve"> </w:t>
      </w:r>
      <w:r w:rsidRPr="002F3106">
        <w:rPr>
          <w:rFonts w:ascii="Verdana" w:hAnsi="Verdana" w:cs="Arial"/>
          <w:i/>
          <w:iCs/>
          <w:sz w:val="22"/>
          <w:szCs w:val="22"/>
          <w:lang w:val="es-ES"/>
        </w:rPr>
        <w:t xml:space="preserve">numeral 6 del artículo </w:t>
      </w:r>
      <w:r w:rsidR="009361D8" w:rsidRPr="004D56EC">
        <w:rPr>
          <w:rFonts w:ascii="Verdana" w:hAnsi="Verdana" w:cs="Arial"/>
          <w:i/>
          <w:iCs/>
          <w:sz w:val="22"/>
          <w:szCs w:val="22"/>
        </w:rPr>
        <w:t>1.1.4.1.5 del Decreto 2420 de 2015, adicionado por medio del Decreto 217 de 2026</w:t>
      </w:r>
      <w:r w:rsidRPr="002F3106">
        <w:rPr>
          <w:rFonts w:ascii="Verdana" w:hAnsi="Verdana" w:cs="Arial"/>
          <w:i/>
          <w:iCs/>
          <w:sz w:val="22"/>
          <w:szCs w:val="22"/>
          <w:lang w:val="es-ES"/>
        </w:rPr>
        <w:t>, las entidades que apliquen el enfoque de valor razonable</w:t>
      </w:r>
      <w:r w:rsidR="003C5A27">
        <w:rPr>
          <w:rFonts w:ascii="Verdana" w:hAnsi="Verdana" w:cs="Arial"/>
          <w:i/>
          <w:iCs/>
          <w:sz w:val="22"/>
          <w:szCs w:val="22"/>
          <w:lang w:val="es-ES"/>
        </w:rPr>
        <w:t xml:space="preserve"> </w:t>
      </w:r>
      <w:r w:rsidRPr="002F3106">
        <w:rPr>
          <w:rFonts w:ascii="Verdana" w:hAnsi="Verdana" w:cs="Arial"/>
          <w:i/>
          <w:iCs/>
          <w:sz w:val="22"/>
          <w:szCs w:val="22"/>
          <w:lang w:val="es-ES"/>
        </w:rPr>
        <w:t>deben</w:t>
      </w:r>
      <w:r w:rsidR="003C5A27">
        <w:rPr>
          <w:rFonts w:ascii="Verdana" w:hAnsi="Verdana" w:cs="Arial"/>
          <w:i/>
          <w:iCs/>
          <w:sz w:val="22"/>
          <w:szCs w:val="22"/>
          <w:lang w:val="es-ES"/>
        </w:rPr>
        <w:t xml:space="preserve"> </w:t>
      </w:r>
      <w:r w:rsidRPr="002F3106">
        <w:rPr>
          <w:rFonts w:ascii="Verdana" w:hAnsi="Verdana" w:cs="Arial"/>
          <w:i/>
          <w:iCs/>
          <w:sz w:val="22"/>
          <w:szCs w:val="22"/>
          <w:lang w:val="es-ES"/>
        </w:rPr>
        <w:t>utilizar</w:t>
      </w:r>
      <w:r w:rsidR="003C5A27">
        <w:rPr>
          <w:rFonts w:ascii="Verdana" w:hAnsi="Verdana" w:cs="Arial"/>
          <w:i/>
          <w:iCs/>
          <w:sz w:val="22"/>
          <w:szCs w:val="22"/>
          <w:lang w:val="es-ES"/>
        </w:rPr>
        <w:t xml:space="preserve"> </w:t>
      </w:r>
      <w:r w:rsidRPr="002F3106">
        <w:rPr>
          <w:rFonts w:ascii="Verdana" w:hAnsi="Verdana" w:cs="Arial"/>
          <w:i/>
          <w:iCs/>
          <w:sz w:val="22"/>
          <w:szCs w:val="22"/>
          <w:lang w:val="es-ES"/>
        </w:rPr>
        <w:t>todos</w:t>
      </w:r>
      <w:r w:rsidR="003C5A27">
        <w:rPr>
          <w:rFonts w:ascii="Verdana" w:hAnsi="Verdana" w:cs="Arial"/>
          <w:i/>
          <w:iCs/>
          <w:sz w:val="22"/>
          <w:szCs w:val="22"/>
          <w:lang w:val="es-ES"/>
        </w:rPr>
        <w:t xml:space="preserve"> </w:t>
      </w:r>
      <w:r w:rsidRPr="002F3106">
        <w:rPr>
          <w:rFonts w:ascii="Verdana" w:hAnsi="Verdana" w:cs="Arial"/>
          <w:i/>
          <w:iCs/>
          <w:sz w:val="22"/>
          <w:szCs w:val="22"/>
          <w:lang w:val="es-ES"/>
        </w:rPr>
        <w:t>los parámetros de mejor estimación</w:t>
      </w:r>
      <w:r w:rsidR="003C5A27">
        <w:rPr>
          <w:rFonts w:ascii="Verdana" w:hAnsi="Verdana" w:cs="Arial"/>
          <w:i/>
          <w:iCs/>
          <w:sz w:val="22"/>
          <w:szCs w:val="22"/>
          <w:lang w:val="es-ES"/>
        </w:rPr>
        <w:t xml:space="preserve"> </w:t>
      </w:r>
      <w:r w:rsidRPr="002F3106">
        <w:rPr>
          <w:rFonts w:ascii="Verdana" w:hAnsi="Verdana" w:cs="Arial"/>
          <w:i/>
          <w:iCs/>
          <w:sz w:val="22"/>
          <w:szCs w:val="22"/>
          <w:lang w:val="es-ES"/>
        </w:rPr>
        <w:t>establecidos en el numeral 3</w:t>
      </w:r>
      <w:r w:rsidR="00F53029">
        <w:rPr>
          <w:rFonts w:ascii="Verdana" w:hAnsi="Verdana" w:cs="Arial"/>
          <w:i/>
          <w:iCs/>
          <w:sz w:val="22"/>
          <w:szCs w:val="22"/>
          <w:lang w:val="es-ES"/>
        </w:rPr>
        <w:t xml:space="preserve"> «</w:t>
      </w:r>
      <w:r w:rsidR="00F53029" w:rsidRPr="00F53029">
        <w:rPr>
          <w:rFonts w:ascii="Verdana" w:hAnsi="Verdana" w:cs="Arial"/>
          <w:i/>
          <w:iCs/>
          <w:sz w:val="22"/>
          <w:szCs w:val="22"/>
          <w:lang w:val="es-ES"/>
        </w:rPr>
        <w:t>Mejor estimación de las reservas técnicas</w:t>
      </w:r>
      <w:r w:rsidR="00F53029">
        <w:rPr>
          <w:rFonts w:ascii="Verdana" w:hAnsi="Verdana" w:cs="Arial"/>
          <w:i/>
          <w:iCs/>
          <w:sz w:val="22"/>
          <w:szCs w:val="22"/>
          <w:lang w:val="es-ES"/>
        </w:rPr>
        <w:t>»</w:t>
      </w:r>
      <w:r w:rsidR="003C5A27">
        <w:rPr>
          <w:rFonts w:ascii="Verdana" w:hAnsi="Verdana" w:cs="Arial"/>
          <w:i/>
          <w:iCs/>
          <w:sz w:val="22"/>
          <w:szCs w:val="22"/>
          <w:lang w:val="es-ES"/>
        </w:rPr>
        <w:t xml:space="preserve"> </w:t>
      </w:r>
      <w:r w:rsidRPr="002F3106">
        <w:rPr>
          <w:rFonts w:ascii="Verdana" w:hAnsi="Verdana" w:cs="Arial"/>
          <w:i/>
          <w:iCs/>
          <w:sz w:val="22"/>
          <w:szCs w:val="22"/>
          <w:lang w:val="es-ES"/>
        </w:rPr>
        <w:t>del</w:t>
      </w:r>
      <w:r w:rsidR="003C5A27">
        <w:rPr>
          <w:rFonts w:ascii="Verdana" w:hAnsi="Verdana" w:cs="Arial"/>
          <w:i/>
          <w:iCs/>
          <w:sz w:val="22"/>
          <w:szCs w:val="22"/>
          <w:lang w:val="es-ES"/>
        </w:rPr>
        <w:t xml:space="preserve"> </w:t>
      </w:r>
      <w:r w:rsidRPr="002F3106">
        <w:rPr>
          <w:rFonts w:ascii="Verdana" w:hAnsi="Verdana" w:cs="Arial"/>
          <w:i/>
          <w:iCs/>
          <w:sz w:val="22"/>
          <w:szCs w:val="22"/>
          <w:lang w:val="es-ES"/>
        </w:rPr>
        <w:t xml:space="preserve">Capítulo XXXIV </w:t>
      </w:r>
      <w:r w:rsidR="004979A7">
        <w:rPr>
          <w:rFonts w:ascii="Verdana" w:hAnsi="Verdana" w:cs="Arial"/>
          <w:i/>
          <w:iCs/>
          <w:sz w:val="22"/>
          <w:szCs w:val="22"/>
          <w:lang w:val="es-ES"/>
        </w:rPr>
        <w:t>«</w:t>
      </w:r>
      <w:r w:rsidR="004979A7" w:rsidRPr="004979A7">
        <w:rPr>
          <w:rFonts w:ascii="Verdana" w:hAnsi="Verdana" w:cs="Arial"/>
          <w:i/>
          <w:iCs/>
          <w:sz w:val="22"/>
          <w:szCs w:val="22"/>
          <w:lang w:val="es-ES"/>
        </w:rPr>
        <w:t>Régimen prudencial de las reservas técnicas de las entidades aseguradoras</w:t>
      </w:r>
      <w:r w:rsidR="004979A7">
        <w:rPr>
          <w:rFonts w:ascii="Verdana" w:hAnsi="Verdana" w:cs="Arial"/>
          <w:i/>
          <w:iCs/>
          <w:sz w:val="22"/>
          <w:szCs w:val="22"/>
          <w:lang w:val="es-ES"/>
        </w:rPr>
        <w:t xml:space="preserve">» </w:t>
      </w:r>
      <w:r w:rsidRPr="002F3106">
        <w:rPr>
          <w:rFonts w:ascii="Verdana" w:hAnsi="Verdana" w:cs="Arial"/>
          <w:i/>
          <w:iCs/>
          <w:sz w:val="22"/>
          <w:szCs w:val="22"/>
          <w:lang w:val="es-ES"/>
        </w:rPr>
        <w:t>de la CBCF</w:t>
      </w:r>
      <w:r w:rsidR="004979A7">
        <w:rPr>
          <w:rFonts w:ascii="Verdana" w:hAnsi="Verdana" w:cs="Arial"/>
          <w:i/>
          <w:iCs/>
          <w:sz w:val="22"/>
          <w:szCs w:val="22"/>
          <w:lang w:val="es-ES"/>
        </w:rPr>
        <w:t>, o la norma que la modifique, adicione o sustituya</w:t>
      </w:r>
      <w:r w:rsidRPr="002F3106">
        <w:rPr>
          <w:rFonts w:ascii="Verdana" w:hAnsi="Verdana" w:cs="Arial"/>
          <w:i/>
          <w:iCs/>
          <w:sz w:val="22"/>
          <w:szCs w:val="22"/>
          <w:lang w:val="es-ES"/>
        </w:rPr>
        <w:t>.</w:t>
      </w:r>
    </w:p>
    <w:p w14:paraId="1AE6FAF7" w14:textId="106DFA5F" w:rsidR="002F3106" w:rsidRPr="002F3106" w:rsidRDefault="002F3106" w:rsidP="00A51A83">
      <w:pPr>
        <w:widowControl w:val="0"/>
        <w:autoSpaceDE w:val="0"/>
        <w:autoSpaceDN w:val="0"/>
        <w:adjustRightInd w:val="0"/>
        <w:spacing w:line="276" w:lineRule="auto"/>
        <w:ind w:left="708"/>
        <w:jc w:val="both"/>
        <w:rPr>
          <w:rFonts w:ascii="Verdana" w:hAnsi="Verdana" w:cs="Arial"/>
          <w:i/>
          <w:iCs/>
          <w:sz w:val="22"/>
          <w:szCs w:val="22"/>
        </w:rPr>
      </w:pPr>
    </w:p>
    <w:p w14:paraId="2A368BD5" w14:textId="5D4E827F" w:rsidR="002F3106" w:rsidRPr="002F3106" w:rsidRDefault="002F3106" w:rsidP="00A51A83">
      <w:pPr>
        <w:widowControl w:val="0"/>
        <w:autoSpaceDE w:val="0"/>
        <w:autoSpaceDN w:val="0"/>
        <w:adjustRightInd w:val="0"/>
        <w:spacing w:line="276" w:lineRule="auto"/>
        <w:ind w:left="708"/>
        <w:jc w:val="both"/>
        <w:rPr>
          <w:rFonts w:ascii="Verdana" w:hAnsi="Verdana" w:cs="Arial"/>
          <w:i/>
          <w:iCs/>
          <w:sz w:val="22"/>
          <w:szCs w:val="22"/>
        </w:rPr>
      </w:pPr>
      <w:r w:rsidRPr="002F3106">
        <w:rPr>
          <w:rFonts w:ascii="Verdana" w:hAnsi="Verdana" w:cs="Arial"/>
          <w:i/>
          <w:iCs/>
          <w:sz w:val="22"/>
          <w:szCs w:val="22"/>
          <w:lang w:val="es-ES"/>
        </w:rPr>
        <w:t>Las entidades deben</w:t>
      </w:r>
      <w:r w:rsidR="003C5A27">
        <w:rPr>
          <w:rFonts w:ascii="Verdana" w:hAnsi="Verdana" w:cs="Arial"/>
          <w:i/>
          <w:iCs/>
          <w:sz w:val="22"/>
          <w:szCs w:val="22"/>
          <w:lang w:val="es-ES"/>
        </w:rPr>
        <w:t xml:space="preserve"> </w:t>
      </w:r>
      <w:r w:rsidRPr="002F3106">
        <w:rPr>
          <w:rFonts w:ascii="Verdana" w:hAnsi="Verdana" w:cs="Arial"/>
          <w:i/>
          <w:iCs/>
          <w:sz w:val="22"/>
          <w:szCs w:val="22"/>
          <w:lang w:val="es-ES"/>
        </w:rPr>
        <w:t>remitir</w:t>
      </w:r>
      <w:r w:rsidR="003C5A27">
        <w:rPr>
          <w:rFonts w:ascii="Verdana" w:hAnsi="Verdana" w:cs="Arial"/>
          <w:i/>
          <w:iCs/>
          <w:sz w:val="22"/>
          <w:szCs w:val="22"/>
          <w:lang w:val="es-ES"/>
        </w:rPr>
        <w:t xml:space="preserve"> </w:t>
      </w:r>
      <w:r w:rsidRPr="002F3106">
        <w:rPr>
          <w:rFonts w:ascii="Verdana" w:hAnsi="Verdana" w:cs="Arial"/>
          <w:i/>
          <w:iCs/>
          <w:sz w:val="22"/>
          <w:szCs w:val="22"/>
          <w:lang w:val="es-ES"/>
        </w:rPr>
        <w:t>a la SFC</w:t>
      </w:r>
      <w:r w:rsidR="003C5A27">
        <w:rPr>
          <w:rFonts w:ascii="Verdana" w:hAnsi="Verdana" w:cs="Arial"/>
          <w:i/>
          <w:iCs/>
          <w:sz w:val="22"/>
          <w:szCs w:val="22"/>
          <w:lang w:val="es-ES"/>
        </w:rPr>
        <w:t xml:space="preserve"> </w:t>
      </w:r>
      <w:r w:rsidRPr="002F3106">
        <w:rPr>
          <w:rFonts w:ascii="Verdana" w:hAnsi="Verdana" w:cs="Arial"/>
          <w:i/>
          <w:iCs/>
          <w:sz w:val="22"/>
          <w:szCs w:val="22"/>
          <w:lang w:val="es-ES"/>
        </w:rPr>
        <w:t>el</w:t>
      </w:r>
      <w:r w:rsidR="003C5A27">
        <w:rPr>
          <w:rFonts w:ascii="Verdana" w:hAnsi="Verdana" w:cs="Arial"/>
          <w:i/>
          <w:iCs/>
          <w:sz w:val="22"/>
          <w:szCs w:val="22"/>
          <w:lang w:val="es-ES"/>
        </w:rPr>
        <w:t xml:space="preserve"> </w:t>
      </w:r>
      <w:r w:rsidRPr="002F3106">
        <w:rPr>
          <w:rFonts w:ascii="Verdana" w:hAnsi="Verdana" w:cs="Arial"/>
          <w:i/>
          <w:iCs/>
          <w:sz w:val="22"/>
          <w:szCs w:val="22"/>
          <w:lang w:val="es-ES"/>
        </w:rPr>
        <w:t>estado de</w:t>
      </w:r>
      <w:r w:rsidR="003C5A27">
        <w:rPr>
          <w:rFonts w:ascii="Verdana" w:hAnsi="Verdana" w:cs="Arial"/>
          <w:i/>
          <w:iCs/>
          <w:sz w:val="22"/>
          <w:szCs w:val="22"/>
          <w:lang w:val="es-ES"/>
        </w:rPr>
        <w:t xml:space="preserve"> </w:t>
      </w:r>
      <w:r w:rsidRPr="002F3106">
        <w:rPr>
          <w:rFonts w:ascii="Verdana" w:hAnsi="Verdana" w:cs="Arial"/>
          <w:i/>
          <w:iCs/>
          <w:sz w:val="22"/>
          <w:szCs w:val="22"/>
          <w:lang w:val="es-ES"/>
        </w:rPr>
        <w:t>situación financiera de apertura</w:t>
      </w:r>
      <w:r w:rsidR="003C5A27">
        <w:rPr>
          <w:rFonts w:ascii="Verdana" w:hAnsi="Verdana" w:cs="Arial"/>
          <w:i/>
          <w:iCs/>
          <w:sz w:val="22"/>
          <w:szCs w:val="22"/>
          <w:lang w:val="es-ES"/>
        </w:rPr>
        <w:t xml:space="preserve"> </w:t>
      </w:r>
      <w:r w:rsidRPr="002F3106">
        <w:rPr>
          <w:rFonts w:ascii="Verdana" w:hAnsi="Verdana" w:cs="Arial"/>
          <w:i/>
          <w:iCs/>
          <w:sz w:val="22"/>
          <w:szCs w:val="22"/>
          <w:lang w:val="es-ES"/>
        </w:rPr>
        <w:t>que permita</w:t>
      </w:r>
      <w:r w:rsidR="002826DE">
        <w:rPr>
          <w:rFonts w:ascii="Verdana" w:hAnsi="Verdana" w:cs="Arial"/>
          <w:i/>
          <w:iCs/>
          <w:sz w:val="22"/>
          <w:szCs w:val="22"/>
          <w:lang w:val="es-ES"/>
        </w:rPr>
        <w:t xml:space="preserve"> </w:t>
      </w:r>
      <w:r w:rsidRPr="002F3106">
        <w:rPr>
          <w:rFonts w:ascii="Verdana" w:hAnsi="Verdana" w:cs="Arial"/>
          <w:i/>
          <w:iCs/>
          <w:sz w:val="22"/>
          <w:szCs w:val="22"/>
          <w:lang w:val="es-ES"/>
        </w:rPr>
        <w:t>evidenciar</w:t>
      </w:r>
      <w:r w:rsidR="002826DE">
        <w:rPr>
          <w:rFonts w:ascii="Verdana" w:hAnsi="Verdana" w:cs="Arial"/>
          <w:i/>
          <w:iCs/>
          <w:sz w:val="22"/>
          <w:szCs w:val="22"/>
          <w:lang w:val="es-ES"/>
        </w:rPr>
        <w:t xml:space="preserve"> </w:t>
      </w:r>
      <w:r w:rsidRPr="002F3106">
        <w:rPr>
          <w:rFonts w:ascii="Verdana" w:hAnsi="Verdana" w:cs="Arial"/>
          <w:i/>
          <w:iCs/>
          <w:sz w:val="22"/>
          <w:szCs w:val="22"/>
          <w:lang w:val="es-ES"/>
        </w:rPr>
        <w:t>los</w:t>
      </w:r>
      <w:r w:rsidR="002826DE">
        <w:rPr>
          <w:rFonts w:ascii="Verdana" w:hAnsi="Verdana" w:cs="Arial"/>
          <w:i/>
          <w:iCs/>
          <w:sz w:val="22"/>
          <w:szCs w:val="22"/>
          <w:lang w:val="es-ES"/>
        </w:rPr>
        <w:t xml:space="preserve"> </w:t>
      </w:r>
      <w:r w:rsidRPr="002F3106">
        <w:rPr>
          <w:rFonts w:ascii="Verdana" w:hAnsi="Verdana" w:cs="Arial"/>
          <w:i/>
          <w:iCs/>
          <w:sz w:val="22"/>
          <w:szCs w:val="22"/>
          <w:lang w:val="es-ES"/>
        </w:rPr>
        <w:t>potenciales</w:t>
      </w:r>
      <w:r w:rsidR="002826DE">
        <w:rPr>
          <w:rFonts w:ascii="Verdana" w:hAnsi="Verdana" w:cs="Arial"/>
          <w:i/>
          <w:iCs/>
          <w:sz w:val="22"/>
          <w:szCs w:val="22"/>
          <w:lang w:val="es-ES"/>
        </w:rPr>
        <w:t xml:space="preserve"> </w:t>
      </w:r>
      <w:r w:rsidRPr="002F3106">
        <w:rPr>
          <w:rFonts w:ascii="Verdana" w:hAnsi="Verdana" w:cs="Arial"/>
          <w:i/>
          <w:iCs/>
          <w:sz w:val="22"/>
          <w:szCs w:val="22"/>
          <w:lang w:val="es-ES"/>
        </w:rPr>
        <w:t>impactos</w:t>
      </w:r>
      <w:r w:rsidR="002826DE">
        <w:rPr>
          <w:rFonts w:ascii="Verdana" w:hAnsi="Verdana" w:cs="Arial"/>
          <w:i/>
          <w:iCs/>
          <w:sz w:val="22"/>
          <w:szCs w:val="22"/>
          <w:lang w:val="es-ES"/>
        </w:rPr>
        <w:t xml:space="preserve"> </w:t>
      </w:r>
      <w:r w:rsidRPr="002F3106">
        <w:rPr>
          <w:rFonts w:ascii="Verdana" w:hAnsi="Verdana" w:cs="Arial"/>
          <w:i/>
          <w:iCs/>
          <w:sz w:val="22"/>
          <w:szCs w:val="22"/>
          <w:lang w:val="es-ES"/>
        </w:rPr>
        <w:t>derivados de</w:t>
      </w:r>
      <w:r w:rsidR="002826DE">
        <w:rPr>
          <w:rFonts w:ascii="Verdana" w:hAnsi="Verdana" w:cs="Arial"/>
          <w:i/>
          <w:iCs/>
          <w:sz w:val="22"/>
          <w:szCs w:val="22"/>
          <w:lang w:val="es-ES"/>
        </w:rPr>
        <w:t xml:space="preserve"> </w:t>
      </w:r>
      <w:r w:rsidRPr="002F3106">
        <w:rPr>
          <w:rFonts w:ascii="Verdana" w:hAnsi="Verdana" w:cs="Arial"/>
          <w:i/>
          <w:iCs/>
          <w:sz w:val="22"/>
          <w:szCs w:val="22"/>
          <w:lang w:val="es-ES"/>
        </w:rPr>
        <w:t>la implementación de</w:t>
      </w:r>
      <w:r w:rsidR="002826DE">
        <w:rPr>
          <w:rFonts w:ascii="Verdana" w:hAnsi="Verdana" w:cs="Arial"/>
          <w:i/>
          <w:iCs/>
          <w:sz w:val="22"/>
          <w:szCs w:val="22"/>
          <w:lang w:val="es-ES"/>
        </w:rPr>
        <w:t xml:space="preserve"> </w:t>
      </w:r>
      <w:r w:rsidRPr="002F3106">
        <w:rPr>
          <w:rFonts w:ascii="Verdana" w:hAnsi="Verdana" w:cs="Arial"/>
          <w:i/>
          <w:iCs/>
          <w:sz w:val="22"/>
          <w:szCs w:val="22"/>
          <w:lang w:val="es-ES"/>
        </w:rPr>
        <w:t>los</w:t>
      </w:r>
      <w:r w:rsidR="002826DE">
        <w:rPr>
          <w:rFonts w:ascii="Verdana" w:hAnsi="Verdana" w:cs="Arial"/>
          <w:i/>
          <w:iCs/>
          <w:sz w:val="22"/>
          <w:szCs w:val="22"/>
          <w:lang w:val="es-ES"/>
        </w:rPr>
        <w:t xml:space="preserve"> </w:t>
      </w:r>
      <w:r w:rsidRPr="002F3106">
        <w:rPr>
          <w:rFonts w:ascii="Verdana" w:hAnsi="Verdana" w:cs="Arial"/>
          <w:i/>
          <w:iCs/>
          <w:sz w:val="22"/>
          <w:szCs w:val="22"/>
          <w:lang w:val="es-ES"/>
        </w:rPr>
        <w:t>nuevos estándares contables</w:t>
      </w:r>
      <w:r w:rsidR="002826DE">
        <w:rPr>
          <w:rFonts w:ascii="Verdana" w:hAnsi="Verdana" w:cs="Arial"/>
          <w:i/>
          <w:iCs/>
          <w:sz w:val="22"/>
          <w:szCs w:val="22"/>
          <w:lang w:val="es-ES"/>
        </w:rPr>
        <w:t xml:space="preserve"> </w:t>
      </w:r>
      <w:r w:rsidRPr="002F3106">
        <w:rPr>
          <w:rFonts w:ascii="Verdana" w:hAnsi="Verdana" w:cs="Arial"/>
          <w:i/>
          <w:iCs/>
          <w:sz w:val="22"/>
          <w:szCs w:val="22"/>
          <w:lang w:val="es-ES"/>
        </w:rPr>
        <w:t>y</w:t>
      </w:r>
      <w:r w:rsidR="002826DE">
        <w:rPr>
          <w:rFonts w:ascii="Verdana" w:hAnsi="Verdana" w:cs="Arial"/>
          <w:i/>
          <w:iCs/>
          <w:sz w:val="22"/>
          <w:szCs w:val="22"/>
          <w:lang w:val="es-ES"/>
        </w:rPr>
        <w:t xml:space="preserve"> </w:t>
      </w:r>
      <w:r w:rsidRPr="002F3106">
        <w:rPr>
          <w:rFonts w:ascii="Verdana" w:hAnsi="Verdana" w:cs="Arial"/>
          <w:i/>
          <w:iCs/>
          <w:sz w:val="22"/>
          <w:szCs w:val="22"/>
          <w:lang w:val="es-ES"/>
        </w:rPr>
        <w:t>del Decreto</w:t>
      </w:r>
      <w:r w:rsidR="002826DE">
        <w:rPr>
          <w:rFonts w:ascii="Verdana" w:hAnsi="Verdana" w:cs="Arial"/>
          <w:i/>
          <w:iCs/>
          <w:sz w:val="22"/>
          <w:szCs w:val="22"/>
          <w:lang w:val="es-ES"/>
        </w:rPr>
        <w:t xml:space="preserve"> </w:t>
      </w:r>
      <w:r w:rsidRPr="002F3106">
        <w:rPr>
          <w:rFonts w:ascii="Verdana" w:hAnsi="Verdana" w:cs="Arial"/>
          <w:i/>
          <w:iCs/>
          <w:sz w:val="22"/>
          <w:szCs w:val="22"/>
          <w:lang w:val="es-ES"/>
        </w:rPr>
        <w:t>1272 de 2024,</w:t>
      </w:r>
      <w:r w:rsidR="002826DE">
        <w:rPr>
          <w:rFonts w:ascii="Verdana" w:hAnsi="Verdana" w:cs="Arial"/>
          <w:i/>
          <w:iCs/>
          <w:sz w:val="22"/>
          <w:szCs w:val="22"/>
          <w:lang w:val="es-ES"/>
        </w:rPr>
        <w:t xml:space="preserve"> </w:t>
      </w:r>
      <w:r w:rsidRPr="002F3106">
        <w:rPr>
          <w:rFonts w:ascii="Verdana" w:hAnsi="Verdana" w:cs="Arial"/>
          <w:i/>
          <w:iCs/>
          <w:sz w:val="22"/>
          <w:szCs w:val="22"/>
          <w:lang w:val="es-ES"/>
        </w:rPr>
        <w:t>a más tardar el</w:t>
      </w:r>
      <w:r w:rsidR="002826DE">
        <w:rPr>
          <w:rFonts w:ascii="Verdana" w:hAnsi="Verdana" w:cs="Arial"/>
          <w:i/>
          <w:iCs/>
          <w:sz w:val="22"/>
          <w:szCs w:val="22"/>
          <w:lang w:val="es-ES"/>
        </w:rPr>
        <w:t xml:space="preserve"> </w:t>
      </w:r>
      <w:r w:rsidR="006F5178" w:rsidRPr="003C5A27">
        <w:rPr>
          <w:rFonts w:ascii="Verdana" w:hAnsi="Verdana" w:cs="Arial"/>
          <w:i/>
          <w:iCs/>
          <w:sz w:val="22"/>
          <w:szCs w:val="22"/>
          <w:lang w:val="es-ES"/>
        </w:rPr>
        <w:t>28</w:t>
      </w:r>
      <w:r w:rsidR="002826DE">
        <w:rPr>
          <w:rFonts w:ascii="Verdana" w:hAnsi="Verdana" w:cs="Arial"/>
          <w:i/>
          <w:iCs/>
          <w:sz w:val="22"/>
          <w:szCs w:val="22"/>
          <w:lang w:val="es-ES"/>
        </w:rPr>
        <w:t xml:space="preserve"> </w:t>
      </w:r>
      <w:r w:rsidRPr="003C5A27">
        <w:rPr>
          <w:rFonts w:ascii="Verdana" w:hAnsi="Verdana" w:cs="Arial"/>
          <w:i/>
          <w:iCs/>
          <w:sz w:val="22"/>
          <w:szCs w:val="22"/>
          <w:lang w:val="es-ES"/>
        </w:rPr>
        <w:t>de</w:t>
      </w:r>
      <w:r w:rsidR="006F5178" w:rsidRPr="003C5A27">
        <w:rPr>
          <w:rFonts w:ascii="Verdana" w:hAnsi="Verdana" w:cs="Arial"/>
          <w:i/>
          <w:iCs/>
          <w:sz w:val="22"/>
          <w:szCs w:val="22"/>
          <w:lang w:val="es-ES"/>
        </w:rPr>
        <w:t xml:space="preserve"> febrero</w:t>
      </w:r>
      <w:r w:rsidR="002826DE">
        <w:rPr>
          <w:rFonts w:ascii="Verdana" w:hAnsi="Verdana" w:cs="Arial"/>
          <w:i/>
          <w:iCs/>
          <w:sz w:val="22"/>
          <w:szCs w:val="22"/>
          <w:lang w:val="es-ES"/>
        </w:rPr>
        <w:t xml:space="preserve"> </w:t>
      </w:r>
      <w:r w:rsidRPr="003C5A27">
        <w:rPr>
          <w:rFonts w:ascii="Verdana" w:hAnsi="Verdana" w:cs="Arial"/>
          <w:i/>
          <w:iCs/>
          <w:sz w:val="22"/>
          <w:szCs w:val="22"/>
          <w:lang w:val="es-ES"/>
        </w:rPr>
        <w:t>de 202</w:t>
      </w:r>
      <w:r w:rsidR="00B13801" w:rsidRPr="003C5A27">
        <w:rPr>
          <w:rFonts w:ascii="Verdana" w:hAnsi="Verdana" w:cs="Arial"/>
          <w:i/>
          <w:iCs/>
          <w:sz w:val="22"/>
          <w:szCs w:val="22"/>
          <w:lang w:val="es-ES"/>
        </w:rPr>
        <w:t>7</w:t>
      </w:r>
      <w:r w:rsidRPr="002F3106">
        <w:rPr>
          <w:rFonts w:ascii="Verdana" w:hAnsi="Verdana" w:cs="Arial"/>
          <w:i/>
          <w:iCs/>
          <w:sz w:val="22"/>
          <w:szCs w:val="22"/>
          <w:lang w:val="es-ES"/>
        </w:rPr>
        <w:t>, con la información generada</w:t>
      </w:r>
      <w:r w:rsidR="002826DE">
        <w:rPr>
          <w:rFonts w:ascii="Verdana" w:hAnsi="Verdana" w:cs="Arial"/>
          <w:i/>
          <w:iCs/>
          <w:sz w:val="22"/>
          <w:szCs w:val="22"/>
          <w:lang w:val="es-ES"/>
        </w:rPr>
        <w:t xml:space="preserve"> </w:t>
      </w:r>
      <w:r w:rsidRPr="002F3106">
        <w:rPr>
          <w:rFonts w:ascii="Verdana" w:hAnsi="Verdana" w:cs="Arial"/>
          <w:i/>
          <w:iCs/>
          <w:sz w:val="22"/>
          <w:szCs w:val="22"/>
          <w:lang w:val="es-ES"/>
        </w:rPr>
        <w:t>a partir</w:t>
      </w:r>
      <w:r w:rsidR="002826DE">
        <w:rPr>
          <w:rFonts w:ascii="Verdana" w:hAnsi="Verdana" w:cs="Arial"/>
          <w:i/>
          <w:iCs/>
          <w:sz w:val="22"/>
          <w:szCs w:val="22"/>
          <w:lang w:val="es-ES"/>
        </w:rPr>
        <w:t xml:space="preserve"> </w:t>
      </w:r>
      <w:r w:rsidRPr="002F3106">
        <w:rPr>
          <w:rFonts w:ascii="Verdana" w:hAnsi="Verdana" w:cs="Arial"/>
          <w:i/>
          <w:iCs/>
          <w:sz w:val="22"/>
          <w:szCs w:val="22"/>
          <w:lang w:val="es-ES"/>
        </w:rPr>
        <w:t xml:space="preserve">del </w:t>
      </w:r>
      <w:r w:rsidRPr="003C5A27">
        <w:rPr>
          <w:rFonts w:ascii="Verdana" w:hAnsi="Verdana" w:cs="Arial"/>
          <w:i/>
          <w:iCs/>
          <w:sz w:val="22"/>
          <w:szCs w:val="22"/>
          <w:lang w:val="es-ES"/>
        </w:rPr>
        <w:t>1 de enero de 202</w:t>
      </w:r>
      <w:r w:rsidR="00B13801" w:rsidRPr="003C5A27">
        <w:rPr>
          <w:rFonts w:ascii="Verdana" w:hAnsi="Verdana" w:cs="Arial"/>
          <w:i/>
          <w:iCs/>
          <w:sz w:val="22"/>
          <w:szCs w:val="22"/>
          <w:lang w:val="es-ES"/>
        </w:rPr>
        <w:t>7</w:t>
      </w:r>
      <w:r w:rsidRPr="002F3106">
        <w:rPr>
          <w:rFonts w:ascii="Verdana" w:hAnsi="Verdana" w:cs="Arial"/>
          <w:i/>
          <w:iCs/>
          <w:sz w:val="22"/>
          <w:szCs w:val="22"/>
          <w:lang w:val="es-ES"/>
        </w:rPr>
        <w:t>.</w:t>
      </w:r>
      <w:r w:rsidR="002826DE">
        <w:rPr>
          <w:rFonts w:ascii="Verdana" w:hAnsi="Verdana" w:cs="Arial"/>
          <w:i/>
          <w:iCs/>
          <w:sz w:val="22"/>
          <w:szCs w:val="22"/>
          <w:lang w:val="es-ES"/>
        </w:rPr>
        <w:t xml:space="preserve"> </w:t>
      </w:r>
      <w:r w:rsidRPr="002F3106">
        <w:rPr>
          <w:rFonts w:ascii="Verdana" w:hAnsi="Verdana" w:cs="Arial"/>
          <w:i/>
          <w:iCs/>
          <w:sz w:val="22"/>
          <w:szCs w:val="22"/>
          <w:lang w:val="es-ES"/>
        </w:rPr>
        <w:t>Esta información debe ser remitida a la SFC</w:t>
      </w:r>
      <w:r w:rsidR="002826DE">
        <w:rPr>
          <w:rFonts w:ascii="Verdana" w:hAnsi="Verdana" w:cs="Arial"/>
          <w:i/>
          <w:iCs/>
          <w:sz w:val="22"/>
          <w:szCs w:val="22"/>
          <w:lang w:val="es-ES"/>
        </w:rPr>
        <w:t xml:space="preserve"> </w:t>
      </w:r>
      <w:r w:rsidRPr="002F3106">
        <w:rPr>
          <w:rFonts w:ascii="Verdana" w:hAnsi="Verdana" w:cs="Arial"/>
          <w:i/>
          <w:iCs/>
          <w:sz w:val="22"/>
          <w:szCs w:val="22"/>
          <w:lang w:val="es-ES"/>
        </w:rPr>
        <w:t>con</w:t>
      </w:r>
      <w:r w:rsidR="002826DE">
        <w:rPr>
          <w:rFonts w:ascii="Verdana" w:hAnsi="Verdana" w:cs="Arial"/>
          <w:i/>
          <w:iCs/>
          <w:sz w:val="22"/>
          <w:szCs w:val="22"/>
          <w:lang w:val="es-ES"/>
        </w:rPr>
        <w:t xml:space="preserve"> </w:t>
      </w:r>
      <w:r w:rsidRPr="002F3106">
        <w:rPr>
          <w:rFonts w:ascii="Verdana" w:hAnsi="Verdana" w:cs="Arial"/>
          <w:i/>
          <w:iCs/>
          <w:sz w:val="22"/>
          <w:szCs w:val="22"/>
          <w:lang w:val="es-ES"/>
        </w:rPr>
        <w:t>los criterios</w:t>
      </w:r>
      <w:r w:rsidR="002826DE">
        <w:rPr>
          <w:rFonts w:ascii="Verdana" w:hAnsi="Verdana" w:cs="Arial"/>
          <w:i/>
          <w:iCs/>
          <w:sz w:val="22"/>
          <w:szCs w:val="22"/>
          <w:lang w:val="es-ES"/>
        </w:rPr>
        <w:t xml:space="preserve"> </w:t>
      </w:r>
      <w:r w:rsidRPr="002F3106">
        <w:rPr>
          <w:rFonts w:ascii="Verdana" w:hAnsi="Verdana" w:cs="Arial"/>
          <w:i/>
          <w:iCs/>
          <w:sz w:val="22"/>
          <w:szCs w:val="22"/>
          <w:lang w:val="es-ES"/>
        </w:rPr>
        <w:t>que se relacionan</w:t>
      </w:r>
      <w:r w:rsidR="002826DE">
        <w:rPr>
          <w:rFonts w:ascii="Verdana" w:hAnsi="Verdana" w:cs="Arial"/>
          <w:i/>
          <w:iCs/>
          <w:sz w:val="22"/>
          <w:szCs w:val="22"/>
          <w:lang w:val="es-ES"/>
        </w:rPr>
        <w:t xml:space="preserve"> </w:t>
      </w:r>
      <w:r w:rsidRPr="002F3106">
        <w:rPr>
          <w:rFonts w:ascii="Verdana" w:hAnsi="Verdana" w:cs="Arial"/>
          <w:i/>
          <w:iCs/>
          <w:sz w:val="22"/>
          <w:szCs w:val="22"/>
          <w:lang w:val="es-ES"/>
        </w:rPr>
        <w:t>en el Anexo No. 2 «Estado de situación financiera de apertura</w:t>
      </w:r>
      <w:r w:rsidR="002826DE">
        <w:rPr>
          <w:rFonts w:ascii="Verdana" w:hAnsi="Verdana" w:cs="Arial"/>
          <w:i/>
          <w:iCs/>
          <w:sz w:val="22"/>
          <w:szCs w:val="22"/>
          <w:lang w:val="es-ES"/>
        </w:rPr>
        <w:t xml:space="preserve"> </w:t>
      </w:r>
      <w:r w:rsidRPr="002F3106">
        <w:rPr>
          <w:rFonts w:ascii="Verdana" w:hAnsi="Verdana" w:cs="Arial"/>
          <w:i/>
          <w:iCs/>
          <w:sz w:val="22"/>
          <w:szCs w:val="22"/>
          <w:lang w:val="es-ES"/>
        </w:rPr>
        <w:t>-</w:t>
      </w:r>
      <w:r w:rsidR="002826DE">
        <w:rPr>
          <w:rFonts w:ascii="Verdana" w:hAnsi="Verdana" w:cs="Arial"/>
          <w:i/>
          <w:iCs/>
          <w:sz w:val="22"/>
          <w:szCs w:val="22"/>
          <w:lang w:val="es-ES"/>
        </w:rPr>
        <w:t xml:space="preserve"> </w:t>
      </w:r>
      <w:r w:rsidRPr="002F3106">
        <w:rPr>
          <w:rFonts w:ascii="Verdana" w:hAnsi="Verdana" w:cs="Arial"/>
          <w:i/>
          <w:iCs/>
          <w:sz w:val="22"/>
          <w:szCs w:val="22"/>
          <w:lang w:val="es-ES"/>
        </w:rPr>
        <w:t>ESFA».</w:t>
      </w:r>
    </w:p>
    <w:p w14:paraId="099F2367" w14:textId="5EE6614E" w:rsidR="002F3106" w:rsidRPr="002F3106" w:rsidRDefault="002F3106" w:rsidP="00A51A83">
      <w:pPr>
        <w:widowControl w:val="0"/>
        <w:autoSpaceDE w:val="0"/>
        <w:autoSpaceDN w:val="0"/>
        <w:adjustRightInd w:val="0"/>
        <w:spacing w:line="276" w:lineRule="auto"/>
        <w:ind w:left="708"/>
        <w:jc w:val="both"/>
        <w:rPr>
          <w:rFonts w:ascii="Verdana" w:hAnsi="Verdana" w:cs="Arial"/>
          <w:i/>
          <w:iCs/>
          <w:sz w:val="22"/>
          <w:szCs w:val="22"/>
        </w:rPr>
      </w:pPr>
    </w:p>
    <w:p w14:paraId="391DE2A9" w14:textId="519D59CF" w:rsidR="002F3106" w:rsidRPr="00A01820" w:rsidRDefault="002F3106" w:rsidP="00A51A83">
      <w:pPr>
        <w:widowControl w:val="0"/>
        <w:autoSpaceDE w:val="0"/>
        <w:autoSpaceDN w:val="0"/>
        <w:adjustRightInd w:val="0"/>
        <w:spacing w:line="276" w:lineRule="auto"/>
        <w:ind w:left="708"/>
        <w:jc w:val="both"/>
        <w:rPr>
          <w:rFonts w:ascii="Verdana" w:hAnsi="Verdana" w:cs="Arial"/>
          <w:i/>
          <w:iCs/>
          <w:sz w:val="22"/>
          <w:szCs w:val="22"/>
          <w:lang w:val="es-ES"/>
        </w:rPr>
      </w:pPr>
      <w:r w:rsidRPr="002F3106">
        <w:rPr>
          <w:rFonts w:ascii="Verdana" w:hAnsi="Verdana" w:cs="Arial"/>
          <w:i/>
          <w:iCs/>
          <w:sz w:val="22"/>
          <w:szCs w:val="22"/>
          <w:lang w:val="es-ES"/>
        </w:rPr>
        <w:t>Posteriormente,</w:t>
      </w:r>
      <w:r w:rsidR="00A01820">
        <w:rPr>
          <w:rFonts w:ascii="Verdana" w:hAnsi="Verdana" w:cs="Arial"/>
          <w:i/>
          <w:iCs/>
          <w:sz w:val="22"/>
          <w:szCs w:val="22"/>
          <w:lang w:val="es-ES"/>
        </w:rPr>
        <w:t xml:space="preserve"> </w:t>
      </w:r>
      <w:r w:rsidRPr="002F3106">
        <w:rPr>
          <w:rFonts w:ascii="Verdana" w:hAnsi="Verdana" w:cs="Arial"/>
          <w:i/>
          <w:iCs/>
          <w:sz w:val="22"/>
          <w:szCs w:val="22"/>
          <w:lang w:val="es-ES"/>
        </w:rPr>
        <w:t>las entidades</w:t>
      </w:r>
      <w:r w:rsidR="00A01820">
        <w:rPr>
          <w:rFonts w:ascii="Verdana" w:hAnsi="Verdana" w:cs="Arial"/>
          <w:i/>
          <w:iCs/>
          <w:sz w:val="22"/>
          <w:szCs w:val="22"/>
          <w:lang w:val="es-ES"/>
        </w:rPr>
        <w:t xml:space="preserve"> </w:t>
      </w:r>
      <w:r w:rsidRPr="002F3106">
        <w:rPr>
          <w:rFonts w:ascii="Verdana" w:hAnsi="Verdana" w:cs="Arial"/>
          <w:i/>
          <w:iCs/>
          <w:sz w:val="22"/>
          <w:szCs w:val="22"/>
          <w:lang w:val="es-ES"/>
        </w:rPr>
        <w:t>deben preparar</w:t>
      </w:r>
      <w:r w:rsidR="00A01820">
        <w:rPr>
          <w:rFonts w:ascii="Verdana" w:hAnsi="Verdana" w:cs="Arial"/>
          <w:i/>
          <w:iCs/>
          <w:sz w:val="22"/>
          <w:szCs w:val="22"/>
          <w:lang w:val="es-ES"/>
        </w:rPr>
        <w:t xml:space="preserve"> </w:t>
      </w:r>
      <w:r w:rsidRPr="002F3106">
        <w:rPr>
          <w:rFonts w:ascii="Verdana" w:hAnsi="Verdana" w:cs="Arial"/>
          <w:i/>
          <w:iCs/>
          <w:sz w:val="22"/>
          <w:szCs w:val="22"/>
          <w:lang w:val="es-ES"/>
        </w:rPr>
        <w:t>un análisis comparativo</w:t>
      </w:r>
      <w:r w:rsidR="00A01820">
        <w:rPr>
          <w:rFonts w:ascii="Verdana" w:hAnsi="Verdana" w:cs="Arial"/>
          <w:i/>
          <w:iCs/>
          <w:sz w:val="22"/>
          <w:szCs w:val="22"/>
          <w:lang w:val="es-ES"/>
        </w:rPr>
        <w:t xml:space="preserve"> </w:t>
      </w:r>
      <w:r w:rsidRPr="002F3106">
        <w:rPr>
          <w:rFonts w:ascii="Verdana" w:hAnsi="Verdana" w:cs="Arial"/>
          <w:i/>
          <w:iCs/>
          <w:sz w:val="22"/>
          <w:szCs w:val="22"/>
          <w:lang w:val="es-ES"/>
        </w:rPr>
        <w:t>trimestral</w:t>
      </w:r>
      <w:r w:rsidR="00A01820">
        <w:rPr>
          <w:rFonts w:ascii="Verdana" w:hAnsi="Verdana" w:cs="Arial"/>
          <w:i/>
          <w:iCs/>
          <w:sz w:val="22"/>
          <w:szCs w:val="22"/>
          <w:lang w:val="es-ES"/>
        </w:rPr>
        <w:t xml:space="preserve"> </w:t>
      </w:r>
      <w:r w:rsidRPr="002F3106">
        <w:rPr>
          <w:rFonts w:ascii="Verdana" w:hAnsi="Verdana" w:cs="Arial"/>
          <w:i/>
          <w:iCs/>
          <w:sz w:val="22"/>
          <w:szCs w:val="22"/>
          <w:lang w:val="es-ES"/>
        </w:rPr>
        <w:t>y remitirlo a la SFC en los siguientes términos:</w:t>
      </w:r>
      <w:r w:rsidR="00A01820">
        <w:rPr>
          <w:rFonts w:ascii="Verdana" w:hAnsi="Verdana" w:cs="Arial"/>
          <w:i/>
          <w:iCs/>
          <w:sz w:val="22"/>
          <w:szCs w:val="22"/>
          <w:lang w:val="es-ES"/>
        </w:rPr>
        <w:t xml:space="preserve"> </w:t>
      </w:r>
      <w:r w:rsidRPr="002F3106">
        <w:rPr>
          <w:rFonts w:ascii="Verdana" w:hAnsi="Verdana" w:cs="Arial"/>
          <w:i/>
          <w:iCs/>
          <w:sz w:val="22"/>
          <w:szCs w:val="22"/>
          <w:lang w:val="es-ES"/>
        </w:rPr>
        <w:t>el análisis correspondiente al</w:t>
      </w:r>
      <w:r w:rsidR="00A01820">
        <w:rPr>
          <w:rFonts w:ascii="Verdana" w:hAnsi="Verdana" w:cs="Arial"/>
          <w:i/>
          <w:iCs/>
          <w:sz w:val="22"/>
          <w:szCs w:val="22"/>
          <w:lang w:val="es-ES"/>
        </w:rPr>
        <w:t xml:space="preserve"> </w:t>
      </w:r>
      <w:r w:rsidRPr="00A01820">
        <w:rPr>
          <w:rFonts w:ascii="Verdana" w:hAnsi="Verdana" w:cs="Arial"/>
          <w:i/>
          <w:iCs/>
          <w:sz w:val="22"/>
          <w:szCs w:val="22"/>
          <w:lang w:val="es-ES"/>
        </w:rPr>
        <w:t>primer trimestre de 202</w:t>
      </w:r>
      <w:r w:rsidR="005563D0" w:rsidRPr="00A01820">
        <w:rPr>
          <w:rFonts w:ascii="Verdana" w:hAnsi="Verdana" w:cs="Arial"/>
          <w:i/>
          <w:iCs/>
          <w:sz w:val="22"/>
          <w:szCs w:val="22"/>
          <w:lang w:val="es-ES"/>
        </w:rPr>
        <w:t>7</w:t>
      </w:r>
      <w:r w:rsidR="00A01820">
        <w:rPr>
          <w:rFonts w:ascii="Verdana" w:hAnsi="Verdana" w:cs="Arial"/>
          <w:i/>
          <w:iCs/>
          <w:sz w:val="22"/>
          <w:szCs w:val="22"/>
          <w:lang w:val="es-ES"/>
        </w:rPr>
        <w:t xml:space="preserve"> </w:t>
      </w:r>
      <w:r w:rsidRPr="002F3106">
        <w:rPr>
          <w:rFonts w:ascii="Verdana" w:hAnsi="Verdana" w:cs="Arial"/>
          <w:i/>
          <w:iCs/>
          <w:sz w:val="22"/>
          <w:szCs w:val="22"/>
          <w:lang w:val="es-ES"/>
        </w:rPr>
        <w:t>debe ser</w:t>
      </w:r>
      <w:r w:rsidR="00A01820">
        <w:rPr>
          <w:rFonts w:ascii="Verdana" w:hAnsi="Verdana" w:cs="Arial"/>
          <w:i/>
          <w:iCs/>
          <w:sz w:val="22"/>
          <w:szCs w:val="22"/>
          <w:lang w:val="es-ES"/>
        </w:rPr>
        <w:t xml:space="preserve"> </w:t>
      </w:r>
      <w:r w:rsidRPr="002F3106">
        <w:rPr>
          <w:rFonts w:ascii="Verdana" w:hAnsi="Verdana" w:cs="Arial"/>
          <w:i/>
          <w:iCs/>
          <w:sz w:val="22"/>
          <w:szCs w:val="22"/>
          <w:lang w:val="es-ES"/>
        </w:rPr>
        <w:t>remitido</w:t>
      </w:r>
      <w:r w:rsidR="00A01820">
        <w:rPr>
          <w:rFonts w:ascii="Verdana" w:hAnsi="Verdana" w:cs="Arial"/>
          <w:i/>
          <w:iCs/>
          <w:sz w:val="22"/>
          <w:szCs w:val="22"/>
          <w:lang w:val="es-ES"/>
        </w:rPr>
        <w:t xml:space="preserve"> </w:t>
      </w:r>
      <w:r w:rsidRPr="002F3106">
        <w:rPr>
          <w:rFonts w:ascii="Verdana" w:hAnsi="Verdana" w:cs="Arial"/>
          <w:i/>
          <w:iCs/>
          <w:sz w:val="22"/>
          <w:szCs w:val="22"/>
          <w:lang w:val="es-ES"/>
        </w:rPr>
        <w:t>a la SFC a más tardar</w:t>
      </w:r>
      <w:r w:rsidR="00A01820">
        <w:rPr>
          <w:rFonts w:ascii="Verdana" w:hAnsi="Verdana" w:cs="Arial"/>
          <w:i/>
          <w:iCs/>
          <w:sz w:val="22"/>
          <w:szCs w:val="22"/>
          <w:lang w:val="es-ES"/>
        </w:rPr>
        <w:t xml:space="preserve"> </w:t>
      </w:r>
      <w:r w:rsidRPr="002F3106">
        <w:rPr>
          <w:rFonts w:ascii="Verdana" w:hAnsi="Verdana" w:cs="Arial"/>
          <w:i/>
          <w:iCs/>
          <w:sz w:val="22"/>
          <w:szCs w:val="22"/>
          <w:lang w:val="es-ES"/>
        </w:rPr>
        <w:t xml:space="preserve">el </w:t>
      </w:r>
      <w:r w:rsidRPr="00A01820">
        <w:rPr>
          <w:rFonts w:ascii="Verdana" w:hAnsi="Verdana" w:cs="Arial"/>
          <w:i/>
          <w:iCs/>
          <w:sz w:val="22"/>
          <w:szCs w:val="22"/>
          <w:lang w:val="es-ES"/>
        </w:rPr>
        <w:t>3</w:t>
      </w:r>
      <w:r w:rsidR="00734491" w:rsidRPr="00A01820">
        <w:rPr>
          <w:rFonts w:ascii="Verdana" w:hAnsi="Verdana" w:cs="Arial"/>
          <w:i/>
          <w:iCs/>
          <w:sz w:val="22"/>
          <w:szCs w:val="22"/>
          <w:lang w:val="es-ES"/>
        </w:rPr>
        <w:t>1</w:t>
      </w:r>
      <w:r w:rsidRPr="00A01820">
        <w:rPr>
          <w:rFonts w:ascii="Verdana" w:hAnsi="Verdana" w:cs="Arial"/>
          <w:i/>
          <w:iCs/>
          <w:sz w:val="22"/>
          <w:szCs w:val="22"/>
          <w:lang w:val="es-ES"/>
        </w:rPr>
        <w:t xml:space="preserve"> de</w:t>
      </w:r>
      <w:r w:rsidR="00A01820">
        <w:rPr>
          <w:rFonts w:ascii="Verdana" w:hAnsi="Verdana" w:cs="Arial"/>
          <w:i/>
          <w:iCs/>
          <w:sz w:val="22"/>
          <w:szCs w:val="22"/>
          <w:lang w:val="es-ES"/>
        </w:rPr>
        <w:t xml:space="preserve"> </w:t>
      </w:r>
      <w:r w:rsidR="00CA54C9" w:rsidRPr="00A01820">
        <w:rPr>
          <w:rFonts w:ascii="Verdana" w:hAnsi="Verdana" w:cs="Arial"/>
          <w:i/>
          <w:iCs/>
          <w:sz w:val="22"/>
          <w:szCs w:val="22"/>
          <w:lang w:val="es-ES"/>
        </w:rPr>
        <w:t>mayo</w:t>
      </w:r>
      <w:r w:rsidR="00A01820">
        <w:rPr>
          <w:rFonts w:ascii="Verdana" w:hAnsi="Verdana" w:cs="Arial"/>
          <w:i/>
          <w:iCs/>
          <w:sz w:val="22"/>
          <w:szCs w:val="22"/>
          <w:lang w:val="es-ES"/>
        </w:rPr>
        <w:t xml:space="preserve"> </w:t>
      </w:r>
      <w:r w:rsidRPr="00A01820">
        <w:rPr>
          <w:rFonts w:ascii="Verdana" w:hAnsi="Verdana" w:cs="Arial"/>
          <w:i/>
          <w:iCs/>
          <w:sz w:val="22"/>
          <w:szCs w:val="22"/>
          <w:lang w:val="es-ES"/>
        </w:rPr>
        <w:t>de 202</w:t>
      </w:r>
      <w:r w:rsidR="005563D0" w:rsidRPr="00A01820">
        <w:rPr>
          <w:rFonts w:ascii="Verdana" w:hAnsi="Verdana" w:cs="Arial"/>
          <w:i/>
          <w:iCs/>
          <w:sz w:val="22"/>
          <w:szCs w:val="22"/>
          <w:lang w:val="es-ES"/>
        </w:rPr>
        <w:t>7</w:t>
      </w:r>
      <w:r w:rsidRPr="002F3106">
        <w:rPr>
          <w:rFonts w:ascii="Verdana" w:hAnsi="Verdana" w:cs="Arial"/>
          <w:i/>
          <w:iCs/>
          <w:sz w:val="22"/>
          <w:szCs w:val="22"/>
          <w:lang w:val="es-ES"/>
        </w:rPr>
        <w:t>.</w:t>
      </w:r>
      <w:r w:rsidR="00A01820">
        <w:rPr>
          <w:rFonts w:ascii="Verdana" w:hAnsi="Verdana" w:cs="Arial"/>
          <w:i/>
          <w:iCs/>
          <w:sz w:val="22"/>
          <w:szCs w:val="22"/>
          <w:lang w:val="es-ES"/>
        </w:rPr>
        <w:t xml:space="preserve"> </w:t>
      </w:r>
      <w:r w:rsidRPr="002F3106">
        <w:rPr>
          <w:rFonts w:ascii="Verdana" w:hAnsi="Verdana" w:cs="Arial"/>
          <w:i/>
          <w:iCs/>
          <w:sz w:val="22"/>
          <w:szCs w:val="22"/>
          <w:lang w:val="es-ES"/>
        </w:rPr>
        <w:t xml:space="preserve">El análisis comparativo del </w:t>
      </w:r>
      <w:r w:rsidRPr="00A01820">
        <w:rPr>
          <w:rFonts w:ascii="Verdana" w:hAnsi="Verdana" w:cs="Arial"/>
          <w:i/>
          <w:iCs/>
          <w:sz w:val="22"/>
          <w:szCs w:val="22"/>
          <w:lang w:val="es-ES"/>
        </w:rPr>
        <w:t>segundo trimestre de 202</w:t>
      </w:r>
      <w:r w:rsidR="005563D0" w:rsidRPr="00A01820">
        <w:rPr>
          <w:rFonts w:ascii="Verdana" w:hAnsi="Verdana" w:cs="Arial"/>
          <w:i/>
          <w:iCs/>
          <w:sz w:val="22"/>
          <w:szCs w:val="22"/>
          <w:lang w:val="es-ES"/>
        </w:rPr>
        <w:t>7</w:t>
      </w:r>
      <w:r w:rsidR="00A01820">
        <w:rPr>
          <w:rFonts w:ascii="Verdana" w:hAnsi="Verdana" w:cs="Arial"/>
          <w:i/>
          <w:iCs/>
          <w:sz w:val="22"/>
          <w:szCs w:val="22"/>
          <w:lang w:val="es-ES"/>
        </w:rPr>
        <w:t xml:space="preserve"> </w:t>
      </w:r>
      <w:r w:rsidRPr="002F3106">
        <w:rPr>
          <w:rFonts w:ascii="Verdana" w:hAnsi="Verdana" w:cs="Arial"/>
          <w:i/>
          <w:iCs/>
          <w:sz w:val="22"/>
          <w:szCs w:val="22"/>
          <w:lang w:val="es-ES"/>
        </w:rPr>
        <w:t>debe ser remitido a la SFC</w:t>
      </w:r>
      <w:r w:rsidR="00A01820">
        <w:rPr>
          <w:rFonts w:ascii="Verdana" w:hAnsi="Verdana" w:cs="Arial"/>
          <w:i/>
          <w:iCs/>
          <w:sz w:val="22"/>
          <w:szCs w:val="22"/>
          <w:lang w:val="es-ES"/>
        </w:rPr>
        <w:t xml:space="preserve"> </w:t>
      </w:r>
      <w:r w:rsidRPr="002F3106">
        <w:rPr>
          <w:rFonts w:ascii="Verdana" w:hAnsi="Verdana" w:cs="Arial"/>
          <w:i/>
          <w:iCs/>
          <w:sz w:val="22"/>
          <w:szCs w:val="22"/>
          <w:lang w:val="es-ES"/>
        </w:rPr>
        <w:t xml:space="preserve">a más tardar el </w:t>
      </w:r>
      <w:r w:rsidRPr="00A01820">
        <w:rPr>
          <w:rFonts w:ascii="Verdana" w:hAnsi="Verdana" w:cs="Arial"/>
          <w:i/>
          <w:iCs/>
          <w:sz w:val="22"/>
          <w:szCs w:val="22"/>
          <w:lang w:val="es-ES"/>
        </w:rPr>
        <w:t>3</w:t>
      </w:r>
      <w:r w:rsidR="00AF6557" w:rsidRPr="00A01820">
        <w:rPr>
          <w:rFonts w:ascii="Verdana" w:hAnsi="Verdana" w:cs="Arial"/>
          <w:i/>
          <w:iCs/>
          <w:sz w:val="22"/>
          <w:szCs w:val="22"/>
          <w:lang w:val="es-ES"/>
        </w:rPr>
        <w:t>1</w:t>
      </w:r>
      <w:r w:rsidRPr="00A01820">
        <w:rPr>
          <w:rFonts w:ascii="Verdana" w:hAnsi="Verdana" w:cs="Arial"/>
          <w:i/>
          <w:iCs/>
          <w:sz w:val="22"/>
          <w:szCs w:val="22"/>
          <w:lang w:val="es-ES"/>
        </w:rPr>
        <w:t xml:space="preserve"> de </w:t>
      </w:r>
      <w:r w:rsidR="00AF6557" w:rsidRPr="00A01820">
        <w:rPr>
          <w:rFonts w:ascii="Verdana" w:hAnsi="Verdana" w:cs="Arial"/>
          <w:i/>
          <w:iCs/>
          <w:sz w:val="22"/>
          <w:szCs w:val="22"/>
          <w:lang w:val="es-ES"/>
        </w:rPr>
        <w:t>agosto</w:t>
      </w:r>
      <w:r w:rsidRPr="00A01820">
        <w:rPr>
          <w:rFonts w:ascii="Verdana" w:hAnsi="Verdana" w:cs="Arial"/>
          <w:i/>
          <w:iCs/>
          <w:sz w:val="22"/>
          <w:szCs w:val="22"/>
          <w:lang w:val="es-ES"/>
        </w:rPr>
        <w:t xml:space="preserve"> 202</w:t>
      </w:r>
      <w:r w:rsidR="005563D0" w:rsidRPr="00A01820">
        <w:rPr>
          <w:rFonts w:ascii="Verdana" w:hAnsi="Verdana" w:cs="Arial"/>
          <w:i/>
          <w:iCs/>
          <w:sz w:val="22"/>
          <w:szCs w:val="22"/>
          <w:lang w:val="es-ES"/>
        </w:rPr>
        <w:t>7</w:t>
      </w:r>
      <w:r w:rsidRPr="002F3106">
        <w:rPr>
          <w:rFonts w:ascii="Verdana" w:hAnsi="Verdana" w:cs="Arial"/>
          <w:i/>
          <w:iCs/>
          <w:sz w:val="22"/>
          <w:szCs w:val="22"/>
          <w:lang w:val="es-ES"/>
        </w:rPr>
        <w:t>.</w:t>
      </w:r>
      <w:r w:rsidR="00A01820">
        <w:rPr>
          <w:rFonts w:ascii="Verdana" w:hAnsi="Verdana" w:cs="Arial"/>
          <w:i/>
          <w:iCs/>
          <w:sz w:val="22"/>
          <w:szCs w:val="22"/>
          <w:lang w:val="es-ES"/>
        </w:rPr>
        <w:t xml:space="preserve"> </w:t>
      </w:r>
      <w:r w:rsidRPr="002F3106">
        <w:rPr>
          <w:rFonts w:ascii="Verdana" w:hAnsi="Verdana" w:cs="Arial"/>
          <w:i/>
          <w:iCs/>
          <w:sz w:val="22"/>
          <w:szCs w:val="22"/>
          <w:lang w:val="es-ES"/>
        </w:rPr>
        <w:t xml:space="preserve">La información correspondiente al </w:t>
      </w:r>
      <w:r w:rsidRPr="00A01820">
        <w:rPr>
          <w:rFonts w:ascii="Verdana" w:hAnsi="Verdana" w:cs="Arial"/>
          <w:i/>
          <w:iCs/>
          <w:sz w:val="22"/>
          <w:szCs w:val="22"/>
          <w:lang w:val="es-ES"/>
        </w:rPr>
        <w:t>tercer trimestre de 202</w:t>
      </w:r>
      <w:r w:rsidR="005563D0" w:rsidRPr="00A01820">
        <w:rPr>
          <w:rFonts w:ascii="Verdana" w:hAnsi="Verdana" w:cs="Arial"/>
          <w:i/>
          <w:iCs/>
          <w:sz w:val="22"/>
          <w:szCs w:val="22"/>
          <w:lang w:val="es-ES"/>
        </w:rPr>
        <w:t>7</w:t>
      </w:r>
      <w:r w:rsidRPr="002F3106">
        <w:rPr>
          <w:rFonts w:ascii="Verdana" w:hAnsi="Verdana" w:cs="Arial"/>
          <w:i/>
          <w:iCs/>
          <w:sz w:val="22"/>
          <w:szCs w:val="22"/>
          <w:lang w:val="es-ES"/>
        </w:rPr>
        <w:t xml:space="preserve"> debe</w:t>
      </w:r>
      <w:r w:rsidR="003D56C8">
        <w:rPr>
          <w:rFonts w:ascii="Verdana" w:hAnsi="Verdana" w:cs="Arial"/>
          <w:i/>
          <w:iCs/>
          <w:sz w:val="22"/>
          <w:szCs w:val="22"/>
          <w:lang w:val="es-ES"/>
        </w:rPr>
        <w:t xml:space="preserve"> </w:t>
      </w:r>
      <w:r w:rsidRPr="002F3106">
        <w:rPr>
          <w:rFonts w:ascii="Verdana" w:hAnsi="Verdana" w:cs="Arial"/>
          <w:i/>
          <w:iCs/>
          <w:sz w:val="22"/>
          <w:szCs w:val="22"/>
          <w:lang w:val="es-ES"/>
        </w:rPr>
        <w:t>ser remitida a la SFC</w:t>
      </w:r>
      <w:r w:rsidR="003D56C8">
        <w:rPr>
          <w:rFonts w:ascii="Verdana" w:hAnsi="Verdana" w:cs="Arial"/>
          <w:i/>
          <w:iCs/>
          <w:sz w:val="22"/>
          <w:szCs w:val="22"/>
          <w:lang w:val="es-ES"/>
        </w:rPr>
        <w:t xml:space="preserve"> </w:t>
      </w:r>
      <w:r w:rsidRPr="002F3106">
        <w:rPr>
          <w:rFonts w:ascii="Verdana" w:hAnsi="Verdana" w:cs="Arial"/>
          <w:i/>
          <w:iCs/>
          <w:sz w:val="22"/>
          <w:szCs w:val="22"/>
          <w:lang w:val="es-ES"/>
        </w:rPr>
        <w:t xml:space="preserve">a más tardar el </w:t>
      </w:r>
      <w:r w:rsidRPr="00A01820">
        <w:rPr>
          <w:rFonts w:ascii="Verdana" w:hAnsi="Verdana" w:cs="Arial"/>
          <w:i/>
          <w:iCs/>
          <w:sz w:val="22"/>
          <w:szCs w:val="22"/>
          <w:lang w:val="es-ES"/>
        </w:rPr>
        <w:t>30 de noviembre de 202</w:t>
      </w:r>
      <w:r w:rsidR="005563D0" w:rsidRPr="00A01820">
        <w:rPr>
          <w:rFonts w:ascii="Verdana" w:hAnsi="Verdana" w:cs="Arial"/>
          <w:i/>
          <w:iCs/>
          <w:sz w:val="22"/>
          <w:szCs w:val="22"/>
          <w:lang w:val="es-ES"/>
        </w:rPr>
        <w:t>7</w:t>
      </w:r>
      <w:r w:rsidRPr="002F3106">
        <w:rPr>
          <w:rFonts w:ascii="Verdana" w:hAnsi="Verdana" w:cs="Arial"/>
          <w:i/>
          <w:iCs/>
          <w:sz w:val="22"/>
          <w:szCs w:val="22"/>
          <w:lang w:val="es-ES"/>
        </w:rPr>
        <w:t>.</w:t>
      </w:r>
      <w:r w:rsidR="003D56C8">
        <w:rPr>
          <w:rFonts w:ascii="Verdana" w:hAnsi="Verdana" w:cs="Arial"/>
          <w:i/>
          <w:iCs/>
          <w:sz w:val="22"/>
          <w:szCs w:val="22"/>
          <w:lang w:val="es-ES"/>
        </w:rPr>
        <w:t xml:space="preserve"> </w:t>
      </w:r>
      <w:r w:rsidRPr="002F3106">
        <w:rPr>
          <w:rFonts w:ascii="Verdana" w:hAnsi="Verdana" w:cs="Arial"/>
          <w:i/>
          <w:iCs/>
          <w:sz w:val="22"/>
          <w:szCs w:val="22"/>
          <w:lang w:val="es-ES"/>
        </w:rPr>
        <w:t xml:space="preserve">La información correspondiente al </w:t>
      </w:r>
      <w:r w:rsidRPr="00A01820">
        <w:rPr>
          <w:rFonts w:ascii="Verdana" w:hAnsi="Verdana" w:cs="Arial"/>
          <w:i/>
          <w:iCs/>
          <w:sz w:val="22"/>
          <w:szCs w:val="22"/>
          <w:lang w:val="es-ES"/>
        </w:rPr>
        <w:t>cuarto trimestre de 202</w:t>
      </w:r>
      <w:r w:rsidR="005563D0" w:rsidRPr="00A01820">
        <w:rPr>
          <w:rFonts w:ascii="Verdana" w:hAnsi="Verdana" w:cs="Arial"/>
          <w:i/>
          <w:iCs/>
          <w:sz w:val="22"/>
          <w:szCs w:val="22"/>
          <w:lang w:val="es-ES"/>
        </w:rPr>
        <w:t>7</w:t>
      </w:r>
      <w:r w:rsidR="003D56C8">
        <w:rPr>
          <w:rFonts w:ascii="Verdana" w:hAnsi="Verdana" w:cs="Arial"/>
          <w:i/>
          <w:iCs/>
          <w:sz w:val="22"/>
          <w:szCs w:val="22"/>
          <w:lang w:val="es-ES"/>
        </w:rPr>
        <w:t xml:space="preserve"> </w:t>
      </w:r>
      <w:r w:rsidRPr="002F3106">
        <w:rPr>
          <w:rFonts w:ascii="Verdana" w:hAnsi="Verdana" w:cs="Arial"/>
          <w:i/>
          <w:iCs/>
          <w:sz w:val="22"/>
          <w:szCs w:val="22"/>
          <w:lang w:val="es-ES"/>
        </w:rPr>
        <w:t>debe</w:t>
      </w:r>
      <w:r w:rsidR="00590D0F">
        <w:rPr>
          <w:rFonts w:ascii="Verdana" w:hAnsi="Verdana" w:cs="Arial"/>
          <w:i/>
          <w:iCs/>
          <w:sz w:val="22"/>
          <w:szCs w:val="22"/>
          <w:lang w:val="es-ES"/>
        </w:rPr>
        <w:t xml:space="preserve"> </w:t>
      </w:r>
      <w:r w:rsidRPr="002F3106">
        <w:rPr>
          <w:rFonts w:ascii="Verdana" w:hAnsi="Verdana" w:cs="Arial"/>
          <w:i/>
          <w:iCs/>
          <w:sz w:val="22"/>
          <w:szCs w:val="22"/>
          <w:lang w:val="es-ES"/>
        </w:rPr>
        <w:t>ser</w:t>
      </w:r>
      <w:r w:rsidR="00590D0F">
        <w:rPr>
          <w:rFonts w:ascii="Verdana" w:hAnsi="Verdana" w:cs="Arial"/>
          <w:i/>
          <w:iCs/>
          <w:sz w:val="22"/>
          <w:szCs w:val="22"/>
          <w:lang w:val="es-ES"/>
        </w:rPr>
        <w:t xml:space="preserve"> </w:t>
      </w:r>
      <w:r w:rsidRPr="002F3106">
        <w:rPr>
          <w:rFonts w:ascii="Verdana" w:hAnsi="Verdana" w:cs="Arial"/>
          <w:i/>
          <w:iCs/>
          <w:sz w:val="22"/>
          <w:szCs w:val="22"/>
          <w:lang w:val="es-ES"/>
        </w:rPr>
        <w:t>remitida</w:t>
      </w:r>
      <w:r w:rsidR="003D56C8">
        <w:rPr>
          <w:rFonts w:ascii="Verdana" w:hAnsi="Verdana" w:cs="Arial"/>
          <w:i/>
          <w:iCs/>
          <w:sz w:val="22"/>
          <w:szCs w:val="22"/>
          <w:lang w:val="es-ES"/>
        </w:rPr>
        <w:t xml:space="preserve"> </w:t>
      </w:r>
      <w:r w:rsidRPr="002F3106">
        <w:rPr>
          <w:rFonts w:ascii="Verdana" w:hAnsi="Verdana" w:cs="Arial"/>
          <w:i/>
          <w:iCs/>
          <w:sz w:val="22"/>
          <w:szCs w:val="22"/>
          <w:lang w:val="es-ES"/>
        </w:rPr>
        <w:t>a la SFC</w:t>
      </w:r>
      <w:r w:rsidR="00590D0F">
        <w:rPr>
          <w:rFonts w:ascii="Verdana" w:hAnsi="Verdana" w:cs="Arial"/>
          <w:i/>
          <w:iCs/>
          <w:sz w:val="22"/>
          <w:szCs w:val="22"/>
          <w:lang w:val="es-ES"/>
        </w:rPr>
        <w:t xml:space="preserve"> </w:t>
      </w:r>
      <w:r w:rsidRPr="002F3106">
        <w:rPr>
          <w:rFonts w:ascii="Verdana" w:hAnsi="Verdana" w:cs="Arial"/>
          <w:i/>
          <w:iCs/>
          <w:sz w:val="22"/>
          <w:szCs w:val="22"/>
          <w:lang w:val="es-ES"/>
        </w:rPr>
        <w:t xml:space="preserve">a más tardar el </w:t>
      </w:r>
      <w:r w:rsidRPr="00A01820">
        <w:rPr>
          <w:rFonts w:ascii="Verdana" w:hAnsi="Verdana" w:cs="Arial"/>
          <w:i/>
          <w:iCs/>
          <w:sz w:val="22"/>
          <w:szCs w:val="22"/>
          <w:lang w:val="es-ES"/>
        </w:rPr>
        <w:t>30 de enero de 202</w:t>
      </w:r>
      <w:r w:rsidR="005563D0" w:rsidRPr="00A01820">
        <w:rPr>
          <w:rFonts w:ascii="Verdana" w:hAnsi="Verdana" w:cs="Arial"/>
          <w:i/>
          <w:iCs/>
          <w:sz w:val="22"/>
          <w:szCs w:val="22"/>
          <w:lang w:val="es-ES"/>
        </w:rPr>
        <w:t>8</w:t>
      </w:r>
      <w:r w:rsidRPr="002F3106">
        <w:rPr>
          <w:rFonts w:ascii="Verdana" w:hAnsi="Verdana" w:cs="Arial"/>
          <w:i/>
          <w:iCs/>
          <w:sz w:val="22"/>
          <w:szCs w:val="22"/>
          <w:lang w:val="es-ES"/>
        </w:rPr>
        <w:t>.</w:t>
      </w:r>
    </w:p>
    <w:p w14:paraId="4A8D48BB" w14:textId="7EC0BB23" w:rsidR="002F3106" w:rsidRPr="00A01820" w:rsidRDefault="002F3106" w:rsidP="00A51A83">
      <w:pPr>
        <w:widowControl w:val="0"/>
        <w:autoSpaceDE w:val="0"/>
        <w:autoSpaceDN w:val="0"/>
        <w:adjustRightInd w:val="0"/>
        <w:spacing w:line="276" w:lineRule="auto"/>
        <w:ind w:left="708"/>
        <w:jc w:val="both"/>
        <w:rPr>
          <w:rFonts w:ascii="Verdana" w:hAnsi="Verdana" w:cs="Arial"/>
          <w:i/>
          <w:iCs/>
          <w:sz w:val="22"/>
          <w:szCs w:val="22"/>
          <w:lang w:val="es-ES"/>
        </w:rPr>
      </w:pPr>
    </w:p>
    <w:p w14:paraId="292C17E2" w14:textId="496F369C" w:rsidR="002F3106" w:rsidRPr="002F3106" w:rsidRDefault="002F3106" w:rsidP="00A51A83">
      <w:pPr>
        <w:widowControl w:val="0"/>
        <w:autoSpaceDE w:val="0"/>
        <w:autoSpaceDN w:val="0"/>
        <w:adjustRightInd w:val="0"/>
        <w:spacing w:line="276" w:lineRule="auto"/>
        <w:ind w:left="708"/>
        <w:jc w:val="both"/>
        <w:rPr>
          <w:rFonts w:ascii="Verdana" w:hAnsi="Verdana" w:cs="Arial"/>
          <w:i/>
          <w:iCs/>
          <w:sz w:val="22"/>
          <w:szCs w:val="22"/>
        </w:rPr>
      </w:pPr>
      <w:r w:rsidRPr="002F3106">
        <w:rPr>
          <w:rFonts w:ascii="Verdana" w:hAnsi="Verdana" w:cs="Arial"/>
          <w:i/>
          <w:iCs/>
          <w:sz w:val="22"/>
          <w:szCs w:val="22"/>
          <w:lang w:val="es-ES"/>
        </w:rPr>
        <w:t>Este</w:t>
      </w:r>
      <w:r w:rsidR="00590D0F">
        <w:rPr>
          <w:rFonts w:ascii="Verdana" w:hAnsi="Verdana" w:cs="Arial"/>
          <w:i/>
          <w:iCs/>
          <w:sz w:val="22"/>
          <w:szCs w:val="22"/>
          <w:lang w:val="es-ES"/>
        </w:rPr>
        <w:t xml:space="preserve"> </w:t>
      </w:r>
      <w:r w:rsidRPr="002F3106">
        <w:rPr>
          <w:rFonts w:ascii="Verdana" w:hAnsi="Verdana" w:cs="Arial"/>
          <w:i/>
          <w:iCs/>
          <w:sz w:val="22"/>
          <w:szCs w:val="22"/>
          <w:lang w:val="es-ES"/>
        </w:rPr>
        <w:t>documento de</w:t>
      </w:r>
      <w:r w:rsidR="00590D0F">
        <w:rPr>
          <w:rFonts w:ascii="Verdana" w:hAnsi="Verdana" w:cs="Arial"/>
          <w:i/>
          <w:iCs/>
          <w:sz w:val="22"/>
          <w:szCs w:val="22"/>
          <w:lang w:val="es-ES"/>
        </w:rPr>
        <w:t xml:space="preserve"> </w:t>
      </w:r>
      <w:r w:rsidRPr="002F3106">
        <w:rPr>
          <w:rFonts w:ascii="Verdana" w:hAnsi="Verdana" w:cs="Arial"/>
          <w:i/>
          <w:iCs/>
          <w:sz w:val="22"/>
          <w:szCs w:val="22"/>
          <w:lang w:val="es-ES"/>
        </w:rPr>
        <w:t>análisis</w:t>
      </w:r>
      <w:r w:rsidR="00590D0F">
        <w:rPr>
          <w:rFonts w:ascii="Verdana" w:hAnsi="Verdana" w:cs="Arial"/>
          <w:i/>
          <w:iCs/>
          <w:sz w:val="22"/>
          <w:szCs w:val="22"/>
          <w:lang w:val="es-ES"/>
        </w:rPr>
        <w:t xml:space="preserve"> </w:t>
      </w:r>
      <w:r w:rsidRPr="002F3106">
        <w:rPr>
          <w:rFonts w:ascii="Verdana" w:hAnsi="Verdana" w:cs="Arial"/>
          <w:i/>
          <w:iCs/>
          <w:sz w:val="22"/>
          <w:szCs w:val="22"/>
          <w:lang w:val="es-ES"/>
        </w:rPr>
        <w:t>se debe</w:t>
      </w:r>
      <w:r w:rsidR="00590D0F">
        <w:rPr>
          <w:rFonts w:ascii="Verdana" w:hAnsi="Verdana" w:cs="Arial"/>
          <w:i/>
          <w:iCs/>
          <w:sz w:val="22"/>
          <w:szCs w:val="22"/>
          <w:lang w:val="es-ES"/>
        </w:rPr>
        <w:t xml:space="preserve"> </w:t>
      </w:r>
      <w:r w:rsidRPr="002F3106">
        <w:rPr>
          <w:rFonts w:ascii="Verdana" w:hAnsi="Verdana" w:cs="Arial"/>
          <w:i/>
          <w:iCs/>
          <w:sz w:val="22"/>
          <w:szCs w:val="22"/>
          <w:lang w:val="es-ES"/>
        </w:rPr>
        <w:t>presentar</w:t>
      </w:r>
      <w:r w:rsidR="00590D0F">
        <w:rPr>
          <w:rFonts w:ascii="Verdana" w:hAnsi="Verdana" w:cs="Arial"/>
          <w:i/>
          <w:iCs/>
          <w:sz w:val="22"/>
          <w:szCs w:val="22"/>
          <w:lang w:val="es-ES"/>
        </w:rPr>
        <w:t xml:space="preserve"> </w:t>
      </w:r>
      <w:r w:rsidRPr="002F3106">
        <w:rPr>
          <w:rFonts w:ascii="Verdana" w:hAnsi="Verdana" w:cs="Arial"/>
          <w:i/>
          <w:iCs/>
          <w:sz w:val="22"/>
          <w:szCs w:val="22"/>
          <w:lang w:val="es-ES"/>
        </w:rPr>
        <w:t>de forma</w:t>
      </w:r>
      <w:r w:rsidR="00590D0F">
        <w:rPr>
          <w:rFonts w:ascii="Verdana" w:hAnsi="Verdana" w:cs="Arial"/>
          <w:i/>
          <w:iCs/>
          <w:sz w:val="22"/>
          <w:szCs w:val="22"/>
          <w:lang w:val="es-ES"/>
        </w:rPr>
        <w:t xml:space="preserve"> </w:t>
      </w:r>
      <w:r w:rsidRPr="002F3106">
        <w:rPr>
          <w:rFonts w:ascii="Verdana" w:hAnsi="Verdana" w:cs="Arial"/>
          <w:i/>
          <w:iCs/>
          <w:sz w:val="22"/>
          <w:szCs w:val="22"/>
          <w:lang w:val="es-ES"/>
        </w:rPr>
        <w:t>comparativa</w:t>
      </w:r>
      <w:r w:rsidR="00590D0F">
        <w:rPr>
          <w:rFonts w:ascii="Verdana" w:hAnsi="Verdana" w:cs="Arial"/>
          <w:i/>
          <w:iCs/>
          <w:sz w:val="22"/>
          <w:szCs w:val="22"/>
          <w:lang w:val="es-ES"/>
        </w:rPr>
        <w:t xml:space="preserve"> </w:t>
      </w:r>
      <w:r w:rsidRPr="002F3106">
        <w:rPr>
          <w:rFonts w:ascii="Verdana" w:hAnsi="Verdana" w:cs="Arial"/>
          <w:i/>
          <w:iCs/>
          <w:sz w:val="22"/>
          <w:szCs w:val="22"/>
          <w:lang w:val="es-ES"/>
        </w:rPr>
        <w:t>entre</w:t>
      </w:r>
      <w:r w:rsidR="00590D0F">
        <w:rPr>
          <w:rFonts w:ascii="Verdana" w:hAnsi="Verdana" w:cs="Arial"/>
          <w:i/>
          <w:iCs/>
          <w:sz w:val="22"/>
          <w:szCs w:val="22"/>
          <w:lang w:val="es-ES"/>
        </w:rPr>
        <w:t xml:space="preserve"> </w:t>
      </w:r>
      <w:r w:rsidRPr="002F3106">
        <w:rPr>
          <w:rFonts w:ascii="Verdana" w:hAnsi="Verdana" w:cs="Arial"/>
          <w:i/>
          <w:iCs/>
          <w:sz w:val="22"/>
          <w:szCs w:val="22"/>
          <w:lang w:val="es-ES"/>
        </w:rPr>
        <w:t>la</w:t>
      </w:r>
      <w:r w:rsidR="00590D0F">
        <w:rPr>
          <w:rFonts w:ascii="Verdana" w:hAnsi="Verdana" w:cs="Arial"/>
          <w:i/>
          <w:iCs/>
          <w:sz w:val="22"/>
          <w:szCs w:val="22"/>
          <w:lang w:val="es-ES"/>
        </w:rPr>
        <w:t xml:space="preserve"> </w:t>
      </w:r>
      <w:r w:rsidRPr="002F3106">
        <w:rPr>
          <w:rFonts w:ascii="Verdana" w:hAnsi="Verdana" w:cs="Arial"/>
          <w:i/>
          <w:iCs/>
          <w:sz w:val="22"/>
          <w:szCs w:val="22"/>
          <w:lang w:val="es-ES"/>
        </w:rPr>
        <w:t>información financiera</w:t>
      </w:r>
      <w:r w:rsidR="00590D0F">
        <w:rPr>
          <w:rFonts w:ascii="Verdana" w:hAnsi="Verdana" w:cs="Arial"/>
          <w:i/>
          <w:iCs/>
          <w:sz w:val="22"/>
          <w:szCs w:val="22"/>
          <w:lang w:val="es-ES"/>
        </w:rPr>
        <w:t xml:space="preserve"> </w:t>
      </w:r>
      <w:r w:rsidRPr="002F3106">
        <w:rPr>
          <w:rFonts w:ascii="Verdana" w:hAnsi="Verdana" w:cs="Arial"/>
          <w:i/>
          <w:iCs/>
          <w:sz w:val="22"/>
          <w:szCs w:val="22"/>
          <w:lang w:val="es-ES"/>
        </w:rPr>
        <w:t>preparada</w:t>
      </w:r>
      <w:r w:rsidR="00590D0F">
        <w:rPr>
          <w:rFonts w:ascii="Verdana" w:hAnsi="Verdana" w:cs="Arial"/>
          <w:i/>
          <w:iCs/>
          <w:sz w:val="22"/>
          <w:szCs w:val="22"/>
          <w:lang w:val="es-ES"/>
        </w:rPr>
        <w:t xml:space="preserve"> </w:t>
      </w:r>
      <w:r w:rsidRPr="002F3106">
        <w:rPr>
          <w:rFonts w:ascii="Verdana" w:hAnsi="Verdana" w:cs="Arial"/>
          <w:i/>
          <w:iCs/>
          <w:sz w:val="22"/>
          <w:szCs w:val="22"/>
          <w:lang w:val="es-ES"/>
        </w:rPr>
        <w:t xml:space="preserve">durante </w:t>
      </w:r>
      <w:r w:rsidRPr="00A01820">
        <w:rPr>
          <w:rFonts w:ascii="Verdana" w:hAnsi="Verdana" w:cs="Arial"/>
          <w:i/>
          <w:iCs/>
          <w:sz w:val="22"/>
          <w:szCs w:val="22"/>
          <w:lang w:val="es-ES"/>
        </w:rPr>
        <w:t>202</w:t>
      </w:r>
      <w:r w:rsidR="00DD3F75" w:rsidRPr="00A01820">
        <w:rPr>
          <w:rFonts w:ascii="Verdana" w:hAnsi="Verdana" w:cs="Arial"/>
          <w:i/>
          <w:iCs/>
          <w:sz w:val="22"/>
          <w:szCs w:val="22"/>
          <w:lang w:val="es-ES"/>
        </w:rPr>
        <w:t>7</w:t>
      </w:r>
      <w:r w:rsidR="00590D0F">
        <w:rPr>
          <w:rFonts w:ascii="Verdana" w:hAnsi="Verdana" w:cs="Arial"/>
          <w:i/>
          <w:iCs/>
          <w:sz w:val="22"/>
          <w:szCs w:val="22"/>
          <w:lang w:val="es-ES"/>
        </w:rPr>
        <w:t xml:space="preserve"> </w:t>
      </w:r>
      <w:r w:rsidRPr="002F3106">
        <w:rPr>
          <w:rFonts w:ascii="Verdana" w:hAnsi="Verdana" w:cs="Arial"/>
          <w:i/>
          <w:iCs/>
          <w:sz w:val="22"/>
          <w:szCs w:val="22"/>
          <w:lang w:val="es-ES"/>
        </w:rPr>
        <w:t>para</w:t>
      </w:r>
      <w:r w:rsidR="00590D0F">
        <w:rPr>
          <w:rFonts w:ascii="Verdana" w:hAnsi="Verdana" w:cs="Arial"/>
          <w:i/>
          <w:iCs/>
          <w:sz w:val="22"/>
          <w:szCs w:val="22"/>
          <w:lang w:val="es-ES"/>
        </w:rPr>
        <w:t xml:space="preserve"> </w:t>
      </w:r>
      <w:r w:rsidRPr="002F3106">
        <w:rPr>
          <w:rFonts w:ascii="Verdana" w:hAnsi="Verdana" w:cs="Arial"/>
          <w:i/>
          <w:iCs/>
          <w:sz w:val="22"/>
          <w:szCs w:val="22"/>
          <w:lang w:val="es-ES"/>
        </w:rPr>
        <w:t>los trimestres objeto</w:t>
      </w:r>
      <w:r w:rsidR="00590D0F">
        <w:rPr>
          <w:rFonts w:ascii="Verdana" w:hAnsi="Verdana" w:cs="Arial"/>
          <w:i/>
          <w:iCs/>
          <w:sz w:val="22"/>
          <w:szCs w:val="22"/>
          <w:lang w:val="es-ES"/>
        </w:rPr>
        <w:t xml:space="preserve"> </w:t>
      </w:r>
      <w:r w:rsidRPr="002F3106">
        <w:rPr>
          <w:rFonts w:ascii="Verdana" w:hAnsi="Verdana" w:cs="Arial"/>
          <w:i/>
          <w:iCs/>
          <w:sz w:val="22"/>
          <w:szCs w:val="22"/>
          <w:lang w:val="es-ES"/>
        </w:rPr>
        <w:t>de reporte</w:t>
      </w:r>
      <w:r w:rsidR="00590D0F">
        <w:rPr>
          <w:rFonts w:ascii="Verdana" w:hAnsi="Verdana" w:cs="Arial"/>
          <w:i/>
          <w:iCs/>
          <w:sz w:val="22"/>
          <w:szCs w:val="22"/>
          <w:lang w:val="es-ES"/>
        </w:rPr>
        <w:t xml:space="preserve"> </w:t>
      </w:r>
      <w:r w:rsidRPr="002F3106">
        <w:rPr>
          <w:rFonts w:ascii="Verdana" w:hAnsi="Verdana" w:cs="Arial"/>
          <w:i/>
          <w:iCs/>
          <w:sz w:val="22"/>
          <w:szCs w:val="22"/>
          <w:lang w:val="es-ES"/>
        </w:rPr>
        <w:t>y la información</w:t>
      </w:r>
      <w:r w:rsidR="00590D0F">
        <w:rPr>
          <w:rFonts w:ascii="Verdana" w:hAnsi="Verdana" w:cs="Arial"/>
          <w:i/>
          <w:iCs/>
          <w:sz w:val="22"/>
          <w:szCs w:val="22"/>
          <w:lang w:val="es-ES"/>
        </w:rPr>
        <w:t xml:space="preserve"> </w:t>
      </w:r>
      <w:r w:rsidRPr="002F3106">
        <w:rPr>
          <w:rFonts w:ascii="Verdana" w:hAnsi="Verdana" w:cs="Arial"/>
          <w:i/>
          <w:iCs/>
          <w:sz w:val="22"/>
          <w:szCs w:val="22"/>
          <w:lang w:val="es-ES"/>
        </w:rPr>
        <w:t xml:space="preserve">estimada para igual periodo bajo el estándar que entrará a regir el </w:t>
      </w:r>
      <w:r w:rsidRPr="00A01820">
        <w:rPr>
          <w:rFonts w:ascii="Verdana" w:hAnsi="Verdana" w:cs="Arial"/>
          <w:i/>
          <w:iCs/>
          <w:sz w:val="22"/>
          <w:szCs w:val="22"/>
          <w:lang w:val="es-ES"/>
        </w:rPr>
        <w:t>1 de enero de 202</w:t>
      </w:r>
      <w:r w:rsidR="00DD3F75" w:rsidRPr="00A01820">
        <w:rPr>
          <w:rFonts w:ascii="Verdana" w:hAnsi="Verdana" w:cs="Arial"/>
          <w:i/>
          <w:iCs/>
          <w:sz w:val="22"/>
          <w:szCs w:val="22"/>
          <w:lang w:val="es-ES"/>
        </w:rPr>
        <w:t>8</w:t>
      </w:r>
      <w:r w:rsidRPr="002F3106">
        <w:rPr>
          <w:rFonts w:ascii="Verdana" w:hAnsi="Verdana" w:cs="Arial"/>
          <w:i/>
          <w:iCs/>
          <w:sz w:val="22"/>
          <w:szCs w:val="22"/>
          <w:lang w:val="es-ES"/>
        </w:rPr>
        <w:t>,</w:t>
      </w:r>
      <w:r w:rsidR="00590D0F">
        <w:rPr>
          <w:rFonts w:ascii="Verdana" w:hAnsi="Verdana" w:cs="Arial"/>
          <w:i/>
          <w:iCs/>
          <w:sz w:val="22"/>
          <w:szCs w:val="22"/>
          <w:lang w:val="es-ES"/>
        </w:rPr>
        <w:t xml:space="preserve"> </w:t>
      </w:r>
      <w:r w:rsidRPr="002F3106">
        <w:rPr>
          <w:rFonts w:ascii="Verdana" w:hAnsi="Verdana" w:cs="Arial"/>
          <w:i/>
          <w:iCs/>
          <w:sz w:val="22"/>
          <w:szCs w:val="22"/>
          <w:lang w:val="es-ES"/>
        </w:rPr>
        <w:t>incluyendo</w:t>
      </w:r>
      <w:r w:rsidR="00590D0F">
        <w:rPr>
          <w:rFonts w:ascii="Verdana" w:hAnsi="Verdana" w:cs="Arial"/>
          <w:i/>
          <w:iCs/>
          <w:sz w:val="22"/>
          <w:szCs w:val="22"/>
          <w:lang w:val="es-ES"/>
        </w:rPr>
        <w:t xml:space="preserve"> </w:t>
      </w:r>
      <w:r w:rsidRPr="002F3106">
        <w:rPr>
          <w:rFonts w:ascii="Verdana" w:hAnsi="Verdana" w:cs="Arial"/>
          <w:i/>
          <w:iCs/>
          <w:sz w:val="22"/>
          <w:szCs w:val="22"/>
          <w:lang w:val="es-ES"/>
        </w:rPr>
        <w:t>las</w:t>
      </w:r>
      <w:r w:rsidR="00590D0F">
        <w:rPr>
          <w:rFonts w:ascii="Verdana" w:hAnsi="Verdana" w:cs="Arial"/>
          <w:i/>
          <w:iCs/>
          <w:sz w:val="22"/>
          <w:szCs w:val="22"/>
          <w:lang w:val="es-ES"/>
        </w:rPr>
        <w:t xml:space="preserve"> </w:t>
      </w:r>
      <w:r w:rsidRPr="002F3106">
        <w:rPr>
          <w:rFonts w:ascii="Verdana" w:hAnsi="Verdana" w:cs="Arial"/>
          <w:i/>
          <w:iCs/>
          <w:sz w:val="22"/>
          <w:szCs w:val="22"/>
          <w:lang w:val="es-ES"/>
        </w:rPr>
        <w:t>variaciones</w:t>
      </w:r>
      <w:r w:rsidR="00590D0F">
        <w:rPr>
          <w:rFonts w:ascii="Verdana" w:hAnsi="Verdana" w:cs="Arial"/>
          <w:i/>
          <w:iCs/>
          <w:sz w:val="22"/>
          <w:szCs w:val="22"/>
          <w:lang w:val="es-ES"/>
        </w:rPr>
        <w:t xml:space="preserve"> </w:t>
      </w:r>
      <w:r w:rsidRPr="002F3106">
        <w:rPr>
          <w:rFonts w:ascii="Verdana" w:hAnsi="Verdana" w:cs="Arial"/>
          <w:i/>
          <w:iCs/>
          <w:sz w:val="22"/>
          <w:szCs w:val="22"/>
          <w:lang w:val="es-ES"/>
        </w:rPr>
        <w:t>que pueden registrar los diferentes elementos del estado de la situación financiera</w:t>
      </w:r>
      <w:r w:rsidR="0035064D">
        <w:rPr>
          <w:rFonts w:ascii="Verdana" w:hAnsi="Verdana" w:cs="Arial"/>
          <w:i/>
          <w:iCs/>
          <w:sz w:val="22"/>
          <w:szCs w:val="22"/>
          <w:lang w:val="es-ES"/>
        </w:rPr>
        <w:t>,</w:t>
      </w:r>
      <w:r w:rsidRPr="002F3106">
        <w:rPr>
          <w:rFonts w:ascii="Verdana" w:hAnsi="Verdana" w:cs="Arial"/>
          <w:i/>
          <w:iCs/>
          <w:sz w:val="22"/>
          <w:szCs w:val="22"/>
          <w:lang w:val="es-ES"/>
        </w:rPr>
        <w:t xml:space="preserve"> del estado de resultados</w:t>
      </w:r>
      <w:r w:rsidR="0035064D">
        <w:rPr>
          <w:rFonts w:ascii="Verdana" w:hAnsi="Verdana" w:cs="Arial"/>
          <w:i/>
          <w:iCs/>
          <w:sz w:val="22"/>
          <w:szCs w:val="22"/>
          <w:lang w:val="es-ES"/>
        </w:rPr>
        <w:t xml:space="preserve"> y de las </w:t>
      </w:r>
      <w:r w:rsidR="0035064D" w:rsidRPr="00A01820">
        <w:rPr>
          <w:rFonts w:ascii="Verdana" w:hAnsi="Verdana" w:cs="Arial"/>
          <w:i/>
          <w:iCs/>
          <w:sz w:val="22"/>
          <w:szCs w:val="22"/>
          <w:lang w:val="es-ES"/>
        </w:rPr>
        <w:t>cuentas de fuera de balance</w:t>
      </w:r>
      <w:r w:rsidRPr="002F3106">
        <w:rPr>
          <w:rFonts w:ascii="Verdana" w:hAnsi="Verdana" w:cs="Arial"/>
          <w:i/>
          <w:iCs/>
          <w:sz w:val="22"/>
          <w:szCs w:val="22"/>
          <w:lang w:val="es-ES"/>
        </w:rPr>
        <w:t>.</w:t>
      </w:r>
      <w:r w:rsidR="00590D0F">
        <w:rPr>
          <w:rFonts w:ascii="Verdana" w:hAnsi="Verdana" w:cs="Arial"/>
          <w:i/>
          <w:iCs/>
          <w:sz w:val="22"/>
          <w:szCs w:val="22"/>
          <w:lang w:val="es-ES"/>
        </w:rPr>
        <w:t xml:space="preserve"> </w:t>
      </w:r>
      <w:r w:rsidRPr="002F3106">
        <w:rPr>
          <w:rFonts w:ascii="Verdana" w:hAnsi="Verdana" w:cs="Arial"/>
          <w:i/>
          <w:iCs/>
          <w:sz w:val="22"/>
          <w:szCs w:val="22"/>
          <w:lang w:val="es-ES"/>
        </w:rPr>
        <w:t>Este documento debe</w:t>
      </w:r>
      <w:r w:rsidR="00590D0F">
        <w:rPr>
          <w:rFonts w:ascii="Verdana" w:hAnsi="Verdana" w:cs="Arial"/>
          <w:i/>
          <w:iCs/>
          <w:sz w:val="22"/>
          <w:szCs w:val="22"/>
          <w:lang w:val="es-ES"/>
        </w:rPr>
        <w:t xml:space="preserve"> </w:t>
      </w:r>
      <w:r w:rsidRPr="002F3106">
        <w:rPr>
          <w:rFonts w:ascii="Verdana" w:hAnsi="Verdana" w:cs="Arial"/>
          <w:i/>
          <w:iCs/>
          <w:sz w:val="22"/>
          <w:szCs w:val="22"/>
          <w:lang w:val="es-ES"/>
        </w:rPr>
        <w:t>acompañarse</w:t>
      </w:r>
      <w:r w:rsidR="00590D0F">
        <w:rPr>
          <w:rFonts w:ascii="Verdana" w:hAnsi="Verdana" w:cs="Arial"/>
          <w:i/>
          <w:iCs/>
          <w:sz w:val="22"/>
          <w:szCs w:val="22"/>
          <w:lang w:val="es-ES"/>
        </w:rPr>
        <w:t xml:space="preserve"> </w:t>
      </w:r>
      <w:r w:rsidRPr="002F3106">
        <w:rPr>
          <w:rFonts w:ascii="Verdana" w:hAnsi="Verdana" w:cs="Arial"/>
          <w:i/>
          <w:iCs/>
          <w:sz w:val="22"/>
          <w:szCs w:val="22"/>
          <w:lang w:val="es-ES"/>
        </w:rPr>
        <w:t>de la información actualizada del Anexo No. 1 «</w:t>
      </w:r>
      <w:r w:rsidR="008A372F" w:rsidRPr="008A372F">
        <w:rPr>
          <w:rFonts w:ascii="Verdana" w:hAnsi="Verdana" w:cs="Arial"/>
          <w:i/>
          <w:iCs/>
          <w:sz w:val="22"/>
          <w:szCs w:val="22"/>
          <w:lang w:val="es-ES"/>
        </w:rPr>
        <w:t>Impactos en la aplicación por primera vez NIIF 17</w:t>
      </w:r>
      <w:r w:rsidRPr="002F3106">
        <w:rPr>
          <w:rFonts w:ascii="Verdana" w:hAnsi="Verdana" w:cs="Arial"/>
          <w:i/>
          <w:iCs/>
          <w:sz w:val="22"/>
          <w:szCs w:val="22"/>
          <w:lang w:val="es-ES"/>
        </w:rPr>
        <w:t>»</w:t>
      </w:r>
      <w:r w:rsidR="00590D0F">
        <w:rPr>
          <w:rFonts w:ascii="Verdana" w:hAnsi="Verdana" w:cs="Arial"/>
          <w:i/>
          <w:iCs/>
          <w:sz w:val="22"/>
          <w:szCs w:val="22"/>
          <w:lang w:val="es-ES"/>
        </w:rPr>
        <w:t xml:space="preserve"> </w:t>
      </w:r>
      <w:r w:rsidRPr="002F3106">
        <w:rPr>
          <w:rFonts w:ascii="Verdana" w:hAnsi="Verdana" w:cs="Arial"/>
          <w:i/>
          <w:iCs/>
          <w:sz w:val="22"/>
          <w:szCs w:val="22"/>
          <w:lang w:val="es-ES"/>
        </w:rPr>
        <w:t>y del</w:t>
      </w:r>
      <w:r w:rsidR="00590D0F">
        <w:rPr>
          <w:rFonts w:ascii="Verdana" w:hAnsi="Verdana" w:cs="Arial"/>
          <w:i/>
          <w:iCs/>
          <w:sz w:val="22"/>
          <w:szCs w:val="22"/>
          <w:lang w:val="es-ES"/>
        </w:rPr>
        <w:t xml:space="preserve"> </w:t>
      </w:r>
      <w:r w:rsidRPr="002F3106">
        <w:rPr>
          <w:rFonts w:ascii="Verdana" w:hAnsi="Verdana" w:cs="Arial"/>
          <w:i/>
          <w:iCs/>
          <w:sz w:val="22"/>
          <w:szCs w:val="22"/>
          <w:lang w:val="es-ES"/>
        </w:rPr>
        <w:t>Anexo</w:t>
      </w:r>
      <w:r w:rsidR="009820E6">
        <w:rPr>
          <w:rFonts w:ascii="Verdana" w:hAnsi="Verdana" w:cs="Arial"/>
          <w:i/>
          <w:iCs/>
          <w:sz w:val="22"/>
          <w:szCs w:val="22"/>
          <w:lang w:val="es-ES"/>
        </w:rPr>
        <w:t xml:space="preserve"> </w:t>
      </w:r>
      <w:r w:rsidRPr="002F3106">
        <w:rPr>
          <w:rFonts w:ascii="Verdana" w:hAnsi="Verdana" w:cs="Arial"/>
          <w:i/>
          <w:iCs/>
          <w:sz w:val="22"/>
          <w:szCs w:val="22"/>
          <w:lang w:val="es-ES"/>
        </w:rPr>
        <w:t>No.2</w:t>
      </w:r>
      <w:r w:rsidR="00E67A7D">
        <w:rPr>
          <w:rFonts w:ascii="Verdana" w:hAnsi="Verdana" w:cs="Arial"/>
          <w:i/>
          <w:iCs/>
          <w:sz w:val="22"/>
          <w:szCs w:val="22"/>
          <w:lang w:val="es-ES"/>
        </w:rPr>
        <w:t xml:space="preserve"> </w:t>
      </w:r>
      <w:r w:rsidRPr="002F3106">
        <w:rPr>
          <w:rFonts w:ascii="Verdana" w:hAnsi="Verdana" w:cs="Arial"/>
          <w:i/>
          <w:iCs/>
          <w:sz w:val="22"/>
          <w:szCs w:val="22"/>
          <w:lang w:val="es-ES"/>
        </w:rPr>
        <w:t>«Estado de situación financiera de apertura ESFA»</w:t>
      </w:r>
      <w:r w:rsidR="00E67A7D">
        <w:rPr>
          <w:rFonts w:ascii="Verdana" w:hAnsi="Verdana" w:cs="Arial"/>
          <w:i/>
          <w:iCs/>
          <w:sz w:val="22"/>
          <w:szCs w:val="22"/>
          <w:lang w:val="es-ES"/>
        </w:rPr>
        <w:t xml:space="preserve"> </w:t>
      </w:r>
      <w:r w:rsidRPr="002F3106">
        <w:rPr>
          <w:rFonts w:ascii="Verdana" w:hAnsi="Verdana" w:cs="Arial"/>
          <w:i/>
          <w:iCs/>
          <w:sz w:val="22"/>
          <w:szCs w:val="22"/>
          <w:lang w:val="es-ES"/>
        </w:rPr>
        <w:t>de la presente circular.</w:t>
      </w:r>
    </w:p>
    <w:p w14:paraId="1B9D0CCD" w14:textId="38679D38" w:rsidR="002F3106" w:rsidRPr="002F3106" w:rsidRDefault="002F3106" w:rsidP="00A51A83">
      <w:pPr>
        <w:widowControl w:val="0"/>
        <w:autoSpaceDE w:val="0"/>
        <w:autoSpaceDN w:val="0"/>
        <w:adjustRightInd w:val="0"/>
        <w:spacing w:line="276" w:lineRule="auto"/>
        <w:ind w:left="708"/>
        <w:jc w:val="both"/>
        <w:rPr>
          <w:rFonts w:ascii="Verdana" w:hAnsi="Verdana" w:cs="Arial"/>
          <w:i/>
          <w:iCs/>
          <w:sz w:val="22"/>
          <w:szCs w:val="22"/>
        </w:rPr>
      </w:pPr>
    </w:p>
    <w:p w14:paraId="386CF15C" w14:textId="6E4EBD76" w:rsidR="00FF211D" w:rsidRPr="00A51A83" w:rsidRDefault="002F3106" w:rsidP="00A51A83">
      <w:pPr>
        <w:widowControl w:val="0"/>
        <w:autoSpaceDE w:val="0"/>
        <w:autoSpaceDN w:val="0"/>
        <w:adjustRightInd w:val="0"/>
        <w:spacing w:line="276" w:lineRule="auto"/>
        <w:ind w:left="708"/>
        <w:jc w:val="both"/>
        <w:rPr>
          <w:rFonts w:ascii="Verdana" w:hAnsi="Verdana" w:cs="Arial"/>
          <w:i/>
          <w:iCs/>
          <w:sz w:val="22"/>
          <w:szCs w:val="22"/>
        </w:rPr>
      </w:pPr>
      <w:r w:rsidRPr="002F3106">
        <w:rPr>
          <w:rFonts w:ascii="Verdana" w:hAnsi="Verdana" w:cs="Arial"/>
          <w:i/>
          <w:iCs/>
          <w:sz w:val="22"/>
          <w:szCs w:val="22"/>
          <w:lang w:val="es-ES"/>
        </w:rPr>
        <w:t>Para</w:t>
      </w:r>
      <w:r w:rsidR="00E67A7D">
        <w:rPr>
          <w:rFonts w:ascii="Verdana" w:hAnsi="Verdana" w:cs="Arial"/>
          <w:i/>
          <w:iCs/>
          <w:sz w:val="22"/>
          <w:szCs w:val="22"/>
          <w:lang w:val="es-ES"/>
        </w:rPr>
        <w:t xml:space="preserve"> </w:t>
      </w:r>
      <w:r w:rsidRPr="002F3106">
        <w:rPr>
          <w:rFonts w:ascii="Verdana" w:hAnsi="Verdana" w:cs="Arial"/>
          <w:i/>
          <w:iCs/>
          <w:sz w:val="22"/>
          <w:szCs w:val="22"/>
          <w:lang w:val="es-ES"/>
        </w:rPr>
        <w:t>la generación de</w:t>
      </w:r>
      <w:r w:rsidR="00E67A7D">
        <w:rPr>
          <w:rFonts w:ascii="Verdana" w:hAnsi="Verdana" w:cs="Arial"/>
          <w:i/>
          <w:iCs/>
          <w:sz w:val="22"/>
          <w:szCs w:val="22"/>
          <w:lang w:val="es-ES"/>
        </w:rPr>
        <w:t xml:space="preserve"> </w:t>
      </w:r>
      <w:r w:rsidRPr="002F3106">
        <w:rPr>
          <w:rFonts w:ascii="Verdana" w:hAnsi="Verdana" w:cs="Arial"/>
          <w:i/>
          <w:iCs/>
          <w:sz w:val="22"/>
          <w:szCs w:val="22"/>
          <w:lang w:val="es-ES"/>
        </w:rPr>
        <w:t>la información del Anexo No. 1</w:t>
      </w:r>
      <w:r w:rsidR="00E67A7D">
        <w:rPr>
          <w:rFonts w:ascii="Verdana" w:hAnsi="Verdana" w:cs="Arial"/>
          <w:i/>
          <w:iCs/>
          <w:sz w:val="22"/>
          <w:szCs w:val="22"/>
          <w:lang w:val="es-ES"/>
        </w:rPr>
        <w:t xml:space="preserve"> </w:t>
      </w:r>
      <w:r w:rsidRPr="002F3106">
        <w:rPr>
          <w:rFonts w:ascii="Verdana" w:hAnsi="Verdana" w:cs="Arial"/>
          <w:i/>
          <w:iCs/>
          <w:sz w:val="22"/>
          <w:szCs w:val="22"/>
          <w:lang w:val="es-ES"/>
        </w:rPr>
        <w:t>antes citado,</w:t>
      </w:r>
      <w:r w:rsidR="00817C92">
        <w:rPr>
          <w:rFonts w:ascii="Verdana" w:hAnsi="Verdana" w:cs="Arial"/>
          <w:i/>
          <w:iCs/>
          <w:sz w:val="22"/>
          <w:szCs w:val="22"/>
          <w:lang w:val="es-ES"/>
        </w:rPr>
        <w:t xml:space="preserve"> </w:t>
      </w:r>
      <w:r w:rsidRPr="002F3106">
        <w:rPr>
          <w:rFonts w:ascii="Verdana" w:hAnsi="Verdana" w:cs="Arial"/>
          <w:i/>
          <w:iCs/>
          <w:sz w:val="22"/>
          <w:szCs w:val="22"/>
          <w:lang w:val="es-ES"/>
        </w:rPr>
        <w:t>las</w:t>
      </w:r>
      <w:r w:rsidR="00817C92">
        <w:rPr>
          <w:rFonts w:ascii="Verdana" w:hAnsi="Verdana" w:cs="Arial"/>
          <w:i/>
          <w:iCs/>
          <w:sz w:val="22"/>
          <w:szCs w:val="22"/>
          <w:lang w:val="es-ES"/>
        </w:rPr>
        <w:t xml:space="preserve"> </w:t>
      </w:r>
      <w:r w:rsidRPr="002F3106">
        <w:rPr>
          <w:rFonts w:ascii="Verdana" w:hAnsi="Verdana" w:cs="Arial"/>
          <w:i/>
          <w:iCs/>
          <w:sz w:val="22"/>
          <w:szCs w:val="22"/>
          <w:lang w:val="es-ES"/>
        </w:rPr>
        <w:t>entidades</w:t>
      </w:r>
      <w:r w:rsidR="00817C92">
        <w:rPr>
          <w:rFonts w:ascii="Verdana" w:hAnsi="Verdana" w:cs="Arial"/>
          <w:i/>
          <w:iCs/>
          <w:sz w:val="22"/>
          <w:szCs w:val="22"/>
          <w:lang w:val="es-ES"/>
        </w:rPr>
        <w:t xml:space="preserve"> </w:t>
      </w:r>
      <w:r w:rsidRPr="002F3106">
        <w:rPr>
          <w:rFonts w:ascii="Verdana" w:hAnsi="Verdana" w:cs="Arial"/>
          <w:i/>
          <w:iCs/>
          <w:sz w:val="22"/>
          <w:szCs w:val="22"/>
          <w:lang w:val="es-ES"/>
        </w:rPr>
        <w:t>deben</w:t>
      </w:r>
      <w:r w:rsidR="00817C92">
        <w:rPr>
          <w:rFonts w:ascii="Verdana" w:hAnsi="Verdana" w:cs="Arial"/>
          <w:i/>
          <w:iCs/>
          <w:sz w:val="22"/>
          <w:szCs w:val="22"/>
          <w:lang w:val="es-ES"/>
        </w:rPr>
        <w:t xml:space="preserve"> </w:t>
      </w:r>
      <w:r w:rsidRPr="002F3106">
        <w:rPr>
          <w:rFonts w:ascii="Verdana" w:hAnsi="Verdana" w:cs="Arial"/>
          <w:i/>
          <w:iCs/>
          <w:sz w:val="22"/>
          <w:szCs w:val="22"/>
          <w:lang w:val="es-ES"/>
        </w:rPr>
        <w:t>presentar la</w:t>
      </w:r>
      <w:r w:rsidR="00817C92">
        <w:rPr>
          <w:rFonts w:ascii="Verdana" w:hAnsi="Verdana" w:cs="Arial"/>
          <w:i/>
          <w:iCs/>
          <w:sz w:val="22"/>
          <w:szCs w:val="22"/>
          <w:lang w:val="es-ES"/>
        </w:rPr>
        <w:t xml:space="preserve"> </w:t>
      </w:r>
      <w:r w:rsidRPr="002F3106">
        <w:rPr>
          <w:rFonts w:ascii="Verdana" w:hAnsi="Verdana" w:cs="Arial"/>
          <w:i/>
          <w:iCs/>
          <w:sz w:val="22"/>
          <w:szCs w:val="22"/>
          <w:lang w:val="es-ES"/>
        </w:rPr>
        <w:t xml:space="preserve">proyección de los impactos futuros al corte del </w:t>
      </w:r>
      <w:r w:rsidRPr="00817C92">
        <w:rPr>
          <w:rFonts w:ascii="Verdana" w:hAnsi="Verdana" w:cs="Arial"/>
          <w:i/>
          <w:iCs/>
          <w:sz w:val="22"/>
          <w:szCs w:val="22"/>
          <w:lang w:val="es-ES"/>
        </w:rPr>
        <w:t>1 de enero de 202</w:t>
      </w:r>
      <w:r w:rsidR="00F41316" w:rsidRPr="00817C92">
        <w:rPr>
          <w:rFonts w:ascii="Verdana" w:hAnsi="Verdana" w:cs="Arial"/>
          <w:i/>
          <w:iCs/>
          <w:sz w:val="22"/>
          <w:szCs w:val="22"/>
          <w:lang w:val="es-ES"/>
        </w:rPr>
        <w:t>8</w:t>
      </w:r>
      <w:r w:rsidR="00817C92">
        <w:rPr>
          <w:rFonts w:ascii="Verdana" w:hAnsi="Verdana" w:cs="Arial"/>
          <w:i/>
          <w:iCs/>
          <w:sz w:val="22"/>
          <w:szCs w:val="22"/>
          <w:lang w:val="es-ES"/>
        </w:rPr>
        <w:t xml:space="preserve"> </w:t>
      </w:r>
      <w:r w:rsidRPr="002F3106">
        <w:rPr>
          <w:rFonts w:ascii="Verdana" w:hAnsi="Verdana" w:cs="Arial"/>
          <w:i/>
          <w:iCs/>
          <w:sz w:val="22"/>
          <w:szCs w:val="22"/>
          <w:lang w:val="es-ES"/>
        </w:rPr>
        <w:t>aplicando NIIF 17. Para el efecto, deben</w:t>
      </w:r>
      <w:r w:rsidR="00817C92">
        <w:rPr>
          <w:rFonts w:ascii="Verdana" w:hAnsi="Verdana" w:cs="Arial"/>
          <w:i/>
          <w:iCs/>
          <w:sz w:val="22"/>
          <w:szCs w:val="22"/>
          <w:lang w:val="es-ES"/>
        </w:rPr>
        <w:t xml:space="preserve"> </w:t>
      </w:r>
      <w:r w:rsidRPr="002F3106">
        <w:rPr>
          <w:rFonts w:ascii="Verdana" w:hAnsi="Verdana" w:cs="Arial"/>
          <w:i/>
          <w:iCs/>
          <w:sz w:val="22"/>
          <w:szCs w:val="22"/>
          <w:lang w:val="es-ES"/>
        </w:rPr>
        <w:t>considerar los requisitos técnicos de los enfoques de transición aplicados</w:t>
      </w:r>
      <w:r w:rsidR="00817C92">
        <w:rPr>
          <w:rFonts w:ascii="Verdana" w:hAnsi="Verdana" w:cs="Arial"/>
          <w:i/>
          <w:iCs/>
          <w:sz w:val="22"/>
          <w:szCs w:val="22"/>
          <w:lang w:val="es-ES"/>
        </w:rPr>
        <w:t xml:space="preserve"> </w:t>
      </w:r>
      <w:r w:rsidRPr="002F3106">
        <w:rPr>
          <w:rFonts w:ascii="Verdana" w:hAnsi="Verdana" w:cs="Arial"/>
          <w:i/>
          <w:iCs/>
          <w:sz w:val="22"/>
          <w:szCs w:val="22"/>
          <w:lang w:val="es-ES"/>
        </w:rPr>
        <w:t>incluyendo,</w:t>
      </w:r>
      <w:r w:rsidR="00817C92">
        <w:rPr>
          <w:rFonts w:ascii="Verdana" w:hAnsi="Verdana" w:cs="Arial"/>
          <w:i/>
          <w:iCs/>
          <w:sz w:val="22"/>
          <w:szCs w:val="22"/>
          <w:lang w:val="es-ES"/>
        </w:rPr>
        <w:t xml:space="preserve"> </w:t>
      </w:r>
      <w:r w:rsidRPr="002F3106">
        <w:rPr>
          <w:rFonts w:ascii="Verdana" w:hAnsi="Verdana" w:cs="Arial"/>
          <w:i/>
          <w:iCs/>
          <w:sz w:val="22"/>
          <w:szCs w:val="22"/>
          <w:lang w:val="es-ES"/>
        </w:rPr>
        <w:t>cuando corresponda,</w:t>
      </w:r>
      <w:r w:rsidR="00817C92">
        <w:rPr>
          <w:rFonts w:ascii="Verdana" w:hAnsi="Verdana" w:cs="Arial"/>
          <w:i/>
          <w:iCs/>
          <w:sz w:val="22"/>
          <w:szCs w:val="22"/>
          <w:lang w:val="es-ES"/>
        </w:rPr>
        <w:t xml:space="preserve"> </w:t>
      </w:r>
      <w:r w:rsidRPr="002F3106">
        <w:rPr>
          <w:rFonts w:ascii="Verdana" w:hAnsi="Verdana" w:cs="Arial"/>
          <w:i/>
          <w:iCs/>
          <w:sz w:val="22"/>
          <w:szCs w:val="22"/>
          <w:lang w:val="es-ES"/>
        </w:rPr>
        <w:t>la información de los nuevos negocios</w:t>
      </w:r>
      <w:r w:rsidR="00817C92">
        <w:rPr>
          <w:rFonts w:ascii="Verdana" w:hAnsi="Verdana" w:cs="Arial"/>
          <w:i/>
          <w:iCs/>
          <w:sz w:val="22"/>
          <w:szCs w:val="22"/>
          <w:lang w:val="es-ES"/>
        </w:rPr>
        <w:t xml:space="preserve"> </w:t>
      </w:r>
      <w:r w:rsidRPr="002F3106">
        <w:rPr>
          <w:rFonts w:ascii="Verdana" w:hAnsi="Verdana" w:cs="Arial"/>
          <w:i/>
          <w:iCs/>
          <w:sz w:val="22"/>
          <w:szCs w:val="22"/>
          <w:lang w:val="es-ES"/>
        </w:rPr>
        <w:t>y demás</w:t>
      </w:r>
      <w:r w:rsidR="00817C92">
        <w:rPr>
          <w:rFonts w:ascii="Verdana" w:hAnsi="Verdana" w:cs="Arial"/>
          <w:i/>
          <w:iCs/>
          <w:sz w:val="22"/>
          <w:szCs w:val="22"/>
          <w:lang w:val="es-ES"/>
        </w:rPr>
        <w:t xml:space="preserve"> </w:t>
      </w:r>
      <w:r w:rsidRPr="002F3106">
        <w:rPr>
          <w:rFonts w:ascii="Verdana" w:hAnsi="Verdana" w:cs="Arial"/>
          <w:i/>
          <w:iCs/>
          <w:sz w:val="22"/>
          <w:szCs w:val="22"/>
          <w:lang w:val="es-ES"/>
        </w:rPr>
        <w:t>variables</w:t>
      </w:r>
      <w:r w:rsidR="00817C92">
        <w:rPr>
          <w:rFonts w:ascii="Verdana" w:hAnsi="Verdana" w:cs="Arial"/>
          <w:i/>
          <w:iCs/>
          <w:sz w:val="22"/>
          <w:szCs w:val="22"/>
          <w:lang w:val="es-ES"/>
        </w:rPr>
        <w:t xml:space="preserve"> </w:t>
      </w:r>
      <w:r w:rsidRPr="002F3106">
        <w:rPr>
          <w:rFonts w:ascii="Verdana" w:hAnsi="Verdana" w:cs="Arial"/>
          <w:i/>
          <w:iCs/>
          <w:sz w:val="22"/>
          <w:szCs w:val="22"/>
          <w:lang w:val="es-ES"/>
        </w:rPr>
        <w:t>relacionadas,</w:t>
      </w:r>
      <w:r w:rsidR="00817C92">
        <w:rPr>
          <w:rFonts w:ascii="Verdana" w:hAnsi="Verdana" w:cs="Arial"/>
          <w:i/>
          <w:iCs/>
          <w:sz w:val="22"/>
          <w:szCs w:val="22"/>
          <w:lang w:val="es-ES"/>
        </w:rPr>
        <w:t xml:space="preserve"> </w:t>
      </w:r>
      <w:r w:rsidRPr="002F3106">
        <w:rPr>
          <w:rFonts w:ascii="Verdana" w:hAnsi="Verdana" w:cs="Arial"/>
          <w:i/>
          <w:iCs/>
          <w:sz w:val="22"/>
          <w:szCs w:val="22"/>
          <w:lang w:val="es-ES"/>
        </w:rPr>
        <w:t>así como el impacto</w:t>
      </w:r>
      <w:r w:rsidR="00817C92">
        <w:rPr>
          <w:rFonts w:ascii="Verdana" w:hAnsi="Verdana" w:cs="Arial"/>
          <w:i/>
          <w:iCs/>
          <w:sz w:val="22"/>
          <w:szCs w:val="22"/>
          <w:lang w:val="es-ES"/>
        </w:rPr>
        <w:t xml:space="preserve"> </w:t>
      </w:r>
      <w:r w:rsidRPr="002F3106">
        <w:rPr>
          <w:rFonts w:ascii="Verdana" w:hAnsi="Verdana" w:cs="Arial"/>
          <w:i/>
          <w:iCs/>
          <w:sz w:val="22"/>
          <w:szCs w:val="22"/>
          <w:lang w:val="es-ES"/>
        </w:rPr>
        <w:t>de</w:t>
      </w:r>
      <w:r w:rsidR="00817C92">
        <w:rPr>
          <w:rFonts w:ascii="Verdana" w:hAnsi="Verdana" w:cs="Arial"/>
          <w:i/>
          <w:iCs/>
          <w:sz w:val="22"/>
          <w:szCs w:val="22"/>
          <w:lang w:val="es-ES"/>
        </w:rPr>
        <w:t xml:space="preserve"> </w:t>
      </w:r>
      <w:r w:rsidRPr="002F3106">
        <w:rPr>
          <w:rFonts w:ascii="Verdana" w:hAnsi="Verdana" w:cs="Arial"/>
          <w:i/>
          <w:iCs/>
          <w:sz w:val="22"/>
          <w:szCs w:val="22"/>
          <w:lang w:val="es-ES"/>
        </w:rPr>
        <w:t>la aplicación de</w:t>
      </w:r>
      <w:r w:rsidR="00817C92">
        <w:rPr>
          <w:rFonts w:ascii="Verdana" w:hAnsi="Verdana" w:cs="Arial"/>
          <w:i/>
          <w:iCs/>
          <w:sz w:val="22"/>
          <w:szCs w:val="22"/>
          <w:lang w:val="es-ES"/>
        </w:rPr>
        <w:t xml:space="preserve"> </w:t>
      </w:r>
      <w:r w:rsidRPr="002F3106">
        <w:rPr>
          <w:rFonts w:ascii="Verdana" w:hAnsi="Verdana" w:cs="Arial"/>
          <w:i/>
          <w:iCs/>
          <w:sz w:val="22"/>
          <w:szCs w:val="22"/>
          <w:lang w:val="es-ES"/>
        </w:rPr>
        <w:t>los nuevos requisitos</w:t>
      </w:r>
      <w:r w:rsidR="00817C92">
        <w:rPr>
          <w:rFonts w:ascii="Verdana" w:hAnsi="Verdana" w:cs="Arial"/>
          <w:i/>
          <w:iCs/>
          <w:sz w:val="22"/>
          <w:szCs w:val="22"/>
          <w:lang w:val="es-ES"/>
        </w:rPr>
        <w:t xml:space="preserve"> </w:t>
      </w:r>
      <w:r w:rsidRPr="002F3106">
        <w:rPr>
          <w:rFonts w:ascii="Verdana" w:hAnsi="Verdana" w:cs="Arial"/>
          <w:i/>
          <w:iCs/>
          <w:sz w:val="22"/>
          <w:szCs w:val="22"/>
          <w:lang w:val="es-ES"/>
        </w:rPr>
        <w:t>regulatorios.</w:t>
      </w:r>
    </w:p>
    <w:p w14:paraId="5423F636" w14:textId="77777777" w:rsidR="002F3106" w:rsidRDefault="002F3106" w:rsidP="00D41E1D">
      <w:pPr>
        <w:widowControl w:val="0"/>
        <w:autoSpaceDE w:val="0"/>
        <w:autoSpaceDN w:val="0"/>
        <w:adjustRightInd w:val="0"/>
        <w:spacing w:line="276" w:lineRule="auto"/>
        <w:jc w:val="both"/>
        <w:rPr>
          <w:rFonts w:ascii="Verdana" w:hAnsi="Verdana" w:cs="Arial"/>
          <w:b/>
          <w:bCs/>
          <w:sz w:val="22"/>
          <w:szCs w:val="22"/>
        </w:rPr>
      </w:pPr>
    </w:p>
    <w:p w14:paraId="7163D7E8" w14:textId="2D0F1903" w:rsidR="00FF211D" w:rsidRDefault="00CB4F64" w:rsidP="00D41E1D">
      <w:pPr>
        <w:widowControl w:val="0"/>
        <w:autoSpaceDE w:val="0"/>
        <w:autoSpaceDN w:val="0"/>
        <w:adjustRightInd w:val="0"/>
        <w:spacing w:line="276" w:lineRule="auto"/>
        <w:jc w:val="both"/>
        <w:rPr>
          <w:rFonts w:ascii="Verdana" w:hAnsi="Verdana" w:cs="Arial"/>
          <w:sz w:val="22"/>
          <w:szCs w:val="22"/>
        </w:rPr>
      </w:pPr>
      <w:r w:rsidRPr="00CB4F64">
        <w:rPr>
          <w:rFonts w:ascii="Verdana" w:hAnsi="Verdana" w:cs="Arial"/>
          <w:b/>
          <w:bCs/>
          <w:sz w:val="22"/>
          <w:szCs w:val="22"/>
        </w:rPr>
        <w:t xml:space="preserve">QUINTA: </w:t>
      </w:r>
      <w:r w:rsidR="001C4FB3" w:rsidRPr="001C4FB3">
        <w:rPr>
          <w:rFonts w:ascii="Verdana" w:hAnsi="Verdana" w:cs="Arial"/>
          <w:sz w:val="22"/>
          <w:szCs w:val="22"/>
        </w:rPr>
        <w:t>Modificar la instrucción D</w:t>
      </w:r>
      <w:r w:rsidR="00AE2E43">
        <w:rPr>
          <w:rFonts w:ascii="Verdana" w:hAnsi="Verdana" w:cs="Arial"/>
          <w:sz w:val="22"/>
          <w:szCs w:val="22"/>
        </w:rPr>
        <w:t>É</w:t>
      </w:r>
      <w:r w:rsidR="002F3106">
        <w:rPr>
          <w:rFonts w:ascii="Verdana" w:hAnsi="Verdana" w:cs="Arial"/>
          <w:sz w:val="22"/>
          <w:szCs w:val="22"/>
        </w:rPr>
        <w:t>CIMAPRIMERA</w:t>
      </w:r>
      <w:r w:rsidR="001C4FB3" w:rsidRPr="001C4FB3">
        <w:rPr>
          <w:rFonts w:ascii="Verdana" w:hAnsi="Verdana" w:cs="Arial"/>
          <w:sz w:val="22"/>
          <w:szCs w:val="22"/>
        </w:rPr>
        <w:t xml:space="preserve"> de la Circular Externa 013 de 2025, la cual quedará así:</w:t>
      </w:r>
    </w:p>
    <w:p w14:paraId="660E2219" w14:textId="77777777" w:rsidR="00BB6F58" w:rsidRDefault="00BB6F58" w:rsidP="00D41E1D">
      <w:pPr>
        <w:widowControl w:val="0"/>
        <w:autoSpaceDE w:val="0"/>
        <w:autoSpaceDN w:val="0"/>
        <w:adjustRightInd w:val="0"/>
        <w:spacing w:line="276" w:lineRule="auto"/>
        <w:jc w:val="both"/>
        <w:rPr>
          <w:rFonts w:ascii="Verdana" w:hAnsi="Verdana" w:cs="Arial"/>
          <w:sz w:val="22"/>
          <w:szCs w:val="22"/>
        </w:rPr>
      </w:pPr>
    </w:p>
    <w:p w14:paraId="2D645E38" w14:textId="241E9CC8" w:rsidR="00BB6F58" w:rsidRPr="00BB6F58" w:rsidRDefault="00BB6F58" w:rsidP="00BB6F58">
      <w:pPr>
        <w:widowControl w:val="0"/>
        <w:autoSpaceDE w:val="0"/>
        <w:autoSpaceDN w:val="0"/>
        <w:adjustRightInd w:val="0"/>
        <w:spacing w:line="276" w:lineRule="auto"/>
        <w:ind w:left="708"/>
        <w:jc w:val="both"/>
        <w:rPr>
          <w:rFonts w:ascii="Verdana" w:hAnsi="Verdana" w:cs="Arial"/>
          <w:i/>
          <w:iCs/>
          <w:sz w:val="22"/>
          <w:szCs w:val="22"/>
        </w:rPr>
      </w:pPr>
      <w:r w:rsidRPr="00BB6F58">
        <w:rPr>
          <w:rFonts w:ascii="Verdana" w:hAnsi="Verdana" w:cs="Arial"/>
          <w:b/>
          <w:bCs/>
          <w:i/>
          <w:iCs/>
          <w:sz w:val="22"/>
          <w:szCs w:val="22"/>
          <w:lang w:val="es-ES"/>
        </w:rPr>
        <w:t>DÉCIMAPRIMERA: RÉGIMEN DE TRANSICIÓN.</w:t>
      </w:r>
      <w:r w:rsidR="00817C92">
        <w:rPr>
          <w:rFonts w:ascii="Verdana" w:hAnsi="Verdana" w:cs="Arial"/>
          <w:b/>
          <w:bCs/>
          <w:i/>
          <w:iCs/>
          <w:sz w:val="22"/>
          <w:szCs w:val="22"/>
          <w:lang w:val="es-ES"/>
        </w:rPr>
        <w:t xml:space="preserve"> </w:t>
      </w:r>
      <w:r w:rsidRPr="00BB6F58">
        <w:rPr>
          <w:rFonts w:ascii="Verdana" w:hAnsi="Verdana" w:cs="Arial"/>
          <w:i/>
          <w:iCs/>
          <w:sz w:val="22"/>
          <w:szCs w:val="22"/>
          <w:lang w:val="es-ES"/>
        </w:rPr>
        <w:t>Para efectos de la</w:t>
      </w:r>
      <w:r w:rsidR="00817C92">
        <w:rPr>
          <w:rFonts w:ascii="Verdana" w:hAnsi="Verdana" w:cs="Arial"/>
          <w:i/>
          <w:iCs/>
          <w:sz w:val="22"/>
          <w:szCs w:val="22"/>
          <w:lang w:val="es-ES"/>
        </w:rPr>
        <w:t xml:space="preserve"> </w:t>
      </w:r>
      <w:r w:rsidRPr="00BB6F58">
        <w:rPr>
          <w:rFonts w:ascii="Verdana" w:hAnsi="Verdana" w:cs="Arial"/>
          <w:i/>
          <w:iCs/>
          <w:sz w:val="22"/>
          <w:szCs w:val="22"/>
          <w:lang w:val="es-ES"/>
        </w:rPr>
        <w:t>aplicación</w:t>
      </w:r>
      <w:r w:rsidR="00817C92">
        <w:rPr>
          <w:rFonts w:ascii="Verdana" w:hAnsi="Verdana" w:cs="Arial"/>
          <w:i/>
          <w:iCs/>
          <w:sz w:val="22"/>
          <w:szCs w:val="22"/>
          <w:lang w:val="es-ES"/>
        </w:rPr>
        <w:t xml:space="preserve"> </w:t>
      </w:r>
      <w:r w:rsidRPr="00BB6F58">
        <w:rPr>
          <w:rFonts w:ascii="Verdana" w:hAnsi="Verdana" w:cs="Arial"/>
          <w:i/>
          <w:iCs/>
          <w:sz w:val="22"/>
          <w:szCs w:val="22"/>
          <w:lang w:val="es-ES"/>
        </w:rPr>
        <w:t>de los</w:t>
      </w:r>
      <w:r w:rsidR="00817C92">
        <w:rPr>
          <w:rFonts w:ascii="Verdana" w:hAnsi="Verdana" w:cs="Arial"/>
          <w:i/>
          <w:iCs/>
          <w:sz w:val="22"/>
          <w:szCs w:val="22"/>
          <w:lang w:val="es-ES"/>
        </w:rPr>
        <w:t xml:space="preserve"> </w:t>
      </w:r>
      <w:r w:rsidRPr="00BB6F58">
        <w:rPr>
          <w:rFonts w:ascii="Verdana" w:hAnsi="Verdana" w:cs="Arial"/>
          <w:i/>
          <w:iCs/>
          <w:sz w:val="22"/>
          <w:szCs w:val="22"/>
          <w:lang w:val="es-ES"/>
        </w:rPr>
        <w:t>nuevos estándares contables</w:t>
      </w:r>
      <w:r w:rsidR="00817C92">
        <w:rPr>
          <w:rFonts w:ascii="Verdana" w:hAnsi="Verdana" w:cs="Arial"/>
          <w:i/>
          <w:iCs/>
          <w:sz w:val="22"/>
          <w:szCs w:val="22"/>
          <w:lang w:val="es-ES"/>
        </w:rPr>
        <w:t xml:space="preserve"> </w:t>
      </w:r>
      <w:r w:rsidRPr="00BB6F58">
        <w:rPr>
          <w:rFonts w:ascii="Verdana" w:hAnsi="Verdana" w:cs="Arial"/>
          <w:i/>
          <w:iCs/>
          <w:sz w:val="22"/>
          <w:szCs w:val="22"/>
          <w:lang w:val="es-ES"/>
        </w:rPr>
        <w:t>y</w:t>
      </w:r>
      <w:r w:rsidR="00817C92">
        <w:rPr>
          <w:rFonts w:ascii="Verdana" w:hAnsi="Verdana" w:cs="Arial"/>
          <w:i/>
          <w:iCs/>
          <w:sz w:val="22"/>
          <w:szCs w:val="22"/>
          <w:lang w:val="es-ES"/>
        </w:rPr>
        <w:t xml:space="preserve"> </w:t>
      </w:r>
      <w:r w:rsidRPr="00BB6F58">
        <w:rPr>
          <w:rFonts w:ascii="Verdana" w:hAnsi="Verdana" w:cs="Arial"/>
          <w:i/>
          <w:iCs/>
          <w:sz w:val="22"/>
          <w:szCs w:val="22"/>
          <w:lang w:val="es-ES"/>
        </w:rPr>
        <w:t>del Decreto 1272 de 2024, las</w:t>
      </w:r>
      <w:r w:rsidR="00817C92">
        <w:rPr>
          <w:rFonts w:ascii="Verdana" w:hAnsi="Verdana" w:cs="Arial"/>
          <w:i/>
          <w:iCs/>
          <w:sz w:val="22"/>
          <w:szCs w:val="22"/>
          <w:lang w:val="es-ES"/>
        </w:rPr>
        <w:t xml:space="preserve"> </w:t>
      </w:r>
      <w:r w:rsidRPr="00BB6F58">
        <w:rPr>
          <w:rFonts w:ascii="Verdana" w:hAnsi="Verdana" w:cs="Arial"/>
          <w:i/>
          <w:iCs/>
          <w:sz w:val="22"/>
          <w:szCs w:val="22"/>
          <w:lang w:val="es-ES"/>
        </w:rPr>
        <w:t>entidades aseguradoras deben</w:t>
      </w:r>
      <w:r w:rsidR="00817C92">
        <w:rPr>
          <w:rFonts w:ascii="Verdana" w:hAnsi="Verdana" w:cs="Arial"/>
          <w:i/>
          <w:iCs/>
          <w:sz w:val="22"/>
          <w:szCs w:val="22"/>
          <w:lang w:val="es-ES"/>
        </w:rPr>
        <w:t xml:space="preserve"> </w:t>
      </w:r>
      <w:r w:rsidRPr="00BB6F58">
        <w:rPr>
          <w:rFonts w:ascii="Verdana" w:hAnsi="Verdana" w:cs="Arial"/>
          <w:i/>
          <w:iCs/>
          <w:sz w:val="22"/>
          <w:szCs w:val="22"/>
          <w:lang w:val="es-ES"/>
        </w:rPr>
        <w:t>medir</w:t>
      </w:r>
      <w:r w:rsidR="00817C92">
        <w:rPr>
          <w:rFonts w:ascii="Verdana" w:hAnsi="Verdana" w:cs="Arial"/>
          <w:i/>
          <w:iCs/>
          <w:sz w:val="22"/>
          <w:szCs w:val="22"/>
          <w:lang w:val="es-ES"/>
        </w:rPr>
        <w:t xml:space="preserve"> </w:t>
      </w:r>
      <w:r w:rsidRPr="00BB6F58">
        <w:rPr>
          <w:rFonts w:ascii="Verdana" w:hAnsi="Verdana" w:cs="Arial"/>
          <w:i/>
          <w:iCs/>
          <w:sz w:val="22"/>
          <w:szCs w:val="22"/>
          <w:lang w:val="es-ES"/>
        </w:rPr>
        <w:t>la totalidad de</w:t>
      </w:r>
      <w:r w:rsidR="00817C92">
        <w:rPr>
          <w:rFonts w:ascii="Verdana" w:hAnsi="Verdana" w:cs="Arial"/>
          <w:i/>
          <w:iCs/>
          <w:sz w:val="22"/>
          <w:szCs w:val="22"/>
          <w:lang w:val="es-ES"/>
        </w:rPr>
        <w:t xml:space="preserve"> </w:t>
      </w:r>
      <w:r w:rsidRPr="00BB6F58">
        <w:rPr>
          <w:rFonts w:ascii="Verdana" w:hAnsi="Verdana" w:cs="Arial"/>
          <w:i/>
          <w:iCs/>
          <w:sz w:val="22"/>
          <w:szCs w:val="22"/>
          <w:lang w:val="es-ES"/>
        </w:rPr>
        <w:t>los</w:t>
      </w:r>
      <w:r w:rsidR="00817C92">
        <w:rPr>
          <w:rFonts w:ascii="Verdana" w:hAnsi="Verdana" w:cs="Arial"/>
          <w:i/>
          <w:iCs/>
          <w:sz w:val="22"/>
          <w:szCs w:val="22"/>
          <w:lang w:val="es-ES"/>
        </w:rPr>
        <w:t xml:space="preserve"> </w:t>
      </w:r>
      <w:r w:rsidRPr="00BB6F58">
        <w:rPr>
          <w:rFonts w:ascii="Verdana" w:hAnsi="Verdana" w:cs="Arial"/>
          <w:i/>
          <w:iCs/>
          <w:sz w:val="22"/>
          <w:szCs w:val="22"/>
          <w:lang w:val="es-ES"/>
        </w:rPr>
        <w:t>activos</w:t>
      </w:r>
      <w:r w:rsidR="00817C92">
        <w:rPr>
          <w:rFonts w:ascii="Verdana" w:hAnsi="Verdana" w:cs="Arial"/>
          <w:i/>
          <w:iCs/>
          <w:sz w:val="22"/>
          <w:szCs w:val="22"/>
          <w:lang w:val="es-ES"/>
        </w:rPr>
        <w:t xml:space="preserve"> </w:t>
      </w:r>
      <w:r w:rsidRPr="00BB6F58">
        <w:rPr>
          <w:rFonts w:ascii="Verdana" w:hAnsi="Verdana" w:cs="Arial"/>
          <w:i/>
          <w:iCs/>
          <w:sz w:val="22"/>
          <w:szCs w:val="22"/>
          <w:lang w:val="es-ES"/>
        </w:rPr>
        <w:t>por contratos de</w:t>
      </w:r>
      <w:r w:rsidR="00817C92">
        <w:rPr>
          <w:rFonts w:ascii="Verdana" w:hAnsi="Verdana" w:cs="Arial"/>
          <w:i/>
          <w:iCs/>
          <w:sz w:val="22"/>
          <w:szCs w:val="22"/>
          <w:lang w:val="es-ES"/>
        </w:rPr>
        <w:t xml:space="preserve"> </w:t>
      </w:r>
      <w:r w:rsidRPr="00BB6F58">
        <w:rPr>
          <w:rFonts w:ascii="Verdana" w:hAnsi="Verdana" w:cs="Arial"/>
          <w:i/>
          <w:iCs/>
          <w:sz w:val="22"/>
          <w:szCs w:val="22"/>
          <w:lang w:val="es-ES"/>
        </w:rPr>
        <w:t>reaseguro mantenidos</w:t>
      </w:r>
      <w:r w:rsidR="00817C92">
        <w:rPr>
          <w:rFonts w:ascii="Verdana" w:hAnsi="Verdana" w:cs="Arial"/>
          <w:i/>
          <w:iCs/>
          <w:sz w:val="22"/>
          <w:szCs w:val="22"/>
          <w:lang w:val="es-ES"/>
        </w:rPr>
        <w:t xml:space="preserve"> </w:t>
      </w:r>
      <w:r w:rsidRPr="00BB6F58">
        <w:rPr>
          <w:rFonts w:ascii="Verdana" w:hAnsi="Verdana" w:cs="Arial"/>
          <w:i/>
          <w:iCs/>
          <w:sz w:val="22"/>
          <w:szCs w:val="22"/>
          <w:lang w:val="es-ES"/>
        </w:rPr>
        <w:t>y de los pasivos</w:t>
      </w:r>
      <w:r w:rsidR="00817C92">
        <w:rPr>
          <w:rFonts w:ascii="Verdana" w:hAnsi="Verdana" w:cs="Arial"/>
          <w:i/>
          <w:iCs/>
          <w:sz w:val="22"/>
          <w:szCs w:val="22"/>
          <w:lang w:val="es-ES"/>
        </w:rPr>
        <w:t xml:space="preserve"> </w:t>
      </w:r>
      <w:r w:rsidRPr="00BB6F58">
        <w:rPr>
          <w:rFonts w:ascii="Verdana" w:hAnsi="Verdana" w:cs="Arial"/>
          <w:i/>
          <w:iCs/>
          <w:sz w:val="22"/>
          <w:szCs w:val="22"/>
          <w:lang w:val="es-ES"/>
        </w:rPr>
        <w:t xml:space="preserve">asociados a los </w:t>
      </w:r>
      <w:r w:rsidRPr="00BB6F58">
        <w:rPr>
          <w:rFonts w:ascii="Verdana" w:hAnsi="Verdana" w:cs="Arial"/>
          <w:i/>
          <w:iCs/>
          <w:sz w:val="22"/>
          <w:szCs w:val="22"/>
          <w:lang w:val="es-ES"/>
        </w:rPr>
        <w:lastRenderedPageBreak/>
        <w:t>contratos de seguro</w:t>
      </w:r>
      <w:r w:rsidR="00817C92">
        <w:rPr>
          <w:rFonts w:ascii="Verdana" w:hAnsi="Verdana" w:cs="Arial"/>
          <w:i/>
          <w:iCs/>
          <w:sz w:val="22"/>
          <w:szCs w:val="22"/>
          <w:lang w:val="es-ES"/>
        </w:rPr>
        <w:t xml:space="preserve"> </w:t>
      </w:r>
      <w:r w:rsidRPr="00BB6F58">
        <w:rPr>
          <w:rFonts w:ascii="Verdana" w:hAnsi="Verdana" w:cs="Arial"/>
          <w:i/>
          <w:iCs/>
          <w:sz w:val="22"/>
          <w:szCs w:val="22"/>
          <w:lang w:val="es-ES"/>
        </w:rPr>
        <w:t>vigentes</w:t>
      </w:r>
      <w:r w:rsidR="00817C92">
        <w:rPr>
          <w:rFonts w:ascii="Verdana" w:hAnsi="Verdana" w:cs="Arial"/>
          <w:i/>
          <w:iCs/>
          <w:sz w:val="22"/>
          <w:szCs w:val="22"/>
          <w:lang w:val="es-ES"/>
        </w:rPr>
        <w:t xml:space="preserve"> </w:t>
      </w:r>
      <w:r w:rsidRPr="00BB6F58">
        <w:rPr>
          <w:rFonts w:ascii="Verdana" w:hAnsi="Verdana" w:cs="Arial"/>
          <w:i/>
          <w:iCs/>
          <w:sz w:val="22"/>
          <w:szCs w:val="22"/>
          <w:lang w:val="es-ES"/>
        </w:rPr>
        <w:t xml:space="preserve">al </w:t>
      </w:r>
      <w:r w:rsidRPr="00817C92">
        <w:rPr>
          <w:rFonts w:ascii="Verdana" w:hAnsi="Verdana" w:cs="Arial"/>
          <w:i/>
          <w:iCs/>
          <w:sz w:val="22"/>
          <w:szCs w:val="22"/>
          <w:lang w:val="es-ES"/>
        </w:rPr>
        <w:t>1 de enero de 202</w:t>
      </w:r>
      <w:r w:rsidR="008541FF" w:rsidRPr="00817C92">
        <w:rPr>
          <w:rFonts w:ascii="Verdana" w:hAnsi="Verdana" w:cs="Arial"/>
          <w:i/>
          <w:iCs/>
          <w:sz w:val="22"/>
          <w:szCs w:val="22"/>
          <w:lang w:val="es-ES"/>
        </w:rPr>
        <w:t>8</w:t>
      </w:r>
      <w:r w:rsidR="0084530A">
        <w:rPr>
          <w:rFonts w:ascii="Verdana" w:hAnsi="Verdana" w:cs="Arial"/>
          <w:i/>
          <w:iCs/>
          <w:sz w:val="22"/>
          <w:szCs w:val="22"/>
          <w:lang w:val="es-ES"/>
        </w:rPr>
        <w:t xml:space="preserve"> </w:t>
      </w:r>
      <w:r w:rsidRPr="00BB6F58">
        <w:rPr>
          <w:rFonts w:ascii="Verdana" w:hAnsi="Verdana" w:cs="Arial"/>
          <w:i/>
          <w:iCs/>
          <w:sz w:val="22"/>
          <w:szCs w:val="22"/>
          <w:lang w:val="es-ES"/>
        </w:rPr>
        <w:t>y</w:t>
      </w:r>
      <w:r w:rsidR="0084530A">
        <w:rPr>
          <w:rFonts w:ascii="Verdana" w:hAnsi="Verdana" w:cs="Arial"/>
          <w:i/>
          <w:iCs/>
          <w:sz w:val="22"/>
          <w:szCs w:val="22"/>
          <w:lang w:val="es-ES"/>
        </w:rPr>
        <w:t xml:space="preserve"> </w:t>
      </w:r>
      <w:r w:rsidRPr="00BB6F58">
        <w:rPr>
          <w:rFonts w:ascii="Verdana" w:hAnsi="Verdana" w:cs="Arial"/>
          <w:i/>
          <w:iCs/>
          <w:sz w:val="22"/>
          <w:szCs w:val="22"/>
          <w:lang w:val="es-ES"/>
        </w:rPr>
        <w:t>obligaciones</w:t>
      </w:r>
      <w:r w:rsidR="00FB27D0">
        <w:rPr>
          <w:rFonts w:ascii="Verdana" w:hAnsi="Verdana" w:cs="Arial"/>
          <w:i/>
          <w:iCs/>
          <w:sz w:val="22"/>
          <w:szCs w:val="22"/>
          <w:lang w:val="es-ES"/>
        </w:rPr>
        <w:t xml:space="preserve"> </w:t>
      </w:r>
      <w:r w:rsidRPr="00BB6F58">
        <w:rPr>
          <w:rFonts w:ascii="Verdana" w:hAnsi="Verdana" w:cs="Arial"/>
          <w:i/>
          <w:iCs/>
          <w:sz w:val="22"/>
          <w:szCs w:val="22"/>
          <w:lang w:val="es-ES"/>
        </w:rPr>
        <w:t>pendientes</w:t>
      </w:r>
      <w:r w:rsidR="0084530A">
        <w:rPr>
          <w:rFonts w:ascii="Verdana" w:hAnsi="Verdana" w:cs="Arial"/>
          <w:i/>
          <w:iCs/>
          <w:sz w:val="22"/>
          <w:szCs w:val="22"/>
          <w:lang w:val="es-ES"/>
        </w:rPr>
        <w:t xml:space="preserve"> </w:t>
      </w:r>
      <w:r w:rsidRPr="00BB6F58">
        <w:rPr>
          <w:rFonts w:ascii="Verdana" w:hAnsi="Verdana" w:cs="Arial"/>
          <w:i/>
          <w:iCs/>
          <w:sz w:val="22"/>
          <w:szCs w:val="22"/>
          <w:lang w:val="es-ES"/>
        </w:rPr>
        <w:t>de</w:t>
      </w:r>
      <w:r w:rsidR="0084530A">
        <w:rPr>
          <w:rFonts w:ascii="Verdana" w:hAnsi="Verdana" w:cs="Arial"/>
          <w:i/>
          <w:iCs/>
          <w:sz w:val="22"/>
          <w:szCs w:val="22"/>
          <w:lang w:val="es-ES"/>
        </w:rPr>
        <w:t xml:space="preserve"> </w:t>
      </w:r>
      <w:r w:rsidRPr="00BB6F58">
        <w:rPr>
          <w:rFonts w:ascii="Verdana" w:hAnsi="Verdana" w:cs="Arial"/>
          <w:i/>
          <w:iCs/>
          <w:sz w:val="22"/>
          <w:szCs w:val="22"/>
          <w:lang w:val="es-ES"/>
        </w:rPr>
        <w:t>contratos de seguro</w:t>
      </w:r>
      <w:r w:rsidR="0084530A">
        <w:rPr>
          <w:rFonts w:ascii="Verdana" w:hAnsi="Verdana" w:cs="Arial"/>
          <w:i/>
          <w:iCs/>
          <w:sz w:val="22"/>
          <w:szCs w:val="22"/>
          <w:lang w:val="es-ES"/>
        </w:rPr>
        <w:t xml:space="preserve"> </w:t>
      </w:r>
      <w:r w:rsidRPr="00BB6F58">
        <w:rPr>
          <w:rFonts w:ascii="Verdana" w:hAnsi="Verdana" w:cs="Arial"/>
          <w:i/>
          <w:iCs/>
          <w:sz w:val="22"/>
          <w:szCs w:val="22"/>
          <w:lang w:val="es-ES"/>
        </w:rPr>
        <w:t>expedidos</w:t>
      </w:r>
      <w:r w:rsidR="0084530A">
        <w:rPr>
          <w:rFonts w:ascii="Verdana" w:hAnsi="Verdana" w:cs="Arial"/>
          <w:i/>
          <w:iCs/>
          <w:sz w:val="22"/>
          <w:szCs w:val="22"/>
          <w:lang w:val="es-ES"/>
        </w:rPr>
        <w:t xml:space="preserve"> </w:t>
      </w:r>
      <w:r w:rsidRPr="00BB6F58">
        <w:rPr>
          <w:rFonts w:ascii="Verdana" w:hAnsi="Verdana" w:cs="Arial"/>
          <w:i/>
          <w:iCs/>
          <w:sz w:val="22"/>
          <w:szCs w:val="22"/>
          <w:lang w:val="es-ES"/>
        </w:rPr>
        <w:t>antes</w:t>
      </w:r>
      <w:r w:rsidR="0084530A">
        <w:rPr>
          <w:rFonts w:ascii="Verdana" w:hAnsi="Verdana" w:cs="Arial"/>
          <w:i/>
          <w:iCs/>
          <w:sz w:val="22"/>
          <w:szCs w:val="22"/>
          <w:lang w:val="es-ES"/>
        </w:rPr>
        <w:t xml:space="preserve"> </w:t>
      </w:r>
      <w:r w:rsidRPr="00BB6F58">
        <w:rPr>
          <w:rFonts w:ascii="Verdana" w:hAnsi="Verdana" w:cs="Arial"/>
          <w:i/>
          <w:iCs/>
          <w:sz w:val="22"/>
          <w:szCs w:val="22"/>
          <w:lang w:val="es-ES"/>
        </w:rPr>
        <w:t>de esa fecha, teniendo en cuenta: (i) los estándares contables</w:t>
      </w:r>
      <w:r w:rsidR="0084530A">
        <w:rPr>
          <w:rFonts w:ascii="Verdana" w:hAnsi="Verdana" w:cs="Arial"/>
          <w:i/>
          <w:iCs/>
          <w:sz w:val="22"/>
          <w:szCs w:val="22"/>
          <w:lang w:val="es-ES"/>
        </w:rPr>
        <w:t xml:space="preserve"> </w:t>
      </w:r>
      <w:r w:rsidRPr="00BB6F58">
        <w:rPr>
          <w:rFonts w:ascii="Verdana" w:hAnsi="Verdana" w:cs="Arial"/>
          <w:i/>
          <w:iCs/>
          <w:sz w:val="22"/>
          <w:szCs w:val="22"/>
          <w:lang w:val="es-ES"/>
        </w:rPr>
        <w:t>vigentes antes de la expedición del Decreto 1271 de 2024;</w:t>
      </w:r>
      <w:r w:rsidR="0084530A">
        <w:rPr>
          <w:rFonts w:ascii="Verdana" w:hAnsi="Verdana" w:cs="Arial"/>
          <w:i/>
          <w:iCs/>
          <w:sz w:val="22"/>
          <w:szCs w:val="22"/>
          <w:lang w:val="es-ES"/>
        </w:rPr>
        <w:t xml:space="preserve"> </w:t>
      </w:r>
      <w:r w:rsidRPr="00BB6F58">
        <w:rPr>
          <w:rFonts w:ascii="Verdana" w:hAnsi="Verdana" w:cs="Arial"/>
          <w:i/>
          <w:iCs/>
          <w:sz w:val="22"/>
          <w:szCs w:val="22"/>
          <w:lang w:val="es-ES"/>
        </w:rPr>
        <w:t xml:space="preserve">y (ii) los estándares contables vigentes a partir </w:t>
      </w:r>
      <w:r w:rsidRPr="00817C92">
        <w:rPr>
          <w:rFonts w:ascii="Verdana" w:hAnsi="Verdana" w:cs="Arial"/>
          <w:i/>
          <w:iCs/>
          <w:sz w:val="22"/>
          <w:szCs w:val="22"/>
          <w:lang w:val="es-ES"/>
        </w:rPr>
        <w:t>del 1 de enero de 202</w:t>
      </w:r>
      <w:r w:rsidR="008541FF" w:rsidRPr="00817C92">
        <w:rPr>
          <w:rFonts w:ascii="Verdana" w:hAnsi="Verdana" w:cs="Arial"/>
          <w:i/>
          <w:iCs/>
          <w:sz w:val="22"/>
          <w:szCs w:val="22"/>
          <w:lang w:val="es-ES"/>
        </w:rPr>
        <w:t>8</w:t>
      </w:r>
      <w:r w:rsidRPr="00BB6F58">
        <w:rPr>
          <w:rFonts w:ascii="Verdana" w:hAnsi="Verdana" w:cs="Arial"/>
          <w:i/>
          <w:iCs/>
          <w:sz w:val="22"/>
          <w:szCs w:val="22"/>
          <w:lang w:val="es-ES"/>
        </w:rPr>
        <w:t>.</w:t>
      </w:r>
      <w:r w:rsidR="000A1701">
        <w:rPr>
          <w:rFonts w:ascii="Verdana" w:hAnsi="Verdana" w:cs="Arial"/>
          <w:i/>
          <w:iCs/>
          <w:sz w:val="22"/>
          <w:szCs w:val="22"/>
          <w:lang w:val="es-ES"/>
        </w:rPr>
        <w:t xml:space="preserve"> </w:t>
      </w:r>
      <w:r w:rsidRPr="00BB6F58">
        <w:rPr>
          <w:rFonts w:ascii="Verdana" w:hAnsi="Verdana" w:cs="Arial"/>
          <w:i/>
          <w:iCs/>
          <w:sz w:val="22"/>
          <w:szCs w:val="22"/>
          <w:lang w:val="es-ES"/>
        </w:rPr>
        <w:t>A partir de</w:t>
      </w:r>
      <w:r w:rsidR="000A1701">
        <w:rPr>
          <w:rFonts w:ascii="Verdana" w:hAnsi="Verdana" w:cs="Arial"/>
          <w:i/>
          <w:iCs/>
          <w:sz w:val="22"/>
          <w:szCs w:val="22"/>
          <w:lang w:val="es-ES"/>
        </w:rPr>
        <w:t xml:space="preserve"> </w:t>
      </w:r>
      <w:r w:rsidRPr="00BB6F58">
        <w:rPr>
          <w:rFonts w:ascii="Verdana" w:hAnsi="Verdana" w:cs="Arial"/>
          <w:i/>
          <w:iCs/>
          <w:sz w:val="22"/>
          <w:szCs w:val="22"/>
          <w:lang w:val="es-ES"/>
        </w:rPr>
        <w:t>estas mediciones, las entidades</w:t>
      </w:r>
      <w:r w:rsidR="000A1701">
        <w:rPr>
          <w:rFonts w:ascii="Verdana" w:hAnsi="Verdana" w:cs="Arial"/>
          <w:i/>
          <w:iCs/>
          <w:sz w:val="22"/>
          <w:szCs w:val="22"/>
          <w:lang w:val="es-ES"/>
        </w:rPr>
        <w:t xml:space="preserve"> </w:t>
      </w:r>
      <w:r w:rsidRPr="00BB6F58">
        <w:rPr>
          <w:rFonts w:ascii="Verdana" w:hAnsi="Verdana" w:cs="Arial"/>
          <w:i/>
          <w:iCs/>
          <w:sz w:val="22"/>
          <w:szCs w:val="22"/>
          <w:lang w:val="es-ES"/>
        </w:rPr>
        <w:t>deben</w:t>
      </w:r>
      <w:r w:rsidR="000A1701">
        <w:rPr>
          <w:rFonts w:ascii="Verdana" w:hAnsi="Verdana" w:cs="Arial"/>
          <w:i/>
          <w:iCs/>
          <w:sz w:val="22"/>
          <w:szCs w:val="22"/>
          <w:lang w:val="es-ES"/>
        </w:rPr>
        <w:t xml:space="preserve"> </w:t>
      </w:r>
      <w:r w:rsidRPr="00BB6F58">
        <w:rPr>
          <w:rFonts w:ascii="Verdana" w:hAnsi="Verdana" w:cs="Arial"/>
          <w:i/>
          <w:iCs/>
          <w:sz w:val="22"/>
          <w:szCs w:val="22"/>
          <w:lang w:val="es-ES"/>
        </w:rPr>
        <w:t>establecer las</w:t>
      </w:r>
      <w:r w:rsidR="000A1701">
        <w:rPr>
          <w:rFonts w:ascii="Verdana" w:hAnsi="Verdana" w:cs="Arial"/>
          <w:i/>
          <w:iCs/>
          <w:sz w:val="22"/>
          <w:szCs w:val="22"/>
          <w:lang w:val="es-ES"/>
        </w:rPr>
        <w:t xml:space="preserve"> </w:t>
      </w:r>
      <w:r w:rsidRPr="00BB6F58">
        <w:rPr>
          <w:rFonts w:ascii="Verdana" w:hAnsi="Verdana" w:cs="Arial"/>
          <w:i/>
          <w:iCs/>
          <w:sz w:val="22"/>
          <w:szCs w:val="22"/>
          <w:lang w:val="es-ES"/>
        </w:rPr>
        <w:t>posibles variaciones que</w:t>
      </w:r>
      <w:r w:rsidR="000A1701">
        <w:rPr>
          <w:rFonts w:ascii="Verdana" w:hAnsi="Verdana" w:cs="Arial"/>
          <w:i/>
          <w:iCs/>
          <w:sz w:val="22"/>
          <w:szCs w:val="22"/>
          <w:lang w:val="es-ES"/>
        </w:rPr>
        <w:t xml:space="preserve"> </w:t>
      </w:r>
      <w:r w:rsidRPr="00BB6F58">
        <w:rPr>
          <w:rFonts w:ascii="Verdana" w:hAnsi="Verdana" w:cs="Arial"/>
          <w:i/>
          <w:iCs/>
          <w:sz w:val="22"/>
          <w:szCs w:val="22"/>
          <w:lang w:val="es-ES"/>
        </w:rPr>
        <w:t>pueda</w:t>
      </w:r>
      <w:r w:rsidR="000A1701">
        <w:rPr>
          <w:rFonts w:ascii="Verdana" w:hAnsi="Verdana" w:cs="Arial"/>
          <w:i/>
          <w:iCs/>
          <w:sz w:val="22"/>
          <w:szCs w:val="22"/>
          <w:lang w:val="es-ES"/>
        </w:rPr>
        <w:t xml:space="preserve"> </w:t>
      </w:r>
      <w:r w:rsidRPr="00BB6F58">
        <w:rPr>
          <w:rFonts w:ascii="Verdana" w:hAnsi="Verdana" w:cs="Arial"/>
          <w:i/>
          <w:iCs/>
          <w:sz w:val="22"/>
          <w:szCs w:val="22"/>
          <w:lang w:val="es-ES"/>
        </w:rPr>
        <w:t>presentar</w:t>
      </w:r>
      <w:r w:rsidR="000A1701">
        <w:rPr>
          <w:rFonts w:ascii="Verdana" w:hAnsi="Verdana" w:cs="Arial"/>
          <w:i/>
          <w:iCs/>
          <w:sz w:val="22"/>
          <w:szCs w:val="22"/>
          <w:lang w:val="es-ES"/>
        </w:rPr>
        <w:t xml:space="preserve"> </w:t>
      </w:r>
      <w:r w:rsidRPr="00BB6F58">
        <w:rPr>
          <w:rFonts w:ascii="Verdana" w:hAnsi="Verdana" w:cs="Arial"/>
          <w:i/>
          <w:iCs/>
          <w:sz w:val="22"/>
          <w:szCs w:val="22"/>
          <w:lang w:val="es-ES"/>
        </w:rPr>
        <w:t>su información financiera y</w:t>
      </w:r>
      <w:r w:rsidR="000A1701">
        <w:rPr>
          <w:rFonts w:ascii="Verdana" w:hAnsi="Verdana" w:cs="Arial"/>
          <w:i/>
          <w:iCs/>
          <w:sz w:val="22"/>
          <w:szCs w:val="22"/>
          <w:lang w:val="es-ES"/>
        </w:rPr>
        <w:t xml:space="preserve"> </w:t>
      </w:r>
      <w:r w:rsidRPr="00BB6F58">
        <w:rPr>
          <w:rFonts w:ascii="Verdana" w:hAnsi="Verdana" w:cs="Arial"/>
          <w:i/>
          <w:iCs/>
          <w:sz w:val="22"/>
          <w:szCs w:val="22"/>
          <w:lang w:val="es-ES"/>
        </w:rPr>
        <w:t>aplicar las siguientes instrucciones, con fundamento en</w:t>
      </w:r>
      <w:r w:rsidR="000A1701">
        <w:rPr>
          <w:rFonts w:ascii="Verdana" w:hAnsi="Verdana" w:cs="Arial"/>
          <w:i/>
          <w:iCs/>
          <w:sz w:val="22"/>
          <w:szCs w:val="22"/>
          <w:lang w:val="es-ES"/>
        </w:rPr>
        <w:t xml:space="preserve"> </w:t>
      </w:r>
      <w:r w:rsidRPr="00BB6F58">
        <w:rPr>
          <w:rFonts w:ascii="Verdana" w:hAnsi="Verdana" w:cs="Arial"/>
          <w:i/>
          <w:iCs/>
          <w:sz w:val="22"/>
          <w:szCs w:val="22"/>
          <w:lang w:val="es-ES"/>
        </w:rPr>
        <w:t>lo previsto en</w:t>
      </w:r>
      <w:r w:rsidR="000A1701">
        <w:rPr>
          <w:rFonts w:ascii="Verdana" w:hAnsi="Verdana" w:cs="Arial"/>
          <w:i/>
          <w:iCs/>
          <w:sz w:val="22"/>
          <w:szCs w:val="22"/>
          <w:lang w:val="es-ES"/>
        </w:rPr>
        <w:t xml:space="preserve"> </w:t>
      </w:r>
      <w:r w:rsidRPr="00BB6F58">
        <w:rPr>
          <w:rFonts w:ascii="Verdana" w:hAnsi="Verdana" w:cs="Arial"/>
          <w:i/>
          <w:iCs/>
          <w:sz w:val="22"/>
          <w:szCs w:val="22"/>
          <w:lang w:val="es-ES"/>
        </w:rPr>
        <w:t>el numeral 9 del artículo</w:t>
      </w:r>
      <w:r w:rsidR="000A1701">
        <w:rPr>
          <w:rFonts w:ascii="Verdana" w:hAnsi="Verdana" w:cs="Arial"/>
          <w:i/>
          <w:iCs/>
          <w:sz w:val="22"/>
          <w:szCs w:val="22"/>
          <w:lang w:val="es-ES"/>
        </w:rPr>
        <w:t xml:space="preserve"> </w:t>
      </w:r>
      <w:r w:rsidR="008541FF" w:rsidRPr="008541FF">
        <w:rPr>
          <w:rFonts w:ascii="Verdana" w:hAnsi="Verdana" w:cs="Arial"/>
          <w:i/>
          <w:iCs/>
          <w:sz w:val="22"/>
          <w:szCs w:val="22"/>
          <w:lang w:val="es-ES"/>
        </w:rPr>
        <w:t>1.1.4.1.5 del Decreto 2420 de 2015, adicionado por medio del Decreto 217 de 2026</w:t>
      </w:r>
      <w:r w:rsidR="00214260">
        <w:rPr>
          <w:rFonts w:ascii="Verdana" w:hAnsi="Verdana" w:cs="Arial"/>
          <w:i/>
          <w:iCs/>
          <w:sz w:val="22"/>
          <w:szCs w:val="22"/>
          <w:lang w:val="es-ES"/>
        </w:rPr>
        <w:t>:</w:t>
      </w:r>
    </w:p>
    <w:p w14:paraId="7E7F67A0" w14:textId="1F860CEC" w:rsidR="00BB6F58" w:rsidRPr="00BB6F58" w:rsidRDefault="00BB6F58" w:rsidP="00BB6F58">
      <w:pPr>
        <w:widowControl w:val="0"/>
        <w:autoSpaceDE w:val="0"/>
        <w:autoSpaceDN w:val="0"/>
        <w:adjustRightInd w:val="0"/>
        <w:spacing w:line="276" w:lineRule="auto"/>
        <w:ind w:left="708"/>
        <w:jc w:val="both"/>
        <w:rPr>
          <w:rFonts w:ascii="Verdana" w:hAnsi="Verdana" w:cs="Arial"/>
          <w:i/>
          <w:iCs/>
          <w:sz w:val="22"/>
          <w:szCs w:val="22"/>
        </w:rPr>
      </w:pPr>
    </w:p>
    <w:p w14:paraId="78B76ACB" w14:textId="00329719" w:rsidR="00BB6F58" w:rsidRPr="009C5118" w:rsidRDefault="00BB6F58" w:rsidP="0058692B">
      <w:pPr>
        <w:pStyle w:val="Prrafodelista"/>
        <w:widowControl w:val="0"/>
        <w:numPr>
          <w:ilvl w:val="1"/>
          <w:numId w:val="40"/>
        </w:numPr>
        <w:autoSpaceDE w:val="0"/>
        <w:autoSpaceDN w:val="0"/>
        <w:adjustRightInd w:val="0"/>
        <w:spacing w:line="276" w:lineRule="auto"/>
        <w:ind w:left="1560" w:hanging="851"/>
        <w:jc w:val="both"/>
        <w:rPr>
          <w:rFonts w:ascii="Verdana" w:hAnsi="Verdana" w:cs="Arial"/>
          <w:b/>
          <w:bCs/>
          <w:i/>
          <w:iCs/>
        </w:rPr>
      </w:pPr>
      <w:r w:rsidRPr="00E643C2">
        <w:rPr>
          <w:rFonts w:ascii="Verdana" w:hAnsi="Verdana" w:cs="Arial"/>
          <w:b/>
          <w:i/>
          <w:lang w:val="es-ES"/>
        </w:rPr>
        <w:t>Reconocimiento de</w:t>
      </w:r>
      <w:r w:rsidR="000A1701">
        <w:rPr>
          <w:rFonts w:ascii="Verdana" w:hAnsi="Verdana" w:cs="Arial"/>
          <w:b/>
          <w:bCs/>
          <w:i/>
          <w:iCs/>
          <w:lang w:val="es-ES"/>
        </w:rPr>
        <w:t xml:space="preserve"> </w:t>
      </w:r>
      <w:r w:rsidRPr="009C5118">
        <w:rPr>
          <w:rFonts w:ascii="Verdana" w:hAnsi="Verdana" w:cs="Arial"/>
          <w:b/>
          <w:bCs/>
          <w:i/>
          <w:iCs/>
          <w:lang w:val="es-ES"/>
        </w:rPr>
        <w:t>las</w:t>
      </w:r>
      <w:r w:rsidR="000A1701">
        <w:rPr>
          <w:rFonts w:ascii="Verdana" w:hAnsi="Verdana" w:cs="Arial"/>
          <w:b/>
          <w:bCs/>
          <w:i/>
          <w:iCs/>
          <w:lang w:val="es-ES"/>
        </w:rPr>
        <w:t xml:space="preserve"> </w:t>
      </w:r>
      <w:r w:rsidRPr="009C5118">
        <w:rPr>
          <w:rFonts w:ascii="Verdana" w:hAnsi="Verdana" w:cs="Arial"/>
          <w:b/>
          <w:bCs/>
          <w:i/>
          <w:iCs/>
          <w:lang w:val="es-ES"/>
        </w:rPr>
        <w:t>variaciones</w:t>
      </w:r>
      <w:r w:rsidR="000A1701">
        <w:rPr>
          <w:rFonts w:ascii="Verdana" w:hAnsi="Verdana" w:cs="Arial"/>
          <w:b/>
          <w:bCs/>
          <w:i/>
          <w:iCs/>
          <w:lang w:val="es-ES"/>
        </w:rPr>
        <w:t xml:space="preserve"> </w:t>
      </w:r>
      <w:r w:rsidRPr="009C5118">
        <w:rPr>
          <w:rFonts w:ascii="Verdana" w:hAnsi="Verdana" w:cs="Arial"/>
          <w:b/>
          <w:bCs/>
          <w:i/>
          <w:iCs/>
          <w:lang w:val="es-ES"/>
        </w:rPr>
        <w:t>netas</w:t>
      </w:r>
      <w:r w:rsidR="000A1701">
        <w:rPr>
          <w:rFonts w:ascii="Verdana" w:hAnsi="Verdana" w:cs="Arial"/>
          <w:b/>
          <w:bCs/>
          <w:i/>
          <w:iCs/>
          <w:lang w:val="es-ES"/>
        </w:rPr>
        <w:t xml:space="preserve"> </w:t>
      </w:r>
      <w:r w:rsidRPr="009C5118">
        <w:rPr>
          <w:rFonts w:ascii="Verdana" w:hAnsi="Verdana" w:cs="Arial"/>
          <w:b/>
          <w:bCs/>
          <w:i/>
          <w:iCs/>
          <w:lang w:val="es-ES"/>
        </w:rPr>
        <w:t>positivas o negativas</w:t>
      </w:r>
      <w:r w:rsidR="00FF6546">
        <w:rPr>
          <w:rFonts w:ascii="Verdana" w:hAnsi="Verdana" w:cs="Arial"/>
          <w:b/>
          <w:bCs/>
          <w:i/>
          <w:iCs/>
          <w:lang w:val="es-ES"/>
        </w:rPr>
        <w:t xml:space="preserve"> </w:t>
      </w:r>
      <w:r w:rsidRPr="009C5118">
        <w:rPr>
          <w:rFonts w:ascii="Verdana" w:hAnsi="Verdana" w:cs="Arial"/>
          <w:b/>
          <w:bCs/>
          <w:i/>
          <w:iCs/>
          <w:lang w:val="es-ES"/>
        </w:rPr>
        <w:t>para los</w:t>
      </w:r>
      <w:r w:rsidR="00FF6546">
        <w:rPr>
          <w:rFonts w:ascii="Verdana" w:hAnsi="Verdana" w:cs="Arial"/>
          <w:b/>
          <w:bCs/>
          <w:i/>
          <w:iCs/>
          <w:lang w:val="es-ES"/>
        </w:rPr>
        <w:t xml:space="preserve"> </w:t>
      </w:r>
      <w:r w:rsidRPr="009C5118">
        <w:rPr>
          <w:rFonts w:ascii="Verdana" w:hAnsi="Verdana" w:cs="Arial"/>
          <w:b/>
          <w:bCs/>
          <w:i/>
          <w:iCs/>
          <w:lang w:val="es-ES"/>
        </w:rPr>
        <w:t xml:space="preserve">ramos distintos a los señalados en el literal (c) del numeral 3 del artículo </w:t>
      </w:r>
      <w:r w:rsidR="000A479D" w:rsidRPr="009C5118">
        <w:rPr>
          <w:rFonts w:ascii="Verdana" w:hAnsi="Verdana" w:cs="Arial"/>
          <w:b/>
          <w:bCs/>
          <w:i/>
          <w:iCs/>
          <w:lang w:val="es-ES"/>
        </w:rPr>
        <w:t>1.1.4.1.5 del Decreto 2420 de 2015, adicionado por medio del Decreto 217 de 2026</w:t>
      </w:r>
      <w:r w:rsidRPr="009C5118">
        <w:rPr>
          <w:rFonts w:ascii="Verdana" w:hAnsi="Verdana" w:cs="Arial"/>
          <w:b/>
          <w:bCs/>
          <w:i/>
          <w:iCs/>
          <w:lang w:val="es-ES"/>
        </w:rPr>
        <w:t>.</w:t>
      </w:r>
    </w:p>
    <w:p w14:paraId="2F88EFBF" w14:textId="39AF83A9" w:rsidR="00BB6F58" w:rsidRPr="00BB6F58" w:rsidRDefault="00BB6F58" w:rsidP="00BB6F58">
      <w:pPr>
        <w:widowControl w:val="0"/>
        <w:autoSpaceDE w:val="0"/>
        <w:autoSpaceDN w:val="0"/>
        <w:adjustRightInd w:val="0"/>
        <w:spacing w:line="276" w:lineRule="auto"/>
        <w:ind w:left="708"/>
        <w:jc w:val="both"/>
        <w:rPr>
          <w:rFonts w:ascii="Verdana" w:hAnsi="Verdana" w:cs="Arial"/>
          <w:i/>
          <w:iCs/>
          <w:sz w:val="22"/>
          <w:szCs w:val="22"/>
        </w:rPr>
      </w:pPr>
    </w:p>
    <w:p w14:paraId="336251EC" w14:textId="1A19058B" w:rsidR="00BB6F58" w:rsidRPr="009C5118" w:rsidRDefault="00BB6F58" w:rsidP="00BB6F58">
      <w:pPr>
        <w:widowControl w:val="0"/>
        <w:autoSpaceDE w:val="0"/>
        <w:autoSpaceDN w:val="0"/>
        <w:adjustRightInd w:val="0"/>
        <w:spacing w:line="276" w:lineRule="auto"/>
        <w:ind w:left="708"/>
        <w:jc w:val="both"/>
        <w:rPr>
          <w:rFonts w:ascii="Verdana" w:hAnsi="Verdana" w:cs="Arial"/>
          <w:i/>
          <w:iCs/>
          <w:sz w:val="22"/>
          <w:szCs w:val="22"/>
          <w:lang w:val="es-ES"/>
        </w:rPr>
      </w:pPr>
      <w:r w:rsidRPr="00BB6F58">
        <w:rPr>
          <w:rFonts w:ascii="Verdana" w:hAnsi="Verdana" w:cs="Arial"/>
          <w:i/>
          <w:iCs/>
          <w:sz w:val="22"/>
          <w:szCs w:val="22"/>
          <w:lang w:val="es-ES"/>
        </w:rPr>
        <w:t xml:space="preserve">En los ramos distintos a los señalados en el literal (c) del numeral 3 del artículo </w:t>
      </w:r>
      <w:r w:rsidR="000A479D" w:rsidRPr="000A479D">
        <w:rPr>
          <w:rFonts w:ascii="Verdana" w:hAnsi="Verdana" w:cs="Arial"/>
          <w:i/>
          <w:iCs/>
          <w:sz w:val="22"/>
          <w:szCs w:val="22"/>
          <w:lang w:val="es-ES"/>
        </w:rPr>
        <w:t>1.1.4.1.5 del Decreto 2420 de 2015, adicionado por medio del Decreto 217 de 2026</w:t>
      </w:r>
      <w:r w:rsidRPr="00BB6F58">
        <w:rPr>
          <w:rFonts w:ascii="Verdana" w:hAnsi="Verdana" w:cs="Arial"/>
          <w:i/>
          <w:iCs/>
          <w:sz w:val="22"/>
          <w:szCs w:val="22"/>
          <w:lang w:val="es-ES"/>
        </w:rPr>
        <w:t>,</w:t>
      </w:r>
      <w:r w:rsidR="000F3789">
        <w:rPr>
          <w:rFonts w:ascii="Verdana" w:hAnsi="Verdana" w:cs="Arial"/>
          <w:i/>
          <w:iCs/>
          <w:sz w:val="22"/>
          <w:szCs w:val="22"/>
          <w:lang w:val="es-ES"/>
        </w:rPr>
        <w:t xml:space="preserve"> </w:t>
      </w:r>
      <w:r w:rsidRPr="00BB6F58">
        <w:rPr>
          <w:rFonts w:ascii="Verdana" w:hAnsi="Verdana" w:cs="Arial"/>
          <w:i/>
          <w:iCs/>
          <w:sz w:val="22"/>
          <w:szCs w:val="22"/>
          <w:lang w:val="es-ES"/>
        </w:rPr>
        <w:t>cuando</w:t>
      </w:r>
      <w:r w:rsidR="000F3789">
        <w:rPr>
          <w:rFonts w:ascii="Verdana" w:hAnsi="Verdana" w:cs="Arial"/>
          <w:i/>
          <w:iCs/>
          <w:sz w:val="22"/>
          <w:szCs w:val="22"/>
          <w:lang w:val="es-ES"/>
        </w:rPr>
        <w:t xml:space="preserve"> </w:t>
      </w:r>
      <w:r w:rsidRPr="00BB6F58">
        <w:rPr>
          <w:rFonts w:ascii="Verdana" w:hAnsi="Verdana" w:cs="Arial"/>
          <w:i/>
          <w:iCs/>
          <w:sz w:val="22"/>
          <w:szCs w:val="22"/>
          <w:lang w:val="es-ES"/>
        </w:rPr>
        <w:t>la medición de los</w:t>
      </w:r>
      <w:r w:rsidR="000F3789">
        <w:rPr>
          <w:rFonts w:ascii="Verdana" w:hAnsi="Verdana" w:cs="Arial"/>
          <w:i/>
          <w:iCs/>
          <w:sz w:val="22"/>
          <w:szCs w:val="22"/>
          <w:lang w:val="es-ES"/>
        </w:rPr>
        <w:t xml:space="preserve"> </w:t>
      </w:r>
      <w:r w:rsidRPr="00BB6F58">
        <w:rPr>
          <w:rFonts w:ascii="Verdana" w:hAnsi="Verdana" w:cs="Arial"/>
          <w:i/>
          <w:iCs/>
          <w:sz w:val="22"/>
          <w:szCs w:val="22"/>
          <w:lang w:val="es-ES"/>
        </w:rPr>
        <w:t>activos por</w:t>
      </w:r>
      <w:r w:rsidR="000F3789">
        <w:rPr>
          <w:rFonts w:ascii="Verdana" w:hAnsi="Verdana" w:cs="Arial"/>
          <w:i/>
          <w:iCs/>
          <w:sz w:val="22"/>
          <w:szCs w:val="22"/>
          <w:lang w:val="es-ES"/>
        </w:rPr>
        <w:t xml:space="preserve"> </w:t>
      </w:r>
      <w:r w:rsidRPr="00BB6F58">
        <w:rPr>
          <w:rFonts w:ascii="Verdana" w:hAnsi="Verdana" w:cs="Arial"/>
          <w:i/>
          <w:iCs/>
          <w:sz w:val="22"/>
          <w:szCs w:val="22"/>
          <w:lang w:val="es-ES"/>
        </w:rPr>
        <w:t>contratos de</w:t>
      </w:r>
      <w:r w:rsidR="000F3789">
        <w:rPr>
          <w:rFonts w:ascii="Verdana" w:hAnsi="Verdana" w:cs="Arial"/>
          <w:i/>
          <w:iCs/>
          <w:sz w:val="22"/>
          <w:szCs w:val="22"/>
          <w:lang w:val="es-ES"/>
        </w:rPr>
        <w:t xml:space="preserve"> </w:t>
      </w:r>
      <w:r w:rsidRPr="00BB6F58">
        <w:rPr>
          <w:rFonts w:ascii="Verdana" w:hAnsi="Verdana" w:cs="Arial"/>
          <w:i/>
          <w:iCs/>
          <w:sz w:val="22"/>
          <w:szCs w:val="22"/>
          <w:lang w:val="es-ES"/>
        </w:rPr>
        <w:t>reaseguro mantenidos</w:t>
      </w:r>
      <w:r w:rsidR="000F3789">
        <w:rPr>
          <w:rFonts w:ascii="Verdana" w:hAnsi="Verdana" w:cs="Arial"/>
          <w:i/>
          <w:iCs/>
          <w:sz w:val="22"/>
          <w:szCs w:val="22"/>
          <w:lang w:val="es-ES"/>
        </w:rPr>
        <w:t xml:space="preserve"> </w:t>
      </w:r>
      <w:r w:rsidRPr="00BB6F58">
        <w:rPr>
          <w:rFonts w:ascii="Verdana" w:hAnsi="Verdana" w:cs="Arial"/>
          <w:i/>
          <w:iCs/>
          <w:sz w:val="22"/>
          <w:szCs w:val="22"/>
          <w:lang w:val="es-ES"/>
        </w:rPr>
        <w:t>y de los</w:t>
      </w:r>
      <w:r w:rsidR="000F3789">
        <w:rPr>
          <w:rFonts w:ascii="Verdana" w:hAnsi="Verdana" w:cs="Arial"/>
          <w:i/>
          <w:iCs/>
          <w:sz w:val="22"/>
          <w:szCs w:val="22"/>
          <w:lang w:val="es-ES"/>
        </w:rPr>
        <w:t xml:space="preserve"> </w:t>
      </w:r>
      <w:r w:rsidRPr="00BB6F58">
        <w:rPr>
          <w:rFonts w:ascii="Verdana" w:hAnsi="Verdana" w:cs="Arial"/>
          <w:i/>
          <w:iCs/>
          <w:sz w:val="22"/>
          <w:szCs w:val="22"/>
          <w:lang w:val="es-ES"/>
        </w:rPr>
        <w:t>pasivos</w:t>
      </w:r>
      <w:r w:rsidR="000F3789">
        <w:rPr>
          <w:rFonts w:ascii="Verdana" w:hAnsi="Verdana" w:cs="Arial"/>
          <w:i/>
          <w:iCs/>
          <w:sz w:val="22"/>
          <w:szCs w:val="22"/>
          <w:lang w:val="es-ES"/>
        </w:rPr>
        <w:t xml:space="preserve"> </w:t>
      </w:r>
      <w:r w:rsidRPr="00BB6F58">
        <w:rPr>
          <w:rFonts w:ascii="Verdana" w:hAnsi="Verdana" w:cs="Arial"/>
          <w:i/>
          <w:iCs/>
          <w:sz w:val="22"/>
          <w:szCs w:val="22"/>
          <w:lang w:val="es-ES"/>
        </w:rPr>
        <w:t>de las entidades aseguradoras,</w:t>
      </w:r>
      <w:r w:rsidR="000F3789">
        <w:rPr>
          <w:rFonts w:ascii="Verdana" w:hAnsi="Verdana" w:cs="Arial"/>
          <w:i/>
          <w:iCs/>
          <w:sz w:val="22"/>
          <w:szCs w:val="22"/>
          <w:lang w:val="es-ES"/>
        </w:rPr>
        <w:t xml:space="preserve"> </w:t>
      </w:r>
      <w:r w:rsidRPr="00BB6F58">
        <w:rPr>
          <w:rFonts w:ascii="Verdana" w:hAnsi="Verdana" w:cs="Arial"/>
          <w:i/>
          <w:iCs/>
          <w:sz w:val="22"/>
          <w:szCs w:val="22"/>
          <w:lang w:val="es-ES"/>
        </w:rPr>
        <w:t>correspondientes a</w:t>
      </w:r>
      <w:r w:rsidR="000F3789">
        <w:rPr>
          <w:rFonts w:ascii="Verdana" w:hAnsi="Verdana" w:cs="Arial"/>
          <w:i/>
          <w:iCs/>
          <w:sz w:val="22"/>
          <w:szCs w:val="22"/>
          <w:lang w:val="es-ES"/>
        </w:rPr>
        <w:t xml:space="preserve"> </w:t>
      </w:r>
      <w:r w:rsidRPr="00BB6F58">
        <w:rPr>
          <w:rFonts w:ascii="Verdana" w:hAnsi="Verdana" w:cs="Arial"/>
          <w:i/>
          <w:iCs/>
          <w:sz w:val="22"/>
          <w:szCs w:val="22"/>
          <w:lang w:val="es-ES"/>
        </w:rPr>
        <w:t>contratos</w:t>
      </w:r>
      <w:r w:rsidR="000F3789">
        <w:rPr>
          <w:rFonts w:ascii="Verdana" w:hAnsi="Verdana" w:cs="Arial"/>
          <w:i/>
          <w:iCs/>
          <w:sz w:val="22"/>
          <w:szCs w:val="22"/>
          <w:lang w:val="es-ES"/>
        </w:rPr>
        <w:t xml:space="preserve"> </w:t>
      </w:r>
      <w:r w:rsidRPr="00BB6F58">
        <w:rPr>
          <w:rFonts w:ascii="Verdana" w:hAnsi="Verdana" w:cs="Arial"/>
          <w:i/>
          <w:iCs/>
          <w:sz w:val="22"/>
          <w:szCs w:val="22"/>
          <w:lang w:val="es-ES"/>
        </w:rPr>
        <w:t xml:space="preserve">de seguro vigentes al </w:t>
      </w:r>
      <w:r w:rsidRPr="009C5118">
        <w:rPr>
          <w:rFonts w:ascii="Verdana" w:hAnsi="Verdana" w:cs="Arial"/>
          <w:i/>
          <w:iCs/>
          <w:sz w:val="22"/>
          <w:szCs w:val="22"/>
          <w:lang w:val="es-ES"/>
        </w:rPr>
        <w:t>1 de enero de 202</w:t>
      </w:r>
      <w:r w:rsidR="000A479D" w:rsidRPr="009C5118">
        <w:rPr>
          <w:rFonts w:ascii="Verdana" w:hAnsi="Verdana" w:cs="Arial"/>
          <w:i/>
          <w:iCs/>
          <w:sz w:val="22"/>
          <w:szCs w:val="22"/>
          <w:lang w:val="es-ES"/>
        </w:rPr>
        <w:t>8</w:t>
      </w:r>
      <w:r w:rsidR="000F3789">
        <w:rPr>
          <w:rFonts w:ascii="Verdana" w:hAnsi="Verdana" w:cs="Arial"/>
          <w:i/>
          <w:iCs/>
          <w:sz w:val="22"/>
          <w:szCs w:val="22"/>
          <w:lang w:val="es-ES"/>
        </w:rPr>
        <w:t xml:space="preserve"> </w:t>
      </w:r>
      <w:r w:rsidRPr="00BB6F58">
        <w:rPr>
          <w:rFonts w:ascii="Verdana" w:hAnsi="Verdana" w:cs="Arial"/>
          <w:i/>
          <w:iCs/>
          <w:sz w:val="22"/>
          <w:szCs w:val="22"/>
          <w:lang w:val="es-ES"/>
        </w:rPr>
        <w:t>y</w:t>
      </w:r>
      <w:r w:rsidR="000F3789">
        <w:rPr>
          <w:rFonts w:ascii="Verdana" w:hAnsi="Verdana" w:cs="Arial"/>
          <w:i/>
          <w:iCs/>
          <w:sz w:val="22"/>
          <w:szCs w:val="22"/>
          <w:lang w:val="es-ES"/>
        </w:rPr>
        <w:t xml:space="preserve"> </w:t>
      </w:r>
      <w:r w:rsidRPr="00BB6F58">
        <w:rPr>
          <w:rFonts w:ascii="Verdana" w:hAnsi="Verdana" w:cs="Arial"/>
          <w:i/>
          <w:iCs/>
          <w:sz w:val="22"/>
          <w:szCs w:val="22"/>
          <w:lang w:val="es-ES"/>
        </w:rPr>
        <w:t>a</w:t>
      </w:r>
      <w:r w:rsidR="000F3789">
        <w:rPr>
          <w:rFonts w:ascii="Verdana" w:hAnsi="Verdana" w:cs="Arial"/>
          <w:i/>
          <w:iCs/>
          <w:sz w:val="22"/>
          <w:szCs w:val="22"/>
          <w:lang w:val="es-ES"/>
        </w:rPr>
        <w:t xml:space="preserve"> </w:t>
      </w:r>
      <w:r w:rsidRPr="00BB6F58">
        <w:rPr>
          <w:rFonts w:ascii="Verdana" w:hAnsi="Verdana" w:cs="Arial"/>
          <w:i/>
          <w:iCs/>
          <w:sz w:val="22"/>
          <w:szCs w:val="22"/>
          <w:lang w:val="es-ES"/>
        </w:rPr>
        <w:t>obligaciones pendientes de</w:t>
      </w:r>
      <w:r w:rsidR="000F3789">
        <w:rPr>
          <w:rFonts w:ascii="Verdana" w:hAnsi="Verdana" w:cs="Arial"/>
          <w:i/>
          <w:iCs/>
          <w:sz w:val="22"/>
          <w:szCs w:val="22"/>
          <w:lang w:val="es-ES"/>
        </w:rPr>
        <w:t xml:space="preserve"> </w:t>
      </w:r>
      <w:r w:rsidRPr="00BB6F58">
        <w:rPr>
          <w:rFonts w:ascii="Verdana" w:hAnsi="Verdana" w:cs="Arial"/>
          <w:i/>
          <w:iCs/>
          <w:sz w:val="22"/>
          <w:szCs w:val="22"/>
          <w:lang w:val="es-ES"/>
        </w:rPr>
        <w:t>contratos de seguro expedidos antes</w:t>
      </w:r>
      <w:r w:rsidR="000F3789">
        <w:rPr>
          <w:rFonts w:ascii="Verdana" w:hAnsi="Verdana" w:cs="Arial"/>
          <w:i/>
          <w:iCs/>
          <w:sz w:val="22"/>
          <w:szCs w:val="22"/>
          <w:lang w:val="es-ES"/>
        </w:rPr>
        <w:t xml:space="preserve"> </w:t>
      </w:r>
      <w:r w:rsidRPr="00BB6F58">
        <w:rPr>
          <w:rFonts w:ascii="Verdana" w:hAnsi="Verdana" w:cs="Arial"/>
          <w:i/>
          <w:iCs/>
          <w:sz w:val="22"/>
          <w:szCs w:val="22"/>
          <w:lang w:val="es-ES"/>
        </w:rPr>
        <w:t>de esa fecha,</w:t>
      </w:r>
      <w:r w:rsidR="000F3789">
        <w:rPr>
          <w:rFonts w:ascii="Verdana" w:hAnsi="Verdana" w:cs="Arial"/>
          <w:i/>
          <w:iCs/>
          <w:sz w:val="22"/>
          <w:szCs w:val="22"/>
          <w:lang w:val="es-ES"/>
        </w:rPr>
        <w:t xml:space="preserve"> </w:t>
      </w:r>
      <w:r w:rsidRPr="00BB6F58">
        <w:rPr>
          <w:rFonts w:ascii="Verdana" w:hAnsi="Verdana" w:cs="Arial"/>
          <w:i/>
          <w:iCs/>
          <w:sz w:val="22"/>
          <w:szCs w:val="22"/>
          <w:lang w:val="es-ES"/>
        </w:rPr>
        <w:t>genere</w:t>
      </w:r>
      <w:r w:rsidR="000F3789">
        <w:rPr>
          <w:rFonts w:ascii="Verdana" w:hAnsi="Verdana" w:cs="Arial"/>
          <w:i/>
          <w:iCs/>
          <w:sz w:val="22"/>
          <w:szCs w:val="22"/>
          <w:lang w:val="es-ES"/>
        </w:rPr>
        <w:t xml:space="preserve"> </w:t>
      </w:r>
      <w:r w:rsidRPr="00BB6F58">
        <w:rPr>
          <w:rFonts w:ascii="Verdana" w:hAnsi="Verdana" w:cs="Arial"/>
          <w:i/>
          <w:iCs/>
          <w:sz w:val="22"/>
          <w:szCs w:val="22"/>
          <w:lang w:val="es-ES"/>
        </w:rPr>
        <w:t>una diferencia neta</w:t>
      </w:r>
      <w:r w:rsidR="000F3789">
        <w:rPr>
          <w:rFonts w:ascii="Verdana" w:hAnsi="Verdana" w:cs="Arial"/>
          <w:i/>
          <w:iCs/>
          <w:sz w:val="22"/>
          <w:szCs w:val="22"/>
          <w:lang w:val="es-ES"/>
        </w:rPr>
        <w:t xml:space="preserve"> </w:t>
      </w:r>
      <w:r w:rsidRPr="00BB6F58">
        <w:rPr>
          <w:rFonts w:ascii="Verdana" w:hAnsi="Verdana" w:cs="Arial"/>
          <w:i/>
          <w:iCs/>
          <w:sz w:val="22"/>
          <w:szCs w:val="22"/>
          <w:lang w:val="es-ES"/>
        </w:rPr>
        <w:t>positiva o negativa en sus estados financieros, las entidades deberán: (i)</w:t>
      </w:r>
      <w:r w:rsidR="000F3789">
        <w:rPr>
          <w:rFonts w:ascii="Verdana" w:hAnsi="Verdana" w:cs="Arial"/>
          <w:i/>
          <w:iCs/>
          <w:sz w:val="22"/>
          <w:szCs w:val="22"/>
          <w:lang w:val="es-ES"/>
        </w:rPr>
        <w:t xml:space="preserve"> </w:t>
      </w:r>
      <w:r w:rsidRPr="00BB6F58">
        <w:rPr>
          <w:rFonts w:ascii="Verdana" w:hAnsi="Verdana" w:cs="Arial"/>
          <w:i/>
          <w:iCs/>
          <w:sz w:val="22"/>
          <w:szCs w:val="22"/>
          <w:lang w:val="es-ES"/>
        </w:rPr>
        <w:t>reconocer</w:t>
      </w:r>
      <w:r w:rsidR="000F3789">
        <w:rPr>
          <w:rFonts w:ascii="Verdana" w:hAnsi="Verdana" w:cs="Arial"/>
          <w:i/>
          <w:iCs/>
          <w:sz w:val="22"/>
          <w:szCs w:val="22"/>
          <w:lang w:val="es-ES"/>
        </w:rPr>
        <w:t xml:space="preserve"> </w:t>
      </w:r>
      <w:r w:rsidRPr="00BB6F58">
        <w:rPr>
          <w:rFonts w:ascii="Verdana" w:hAnsi="Verdana" w:cs="Arial"/>
          <w:i/>
          <w:iCs/>
          <w:sz w:val="22"/>
          <w:szCs w:val="22"/>
          <w:lang w:val="es-ES"/>
        </w:rPr>
        <w:t>la variación correspondiente en</w:t>
      </w:r>
      <w:r w:rsidR="000F3789">
        <w:rPr>
          <w:rFonts w:ascii="Verdana" w:hAnsi="Verdana" w:cs="Arial"/>
          <w:i/>
          <w:iCs/>
          <w:sz w:val="22"/>
          <w:szCs w:val="22"/>
          <w:lang w:val="es-ES"/>
        </w:rPr>
        <w:t xml:space="preserve"> </w:t>
      </w:r>
      <w:r w:rsidRPr="00BB6F58">
        <w:rPr>
          <w:rFonts w:ascii="Verdana" w:hAnsi="Verdana" w:cs="Arial"/>
          <w:i/>
          <w:iCs/>
          <w:sz w:val="22"/>
          <w:szCs w:val="22"/>
          <w:lang w:val="es-ES"/>
        </w:rPr>
        <w:t>el activo y en</w:t>
      </w:r>
      <w:r w:rsidR="000F3789">
        <w:rPr>
          <w:rFonts w:ascii="Verdana" w:hAnsi="Verdana" w:cs="Arial"/>
          <w:i/>
          <w:iCs/>
          <w:sz w:val="22"/>
          <w:szCs w:val="22"/>
          <w:lang w:val="es-ES"/>
        </w:rPr>
        <w:t xml:space="preserve"> </w:t>
      </w:r>
      <w:r w:rsidRPr="00BB6F58">
        <w:rPr>
          <w:rFonts w:ascii="Verdana" w:hAnsi="Verdana" w:cs="Arial"/>
          <w:i/>
          <w:iCs/>
          <w:sz w:val="22"/>
          <w:szCs w:val="22"/>
          <w:lang w:val="es-ES"/>
        </w:rPr>
        <w:t>el pasivo</w:t>
      </w:r>
      <w:r w:rsidR="000F3789">
        <w:rPr>
          <w:rFonts w:ascii="Verdana" w:hAnsi="Verdana" w:cs="Arial"/>
          <w:i/>
          <w:iCs/>
          <w:sz w:val="22"/>
          <w:szCs w:val="22"/>
          <w:lang w:val="es-ES"/>
        </w:rPr>
        <w:t xml:space="preserve"> </w:t>
      </w:r>
      <w:r w:rsidRPr="00BB6F58">
        <w:rPr>
          <w:rFonts w:ascii="Verdana" w:hAnsi="Verdana" w:cs="Arial"/>
          <w:i/>
          <w:iCs/>
          <w:sz w:val="22"/>
          <w:szCs w:val="22"/>
          <w:lang w:val="es-ES"/>
        </w:rPr>
        <w:t>y (ii)</w:t>
      </w:r>
      <w:r w:rsidR="000F3789">
        <w:rPr>
          <w:rFonts w:ascii="Verdana" w:hAnsi="Verdana" w:cs="Arial"/>
          <w:i/>
          <w:iCs/>
          <w:sz w:val="22"/>
          <w:szCs w:val="22"/>
          <w:lang w:val="es-ES"/>
        </w:rPr>
        <w:t xml:space="preserve"> </w:t>
      </w:r>
      <w:r w:rsidRPr="00BB6F58">
        <w:rPr>
          <w:rFonts w:ascii="Verdana" w:hAnsi="Verdana" w:cs="Arial"/>
          <w:i/>
          <w:iCs/>
          <w:sz w:val="22"/>
          <w:szCs w:val="22"/>
          <w:lang w:val="es-ES"/>
        </w:rPr>
        <w:t>reflejar</w:t>
      </w:r>
      <w:r w:rsidR="000F3789">
        <w:rPr>
          <w:rFonts w:ascii="Verdana" w:hAnsi="Verdana" w:cs="Arial"/>
          <w:i/>
          <w:iCs/>
          <w:sz w:val="22"/>
          <w:szCs w:val="22"/>
          <w:lang w:val="es-ES"/>
        </w:rPr>
        <w:t xml:space="preserve"> </w:t>
      </w:r>
      <w:r w:rsidRPr="00BB6F58">
        <w:rPr>
          <w:rFonts w:ascii="Verdana" w:hAnsi="Verdana" w:cs="Arial"/>
          <w:i/>
          <w:iCs/>
          <w:sz w:val="22"/>
          <w:szCs w:val="22"/>
          <w:lang w:val="es-ES"/>
        </w:rPr>
        <w:t>en el patrimonio</w:t>
      </w:r>
      <w:r w:rsidR="000F3789">
        <w:rPr>
          <w:rFonts w:ascii="Verdana" w:hAnsi="Verdana" w:cs="Arial"/>
          <w:i/>
          <w:iCs/>
          <w:sz w:val="22"/>
          <w:szCs w:val="22"/>
          <w:lang w:val="es-ES"/>
        </w:rPr>
        <w:t xml:space="preserve"> </w:t>
      </w:r>
      <w:r w:rsidRPr="00BB6F58">
        <w:rPr>
          <w:rFonts w:ascii="Verdana" w:hAnsi="Verdana" w:cs="Arial"/>
          <w:i/>
          <w:iCs/>
          <w:sz w:val="22"/>
          <w:szCs w:val="22"/>
          <w:lang w:val="es-ES"/>
        </w:rPr>
        <w:t>el efecto asociado</w:t>
      </w:r>
      <w:r w:rsidR="000F3789">
        <w:rPr>
          <w:rFonts w:ascii="Verdana" w:hAnsi="Verdana" w:cs="Arial"/>
          <w:i/>
          <w:iCs/>
          <w:sz w:val="22"/>
          <w:szCs w:val="22"/>
          <w:lang w:val="es-ES"/>
        </w:rPr>
        <w:t xml:space="preserve"> </w:t>
      </w:r>
      <w:r w:rsidRPr="00BB6F58">
        <w:rPr>
          <w:rFonts w:ascii="Verdana" w:hAnsi="Verdana" w:cs="Arial"/>
          <w:i/>
          <w:iCs/>
          <w:sz w:val="22"/>
          <w:szCs w:val="22"/>
          <w:lang w:val="es-ES"/>
        </w:rPr>
        <w:t>por el valor</w:t>
      </w:r>
      <w:r w:rsidR="000F3789">
        <w:rPr>
          <w:rFonts w:ascii="Verdana" w:hAnsi="Verdana" w:cs="Arial"/>
          <w:i/>
          <w:iCs/>
          <w:sz w:val="22"/>
          <w:szCs w:val="22"/>
          <w:lang w:val="es-ES"/>
        </w:rPr>
        <w:t xml:space="preserve"> </w:t>
      </w:r>
      <w:r w:rsidRPr="00BB6F58">
        <w:rPr>
          <w:rFonts w:ascii="Verdana" w:hAnsi="Verdana" w:cs="Arial"/>
          <w:i/>
          <w:iCs/>
          <w:sz w:val="22"/>
          <w:szCs w:val="22"/>
          <w:lang w:val="es-ES"/>
        </w:rPr>
        <w:t xml:space="preserve">de la diferencia neta calculada al </w:t>
      </w:r>
      <w:r w:rsidRPr="009C5118">
        <w:rPr>
          <w:rFonts w:ascii="Verdana" w:hAnsi="Verdana" w:cs="Arial"/>
          <w:i/>
          <w:iCs/>
          <w:sz w:val="22"/>
          <w:szCs w:val="22"/>
          <w:lang w:val="es-ES"/>
        </w:rPr>
        <w:t>1 de enero de 202</w:t>
      </w:r>
      <w:r w:rsidR="000A479D" w:rsidRPr="009C5118">
        <w:rPr>
          <w:rFonts w:ascii="Verdana" w:hAnsi="Verdana" w:cs="Arial"/>
          <w:i/>
          <w:iCs/>
          <w:sz w:val="22"/>
          <w:szCs w:val="22"/>
          <w:lang w:val="es-ES"/>
        </w:rPr>
        <w:t>8</w:t>
      </w:r>
      <w:r w:rsidRPr="009C5118">
        <w:rPr>
          <w:rFonts w:ascii="Verdana" w:hAnsi="Verdana" w:cs="Arial"/>
          <w:i/>
          <w:iCs/>
          <w:sz w:val="22"/>
          <w:szCs w:val="22"/>
          <w:lang w:val="es-ES"/>
        </w:rPr>
        <w:t>.</w:t>
      </w:r>
    </w:p>
    <w:p w14:paraId="5DED94E9" w14:textId="2C993347" w:rsidR="00BB6F58" w:rsidRPr="00BB6F58" w:rsidRDefault="00BB6F58" w:rsidP="00BB6F58">
      <w:pPr>
        <w:widowControl w:val="0"/>
        <w:autoSpaceDE w:val="0"/>
        <w:autoSpaceDN w:val="0"/>
        <w:adjustRightInd w:val="0"/>
        <w:spacing w:line="276" w:lineRule="auto"/>
        <w:ind w:left="708"/>
        <w:jc w:val="both"/>
        <w:rPr>
          <w:rFonts w:ascii="Verdana" w:hAnsi="Verdana" w:cs="Arial"/>
          <w:i/>
          <w:iCs/>
          <w:sz w:val="22"/>
          <w:szCs w:val="22"/>
        </w:rPr>
      </w:pPr>
    </w:p>
    <w:p w14:paraId="7E76A81A" w14:textId="4B0060BE" w:rsidR="00BB6F58" w:rsidRPr="00BB6F58" w:rsidRDefault="00BB6F58" w:rsidP="00BB6F58">
      <w:pPr>
        <w:widowControl w:val="0"/>
        <w:autoSpaceDE w:val="0"/>
        <w:autoSpaceDN w:val="0"/>
        <w:adjustRightInd w:val="0"/>
        <w:spacing w:line="276" w:lineRule="auto"/>
        <w:ind w:left="708"/>
        <w:jc w:val="both"/>
        <w:rPr>
          <w:rFonts w:ascii="Verdana" w:hAnsi="Verdana" w:cs="Arial"/>
          <w:i/>
          <w:iCs/>
          <w:sz w:val="22"/>
          <w:szCs w:val="22"/>
        </w:rPr>
      </w:pPr>
      <w:r w:rsidRPr="00BB6F58">
        <w:rPr>
          <w:rFonts w:ascii="Verdana" w:hAnsi="Verdana" w:cs="Arial"/>
          <w:i/>
          <w:iCs/>
          <w:sz w:val="22"/>
          <w:szCs w:val="22"/>
          <w:lang w:val="es-ES"/>
        </w:rPr>
        <w:t>En este sentido, las entidades deben</w:t>
      </w:r>
      <w:r w:rsidR="000F3789">
        <w:rPr>
          <w:rFonts w:ascii="Verdana" w:hAnsi="Verdana" w:cs="Arial"/>
          <w:i/>
          <w:iCs/>
          <w:sz w:val="22"/>
          <w:szCs w:val="22"/>
          <w:lang w:val="es-ES"/>
        </w:rPr>
        <w:t xml:space="preserve"> </w:t>
      </w:r>
      <w:r w:rsidRPr="00BB6F58">
        <w:rPr>
          <w:rFonts w:ascii="Verdana" w:hAnsi="Verdana" w:cs="Arial"/>
          <w:i/>
          <w:iCs/>
          <w:sz w:val="22"/>
          <w:szCs w:val="22"/>
          <w:lang w:val="es-ES"/>
        </w:rPr>
        <w:t>reconocer</w:t>
      </w:r>
      <w:r w:rsidR="000F3789">
        <w:rPr>
          <w:rFonts w:ascii="Verdana" w:hAnsi="Verdana" w:cs="Arial"/>
          <w:i/>
          <w:iCs/>
          <w:sz w:val="22"/>
          <w:szCs w:val="22"/>
          <w:lang w:val="es-ES"/>
        </w:rPr>
        <w:t xml:space="preserve"> </w:t>
      </w:r>
      <w:r w:rsidRPr="00BB6F58">
        <w:rPr>
          <w:rFonts w:ascii="Verdana" w:hAnsi="Verdana" w:cs="Arial"/>
          <w:i/>
          <w:iCs/>
          <w:sz w:val="22"/>
          <w:szCs w:val="22"/>
          <w:lang w:val="es-ES"/>
        </w:rPr>
        <w:t>la diferencia neta</w:t>
      </w:r>
      <w:r w:rsidR="000F3789">
        <w:rPr>
          <w:rFonts w:ascii="Verdana" w:hAnsi="Verdana" w:cs="Arial"/>
          <w:i/>
          <w:iCs/>
          <w:sz w:val="22"/>
          <w:szCs w:val="22"/>
          <w:lang w:val="es-ES"/>
        </w:rPr>
        <w:t xml:space="preserve"> </w:t>
      </w:r>
      <w:r w:rsidRPr="00BB6F58">
        <w:rPr>
          <w:rFonts w:ascii="Verdana" w:hAnsi="Verdana" w:cs="Arial"/>
          <w:i/>
          <w:iCs/>
          <w:sz w:val="22"/>
          <w:szCs w:val="22"/>
          <w:lang w:val="es-ES"/>
        </w:rPr>
        <w:t>positiva o negativa</w:t>
      </w:r>
      <w:r w:rsidR="000F3789">
        <w:rPr>
          <w:rFonts w:ascii="Verdana" w:hAnsi="Verdana" w:cs="Arial"/>
          <w:i/>
          <w:iCs/>
          <w:sz w:val="22"/>
          <w:szCs w:val="22"/>
          <w:lang w:val="es-ES"/>
        </w:rPr>
        <w:t xml:space="preserve"> </w:t>
      </w:r>
      <w:r w:rsidRPr="00BB6F58">
        <w:rPr>
          <w:rFonts w:ascii="Verdana" w:hAnsi="Verdana" w:cs="Arial"/>
          <w:i/>
          <w:iCs/>
          <w:sz w:val="22"/>
          <w:szCs w:val="22"/>
          <w:lang w:val="es-ES"/>
        </w:rPr>
        <w:t>que se genere</w:t>
      </w:r>
      <w:r w:rsidR="000F3789">
        <w:rPr>
          <w:rFonts w:ascii="Verdana" w:hAnsi="Verdana" w:cs="Arial"/>
          <w:i/>
          <w:iCs/>
          <w:sz w:val="22"/>
          <w:szCs w:val="22"/>
          <w:lang w:val="es-ES"/>
        </w:rPr>
        <w:t xml:space="preserve"> </w:t>
      </w:r>
      <w:r w:rsidRPr="00BB6F58">
        <w:rPr>
          <w:rFonts w:ascii="Verdana" w:hAnsi="Verdana" w:cs="Arial"/>
          <w:i/>
          <w:iCs/>
          <w:sz w:val="22"/>
          <w:szCs w:val="22"/>
          <w:lang w:val="es-ES"/>
        </w:rPr>
        <w:t>en las siguientes cuentas del patrimonio</w:t>
      </w:r>
      <w:r w:rsidR="009E4665">
        <w:rPr>
          <w:rFonts w:ascii="Verdana" w:hAnsi="Verdana" w:cs="Arial"/>
          <w:i/>
          <w:iCs/>
          <w:sz w:val="22"/>
          <w:szCs w:val="22"/>
          <w:lang w:val="es-ES"/>
        </w:rPr>
        <w:t xml:space="preserve"> del Catálogo </w:t>
      </w:r>
      <w:r w:rsidR="00500B2C">
        <w:rPr>
          <w:rFonts w:ascii="Verdana" w:hAnsi="Verdana" w:cs="Arial"/>
          <w:i/>
          <w:iCs/>
          <w:sz w:val="22"/>
          <w:szCs w:val="22"/>
          <w:lang w:val="es-ES"/>
        </w:rPr>
        <w:t>Único</w:t>
      </w:r>
      <w:r w:rsidR="009E4665">
        <w:rPr>
          <w:rFonts w:ascii="Verdana" w:hAnsi="Verdana" w:cs="Arial"/>
          <w:i/>
          <w:iCs/>
          <w:sz w:val="22"/>
          <w:szCs w:val="22"/>
          <w:lang w:val="es-ES"/>
        </w:rPr>
        <w:t xml:space="preserve"> de </w:t>
      </w:r>
      <w:r w:rsidR="00DE130D">
        <w:rPr>
          <w:rFonts w:ascii="Verdana" w:hAnsi="Verdana" w:cs="Arial"/>
          <w:i/>
          <w:iCs/>
          <w:sz w:val="22"/>
          <w:szCs w:val="22"/>
          <w:lang w:val="es-ES"/>
        </w:rPr>
        <w:t>I</w:t>
      </w:r>
      <w:r w:rsidR="009E4665">
        <w:rPr>
          <w:rFonts w:ascii="Verdana" w:hAnsi="Verdana" w:cs="Arial"/>
          <w:i/>
          <w:iCs/>
          <w:sz w:val="22"/>
          <w:szCs w:val="22"/>
          <w:lang w:val="es-ES"/>
        </w:rPr>
        <w:t xml:space="preserve">nformación </w:t>
      </w:r>
      <w:r w:rsidR="00DE130D">
        <w:rPr>
          <w:rFonts w:ascii="Verdana" w:hAnsi="Verdana" w:cs="Arial"/>
          <w:i/>
          <w:iCs/>
          <w:sz w:val="22"/>
          <w:szCs w:val="22"/>
          <w:lang w:val="es-ES"/>
        </w:rPr>
        <w:t>F</w:t>
      </w:r>
      <w:r w:rsidR="009E4665">
        <w:rPr>
          <w:rFonts w:ascii="Verdana" w:hAnsi="Verdana" w:cs="Arial"/>
          <w:i/>
          <w:iCs/>
          <w:sz w:val="22"/>
          <w:szCs w:val="22"/>
          <w:lang w:val="es-ES"/>
        </w:rPr>
        <w:t xml:space="preserve">inanciera con </w:t>
      </w:r>
      <w:r w:rsidR="00DE130D">
        <w:rPr>
          <w:rFonts w:ascii="Verdana" w:hAnsi="Verdana" w:cs="Arial"/>
          <w:i/>
          <w:iCs/>
          <w:sz w:val="22"/>
          <w:szCs w:val="22"/>
          <w:lang w:val="es-ES"/>
        </w:rPr>
        <w:t>F</w:t>
      </w:r>
      <w:r w:rsidR="009E4665">
        <w:rPr>
          <w:rFonts w:ascii="Verdana" w:hAnsi="Verdana" w:cs="Arial"/>
          <w:i/>
          <w:iCs/>
          <w:sz w:val="22"/>
          <w:szCs w:val="22"/>
          <w:lang w:val="es-ES"/>
        </w:rPr>
        <w:t xml:space="preserve">ines de </w:t>
      </w:r>
      <w:r w:rsidR="00DE130D">
        <w:rPr>
          <w:rFonts w:ascii="Verdana" w:hAnsi="Verdana" w:cs="Arial"/>
          <w:i/>
          <w:iCs/>
          <w:sz w:val="22"/>
          <w:szCs w:val="22"/>
          <w:lang w:val="es-ES"/>
        </w:rPr>
        <w:t>S</w:t>
      </w:r>
      <w:r w:rsidR="009E4665">
        <w:rPr>
          <w:rFonts w:ascii="Verdana" w:hAnsi="Verdana" w:cs="Arial"/>
          <w:i/>
          <w:iCs/>
          <w:sz w:val="22"/>
          <w:szCs w:val="22"/>
          <w:lang w:val="es-ES"/>
        </w:rPr>
        <w:t>upervisión (CUIF)</w:t>
      </w:r>
      <w:r w:rsidRPr="00BB6F58">
        <w:rPr>
          <w:rFonts w:ascii="Verdana" w:hAnsi="Verdana" w:cs="Arial"/>
          <w:i/>
          <w:iCs/>
          <w:sz w:val="22"/>
          <w:szCs w:val="22"/>
          <w:lang w:val="es-ES"/>
        </w:rPr>
        <w:t>:</w:t>
      </w:r>
      <w:r w:rsidR="000F3789">
        <w:rPr>
          <w:rFonts w:ascii="Verdana" w:hAnsi="Verdana" w:cs="Arial"/>
          <w:i/>
          <w:iCs/>
          <w:sz w:val="22"/>
          <w:szCs w:val="22"/>
          <w:lang w:val="es-ES"/>
        </w:rPr>
        <w:t xml:space="preserve"> </w:t>
      </w:r>
      <w:r w:rsidRPr="00BB6F58">
        <w:rPr>
          <w:rFonts w:ascii="Verdana" w:hAnsi="Verdana" w:cs="Arial"/>
          <w:i/>
          <w:iCs/>
          <w:sz w:val="22"/>
          <w:szCs w:val="22"/>
          <w:lang w:val="es-ES"/>
        </w:rPr>
        <w:t>(i)</w:t>
      </w:r>
      <w:r w:rsidR="000F3789">
        <w:rPr>
          <w:rFonts w:ascii="Verdana" w:hAnsi="Verdana" w:cs="Arial"/>
          <w:i/>
          <w:iCs/>
          <w:sz w:val="22"/>
          <w:szCs w:val="22"/>
          <w:lang w:val="es-ES"/>
        </w:rPr>
        <w:t xml:space="preserve"> </w:t>
      </w:r>
      <w:r w:rsidRPr="00BB6F58">
        <w:rPr>
          <w:rFonts w:ascii="Verdana" w:hAnsi="Verdana" w:cs="Arial"/>
          <w:i/>
          <w:iCs/>
          <w:sz w:val="22"/>
          <w:szCs w:val="22"/>
          <w:lang w:val="es-ES"/>
        </w:rPr>
        <w:t>en el</w:t>
      </w:r>
      <w:r w:rsidR="000F3789">
        <w:rPr>
          <w:rFonts w:ascii="Verdana" w:hAnsi="Verdana" w:cs="Arial"/>
          <w:i/>
          <w:iCs/>
          <w:sz w:val="22"/>
          <w:szCs w:val="22"/>
          <w:lang w:val="es-ES"/>
        </w:rPr>
        <w:t xml:space="preserve"> </w:t>
      </w:r>
      <w:r w:rsidRPr="00BB6F58">
        <w:rPr>
          <w:rFonts w:ascii="Verdana" w:hAnsi="Verdana" w:cs="Arial"/>
          <w:i/>
          <w:iCs/>
          <w:sz w:val="22"/>
          <w:szCs w:val="22"/>
          <w:lang w:val="es-ES"/>
        </w:rPr>
        <w:t>«Otro Resultado Integral»</w:t>
      </w:r>
      <w:r w:rsidR="000F3789">
        <w:rPr>
          <w:rFonts w:ascii="Verdana" w:hAnsi="Verdana" w:cs="Arial"/>
          <w:i/>
          <w:iCs/>
          <w:sz w:val="22"/>
          <w:szCs w:val="22"/>
          <w:lang w:val="es-ES"/>
        </w:rPr>
        <w:t xml:space="preserve"> </w:t>
      </w:r>
      <w:r w:rsidRPr="00BB6F58">
        <w:rPr>
          <w:rFonts w:ascii="Verdana" w:hAnsi="Verdana" w:cs="Arial"/>
          <w:i/>
          <w:iCs/>
          <w:sz w:val="22"/>
          <w:szCs w:val="22"/>
          <w:lang w:val="es-ES"/>
        </w:rPr>
        <w:t>- ORI la diferencia neta positiva,</w:t>
      </w:r>
      <w:r w:rsidR="000F3789">
        <w:rPr>
          <w:rFonts w:ascii="Verdana" w:hAnsi="Verdana" w:cs="Arial"/>
          <w:i/>
          <w:iCs/>
          <w:sz w:val="22"/>
          <w:szCs w:val="22"/>
          <w:lang w:val="es-ES"/>
        </w:rPr>
        <w:t xml:space="preserve"> </w:t>
      </w:r>
      <w:r w:rsidRPr="00BB6F58">
        <w:rPr>
          <w:rFonts w:ascii="Verdana" w:hAnsi="Verdana" w:cs="Arial"/>
          <w:i/>
          <w:iCs/>
          <w:sz w:val="22"/>
          <w:szCs w:val="22"/>
          <w:lang w:val="es-ES"/>
        </w:rPr>
        <w:t>en el código: 3815570000</w:t>
      </w:r>
      <w:r w:rsidR="000F3789">
        <w:rPr>
          <w:rFonts w:ascii="Verdana" w:hAnsi="Verdana" w:cs="Arial"/>
          <w:i/>
          <w:iCs/>
          <w:sz w:val="22"/>
          <w:szCs w:val="22"/>
          <w:lang w:val="es-ES"/>
        </w:rPr>
        <w:t xml:space="preserve"> </w:t>
      </w:r>
      <w:r w:rsidRPr="00BB6F58">
        <w:rPr>
          <w:rFonts w:ascii="Verdana" w:hAnsi="Verdana" w:cs="Arial"/>
          <w:i/>
          <w:iCs/>
          <w:sz w:val="22"/>
          <w:szCs w:val="22"/>
          <w:lang w:val="es-ES"/>
        </w:rPr>
        <w:t>«Diferencia neta positiva en la aplicación por primera vez de la NIIF 17», y (ii)</w:t>
      </w:r>
      <w:r w:rsidR="000F3789">
        <w:rPr>
          <w:rFonts w:ascii="Verdana" w:hAnsi="Verdana" w:cs="Arial"/>
          <w:i/>
          <w:iCs/>
          <w:sz w:val="22"/>
          <w:szCs w:val="22"/>
          <w:lang w:val="es-ES"/>
        </w:rPr>
        <w:t xml:space="preserve"> </w:t>
      </w:r>
      <w:r w:rsidRPr="00BB6F58">
        <w:rPr>
          <w:rFonts w:ascii="Verdana" w:hAnsi="Verdana" w:cs="Arial"/>
          <w:i/>
          <w:iCs/>
          <w:sz w:val="22"/>
          <w:szCs w:val="22"/>
          <w:lang w:val="es-ES"/>
        </w:rPr>
        <w:t>en la cuenta de</w:t>
      </w:r>
      <w:r w:rsidR="000F3789">
        <w:rPr>
          <w:rFonts w:ascii="Verdana" w:hAnsi="Verdana" w:cs="Arial"/>
          <w:i/>
          <w:iCs/>
          <w:sz w:val="22"/>
          <w:szCs w:val="22"/>
          <w:lang w:val="es-ES"/>
        </w:rPr>
        <w:t xml:space="preserve"> </w:t>
      </w:r>
      <w:r w:rsidRPr="00BB6F58">
        <w:rPr>
          <w:rFonts w:ascii="Verdana" w:hAnsi="Verdana" w:cs="Arial"/>
          <w:i/>
          <w:iCs/>
          <w:sz w:val="22"/>
          <w:szCs w:val="22"/>
          <w:lang w:val="es-ES"/>
        </w:rPr>
        <w:t>«Resultados acumulados proceso de convergencia NIIF»,</w:t>
      </w:r>
      <w:r w:rsidR="000F3789">
        <w:rPr>
          <w:rFonts w:ascii="Verdana" w:hAnsi="Verdana" w:cs="Arial"/>
          <w:i/>
          <w:iCs/>
          <w:sz w:val="22"/>
          <w:szCs w:val="22"/>
          <w:lang w:val="es-ES"/>
        </w:rPr>
        <w:t xml:space="preserve"> </w:t>
      </w:r>
      <w:r w:rsidRPr="00BB6F58">
        <w:rPr>
          <w:rFonts w:ascii="Verdana" w:hAnsi="Verdana" w:cs="Arial"/>
          <w:i/>
          <w:iCs/>
          <w:sz w:val="22"/>
          <w:szCs w:val="22"/>
          <w:lang w:val="es-ES"/>
        </w:rPr>
        <w:t>código</w:t>
      </w:r>
      <w:r w:rsidR="000F3789">
        <w:rPr>
          <w:rFonts w:ascii="Verdana" w:hAnsi="Verdana" w:cs="Arial"/>
          <w:i/>
          <w:iCs/>
          <w:sz w:val="22"/>
          <w:szCs w:val="22"/>
          <w:lang w:val="es-ES"/>
        </w:rPr>
        <w:t xml:space="preserve"> </w:t>
      </w:r>
      <w:r w:rsidRPr="00BB6F58">
        <w:rPr>
          <w:rFonts w:ascii="Verdana" w:hAnsi="Verdana" w:cs="Arial"/>
          <w:i/>
          <w:iCs/>
          <w:sz w:val="22"/>
          <w:szCs w:val="22"/>
          <w:lang w:val="es-ES"/>
        </w:rPr>
        <w:t>393015</w:t>
      </w:r>
      <w:r w:rsidR="0089257D">
        <w:rPr>
          <w:rFonts w:ascii="Verdana" w:hAnsi="Verdana" w:cs="Arial"/>
          <w:i/>
          <w:iCs/>
          <w:sz w:val="22"/>
          <w:szCs w:val="22"/>
          <w:lang w:val="es-ES"/>
        </w:rPr>
        <w:t>0000</w:t>
      </w:r>
      <w:r w:rsidR="000F3789">
        <w:rPr>
          <w:rFonts w:ascii="Verdana" w:hAnsi="Verdana" w:cs="Arial"/>
          <w:i/>
          <w:iCs/>
          <w:sz w:val="22"/>
          <w:szCs w:val="22"/>
          <w:lang w:val="es-ES"/>
        </w:rPr>
        <w:t xml:space="preserve"> </w:t>
      </w:r>
      <w:r w:rsidR="0089257D" w:rsidRPr="00BB6F58">
        <w:rPr>
          <w:rFonts w:ascii="Verdana" w:hAnsi="Verdana" w:cs="Arial"/>
          <w:i/>
          <w:iCs/>
          <w:sz w:val="22"/>
          <w:szCs w:val="22"/>
          <w:lang w:val="es-ES"/>
        </w:rPr>
        <w:t>«</w:t>
      </w:r>
      <w:r w:rsidRPr="00BB6F58">
        <w:rPr>
          <w:rFonts w:ascii="Verdana" w:hAnsi="Verdana" w:cs="Arial"/>
          <w:i/>
          <w:iCs/>
          <w:sz w:val="22"/>
          <w:szCs w:val="22"/>
          <w:lang w:val="es-ES"/>
        </w:rPr>
        <w:t>Pérdida</w:t>
      </w:r>
      <w:r w:rsidR="000F3789">
        <w:rPr>
          <w:rFonts w:ascii="Verdana" w:hAnsi="Verdana" w:cs="Arial"/>
          <w:i/>
          <w:iCs/>
          <w:sz w:val="22"/>
          <w:szCs w:val="22"/>
          <w:lang w:val="es-ES"/>
        </w:rPr>
        <w:t xml:space="preserve"> </w:t>
      </w:r>
      <w:r w:rsidRPr="00BB6F58">
        <w:rPr>
          <w:rFonts w:ascii="Verdana" w:hAnsi="Verdana" w:cs="Arial"/>
          <w:i/>
          <w:iCs/>
          <w:sz w:val="22"/>
          <w:szCs w:val="22"/>
          <w:lang w:val="es-ES"/>
        </w:rPr>
        <w:t>del Proceso de Convergencia a NIIF 17»</w:t>
      </w:r>
      <w:r w:rsidR="000F3789">
        <w:rPr>
          <w:rFonts w:ascii="Verdana" w:hAnsi="Verdana" w:cs="Arial"/>
          <w:i/>
          <w:iCs/>
          <w:sz w:val="22"/>
          <w:szCs w:val="22"/>
          <w:lang w:val="es-ES"/>
        </w:rPr>
        <w:t xml:space="preserve"> </w:t>
      </w:r>
      <w:r w:rsidRPr="00BB6F58">
        <w:rPr>
          <w:rFonts w:ascii="Verdana" w:hAnsi="Verdana" w:cs="Arial"/>
          <w:i/>
          <w:iCs/>
          <w:sz w:val="22"/>
          <w:szCs w:val="22"/>
          <w:lang w:val="es-ES"/>
        </w:rPr>
        <w:t>para el caso de la diferencia neta negativa.</w:t>
      </w:r>
      <w:r w:rsidR="000F3789">
        <w:rPr>
          <w:rFonts w:ascii="Verdana" w:hAnsi="Verdana" w:cs="Arial"/>
          <w:i/>
          <w:iCs/>
          <w:sz w:val="22"/>
          <w:szCs w:val="22"/>
          <w:lang w:val="es-ES"/>
        </w:rPr>
        <w:t xml:space="preserve"> </w:t>
      </w:r>
      <w:r w:rsidRPr="00BB6F58">
        <w:rPr>
          <w:rFonts w:ascii="Verdana" w:hAnsi="Verdana" w:cs="Arial"/>
          <w:i/>
          <w:iCs/>
          <w:sz w:val="22"/>
          <w:szCs w:val="22"/>
          <w:lang w:val="es-ES"/>
        </w:rPr>
        <w:t>Los resultados de la diferencia neta positiva</w:t>
      </w:r>
      <w:r w:rsidR="000F3789">
        <w:rPr>
          <w:rFonts w:ascii="Verdana" w:hAnsi="Verdana" w:cs="Arial"/>
          <w:i/>
          <w:iCs/>
          <w:sz w:val="22"/>
          <w:szCs w:val="22"/>
          <w:lang w:val="es-ES"/>
        </w:rPr>
        <w:t xml:space="preserve"> </w:t>
      </w:r>
      <w:r w:rsidRPr="00BB6F58">
        <w:rPr>
          <w:rFonts w:ascii="Verdana" w:hAnsi="Verdana" w:cs="Arial"/>
          <w:i/>
          <w:iCs/>
          <w:sz w:val="22"/>
          <w:szCs w:val="22"/>
          <w:lang w:val="es-ES"/>
        </w:rPr>
        <w:t>solo</w:t>
      </w:r>
      <w:r w:rsidR="000F3789">
        <w:rPr>
          <w:rFonts w:ascii="Verdana" w:hAnsi="Verdana" w:cs="Arial"/>
          <w:i/>
          <w:iCs/>
          <w:sz w:val="22"/>
          <w:szCs w:val="22"/>
          <w:lang w:val="es-ES"/>
        </w:rPr>
        <w:t xml:space="preserve"> </w:t>
      </w:r>
      <w:r w:rsidRPr="00BB6F58">
        <w:rPr>
          <w:rFonts w:ascii="Verdana" w:hAnsi="Verdana" w:cs="Arial"/>
          <w:i/>
          <w:iCs/>
          <w:sz w:val="22"/>
          <w:szCs w:val="22"/>
          <w:lang w:val="es-ES"/>
        </w:rPr>
        <w:t>se</w:t>
      </w:r>
      <w:r w:rsidR="000F3789">
        <w:rPr>
          <w:rFonts w:ascii="Verdana" w:hAnsi="Verdana" w:cs="Arial"/>
          <w:i/>
          <w:iCs/>
          <w:sz w:val="22"/>
          <w:szCs w:val="22"/>
          <w:lang w:val="es-ES"/>
        </w:rPr>
        <w:t xml:space="preserve"> </w:t>
      </w:r>
      <w:r w:rsidRPr="00BB6F58">
        <w:rPr>
          <w:rFonts w:ascii="Verdana" w:hAnsi="Verdana" w:cs="Arial"/>
          <w:i/>
          <w:iCs/>
          <w:sz w:val="22"/>
          <w:szCs w:val="22"/>
          <w:lang w:val="es-ES"/>
        </w:rPr>
        <w:t>podrán devengar</w:t>
      </w:r>
      <w:r w:rsidR="000F3789">
        <w:rPr>
          <w:rFonts w:ascii="Verdana" w:hAnsi="Verdana" w:cs="Arial"/>
          <w:i/>
          <w:iCs/>
          <w:sz w:val="22"/>
          <w:szCs w:val="22"/>
          <w:lang w:val="es-ES"/>
        </w:rPr>
        <w:t xml:space="preserve"> </w:t>
      </w:r>
      <w:r w:rsidRPr="00BB6F58">
        <w:rPr>
          <w:rFonts w:ascii="Verdana" w:hAnsi="Verdana" w:cs="Arial"/>
          <w:i/>
          <w:iCs/>
          <w:sz w:val="22"/>
          <w:szCs w:val="22"/>
          <w:lang w:val="es-ES"/>
        </w:rPr>
        <w:t>cuando: (i)</w:t>
      </w:r>
      <w:r w:rsidR="000F3789">
        <w:rPr>
          <w:rFonts w:ascii="Verdana" w:hAnsi="Verdana" w:cs="Arial"/>
          <w:i/>
          <w:iCs/>
          <w:sz w:val="22"/>
          <w:szCs w:val="22"/>
          <w:lang w:val="es-ES"/>
        </w:rPr>
        <w:t xml:space="preserve"> </w:t>
      </w:r>
      <w:r w:rsidRPr="00BB6F58">
        <w:rPr>
          <w:rFonts w:ascii="Verdana" w:hAnsi="Verdana" w:cs="Arial"/>
          <w:i/>
          <w:iCs/>
          <w:sz w:val="22"/>
          <w:szCs w:val="22"/>
          <w:lang w:val="es-ES"/>
        </w:rPr>
        <w:t>las obligaciones derivadas del contrato de seguro se hayan extinguido,</w:t>
      </w:r>
      <w:r w:rsidR="000F3789">
        <w:rPr>
          <w:rFonts w:ascii="Verdana" w:hAnsi="Verdana" w:cs="Arial"/>
          <w:i/>
          <w:iCs/>
          <w:sz w:val="22"/>
          <w:szCs w:val="22"/>
          <w:lang w:val="es-ES"/>
        </w:rPr>
        <w:t xml:space="preserve"> </w:t>
      </w:r>
      <w:r w:rsidRPr="00BB6F58">
        <w:rPr>
          <w:rFonts w:ascii="Verdana" w:hAnsi="Verdana" w:cs="Arial"/>
          <w:i/>
          <w:iCs/>
          <w:sz w:val="22"/>
          <w:szCs w:val="22"/>
          <w:lang w:val="es-ES"/>
        </w:rPr>
        <w:t>o</w:t>
      </w:r>
      <w:r w:rsidR="000F3789">
        <w:rPr>
          <w:rFonts w:ascii="Verdana" w:hAnsi="Verdana" w:cs="Arial"/>
          <w:i/>
          <w:iCs/>
          <w:sz w:val="22"/>
          <w:szCs w:val="22"/>
          <w:lang w:val="es-ES"/>
        </w:rPr>
        <w:t xml:space="preserve"> </w:t>
      </w:r>
      <w:r w:rsidRPr="00BB6F58">
        <w:rPr>
          <w:rFonts w:ascii="Verdana" w:hAnsi="Verdana" w:cs="Arial"/>
          <w:i/>
          <w:iCs/>
          <w:sz w:val="22"/>
          <w:szCs w:val="22"/>
          <w:lang w:val="es-ES"/>
        </w:rPr>
        <w:t>(ii)</w:t>
      </w:r>
      <w:r w:rsidR="000F3789">
        <w:rPr>
          <w:rFonts w:ascii="Verdana" w:hAnsi="Verdana" w:cs="Arial"/>
          <w:i/>
          <w:iCs/>
          <w:sz w:val="22"/>
          <w:szCs w:val="22"/>
          <w:lang w:val="es-ES"/>
        </w:rPr>
        <w:t xml:space="preserve"> </w:t>
      </w:r>
      <w:r w:rsidRPr="00BB6F58">
        <w:rPr>
          <w:rFonts w:ascii="Verdana" w:hAnsi="Verdana" w:cs="Arial"/>
          <w:i/>
          <w:iCs/>
          <w:sz w:val="22"/>
          <w:szCs w:val="22"/>
          <w:lang w:val="es-ES"/>
        </w:rPr>
        <w:t>cuando las entidades</w:t>
      </w:r>
      <w:r w:rsidR="000F3789">
        <w:rPr>
          <w:rFonts w:ascii="Verdana" w:hAnsi="Verdana" w:cs="Arial"/>
          <w:i/>
          <w:iCs/>
          <w:sz w:val="22"/>
          <w:szCs w:val="22"/>
          <w:lang w:val="es-ES"/>
        </w:rPr>
        <w:t xml:space="preserve"> </w:t>
      </w:r>
      <w:r w:rsidRPr="00BB6F58">
        <w:rPr>
          <w:rFonts w:ascii="Verdana" w:hAnsi="Verdana" w:cs="Arial"/>
          <w:i/>
          <w:iCs/>
          <w:sz w:val="22"/>
          <w:szCs w:val="22"/>
          <w:lang w:val="es-ES"/>
        </w:rPr>
        <w:t>acrediten</w:t>
      </w:r>
      <w:r w:rsidR="000F3789">
        <w:rPr>
          <w:rFonts w:ascii="Verdana" w:hAnsi="Verdana" w:cs="Arial"/>
          <w:i/>
          <w:iCs/>
          <w:sz w:val="22"/>
          <w:szCs w:val="22"/>
          <w:lang w:val="es-ES"/>
        </w:rPr>
        <w:t xml:space="preserve"> </w:t>
      </w:r>
      <w:r w:rsidRPr="00BB6F58">
        <w:rPr>
          <w:rFonts w:ascii="Verdana" w:hAnsi="Verdana" w:cs="Arial"/>
          <w:i/>
          <w:iCs/>
          <w:sz w:val="22"/>
          <w:szCs w:val="22"/>
          <w:lang w:val="es-ES"/>
        </w:rPr>
        <w:t>ante la SFC el cumplimiento</w:t>
      </w:r>
      <w:r w:rsidR="000F3789">
        <w:rPr>
          <w:rFonts w:ascii="Verdana" w:hAnsi="Verdana" w:cs="Arial"/>
          <w:i/>
          <w:iCs/>
          <w:sz w:val="22"/>
          <w:szCs w:val="22"/>
          <w:lang w:val="es-ES"/>
        </w:rPr>
        <w:t xml:space="preserve"> </w:t>
      </w:r>
      <w:r w:rsidRPr="00BB6F58">
        <w:rPr>
          <w:rFonts w:ascii="Verdana" w:hAnsi="Verdana" w:cs="Arial"/>
          <w:i/>
          <w:iCs/>
          <w:sz w:val="22"/>
          <w:szCs w:val="22"/>
          <w:lang w:val="es-ES"/>
        </w:rPr>
        <w:t>de los</w:t>
      </w:r>
      <w:r w:rsidR="000F3789">
        <w:rPr>
          <w:rFonts w:ascii="Verdana" w:hAnsi="Verdana" w:cs="Arial"/>
          <w:i/>
          <w:iCs/>
          <w:sz w:val="22"/>
          <w:szCs w:val="22"/>
          <w:lang w:val="es-ES"/>
        </w:rPr>
        <w:t xml:space="preserve"> </w:t>
      </w:r>
      <w:r w:rsidRPr="00BB6F58">
        <w:rPr>
          <w:rFonts w:ascii="Verdana" w:hAnsi="Verdana" w:cs="Arial"/>
          <w:i/>
          <w:iCs/>
          <w:sz w:val="22"/>
          <w:szCs w:val="22"/>
          <w:lang w:val="es-ES"/>
        </w:rPr>
        <w:t>requisitos previstos en</w:t>
      </w:r>
      <w:r w:rsidR="000F3789">
        <w:rPr>
          <w:rFonts w:ascii="Verdana" w:hAnsi="Verdana" w:cs="Arial"/>
          <w:i/>
          <w:iCs/>
          <w:sz w:val="22"/>
          <w:szCs w:val="22"/>
          <w:lang w:val="es-ES"/>
        </w:rPr>
        <w:t xml:space="preserve"> </w:t>
      </w:r>
      <w:r w:rsidRPr="00BB6F58">
        <w:rPr>
          <w:rFonts w:ascii="Verdana" w:hAnsi="Verdana" w:cs="Arial"/>
          <w:i/>
          <w:iCs/>
          <w:sz w:val="22"/>
          <w:szCs w:val="22"/>
          <w:lang w:val="es-ES"/>
        </w:rPr>
        <w:t>el</w:t>
      </w:r>
      <w:r w:rsidR="000F3789">
        <w:rPr>
          <w:rFonts w:ascii="Verdana" w:hAnsi="Verdana" w:cs="Arial"/>
          <w:i/>
          <w:iCs/>
          <w:sz w:val="22"/>
          <w:szCs w:val="22"/>
          <w:lang w:val="es-ES"/>
        </w:rPr>
        <w:t xml:space="preserve"> </w:t>
      </w:r>
      <w:r w:rsidRPr="00BB6F58">
        <w:rPr>
          <w:rFonts w:ascii="Verdana" w:hAnsi="Verdana" w:cs="Arial"/>
          <w:i/>
          <w:iCs/>
          <w:sz w:val="22"/>
          <w:szCs w:val="22"/>
          <w:lang w:val="es-ES"/>
        </w:rPr>
        <w:t>literal b del</w:t>
      </w:r>
      <w:r w:rsidR="000F3789">
        <w:rPr>
          <w:rFonts w:ascii="Verdana" w:hAnsi="Verdana" w:cs="Arial"/>
          <w:i/>
          <w:iCs/>
          <w:sz w:val="22"/>
          <w:szCs w:val="22"/>
          <w:lang w:val="es-ES"/>
        </w:rPr>
        <w:t xml:space="preserve"> </w:t>
      </w:r>
      <w:r w:rsidRPr="00BB6F58">
        <w:rPr>
          <w:rFonts w:ascii="Verdana" w:hAnsi="Verdana" w:cs="Arial"/>
          <w:i/>
          <w:iCs/>
          <w:sz w:val="22"/>
          <w:szCs w:val="22"/>
          <w:lang w:val="es-ES"/>
        </w:rPr>
        <w:t>ordinal</w:t>
      </w:r>
      <w:r w:rsidR="000F3789">
        <w:rPr>
          <w:rFonts w:ascii="Verdana" w:hAnsi="Verdana" w:cs="Arial"/>
          <w:i/>
          <w:iCs/>
          <w:sz w:val="22"/>
          <w:szCs w:val="22"/>
          <w:lang w:val="es-ES"/>
        </w:rPr>
        <w:t xml:space="preserve"> </w:t>
      </w:r>
      <w:r w:rsidRPr="00BB6F58">
        <w:rPr>
          <w:rFonts w:ascii="Verdana" w:hAnsi="Verdana" w:cs="Arial"/>
          <w:i/>
          <w:iCs/>
          <w:sz w:val="22"/>
          <w:szCs w:val="22"/>
          <w:lang w:val="es-ES"/>
        </w:rPr>
        <w:t>iv.</w:t>
      </w:r>
      <w:r w:rsidR="000F3789">
        <w:rPr>
          <w:rFonts w:ascii="Verdana" w:hAnsi="Verdana" w:cs="Arial"/>
          <w:i/>
          <w:iCs/>
          <w:sz w:val="22"/>
          <w:szCs w:val="22"/>
          <w:lang w:val="es-ES"/>
        </w:rPr>
        <w:t xml:space="preserve"> </w:t>
      </w:r>
      <w:r w:rsidRPr="00BB6F58">
        <w:rPr>
          <w:rFonts w:ascii="Verdana" w:hAnsi="Verdana" w:cs="Arial"/>
          <w:i/>
          <w:iCs/>
          <w:sz w:val="22"/>
          <w:szCs w:val="22"/>
          <w:lang w:val="es-ES"/>
        </w:rPr>
        <w:t>del numeral 11.2.</w:t>
      </w:r>
      <w:r w:rsidR="000F3789">
        <w:rPr>
          <w:rFonts w:ascii="Verdana" w:hAnsi="Verdana" w:cs="Arial"/>
          <w:i/>
          <w:iCs/>
          <w:sz w:val="22"/>
          <w:szCs w:val="22"/>
          <w:lang w:val="es-ES"/>
        </w:rPr>
        <w:t xml:space="preserve"> </w:t>
      </w:r>
      <w:r w:rsidRPr="00BB6F58">
        <w:rPr>
          <w:rFonts w:ascii="Verdana" w:hAnsi="Verdana" w:cs="Arial"/>
          <w:i/>
          <w:iCs/>
          <w:sz w:val="22"/>
          <w:szCs w:val="22"/>
          <w:lang w:val="es-ES"/>
        </w:rPr>
        <w:t>de la presente</w:t>
      </w:r>
      <w:r w:rsidR="000F3789">
        <w:rPr>
          <w:rFonts w:ascii="Verdana" w:hAnsi="Verdana" w:cs="Arial"/>
          <w:i/>
          <w:iCs/>
          <w:sz w:val="22"/>
          <w:szCs w:val="22"/>
          <w:lang w:val="es-ES"/>
        </w:rPr>
        <w:t xml:space="preserve"> </w:t>
      </w:r>
      <w:r w:rsidRPr="00BB6F58">
        <w:rPr>
          <w:rFonts w:ascii="Verdana" w:hAnsi="Verdana" w:cs="Arial"/>
          <w:i/>
          <w:iCs/>
          <w:sz w:val="22"/>
          <w:szCs w:val="22"/>
          <w:lang w:val="es-ES"/>
        </w:rPr>
        <w:t>Circular.</w:t>
      </w:r>
      <w:r w:rsidR="000F3789">
        <w:rPr>
          <w:rFonts w:ascii="Verdana" w:hAnsi="Verdana" w:cs="Arial"/>
          <w:i/>
          <w:iCs/>
          <w:sz w:val="22"/>
          <w:szCs w:val="22"/>
          <w:lang w:val="es-ES"/>
        </w:rPr>
        <w:t xml:space="preserve"> </w:t>
      </w:r>
      <w:r w:rsidRPr="00BB6F58">
        <w:rPr>
          <w:rFonts w:ascii="Verdana" w:hAnsi="Verdana" w:cs="Arial"/>
          <w:i/>
          <w:iCs/>
          <w:sz w:val="22"/>
          <w:szCs w:val="22"/>
          <w:lang w:val="es-ES"/>
        </w:rPr>
        <w:t>En uno u otro caso,</w:t>
      </w:r>
      <w:r w:rsidR="000F3789">
        <w:rPr>
          <w:rFonts w:ascii="Verdana" w:hAnsi="Verdana" w:cs="Arial"/>
          <w:i/>
          <w:iCs/>
          <w:sz w:val="22"/>
          <w:szCs w:val="22"/>
          <w:lang w:val="es-ES"/>
        </w:rPr>
        <w:t xml:space="preserve"> </w:t>
      </w:r>
      <w:r w:rsidRPr="00BB6F58">
        <w:rPr>
          <w:rFonts w:ascii="Verdana" w:hAnsi="Verdana" w:cs="Arial"/>
          <w:i/>
          <w:iCs/>
          <w:sz w:val="22"/>
          <w:szCs w:val="22"/>
          <w:lang w:val="es-ES"/>
        </w:rPr>
        <w:t>previo al reconocimiento de</w:t>
      </w:r>
      <w:r w:rsidR="000F3789">
        <w:rPr>
          <w:rFonts w:ascii="Verdana" w:hAnsi="Verdana" w:cs="Arial"/>
          <w:i/>
          <w:iCs/>
          <w:sz w:val="22"/>
          <w:szCs w:val="22"/>
          <w:lang w:val="es-ES"/>
        </w:rPr>
        <w:t xml:space="preserve"> </w:t>
      </w:r>
      <w:r w:rsidRPr="00BB6F58">
        <w:rPr>
          <w:rFonts w:ascii="Verdana" w:hAnsi="Verdana" w:cs="Arial"/>
          <w:i/>
          <w:iCs/>
          <w:sz w:val="22"/>
          <w:szCs w:val="22"/>
          <w:lang w:val="es-ES"/>
        </w:rPr>
        <w:t>las ganancias netas positivas,</w:t>
      </w:r>
      <w:r w:rsidR="000F3789">
        <w:rPr>
          <w:rFonts w:ascii="Verdana" w:hAnsi="Verdana" w:cs="Arial"/>
          <w:i/>
          <w:iCs/>
          <w:sz w:val="22"/>
          <w:szCs w:val="22"/>
          <w:lang w:val="es-ES"/>
        </w:rPr>
        <w:t xml:space="preserve"> </w:t>
      </w:r>
      <w:r w:rsidRPr="00BB6F58">
        <w:rPr>
          <w:rFonts w:ascii="Verdana" w:hAnsi="Verdana" w:cs="Arial"/>
          <w:i/>
          <w:iCs/>
          <w:sz w:val="22"/>
          <w:szCs w:val="22"/>
          <w:lang w:val="es-ES"/>
        </w:rPr>
        <w:t>las entidades deberán informarlo</w:t>
      </w:r>
      <w:r w:rsidR="000F3789">
        <w:rPr>
          <w:rFonts w:ascii="Verdana" w:hAnsi="Verdana" w:cs="Arial"/>
          <w:i/>
          <w:iCs/>
          <w:sz w:val="22"/>
          <w:szCs w:val="22"/>
          <w:lang w:val="es-ES"/>
        </w:rPr>
        <w:t xml:space="preserve"> </w:t>
      </w:r>
      <w:r w:rsidRPr="00BB6F58">
        <w:rPr>
          <w:rFonts w:ascii="Verdana" w:hAnsi="Verdana" w:cs="Arial"/>
          <w:i/>
          <w:iCs/>
          <w:sz w:val="22"/>
          <w:szCs w:val="22"/>
          <w:lang w:val="es-ES"/>
        </w:rPr>
        <w:t>a la SFC.</w:t>
      </w:r>
    </w:p>
    <w:p w14:paraId="291BD825" w14:textId="03315F35" w:rsidR="00BB6F58" w:rsidRPr="00BB6F58" w:rsidRDefault="00BB6F58" w:rsidP="00BB6F58">
      <w:pPr>
        <w:widowControl w:val="0"/>
        <w:autoSpaceDE w:val="0"/>
        <w:autoSpaceDN w:val="0"/>
        <w:adjustRightInd w:val="0"/>
        <w:spacing w:line="276" w:lineRule="auto"/>
        <w:ind w:left="708"/>
        <w:jc w:val="both"/>
        <w:rPr>
          <w:rFonts w:ascii="Verdana" w:hAnsi="Verdana" w:cs="Arial"/>
          <w:i/>
          <w:iCs/>
          <w:sz w:val="22"/>
          <w:szCs w:val="22"/>
        </w:rPr>
      </w:pPr>
    </w:p>
    <w:p w14:paraId="2C3FD018" w14:textId="5016F5BC" w:rsidR="00BB6F58" w:rsidRPr="00DF76E1" w:rsidRDefault="00BB6F58" w:rsidP="00994794">
      <w:pPr>
        <w:pStyle w:val="Prrafodelista"/>
        <w:widowControl w:val="0"/>
        <w:numPr>
          <w:ilvl w:val="1"/>
          <w:numId w:val="40"/>
        </w:numPr>
        <w:autoSpaceDE w:val="0"/>
        <w:autoSpaceDN w:val="0"/>
        <w:adjustRightInd w:val="0"/>
        <w:spacing w:line="276" w:lineRule="auto"/>
        <w:ind w:left="1843" w:hanging="992"/>
        <w:jc w:val="both"/>
        <w:rPr>
          <w:rFonts w:ascii="Verdana" w:hAnsi="Verdana" w:cs="Arial"/>
          <w:b/>
          <w:bCs/>
          <w:i/>
          <w:iCs/>
        </w:rPr>
      </w:pPr>
      <w:r w:rsidRPr="00994794">
        <w:rPr>
          <w:rFonts w:ascii="Verdana" w:hAnsi="Verdana" w:cs="Arial"/>
          <w:b/>
          <w:i/>
          <w:lang w:val="es-ES"/>
        </w:rPr>
        <w:t>Reconocimiento de las variaciones</w:t>
      </w:r>
      <w:r w:rsidR="000F3789">
        <w:rPr>
          <w:rFonts w:ascii="Verdana" w:hAnsi="Verdana" w:cs="Arial"/>
          <w:b/>
          <w:bCs/>
          <w:i/>
          <w:iCs/>
          <w:lang w:val="es-ES"/>
        </w:rPr>
        <w:t xml:space="preserve"> </w:t>
      </w:r>
      <w:r w:rsidRPr="00DF76E1">
        <w:rPr>
          <w:rFonts w:ascii="Verdana" w:hAnsi="Verdana" w:cs="Arial"/>
          <w:b/>
          <w:bCs/>
          <w:i/>
          <w:iCs/>
          <w:lang w:val="es-ES"/>
        </w:rPr>
        <w:t>netas</w:t>
      </w:r>
      <w:r w:rsidR="000F3789">
        <w:rPr>
          <w:rFonts w:ascii="Verdana" w:hAnsi="Verdana" w:cs="Arial"/>
          <w:b/>
          <w:bCs/>
          <w:i/>
          <w:iCs/>
          <w:lang w:val="es-ES"/>
        </w:rPr>
        <w:t xml:space="preserve"> </w:t>
      </w:r>
      <w:r w:rsidRPr="00DF76E1">
        <w:rPr>
          <w:rFonts w:ascii="Verdana" w:hAnsi="Verdana" w:cs="Arial"/>
          <w:b/>
          <w:bCs/>
          <w:i/>
          <w:iCs/>
          <w:lang w:val="es-ES"/>
        </w:rPr>
        <w:t>positivas o negativas</w:t>
      </w:r>
      <w:r w:rsidR="000F3789">
        <w:rPr>
          <w:rFonts w:ascii="Verdana" w:hAnsi="Verdana" w:cs="Arial"/>
          <w:b/>
          <w:bCs/>
          <w:i/>
          <w:iCs/>
          <w:lang w:val="es-ES"/>
        </w:rPr>
        <w:t xml:space="preserve"> </w:t>
      </w:r>
      <w:r w:rsidRPr="00DF76E1">
        <w:rPr>
          <w:rFonts w:ascii="Verdana" w:hAnsi="Verdana" w:cs="Arial"/>
          <w:b/>
          <w:bCs/>
          <w:i/>
          <w:iCs/>
          <w:lang w:val="es-ES"/>
        </w:rPr>
        <w:t>para los</w:t>
      </w:r>
      <w:r w:rsidR="000F3789">
        <w:rPr>
          <w:rFonts w:ascii="Verdana" w:hAnsi="Verdana" w:cs="Arial"/>
          <w:b/>
          <w:bCs/>
          <w:i/>
          <w:iCs/>
          <w:lang w:val="es-ES"/>
        </w:rPr>
        <w:t xml:space="preserve"> </w:t>
      </w:r>
      <w:r w:rsidRPr="00DF76E1">
        <w:rPr>
          <w:rFonts w:ascii="Verdana" w:hAnsi="Verdana" w:cs="Arial"/>
          <w:b/>
          <w:bCs/>
          <w:i/>
          <w:iCs/>
          <w:lang w:val="es-ES"/>
        </w:rPr>
        <w:t xml:space="preserve">ramos señalados en el literal (c) del numeral 3 del artículo </w:t>
      </w:r>
      <w:r w:rsidR="00BC04E3" w:rsidRPr="00DF76E1">
        <w:rPr>
          <w:rFonts w:ascii="Verdana" w:hAnsi="Verdana" w:cs="Arial"/>
          <w:b/>
          <w:bCs/>
          <w:i/>
          <w:iCs/>
          <w:lang w:val="es-ES"/>
        </w:rPr>
        <w:t>1.1.4.1.5 del Decreto 2420 de 2015, adicionado por medio del Decreto 217 de 2026</w:t>
      </w:r>
      <w:r w:rsidRPr="00DF76E1">
        <w:rPr>
          <w:rFonts w:ascii="Verdana" w:hAnsi="Verdana" w:cs="Arial"/>
          <w:b/>
          <w:bCs/>
          <w:i/>
          <w:iCs/>
          <w:lang w:val="es-ES"/>
        </w:rPr>
        <w:t>.</w:t>
      </w:r>
    </w:p>
    <w:p w14:paraId="271EFB97" w14:textId="3C374579" w:rsidR="00BB6F58" w:rsidRPr="00BB6F58" w:rsidRDefault="00BB6F58" w:rsidP="00BB6F58">
      <w:pPr>
        <w:widowControl w:val="0"/>
        <w:autoSpaceDE w:val="0"/>
        <w:autoSpaceDN w:val="0"/>
        <w:adjustRightInd w:val="0"/>
        <w:spacing w:line="276" w:lineRule="auto"/>
        <w:ind w:left="708"/>
        <w:jc w:val="both"/>
        <w:rPr>
          <w:rFonts w:ascii="Verdana" w:hAnsi="Verdana" w:cs="Arial"/>
          <w:i/>
          <w:iCs/>
          <w:sz w:val="22"/>
          <w:szCs w:val="22"/>
        </w:rPr>
      </w:pPr>
    </w:p>
    <w:p w14:paraId="6AA6A5A5" w14:textId="3157D3E5" w:rsidR="00BB6F58" w:rsidRPr="00BB6F58" w:rsidRDefault="00BB6F58" w:rsidP="00BB6F58">
      <w:pPr>
        <w:widowControl w:val="0"/>
        <w:autoSpaceDE w:val="0"/>
        <w:autoSpaceDN w:val="0"/>
        <w:adjustRightInd w:val="0"/>
        <w:spacing w:line="276" w:lineRule="auto"/>
        <w:ind w:left="708"/>
        <w:jc w:val="both"/>
        <w:rPr>
          <w:rFonts w:ascii="Verdana" w:hAnsi="Verdana" w:cs="Arial"/>
          <w:i/>
          <w:iCs/>
          <w:sz w:val="22"/>
          <w:szCs w:val="22"/>
        </w:rPr>
      </w:pPr>
      <w:r w:rsidRPr="00BB6F58">
        <w:rPr>
          <w:rFonts w:ascii="Verdana" w:hAnsi="Verdana" w:cs="Arial"/>
          <w:i/>
          <w:iCs/>
          <w:sz w:val="22"/>
          <w:szCs w:val="22"/>
          <w:lang w:val="es-ES"/>
        </w:rPr>
        <w:t>Cuando</w:t>
      </w:r>
      <w:r w:rsidR="000F3789">
        <w:rPr>
          <w:rFonts w:ascii="Verdana" w:hAnsi="Verdana" w:cs="Arial"/>
          <w:i/>
          <w:iCs/>
          <w:sz w:val="22"/>
          <w:szCs w:val="22"/>
          <w:lang w:val="es-ES"/>
        </w:rPr>
        <w:t xml:space="preserve"> </w:t>
      </w:r>
      <w:r w:rsidRPr="00BB6F58">
        <w:rPr>
          <w:rFonts w:ascii="Verdana" w:hAnsi="Verdana" w:cs="Arial"/>
          <w:i/>
          <w:iCs/>
          <w:sz w:val="22"/>
          <w:szCs w:val="22"/>
          <w:lang w:val="es-ES"/>
        </w:rPr>
        <w:t>la medición</w:t>
      </w:r>
      <w:r w:rsidR="000F3789">
        <w:rPr>
          <w:rFonts w:ascii="Verdana" w:hAnsi="Verdana" w:cs="Arial"/>
          <w:i/>
          <w:iCs/>
          <w:sz w:val="22"/>
          <w:szCs w:val="22"/>
          <w:lang w:val="es-ES"/>
        </w:rPr>
        <w:t xml:space="preserve"> </w:t>
      </w:r>
      <w:r w:rsidRPr="00BB6F58">
        <w:rPr>
          <w:rFonts w:ascii="Verdana" w:hAnsi="Verdana" w:cs="Arial"/>
          <w:i/>
          <w:iCs/>
          <w:sz w:val="22"/>
          <w:szCs w:val="22"/>
          <w:lang w:val="es-ES"/>
        </w:rPr>
        <w:t>de los</w:t>
      </w:r>
      <w:r w:rsidR="000F3789">
        <w:rPr>
          <w:rFonts w:ascii="Verdana" w:hAnsi="Verdana" w:cs="Arial"/>
          <w:i/>
          <w:iCs/>
          <w:sz w:val="22"/>
          <w:szCs w:val="22"/>
          <w:lang w:val="es-ES"/>
        </w:rPr>
        <w:t xml:space="preserve"> </w:t>
      </w:r>
      <w:r w:rsidRPr="00BB6F58">
        <w:rPr>
          <w:rFonts w:ascii="Verdana" w:hAnsi="Verdana" w:cs="Arial"/>
          <w:i/>
          <w:iCs/>
          <w:sz w:val="22"/>
          <w:szCs w:val="22"/>
          <w:lang w:val="es-ES"/>
        </w:rPr>
        <w:t>activos por</w:t>
      </w:r>
      <w:r w:rsidR="000F3789">
        <w:rPr>
          <w:rFonts w:ascii="Verdana" w:hAnsi="Verdana" w:cs="Arial"/>
          <w:i/>
          <w:iCs/>
          <w:sz w:val="22"/>
          <w:szCs w:val="22"/>
          <w:lang w:val="es-ES"/>
        </w:rPr>
        <w:t xml:space="preserve"> </w:t>
      </w:r>
      <w:r w:rsidRPr="00BB6F58">
        <w:rPr>
          <w:rFonts w:ascii="Verdana" w:hAnsi="Verdana" w:cs="Arial"/>
          <w:i/>
          <w:iCs/>
          <w:sz w:val="22"/>
          <w:szCs w:val="22"/>
          <w:lang w:val="es-ES"/>
        </w:rPr>
        <w:t>contratos de</w:t>
      </w:r>
      <w:r w:rsidR="000F3789">
        <w:rPr>
          <w:rFonts w:ascii="Verdana" w:hAnsi="Verdana" w:cs="Arial"/>
          <w:i/>
          <w:iCs/>
          <w:sz w:val="22"/>
          <w:szCs w:val="22"/>
          <w:lang w:val="es-ES"/>
        </w:rPr>
        <w:t xml:space="preserve"> </w:t>
      </w:r>
      <w:r w:rsidRPr="00BB6F58">
        <w:rPr>
          <w:rFonts w:ascii="Verdana" w:hAnsi="Verdana" w:cs="Arial"/>
          <w:i/>
          <w:iCs/>
          <w:sz w:val="22"/>
          <w:szCs w:val="22"/>
          <w:lang w:val="es-ES"/>
        </w:rPr>
        <w:t>reaseguro mantenidos</w:t>
      </w:r>
      <w:r w:rsidR="000F3789">
        <w:rPr>
          <w:rFonts w:ascii="Verdana" w:hAnsi="Verdana" w:cs="Arial"/>
          <w:i/>
          <w:iCs/>
          <w:sz w:val="22"/>
          <w:szCs w:val="22"/>
          <w:lang w:val="es-ES"/>
        </w:rPr>
        <w:t xml:space="preserve"> </w:t>
      </w:r>
      <w:r w:rsidRPr="00BB6F58">
        <w:rPr>
          <w:rFonts w:ascii="Verdana" w:hAnsi="Verdana" w:cs="Arial"/>
          <w:i/>
          <w:iCs/>
          <w:sz w:val="22"/>
          <w:szCs w:val="22"/>
          <w:lang w:val="es-ES"/>
        </w:rPr>
        <w:t>y</w:t>
      </w:r>
      <w:r w:rsidR="00F06BF0">
        <w:rPr>
          <w:rFonts w:ascii="Verdana" w:hAnsi="Verdana" w:cs="Arial"/>
          <w:i/>
          <w:iCs/>
          <w:sz w:val="22"/>
          <w:szCs w:val="22"/>
          <w:lang w:val="es-ES"/>
        </w:rPr>
        <w:t xml:space="preserve"> </w:t>
      </w:r>
      <w:r w:rsidRPr="00BB6F58">
        <w:rPr>
          <w:rFonts w:ascii="Verdana" w:hAnsi="Verdana" w:cs="Arial"/>
          <w:i/>
          <w:iCs/>
          <w:sz w:val="22"/>
          <w:szCs w:val="22"/>
          <w:lang w:val="es-ES"/>
        </w:rPr>
        <w:t>de los pasivos</w:t>
      </w:r>
      <w:r w:rsidR="00F06BF0">
        <w:rPr>
          <w:rFonts w:ascii="Verdana" w:hAnsi="Verdana" w:cs="Arial"/>
          <w:i/>
          <w:iCs/>
          <w:sz w:val="22"/>
          <w:szCs w:val="22"/>
          <w:lang w:val="es-ES"/>
        </w:rPr>
        <w:t xml:space="preserve"> </w:t>
      </w:r>
      <w:r w:rsidRPr="00BB6F58">
        <w:rPr>
          <w:rFonts w:ascii="Verdana" w:hAnsi="Verdana" w:cs="Arial"/>
          <w:i/>
          <w:iCs/>
          <w:sz w:val="22"/>
          <w:szCs w:val="22"/>
          <w:lang w:val="es-ES"/>
        </w:rPr>
        <w:t>de</w:t>
      </w:r>
      <w:r w:rsidR="00F06BF0">
        <w:rPr>
          <w:rFonts w:ascii="Verdana" w:hAnsi="Verdana" w:cs="Arial"/>
          <w:i/>
          <w:iCs/>
          <w:sz w:val="22"/>
          <w:szCs w:val="22"/>
          <w:lang w:val="es-ES"/>
        </w:rPr>
        <w:t xml:space="preserve"> </w:t>
      </w:r>
      <w:r w:rsidRPr="00BB6F58">
        <w:rPr>
          <w:rFonts w:ascii="Verdana" w:hAnsi="Verdana" w:cs="Arial"/>
          <w:i/>
          <w:iCs/>
          <w:sz w:val="22"/>
          <w:szCs w:val="22"/>
          <w:lang w:val="es-ES"/>
        </w:rPr>
        <w:t>los contratos</w:t>
      </w:r>
      <w:r w:rsidR="00F06BF0">
        <w:rPr>
          <w:rFonts w:ascii="Verdana" w:hAnsi="Verdana" w:cs="Arial"/>
          <w:i/>
          <w:iCs/>
          <w:sz w:val="22"/>
          <w:szCs w:val="22"/>
          <w:lang w:val="es-ES"/>
        </w:rPr>
        <w:t xml:space="preserve"> </w:t>
      </w:r>
      <w:r w:rsidRPr="00BB6F58">
        <w:rPr>
          <w:rFonts w:ascii="Verdana" w:hAnsi="Verdana" w:cs="Arial"/>
          <w:i/>
          <w:iCs/>
          <w:sz w:val="22"/>
          <w:szCs w:val="22"/>
          <w:lang w:val="es-ES"/>
        </w:rPr>
        <w:t>de seguros vigentes</w:t>
      </w:r>
      <w:r w:rsidR="00F06BF0">
        <w:rPr>
          <w:rFonts w:ascii="Verdana" w:hAnsi="Verdana" w:cs="Arial"/>
          <w:i/>
          <w:iCs/>
          <w:sz w:val="22"/>
          <w:szCs w:val="22"/>
          <w:lang w:val="es-ES"/>
        </w:rPr>
        <w:t xml:space="preserve"> </w:t>
      </w:r>
      <w:r w:rsidRPr="00BB6F58">
        <w:rPr>
          <w:rFonts w:ascii="Verdana" w:hAnsi="Verdana" w:cs="Arial"/>
          <w:i/>
          <w:iCs/>
          <w:sz w:val="22"/>
          <w:szCs w:val="22"/>
          <w:lang w:val="es-ES"/>
        </w:rPr>
        <w:t xml:space="preserve">al </w:t>
      </w:r>
      <w:r w:rsidRPr="000F3789">
        <w:rPr>
          <w:rFonts w:ascii="Verdana" w:hAnsi="Verdana" w:cs="Arial"/>
          <w:i/>
          <w:iCs/>
          <w:sz w:val="22"/>
          <w:szCs w:val="22"/>
          <w:lang w:val="es-ES"/>
        </w:rPr>
        <w:t>1 de enero</w:t>
      </w:r>
      <w:r w:rsidR="00F06BF0">
        <w:rPr>
          <w:rFonts w:ascii="Verdana" w:hAnsi="Verdana" w:cs="Arial"/>
          <w:i/>
          <w:iCs/>
          <w:sz w:val="22"/>
          <w:szCs w:val="22"/>
          <w:lang w:val="es-ES"/>
        </w:rPr>
        <w:t xml:space="preserve"> </w:t>
      </w:r>
      <w:r w:rsidRPr="000F3789">
        <w:rPr>
          <w:rFonts w:ascii="Verdana" w:hAnsi="Verdana" w:cs="Arial"/>
          <w:i/>
          <w:iCs/>
          <w:sz w:val="22"/>
          <w:szCs w:val="22"/>
          <w:lang w:val="es-ES"/>
        </w:rPr>
        <w:t>del</w:t>
      </w:r>
      <w:r w:rsidR="00F06BF0">
        <w:rPr>
          <w:rFonts w:ascii="Verdana" w:hAnsi="Verdana" w:cs="Arial"/>
          <w:i/>
          <w:iCs/>
          <w:sz w:val="22"/>
          <w:szCs w:val="22"/>
          <w:lang w:val="es-ES"/>
        </w:rPr>
        <w:t xml:space="preserve"> </w:t>
      </w:r>
      <w:r w:rsidRPr="000F3789">
        <w:rPr>
          <w:rFonts w:ascii="Verdana" w:hAnsi="Verdana" w:cs="Arial"/>
          <w:i/>
          <w:iCs/>
          <w:sz w:val="22"/>
          <w:szCs w:val="22"/>
          <w:lang w:val="es-ES"/>
        </w:rPr>
        <w:lastRenderedPageBreak/>
        <w:t>202</w:t>
      </w:r>
      <w:r w:rsidR="000D73B5" w:rsidRPr="000F3789">
        <w:rPr>
          <w:rFonts w:ascii="Verdana" w:hAnsi="Verdana" w:cs="Arial"/>
          <w:i/>
          <w:iCs/>
          <w:sz w:val="22"/>
          <w:szCs w:val="22"/>
          <w:lang w:val="es-ES"/>
        </w:rPr>
        <w:t>8</w:t>
      </w:r>
      <w:r w:rsidR="00230EBF">
        <w:rPr>
          <w:rFonts w:ascii="Verdana" w:hAnsi="Verdana" w:cs="Arial"/>
          <w:i/>
          <w:iCs/>
          <w:sz w:val="22"/>
          <w:szCs w:val="22"/>
          <w:lang w:val="es-ES"/>
        </w:rPr>
        <w:t xml:space="preserve"> </w:t>
      </w:r>
      <w:r w:rsidRPr="00BB6F58">
        <w:rPr>
          <w:rFonts w:ascii="Verdana" w:hAnsi="Verdana" w:cs="Arial"/>
          <w:i/>
          <w:iCs/>
          <w:sz w:val="22"/>
          <w:szCs w:val="22"/>
          <w:lang w:val="es-ES"/>
        </w:rPr>
        <w:t>y</w:t>
      </w:r>
      <w:r w:rsidR="00230EBF">
        <w:rPr>
          <w:rFonts w:ascii="Verdana" w:hAnsi="Verdana" w:cs="Arial"/>
          <w:i/>
          <w:iCs/>
          <w:sz w:val="22"/>
          <w:szCs w:val="22"/>
          <w:lang w:val="es-ES"/>
        </w:rPr>
        <w:t xml:space="preserve"> </w:t>
      </w:r>
      <w:r w:rsidRPr="00BB6F58">
        <w:rPr>
          <w:rFonts w:ascii="Verdana" w:hAnsi="Verdana" w:cs="Arial"/>
          <w:i/>
          <w:iCs/>
          <w:sz w:val="22"/>
          <w:szCs w:val="22"/>
          <w:lang w:val="es-ES"/>
        </w:rPr>
        <w:t>contratos</w:t>
      </w:r>
      <w:r w:rsidR="00230EBF">
        <w:rPr>
          <w:rFonts w:ascii="Verdana" w:hAnsi="Verdana" w:cs="Arial"/>
          <w:i/>
          <w:iCs/>
          <w:sz w:val="22"/>
          <w:szCs w:val="22"/>
          <w:lang w:val="es-ES"/>
        </w:rPr>
        <w:t xml:space="preserve"> </w:t>
      </w:r>
      <w:r w:rsidRPr="00BB6F58">
        <w:rPr>
          <w:rFonts w:ascii="Verdana" w:hAnsi="Verdana" w:cs="Arial"/>
          <w:i/>
          <w:iCs/>
          <w:sz w:val="22"/>
          <w:szCs w:val="22"/>
          <w:lang w:val="es-ES"/>
        </w:rPr>
        <w:t>con obligaciones pendientes</w:t>
      </w:r>
      <w:r w:rsidR="00230EBF">
        <w:rPr>
          <w:rFonts w:ascii="Verdana" w:hAnsi="Verdana" w:cs="Arial"/>
          <w:i/>
          <w:iCs/>
          <w:sz w:val="22"/>
          <w:szCs w:val="22"/>
          <w:lang w:val="es-ES"/>
        </w:rPr>
        <w:t xml:space="preserve"> </w:t>
      </w:r>
      <w:r w:rsidRPr="00BB6F58">
        <w:rPr>
          <w:rFonts w:ascii="Verdana" w:hAnsi="Verdana" w:cs="Arial"/>
          <w:i/>
          <w:iCs/>
          <w:sz w:val="22"/>
          <w:szCs w:val="22"/>
          <w:lang w:val="es-ES"/>
        </w:rPr>
        <w:t>expedidos con anterioridad a esa fecha,</w:t>
      </w:r>
      <w:r w:rsidR="008E59E5">
        <w:rPr>
          <w:rFonts w:ascii="Verdana" w:hAnsi="Verdana" w:cs="Arial"/>
          <w:i/>
          <w:iCs/>
          <w:sz w:val="22"/>
          <w:szCs w:val="22"/>
          <w:lang w:val="es-ES"/>
        </w:rPr>
        <w:t xml:space="preserve"> </w:t>
      </w:r>
      <w:r w:rsidRPr="00BB6F58">
        <w:rPr>
          <w:rFonts w:ascii="Verdana" w:hAnsi="Verdana" w:cs="Arial"/>
          <w:i/>
          <w:iCs/>
          <w:sz w:val="22"/>
          <w:szCs w:val="22"/>
          <w:lang w:val="es-ES"/>
        </w:rPr>
        <w:t>implique</w:t>
      </w:r>
      <w:r w:rsidR="008E59E5">
        <w:rPr>
          <w:rFonts w:ascii="Verdana" w:hAnsi="Verdana" w:cs="Arial"/>
          <w:i/>
          <w:iCs/>
          <w:sz w:val="22"/>
          <w:szCs w:val="22"/>
          <w:lang w:val="es-ES"/>
        </w:rPr>
        <w:t xml:space="preserve"> </w:t>
      </w:r>
      <w:r w:rsidRPr="00BB6F58">
        <w:rPr>
          <w:rFonts w:ascii="Verdana" w:hAnsi="Verdana" w:cs="Arial"/>
          <w:i/>
          <w:iCs/>
          <w:sz w:val="22"/>
          <w:szCs w:val="22"/>
          <w:lang w:val="es-ES"/>
        </w:rPr>
        <w:t>un</w:t>
      </w:r>
      <w:r w:rsidR="008E59E5">
        <w:rPr>
          <w:rFonts w:ascii="Verdana" w:hAnsi="Verdana" w:cs="Arial"/>
          <w:i/>
          <w:iCs/>
          <w:sz w:val="22"/>
          <w:szCs w:val="22"/>
          <w:lang w:val="es-ES"/>
        </w:rPr>
        <w:t xml:space="preserve"> </w:t>
      </w:r>
      <w:r w:rsidRPr="00BB6F58">
        <w:rPr>
          <w:rFonts w:ascii="Verdana" w:hAnsi="Verdana" w:cs="Arial"/>
          <w:i/>
          <w:iCs/>
          <w:sz w:val="22"/>
          <w:szCs w:val="22"/>
          <w:lang w:val="es-ES"/>
        </w:rPr>
        <w:t>aumento</w:t>
      </w:r>
      <w:r w:rsidR="008E59E5">
        <w:rPr>
          <w:rFonts w:ascii="Verdana" w:hAnsi="Verdana" w:cs="Arial"/>
          <w:i/>
          <w:iCs/>
          <w:sz w:val="22"/>
          <w:szCs w:val="22"/>
          <w:lang w:val="es-ES"/>
        </w:rPr>
        <w:t xml:space="preserve"> </w:t>
      </w:r>
      <w:r w:rsidRPr="00BB6F58">
        <w:rPr>
          <w:rFonts w:ascii="Verdana" w:hAnsi="Verdana" w:cs="Arial"/>
          <w:i/>
          <w:iCs/>
          <w:sz w:val="22"/>
          <w:szCs w:val="22"/>
          <w:lang w:val="es-ES"/>
        </w:rPr>
        <w:t>o una</w:t>
      </w:r>
      <w:r w:rsidR="008E59E5">
        <w:rPr>
          <w:rFonts w:ascii="Verdana" w:hAnsi="Verdana" w:cs="Arial"/>
          <w:i/>
          <w:iCs/>
          <w:sz w:val="22"/>
          <w:szCs w:val="22"/>
          <w:lang w:val="es-ES"/>
        </w:rPr>
        <w:t xml:space="preserve"> </w:t>
      </w:r>
      <w:r w:rsidRPr="00BB6F58">
        <w:rPr>
          <w:rFonts w:ascii="Verdana" w:hAnsi="Verdana" w:cs="Arial"/>
          <w:i/>
          <w:iCs/>
          <w:sz w:val="22"/>
          <w:szCs w:val="22"/>
          <w:lang w:val="es-ES"/>
        </w:rPr>
        <w:t>disminución</w:t>
      </w:r>
      <w:r w:rsidR="008E59E5">
        <w:rPr>
          <w:rFonts w:ascii="Verdana" w:hAnsi="Verdana" w:cs="Arial"/>
          <w:i/>
          <w:iCs/>
          <w:sz w:val="22"/>
          <w:szCs w:val="22"/>
          <w:lang w:val="es-ES"/>
        </w:rPr>
        <w:t xml:space="preserve"> </w:t>
      </w:r>
      <w:r w:rsidRPr="00BB6F58">
        <w:rPr>
          <w:rFonts w:ascii="Verdana" w:hAnsi="Verdana" w:cs="Arial"/>
          <w:i/>
          <w:iCs/>
          <w:sz w:val="22"/>
          <w:szCs w:val="22"/>
          <w:lang w:val="es-ES"/>
        </w:rPr>
        <w:t>de</w:t>
      </w:r>
      <w:r w:rsidR="008E59E5">
        <w:rPr>
          <w:rFonts w:ascii="Verdana" w:hAnsi="Verdana" w:cs="Arial"/>
          <w:i/>
          <w:iCs/>
          <w:sz w:val="22"/>
          <w:szCs w:val="22"/>
          <w:lang w:val="es-ES"/>
        </w:rPr>
        <w:t xml:space="preserve"> </w:t>
      </w:r>
      <w:r w:rsidRPr="00BB6F58">
        <w:rPr>
          <w:rFonts w:ascii="Verdana" w:hAnsi="Verdana" w:cs="Arial"/>
          <w:i/>
          <w:iCs/>
          <w:sz w:val="22"/>
          <w:szCs w:val="22"/>
          <w:lang w:val="es-ES"/>
        </w:rPr>
        <w:t>los</w:t>
      </w:r>
      <w:r w:rsidR="008E59E5">
        <w:rPr>
          <w:rFonts w:ascii="Verdana" w:hAnsi="Verdana" w:cs="Arial"/>
          <w:i/>
          <w:iCs/>
          <w:sz w:val="22"/>
          <w:szCs w:val="22"/>
          <w:lang w:val="es-ES"/>
        </w:rPr>
        <w:t xml:space="preserve"> </w:t>
      </w:r>
      <w:r w:rsidRPr="00BB6F58">
        <w:rPr>
          <w:rFonts w:ascii="Verdana" w:hAnsi="Verdana" w:cs="Arial"/>
          <w:i/>
          <w:iCs/>
          <w:sz w:val="22"/>
          <w:szCs w:val="22"/>
          <w:lang w:val="es-ES"/>
        </w:rPr>
        <w:t>activos por</w:t>
      </w:r>
      <w:r w:rsidR="008E59E5">
        <w:rPr>
          <w:rFonts w:ascii="Verdana" w:hAnsi="Verdana" w:cs="Arial"/>
          <w:i/>
          <w:iCs/>
          <w:sz w:val="22"/>
          <w:szCs w:val="22"/>
          <w:lang w:val="es-ES"/>
        </w:rPr>
        <w:t xml:space="preserve"> </w:t>
      </w:r>
      <w:r w:rsidRPr="00BB6F58">
        <w:rPr>
          <w:rFonts w:ascii="Verdana" w:hAnsi="Verdana" w:cs="Arial"/>
          <w:i/>
          <w:iCs/>
          <w:sz w:val="22"/>
          <w:szCs w:val="22"/>
          <w:lang w:val="es-ES"/>
        </w:rPr>
        <w:t>contratos de</w:t>
      </w:r>
      <w:r w:rsidR="008E59E5">
        <w:rPr>
          <w:rFonts w:ascii="Verdana" w:hAnsi="Verdana" w:cs="Arial"/>
          <w:i/>
          <w:iCs/>
          <w:sz w:val="22"/>
          <w:szCs w:val="22"/>
          <w:lang w:val="es-ES"/>
        </w:rPr>
        <w:t xml:space="preserve"> </w:t>
      </w:r>
      <w:r w:rsidRPr="00BB6F58">
        <w:rPr>
          <w:rFonts w:ascii="Verdana" w:hAnsi="Verdana" w:cs="Arial"/>
          <w:i/>
          <w:iCs/>
          <w:sz w:val="22"/>
          <w:szCs w:val="22"/>
          <w:lang w:val="es-ES"/>
        </w:rPr>
        <w:t>reaseguro mantenidos</w:t>
      </w:r>
      <w:r w:rsidR="008E59E5">
        <w:rPr>
          <w:rFonts w:ascii="Verdana" w:hAnsi="Verdana" w:cs="Arial"/>
          <w:i/>
          <w:iCs/>
          <w:sz w:val="22"/>
          <w:szCs w:val="22"/>
          <w:lang w:val="es-ES"/>
        </w:rPr>
        <w:t xml:space="preserve"> </w:t>
      </w:r>
      <w:r w:rsidRPr="00BB6F58">
        <w:rPr>
          <w:rFonts w:ascii="Verdana" w:hAnsi="Verdana" w:cs="Arial"/>
          <w:i/>
          <w:iCs/>
          <w:sz w:val="22"/>
          <w:szCs w:val="22"/>
          <w:lang w:val="es-ES"/>
        </w:rPr>
        <w:t>o de</w:t>
      </w:r>
      <w:r w:rsidR="008E59E5">
        <w:rPr>
          <w:rFonts w:ascii="Verdana" w:hAnsi="Verdana" w:cs="Arial"/>
          <w:i/>
          <w:iCs/>
          <w:sz w:val="22"/>
          <w:szCs w:val="22"/>
          <w:lang w:val="es-ES"/>
        </w:rPr>
        <w:t xml:space="preserve"> </w:t>
      </w:r>
      <w:r w:rsidRPr="00BB6F58">
        <w:rPr>
          <w:rFonts w:ascii="Verdana" w:hAnsi="Verdana" w:cs="Arial"/>
          <w:i/>
          <w:iCs/>
          <w:sz w:val="22"/>
          <w:szCs w:val="22"/>
          <w:lang w:val="es-ES"/>
        </w:rPr>
        <w:t>los pasivos</w:t>
      </w:r>
      <w:r w:rsidR="008E59E5">
        <w:rPr>
          <w:rFonts w:ascii="Verdana" w:hAnsi="Verdana" w:cs="Arial"/>
          <w:i/>
          <w:iCs/>
          <w:sz w:val="22"/>
          <w:szCs w:val="22"/>
          <w:lang w:val="es-ES"/>
        </w:rPr>
        <w:t xml:space="preserve"> </w:t>
      </w:r>
      <w:r w:rsidRPr="00BB6F58">
        <w:rPr>
          <w:rFonts w:ascii="Verdana" w:hAnsi="Verdana" w:cs="Arial"/>
          <w:i/>
          <w:iCs/>
          <w:sz w:val="22"/>
          <w:szCs w:val="22"/>
          <w:lang w:val="es-ES"/>
        </w:rPr>
        <w:t>para</w:t>
      </w:r>
      <w:r w:rsidR="008E59E5">
        <w:rPr>
          <w:rFonts w:ascii="Verdana" w:hAnsi="Verdana" w:cs="Arial"/>
          <w:i/>
          <w:iCs/>
          <w:sz w:val="22"/>
          <w:szCs w:val="22"/>
          <w:lang w:val="es-ES"/>
        </w:rPr>
        <w:t xml:space="preserve"> </w:t>
      </w:r>
      <w:r w:rsidRPr="00BB6F58">
        <w:rPr>
          <w:rFonts w:ascii="Verdana" w:hAnsi="Verdana" w:cs="Arial"/>
          <w:i/>
          <w:iCs/>
          <w:sz w:val="22"/>
          <w:szCs w:val="22"/>
          <w:lang w:val="es-ES"/>
        </w:rPr>
        <w:t>los ramos del literal</w:t>
      </w:r>
      <w:r w:rsidR="008E59E5">
        <w:rPr>
          <w:rFonts w:ascii="Verdana" w:hAnsi="Verdana" w:cs="Arial"/>
          <w:i/>
          <w:iCs/>
          <w:sz w:val="22"/>
          <w:szCs w:val="22"/>
          <w:lang w:val="es-ES"/>
        </w:rPr>
        <w:t xml:space="preserve"> </w:t>
      </w:r>
      <w:r w:rsidRPr="00BB6F58">
        <w:rPr>
          <w:rFonts w:ascii="Verdana" w:hAnsi="Verdana" w:cs="Arial"/>
          <w:i/>
          <w:iCs/>
          <w:sz w:val="22"/>
          <w:szCs w:val="22"/>
          <w:lang w:val="es-ES"/>
        </w:rPr>
        <w:t>(c)</w:t>
      </w:r>
      <w:r w:rsidR="00CD63AF">
        <w:rPr>
          <w:rFonts w:ascii="Verdana" w:hAnsi="Verdana" w:cs="Arial"/>
          <w:i/>
          <w:iCs/>
          <w:sz w:val="22"/>
          <w:szCs w:val="22"/>
          <w:lang w:val="es-ES"/>
        </w:rPr>
        <w:t xml:space="preserve"> </w:t>
      </w:r>
      <w:r w:rsidRPr="00BB6F58">
        <w:rPr>
          <w:rFonts w:ascii="Verdana" w:hAnsi="Verdana" w:cs="Arial"/>
          <w:i/>
          <w:iCs/>
          <w:sz w:val="22"/>
          <w:szCs w:val="22"/>
          <w:lang w:val="es-ES"/>
        </w:rPr>
        <w:t xml:space="preserve">del numeral 3 del artículo </w:t>
      </w:r>
      <w:r w:rsidR="000D73B5" w:rsidRPr="000A479D">
        <w:rPr>
          <w:rFonts w:ascii="Verdana" w:hAnsi="Verdana" w:cs="Arial"/>
          <w:i/>
          <w:iCs/>
          <w:sz w:val="22"/>
          <w:szCs w:val="22"/>
          <w:lang w:val="es-ES"/>
        </w:rPr>
        <w:t>1.1.4.1.5 del Decreto 2420 de 2015, adicionado por medio del Decreto 217 de 2026</w:t>
      </w:r>
      <w:r w:rsidRPr="00BB6F58">
        <w:rPr>
          <w:rFonts w:ascii="Verdana" w:hAnsi="Verdana" w:cs="Arial"/>
          <w:i/>
          <w:iCs/>
          <w:sz w:val="22"/>
          <w:szCs w:val="22"/>
          <w:lang w:val="es-ES"/>
        </w:rPr>
        <w:t>,</w:t>
      </w:r>
      <w:r w:rsidR="003D7E1A">
        <w:rPr>
          <w:rFonts w:ascii="Verdana" w:hAnsi="Verdana" w:cs="Arial"/>
          <w:i/>
          <w:iCs/>
          <w:sz w:val="22"/>
          <w:szCs w:val="22"/>
          <w:lang w:val="es-ES"/>
        </w:rPr>
        <w:t xml:space="preserve"> </w:t>
      </w:r>
      <w:r w:rsidRPr="00BB6F58">
        <w:rPr>
          <w:rFonts w:ascii="Verdana" w:hAnsi="Verdana" w:cs="Arial"/>
          <w:i/>
          <w:iCs/>
          <w:sz w:val="22"/>
          <w:szCs w:val="22"/>
          <w:lang w:val="es-ES"/>
        </w:rPr>
        <w:t>como consecuencia</w:t>
      </w:r>
      <w:r w:rsidR="003D7E1A">
        <w:rPr>
          <w:rFonts w:ascii="Verdana" w:hAnsi="Verdana" w:cs="Arial"/>
          <w:i/>
          <w:iCs/>
          <w:sz w:val="22"/>
          <w:szCs w:val="22"/>
          <w:lang w:val="es-ES"/>
        </w:rPr>
        <w:t xml:space="preserve"> </w:t>
      </w:r>
      <w:r w:rsidRPr="00BB6F58">
        <w:rPr>
          <w:rFonts w:ascii="Verdana" w:hAnsi="Verdana" w:cs="Arial"/>
          <w:i/>
          <w:iCs/>
          <w:sz w:val="22"/>
          <w:szCs w:val="22"/>
          <w:lang w:val="es-ES"/>
        </w:rPr>
        <w:t>de la aplicación de los nuevos estándares, las entidades</w:t>
      </w:r>
      <w:r w:rsidR="003D7E1A">
        <w:rPr>
          <w:rFonts w:ascii="Verdana" w:hAnsi="Verdana" w:cs="Arial"/>
          <w:i/>
          <w:iCs/>
          <w:sz w:val="22"/>
          <w:szCs w:val="22"/>
          <w:lang w:val="es-ES"/>
        </w:rPr>
        <w:t xml:space="preserve"> </w:t>
      </w:r>
      <w:r w:rsidRPr="00BB6F58">
        <w:rPr>
          <w:rFonts w:ascii="Verdana" w:hAnsi="Verdana" w:cs="Arial"/>
          <w:i/>
          <w:iCs/>
          <w:sz w:val="22"/>
          <w:szCs w:val="22"/>
          <w:lang w:val="es-ES"/>
        </w:rPr>
        <w:t>deben</w:t>
      </w:r>
      <w:r w:rsidR="003D7E1A">
        <w:rPr>
          <w:rFonts w:ascii="Verdana" w:hAnsi="Verdana" w:cs="Arial"/>
          <w:i/>
          <w:iCs/>
          <w:sz w:val="22"/>
          <w:szCs w:val="22"/>
          <w:lang w:val="es-ES"/>
        </w:rPr>
        <w:t xml:space="preserve"> </w:t>
      </w:r>
      <w:r w:rsidRPr="00BB6F58">
        <w:rPr>
          <w:rFonts w:ascii="Verdana" w:hAnsi="Verdana" w:cs="Arial"/>
          <w:i/>
          <w:iCs/>
          <w:sz w:val="22"/>
          <w:szCs w:val="22"/>
          <w:lang w:val="es-ES"/>
        </w:rPr>
        <w:t>aplicar una de las siguientes alternativas, según lo determine</w:t>
      </w:r>
      <w:r w:rsidR="003D7E1A">
        <w:rPr>
          <w:rFonts w:ascii="Verdana" w:hAnsi="Verdana" w:cs="Arial"/>
          <w:i/>
          <w:iCs/>
          <w:sz w:val="22"/>
          <w:szCs w:val="22"/>
          <w:lang w:val="es-ES"/>
        </w:rPr>
        <w:t xml:space="preserve"> </w:t>
      </w:r>
      <w:r w:rsidRPr="00BB6F58">
        <w:rPr>
          <w:rFonts w:ascii="Verdana" w:hAnsi="Verdana" w:cs="Arial"/>
          <w:i/>
          <w:iCs/>
          <w:sz w:val="22"/>
          <w:szCs w:val="22"/>
          <w:lang w:val="es-ES"/>
        </w:rPr>
        <w:t>cada</w:t>
      </w:r>
      <w:r w:rsidR="003D7E1A">
        <w:rPr>
          <w:rFonts w:ascii="Verdana" w:hAnsi="Verdana" w:cs="Arial"/>
          <w:i/>
          <w:iCs/>
          <w:sz w:val="22"/>
          <w:szCs w:val="22"/>
          <w:lang w:val="es-ES"/>
        </w:rPr>
        <w:t xml:space="preserve"> </w:t>
      </w:r>
      <w:r w:rsidRPr="00BB6F58">
        <w:rPr>
          <w:rFonts w:ascii="Verdana" w:hAnsi="Verdana" w:cs="Arial"/>
          <w:i/>
          <w:iCs/>
          <w:sz w:val="22"/>
          <w:szCs w:val="22"/>
          <w:lang w:val="es-ES"/>
        </w:rPr>
        <w:t>entidad aseguradora:</w:t>
      </w:r>
    </w:p>
    <w:p w14:paraId="162DAA53" w14:textId="015D18A8" w:rsidR="00BB6F58" w:rsidRPr="00BB6F58" w:rsidRDefault="00BB6F58" w:rsidP="00BB6F58">
      <w:pPr>
        <w:widowControl w:val="0"/>
        <w:autoSpaceDE w:val="0"/>
        <w:autoSpaceDN w:val="0"/>
        <w:adjustRightInd w:val="0"/>
        <w:spacing w:line="276" w:lineRule="auto"/>
        <w:ind w:left="708"/>
        <w:jc w:val="both"/>
        <w:rPr>
          <w:rFonts w:ascii="Verdana" w:hAnsi="Verdana" w:cs="Arial"/>
          <w:i/>
          <w:iCs/>
          <w:sz w:val="22"/>
          <w:szCs w:val="22"/>
        </w:rPr>
      </w:pPr>
    </w:p>
    <w:p w14:paraId="70EBDD88" w14:textId="09BF8999" w:rsidR="00BB6F58" w:rsidRPr="00BB6F58" w:rsidRDefault="00BB6F58" w:rsidP="00BB6F58">
      <w:pPr>
        <w:widowControl w:val="0"/>
        <w:numPr>
          <w:ilvl w:val="0"/>
          <w:numId w:val="23"/>
        </w:numPr>
        <w:tabs>
          <w:tab w:val="clear" w:pos="720"/>
          <w:tab w:val="num" w:pos="1428"/>
        </w:tabs>
        <w:autoSpaceDE w:val="0"/>
        <w:autoSpaceDN w:val="0"/>
        <w:adjustRightInd w:val="0"/>
        <w:spacing w:line="276" w:lineRule="auto"/>
        <w:ind w:left="1428"/>
        <w:jc w:val="both"/>
        <w:rPr>
          <w:rFonts w:ascii="Verdana" w:hAnsi="Verdana" w:cs="Arial"/>
          <w:i/>
          <w:iCs/>
          <w:sz w:val="22"/>
          <w:szCs w:val="22"/>
        </w:rPr>
      </w:pPr>
      <w:r w:rsidRPr="00BB6F58">
        <w:rPr>
          <w:rFonts w:ascii="Verdana" w:hAnsi="Verdana" w:cs="Arial"/>
          <w:i/>
          <w:iCs/>
          <w:sz w:val="22"/>
          <w:szCs w:val="22"/>
        </w:rPr>
        <w:t>Reconocer las</w:t>
      </w:r>
      <w:r w:rsidR="001D028F">
        <w:rPr>
          <w:rFonts w:ascii="Verdana" w:hAnsi="Verdana" w:cs="Arial"/>
          <w:i/>
          <w:iCs/>
          <w:sz w:val="22"/>
          <w:szCs w:val="22"/>
        </w:rPr>
        <w:t xml:space="preserve"> </w:t>
      </w:r>
      <w:r w:rsidRPr="00BB6F58">
        <w:rPr>
          <w:rFonts w:ascii="Verdana" w:hAnsi="Verdana" w:cs="Arial"/>
          <w:i/>
          <w:iCs/>
          <w:sz w:val="22"/>
          <w:szCs w:val="22"/>
        </w:rPr>
        <w:t>diferencias</w:t>
      </w:r>
      <w:r w:rsidR="001D028F">
        <w:rPr>
          <w:rFonts w:ascii="Verdana" w:hAnsi="Verdana" w:cs="Arial"/>
          <w:i/>
          <w:iCs/>
          <w:sz w:val="22"/>
          <w:szCs w:val="22"/>
        </w:rPr>
        <w:t xml:space="preserve"> </w:t>
      </w:r>
      <w:r w:rsidRPr="00BB6F58">
        <w:rPr>
          <w:rFonts w:ascii="Verdana" w:hAnsi="Verdana" w:cs="Arial"/>
          <w:i/>
          <w:iCs/>
          <w:sz w:val="22"/>
          <w:szCs w:val="22"/>
        </w:rPr>
        <w:t>netas positivas o negativas en el patrimonio,</w:t>
      </w:r>
      <w:r w:rsidR="001D028F">
        <w:rPr>
          <w:rFonts w:ascii="Verdana" w:hAnsi="Verdana" w:cs="Arial"/>
          <w:i/>
          <w:iCs/>
          <w:sz w:val="22"/>
          <w:szCs w:val="22"/>
        </w:rPr>
        <w:t xml:space="preserve"> </w:t>
      </w:r>
      <w:r w:rsidRPr="00BB6F58">
        <w:rPr>
          <w:rFonts w:ascii="Verdana" w:hAnsi="Verdana" w:cs="Arial"/>
          <w:i/>
          <w:iCs/>
          <w:sz w:val="22"/>
          <w:szCs w:val="22"/>
        </w:rPr>
        <w:t>de acuerdo</w:t>
      </w:r>
      <w:r w:rsidR="001D028F">
        <w:rPr>
          <w:rFonts w:ascii="Verdana" w:hAnsi="Verdana" w:cs="Arial"/>
          <w:i/>
          <w:iCs/>
          <w:sz w:val="22"/>
          <w:szCs w:val="22"/>
        </w:rPr>
        <w:t xml:space="preserve"> </w:t>
      </w:r>
      <w:r w:rsidRPr="00BB6F58">
        <w:rPr>
          <w:rFonts w:ascii="Verdana" w:hAnsi="Verdana" w:cs="Arial"/>
          <w:i/>
          <w:iCs/>
          <w:sz w:val="22"/>
          <w:szCs w:val="22"/>
        </w:rPr>
        <w:t>con</w:t>
      </w:r>
      <w:r w:rsidR="001D028F">
        <w:rPr>
          <w:rFonts w:ascii="Verdana" w:hAnsi="Verdana" w:cs="Arial"/>
          <w:i/>
          <w:iCs/>
          <w:sz w:val="22"/>
          <w:szCs w:val="22"/>
        </w:rPr>
        <w:t xml:space="preserve"> </w:t>
      </w:r>
      <w:r w:rsidRPr="00BB6F58">
        <w:rPr>
          <w:rFonts w:ascii="Verdana" w:hAnsi="Verdana" w:cs="Arial"/>
          <w:i/>
          <w:iCs/>
          <w:sz w:val="22"/>
          <w:szCs w:val="22"/>
        </w:rPr>
        <w:t>lo señalado en el numeral</w:t>
      </w:r>
      <w:r w:rsidR="001D028F">
        <w:rPr>
          <w:rFonts w:ascii="Verdana" w:hAnsi="Verdana" w:cs="Arial"/>
          <w:i/>
          <w:iCs/>
          <w:sz w:val="22"/>
          <w:szCs w:val="22"/>
        </w:rPr>
        <w:t xml:space="preserve"> </w:t>
      </w:r>
      <w:r w:rsidRPr="00BB6F58">
        <w:rPr>
          <w:rFonts w:ascii="Verdana" w:hAnsi="Verdana" w:cs="Arial"/>
          <w:i/>
          <w:iCs/>
          <w:sz w:val="22"/>
          <w:szCs w:val="22"/>
        </w:rPr>
        <w:t>11.1. de la presente circular externa.</w:t>
      </w:r>
    </w:p>
    <w:p w14:paraId="239EB121" w14:textId="54FE96F1" w:rsidR="00BB6F58" w:rsidRPr="00BB6F58" w:rsidRDefault="00BB6F58" w:rsidP="00BB6F58">
      <w:pPr>
        <w:widowControl w:val="0"/>
        <w:autoSpaceDE w:val="0"/>
        <w:autoSpaceDN w:val="0"/>
        <w:adjustRightInd w:val="0"/>
        <w:spacing w:line="276" w:lineRule="auto"/>
        <w:ind w:left="708"/>
        <w:jc w:val="both"/>
        <w:rPr>
          <w:rFonts w:ascii="Verdana" w:hAnsi="Verdana" w:cs="Arial"/>
          <w:i/>
          <w:iCs/>
          <w:sz w:val="22"/>
          <w:szCs w:val="22"/>
        </w:rPr>
      </w:pPr>
    </w:p>
    <w:p w14:paraId="19FE093F" w14:textId="5F3380D4" w:rsidR="00BB6F58" w:rsidRPr="00BB6F58" w:rsidRDefault="00BB6F58" w:rsidP="00BB6F58">
      <w:pPr>
        <w:widowControl w:val="0"/>
        <w:numPr>
          <w:ilvl w:val="0"/>
          <w:numId w:val="24"/>
        </w:numPr>
        <w:tabs>
          <w:tab w:val="clear" w:pos="720"/>
          <w:tab w:val="num" w:pos="1428"/>
        </w:tabs>
        <w:autoSpaceDE w:val="0"/>
        <w:autoSpaceDN w:val="0"/>
        <w:adjustRightInd w:val="0"/>
        <w:spacing w:line="276" w:lineRule="auto"/>
        <w:ind w:left="1428"/>
        <w:jc w:val="both"/>
        <w:rPr>
          <w:rFonts w:ascii="Verdana" w:hAnsi="Verdana" w:cs="Arial"/>
          <w:i/>
          <w:iCs/>
          <w:sz w:val="22"/>
          <w:szCs w:val="22"/>
        </w:rPr>
      </w:pPr>
      <w:r w:rsidRPr="00BB6F58">
        <w:rPr>
          <w:rFonts w:ascii="Verdana" w:hAnsi="Verdana" w:cs="Arial"/>
          <w:i/>
          <w:iCs/>
          <w:sz w:val="22"/>
          <w:szCs w:val="22"/>
        </w:rPr>
        <w:t>Reconocer</w:t>
      </w:r>
      <w:r w:rsidR="00DA300A">
        <w:rPr>
          <w:rFonts w:ascii="Verdana" w:hAnsi="Verdana" w:cs="Arial"/>
          <w:i/>
          <w:iCs/>
          <w:sz w:val="22"/>
          <w:szCs w:val="22"/>
        </w:rPr>
        <w:t xml:space="preserve"> </w:t>
      </w:r>
      <w:r w:rsidRPr="00BB6F58">
        <w:rPr>
          <w:rFonts w:ascii="Verdana" w:hAnsi="Verdana" w:cs="Arial"/>
          <w:i/>
          <w:iCs/>
          <w:sz w:val="22"/>
          <w:szCs w:val="22"/>
        </w:rPr>
        <w:t xml:space="preserve">la diferencia neta </w:t>
      </w:r>
      <w:r w:rsidR="00EE2F20">
        <w:rPr>
          <w:rFonts w:ascii="Verdana" w:hAnsi="Verdana" w:cs="Arial"/>
          <w:i/>
          <w:iCs/>
          <w:sz w:val="22"/>
          <w:szCs w:val="22"/>
        </w:rPr>
        <w:t xml:space="preserve">positiva o </w:t>
      </w:r>
      <w:r w:rsidRPr="00BB6F58">
        <w:rPr>
          <w:rFonts w:ascii="Verdana" w:hAnsi="Verdana" w:cs="Arial"/>
          <w:i/>
          <w:iCs/>
          <w:sz w:val="22"/>
          <w:szCs w:val="22"/>
        </w:rPr>
        <w:t>negativa</w:t>
      </w:r>
      <w:r w:rsidR="00DA300A">
        <w:rPr>
          <w:rFonts w:ascii="Verdana" w:hAnsi="Verdana" w:cs="Arial"/>
          <w:i/>
          <w:iCs/>
          <w:sz w:val="22"/>
          <w:szCs w:val="22"/>
        </w:rPr>
        <w:t xml:space="preserve"> </w:t>
      </w:r>
      <w:r w:rsidRPr="00BB6F58">
        <w:rPr>
          <w:rFonts w:ascii="Verdana" w:hAnsi="Verdana" w:cs="Arial"/>
          <w:i/>
          <w:iCs/>
          <w:sz w:val="22"/>
          <w:szCs w:val="22"/>
        </w:rPr>
        <w:t>de forma gradual</w:t>
      </w:r>
      <w:r w:rsidR="00DA300A">
        <w:rPr>
          <w:rFonts w:ascii="Verdana" w:hAnsi="Verdana" w:cs="Arial"/>
          <w:i/>
          <w:iCs/>
          <w:sz w:val="22"/>
          <w:szCs w:val="22"/>
        </w:rPr>
        <w:t xml:space="preserve"> </w:t>
      </w:r>
      <w:r w:rsidRPr="00BB6F58">
        <w:rPr>
          <w:rFonts w:ascii="Verdana" w:hAnsi="Verdana" w:cs="Arial"/>
          <w:i/>
          <w:iCs/>
          <w:sz w:val="22"/>
          <w:szCs w:val="22"/>
        </w:rPr>
        <w:t>y proporcional</w:t>
      </w:r>
      <w:r w:rsidR="00DA300A">
        <w:rPr>
          <w:rFonts w:ascii="Verdana" w:hAnsi="Verdana" w:cs="Arial"/>
          <w:i/>
          <w:iCs/>
          <w:sz w:val="22"/>
          <w:szCs w:val="22"/>
        </w:rPr>
        <w:t xml:space="preserve"> </w:t>
      </w:r>
      <w:r w:rsidRPr="00BB6F58">
        <w:rPr>
          <w:rFonts w:ascii="Verdana" w:hAnsi="Verdana" w:cs="Arial"/>
          <w:i/>
          <w:iCs/>
          <w:sz w:val="22"/>
          <w:szCs w:val="22"/>
        </w:rPr>
        <w:t>para los ramos</w:t>
      </w:r>
      <w:r w:rsidR="00DA300A">
        <w:rPr>
          <w:rFonts w:ascii="Verdana" w:hAnsi="Verdana" w:cs="Arial"/>
          <w:i/>
          <w:iCs/>
          <w:sz w:val="22"/>
          <w:szCs w:val="22"/>
        </w:rPr>
        <w:t xml:space="preserve"> </w:t>
      </w:r>
      <w:r w:rsidRPr="00BB6F58">
        <w:rPr>
          <w:rFonts w:ascii="Verdana" w:hAnsi="Verdana" w:cs="Arial"/>
          <w:i/>
          <w:iCs/>
          <w:sz w:val="22"/>
          <w:szCs w:val="22"/>
        </w:rPr>
        <w:t>de seguros</w:t>
      </w:r>
      <w:r w:rsidR="00631624">
        <w:rPr>
          <w:rFonts w:ascii="Verdana" w:hAnsi="Verdana" w:cs="Arial"/>
          <w:i/>
          <w:iCs/>
          <w:sz w:val="22"/>
          <w:szCs w:val="22"/>
        </w:rPr>
        <w:t xml:space="preserve"> </w:t>
      </w:r>
      <w:r w:rsidRPr="00BB6F58">
        <w:rPr>
          <w:rFonts w:ascii="Verdana" w:hAnsi="Verdana" w:cs="Arial"/>
          <w:i/>
          <w:iCs/>
          <w:sz w:val="22"/>
          <w:szCs w:val="22"/>
        </w:rPr>
        <w:t>previstos en el literal</w:t>
      </w:r>
      <w:r w:rsidR="00631624">
        <w:rPr>
          <w:rFonts w:ascii="Verdana" w:hAnsi="Verdana" w:cs="Arial"/>
          <w:i/>
          <w:iCs/>
          <w:sz w:val="22"/>
          <w:szCs w:val="22"/>
        </w:rPr>
        <w:t xml:space="preserve"> </w:t>
      </w:r>
      <w:r w:rsidRPr="00BB6F58">
        <w:rPr>
          <w:rFonts w:ascii="Verdana" w:hAnsi="Verdana" w:cs="Arial"/>
          <w:i/>
          <w:iCs/>
          <w:sz w:val="22"/>
          <w:szCs w:val="22"/>
        </w:rPr>
        <w:t>(c)</w:t>
      </w:r>
      <w:r w:rsidR="00631624">
        <w:rPr>
          <w:rFonts w:ascii="Verdana" w:hAnsi="Verdana" w:cs="Arial"/>
          <w:i/>
          <w:iCs/>
          <w:sz w:val="22"/>
          <w:szCs w:val="22"/>
        </w:rPr>
        <w:t xml:space="preserve"> </w:t>
      </w:r>
      <w:r w:rsidRPr="00BB6F58">
        <w:rPr>
          <w:rFonts w:ascii="Verdana" w:hAnsi="Verdana" w:cs="Arial"/>
          <w:i/>
          <w:iCs/>
          <w:sz w:val="22"/>
          <w:szCs w:val="22"/>
        </w:rPr>
        <w:t xml:space="preserve">del numeral 3 del artículo </w:t>
      </w:r>
      <w:r w:rsidR="00D5754E" w:rsidRPr="000A479D">
        <w:rPr>
          <w:rFonts w:ascii="Verdana" w:hAnsi="Verdana" w:cs="Arial"/>
          <w:i/>
          <w:iCs/>
          <w:sz w:val="22"/>
          <w:szCs w:val="22"/>
          <w:lang w:val="es-ES"/>
        </w:rPr>
        <w:t>1.1.4.1.5 del Decreto 2420 de 2015, adicionado por medio del Decreto 217 de 2026</w:t>
      </w:r>
      <w:r w:rsidRPr="00BB6F58">
        <w:rPr>
          <w:rFonts w:ascii="Verdana" w:hAnsi="Verdana" w:cs="Arial"/>
          <w:i/>
          <w:iCs/>
          <w:sz w:val="22"/>
          <w:szCs w:val="22"/>
        </w:rPr>
        <w:t>,</w:t>
      </w:r>
      <w:r w:rsidR="00631624">
        <w:rPr>
          <w:rFonts w:ascii="Verdana" w:hAnsi="Verdana" w:cs="Arial"/>
          <w:i/>
          <w:iCs/>
          <w:sz w:val="22"/>
          <w:szCs w:val="22"/>
        </w:rPr>
        <w:t xml:space="preserve"> </w:t>
      </w:r>
      <w:r w:rsidRPr="00BB6F58">
        <w:rPr>
          <w:rFonts w:ascii="Verdana" w:hAnsi="Verdana" w:cs="Arial"/>
          <w:i/>
          <w:iCs/>
          <w:sz w:val="22"/>
          <w:szCs w:val="22"/>
        </w:rPr>
        <w:t>en un plazo de hasta 10 años</w:t>
      </w:r>
      <w:r w:rsidR="00631624">
        <w:rPr>
          <w:rFonts w:ascii="Verdana" w:hAnsi="Verdana" w:cs="Arial"/>
          <w:i/>
          <w:iCs/>
          <w:sz w:val="22"/>
          <w:szCs w:val="22"/>
        </w:rPr>
        <w:t xml:space="preserve"> </w:t>
      </w:r>
      <w:r w:rsidRPr="00BB6F58">
        <w:rPr>
          <w:rFonts w:ascii="Verdana" w:hAnsi="Verdana" w:cs="Arial"/>
          <w:i/>
          <w:iCs/>
          <w:sz w:val="22"/>
          <w:szCs w:val="22"/>
        </w:rPr>
        <w:t>con efectos</w:t>
      </w:r>
      <w:r w:rsidR="00631624">
        <w:rPr>
          <w:rFonts w:ascii="Verdana" w:hAnsi="Verdana" w:cs="Arial"/>
          <w:i/>
          <w:iCs/>
          <w:sz w:val="22"/>
          <w:szCs w:val="22"/>
        </w:rPr>
        <w:t xml:space="preserve"> </w:t>
      </w:r>
      <w:r w:rsidRPr="00BB6F58">
        <w:rPr>
          <w:rFonts w:ascii="Verdana" w:hAnsi="Verdana" w:cs="Arial"/>
          <w:i/>
          <w:iCs/>
          <w:sz w:val="22"/>
          <w:szCs w:val="22"/>
        </w:rPr>
        <w:t>en el estado de resultados,</w:t>
      </w:r>
      <w:r w:rsidR="00631624">
        <w:rPr>
          <w:rFonts w:ascii="Verdana" w:hAnsi="Verdana" w:cs="Arial"/>
          <w:i/>
          <w:iCs/>
          <w:sz w:val="22"/>
          <w:szCs w:val="22"/>
        </w:rPr>
        <w:t xml:space="preserve"> </w:t>
      </w:r>
      <w:r w:rsidRPr="00BB6F58">
        <w:rPr>
          <w:rFonts w:ascii="Verdana" w:hAnsi="Verdana" w:cs="Arial"/>
          <w:i/>
          <w:iCs/>
          <w:sz w:val="22"/>
          <w:szCs w:val="22"/>
        </w:rPr>
        <w:t>esto es, sin afectación</w:t>
      </w:r>
      <w:r w:rsidR="00631624">
        <w:rPr>
          <w:rFonts w:ascii="Verdana" w:hAnsi="Verdana" w:cs="Arial"/>
          <w:i/>
          <w:iCs/>
          <w:sz w:val="22"/>
          <w:szCs w:val="22"/>
        </w:rPr>
        <w:t xml:space="preserve"> </w:t>
      </w:r>
      <w:r w:rsidRPr="00BB6F58">
        <w:rPr>
          <w:rFonts w:ascii="Verdana" w:hAnsi="Verdana" w:cs="Arial"/>
          <w:i/>
          <w:iCs/>
          <w:sz w:val="22"/>
          <w:szCs w:val="22"/>
        </w:rPr>
        <w:t>directa</w:t>
      </w:r>
      <w:r w:rsidR="00631624">
        <w:rPr>
          <w:rFonts w:ascii="Verdana" w:hAnsi="Verdana" w:cs="Arial"/>
          <w:i/>
          <w:iCs/>
          <w:sz w:val="22"/>
          <w:szCs w:val="22"/>
        </w:rPr>
        <w:t xml:space="preserve"> </w:t>
      </w:r>
      <w:r w:rsidRPr="00BB6F58">
        <w:rPr>
          <w:rFonts w:ascii="Verdana" w:hAnsi="Verdana" w:cs="Arial"/>
          <w:i/>
          <w:iCs/>
          <w:sz w:val="22"/>
          <w:szCs w:val="22"/>
        </w:rPr>
        <w:t>al patrimonio,</w:t>
      </w:r>
      <w:r w:rsidR="00631624">
        <w:rPr>
          <w:rFonts w:ascii="Verdana" w:hAnsi="Verdana" w:cs="Arial"/>
          <w:i/>
          <w:iCs/>
          <w:sz w:val="22"/>
          <w:szCs w:val="22"/>
        </w:rPr>
        <w:t xml:space="preserve"> </w:t>
      </w:r>
      <w:r w:rsidRPr="00BB6F58">
        <w:rPr>
          <w:rFonts w:ascii="Verdana" w:hAnsi="Verdana" w:cs="Arial"/>
          <w:i/>
          <w:iCs/>
          <w:sz w:val="22"/>
          <w:szCs w:val="22"/>
        </w:rPr>
        <w:t xml:space="preserve">de acuerdo con lo señalado en el numeral 3 del artículo </w:t>
      </w:r>
      <w:r w:rsidR="00EE2F20" w:rsidRPr="000A479D">
        <w:rPr>
          <w:rFonts w:ascii="Verdana" w:hAnsi="Verdana" w:cs="Arial"/>
          <w:i/>
          <w:iCs/>
          <w:sz w:val="22"/>
          <w:szCs w:val="22"/>
          <w:lang w:val="es-ES"/>
        </w:rPr>
        <w:t>1.1.4.1.5 del Decreto 2420 de 2015, adicionado por medio del Decreto 217 de 2026</w:t>
      </w:r>
      <w:r w:rsidRPr="00BB6F58">
        <w:rPr>
          <w:rFonts w:ascii="Verdana" w:hAnsi="Verdana" w:cs="Arial"/>
          <w:i/>
          <w:iCs/>
          <w:sz w:val="22"/>
          <w:szCs w:val="22"/>
        </w:rPr>
        <w:t>,</w:t>
      </w:r>
      <w:r w:rsidR="00631624">
        <w:rPr>
          <w:rFonts w:ascii="Verdana" w:hAnsi="Verdana" w:cs="Arial"/>
          <w:i/>
          <w:iCs/>
          <w:sz w:val="22"/>
          <w:szCs w:val="22"/>
        </w:rPr>
        <w:t xml:space="preserve"> </w:t>
      </w:r>
      <w:r w:rsidRPr="00BB6F58">
        <w:rPr>
          <w:rFonts w:ascii="Verdana" w:hAnsi="Verdana" w:cs="Arial"/>
          <w:i/>
          <w:iCs/>
          <w:sz w:val="22"/>
          <w:szCs w:val="22"/>
        </w:rPr>
        <w:t>teniendo en cuenta los siguientes lineamientos:</w:t>
      </w:r>
    </w:p>
    <w:p w14:paraId="41B56996" w14:textId="0A576877" w:rsidR="00BB6F58" w:rsidRPr="00BB6F58" w:rsidRDefault="00BB6F58" w:rsidP="00FA1B17">
      <w:pPr>
        <w:widowControl w:val="0"/>
        <w:autoSpaceDE w:val="0"/>
        <w:autoSpaceDN w:val="0"/>
        <w:adjustRightInd w:val="0"/>
        <w:spacing w:line="276" w:lineRule="auto"/>
        <w:ind w:left="1068"/>
        <w:jc w:val="both"/>
        <w:rPr>
          <w:rFonts w:ascii="Verdana" w:hAnsi="Verdana" w:cs="Arial"/>
          <w:i/>
          <w:iCs/>
          <w:sz w:val="22"/>
          <w:szCs w:val="22"/>
        </w:rPr>
      </w:pPr>
    </w:p>
    <w:p w14:paraId="67A08611" w14:textId="732EAF05" w:rsidR="00BB6F58" w:rsidRPr="00BB6F58" w:rsidRDefault="00BB6F58" w:rsidP="00FA1B17">
      <w:pPr>
        <w:widowControl w:val="0"/>
        <w:numPr>
          <w:ilvl w:val="0"/>
          <w:numId w:val="25"/>
        </w:numPr>
        <w:tabs>
          <w:tab w:val="clear" w:pos="720"/>
          <w:tab w:val="num" w:pos="1788"/>
        </w:tabs>
        <w:autoSpaceDE w:val="0"/>
        <w:autoSpaceDN w:val="0"/>
        <w:adjustRightInd w:val="0"/>
        <w:spacing w:line="276" w:lineRule="auto"/>
        <w:ind w:left="1788"/>
        <w:jc w:val="both"/>
        <w:rPr>
          <w:rFonts w:ascii="Verdana" w:hAnsi="Verdana" w:cs="Arial"/>
          <w:i/>
          <w:iCs/>
          <w:sz w:val="22"/>
          <w:szCs w:val="22"/>
        </w:rPr>
      </w:pPr>
      <w:r w:rsidRPr="00BB6F58">
        <w:rPr>
          <w:rFonts w:ascii="Verdana" w:hAnsi="Verdana" w:cs="Arial"/>
          <w:i/>
          <w:iCs/>
          <w:sz w:val="22"/>
          <w:szCs w:val="22"/>
        </w:rPr>
        <w:t>El</w:t>
      </w:r>
      <w:r w:rsidR="00514F51">
        <w:rPr>
          <w:rFonts w:ascii="Verdana" w:hAnsi="Verdana" w:cs="Arial"/>
          <w:i/>
          <w:iCs/>
          <w:sz w:val="22"/>
          <w:szCs w:val="22"/>
        </w:rPr>
        <w:t xml:space="preserve"> </w:t>
      </w:r>
      <w:r w:rsidRPr="00BB6F58">
        <w:rPr>
          <w:rFonts w:ascii="Verdana" w:hAnsi="Verdana" w:cs="Arial"/>
          <w:i/>
          <w:iCs/>
          <w:sz w:val="22"/>
          <w:szCs w:val="22"/>
        </w:rPr>
        <w:t>1 de enero</w:t>
      </w:r>
      <w:r w:rsidR="00514F51">
        <w:rPr>
          <w:rFonts w:ascii="Verdana" w:hAnsi="Verdana" w:cs="Arial"/>
          <w:i/>
          <w:iCs/>
          <w:sz w:val="22"/>
          <w:szCs w:val="22"/>
        </w:rPr>
        <w:t xml:space="preserve"> </w:t>
      </w:r>
      <w:r w:rsidRPr="00BB6F58">
        <w:rPr>
          <w:rFonts w:ascii="Verdana" w:hAnsi="Verdana" w:cs="Arial"/>
          <w:i/>
          <w:iCs/>
          <w:sz w:val="22"/>
          <w:szCs w:val="22"/>
        </w:rPr>
        <w:t>de 202</w:t>
      </w:r>
      <w:r w:rsidR="006607E8">
        <w:rPr>
          <w:rFonts w:ascii="Verdana" w:hAnsi="Verdana" w:cs="Arial"/>
          <w:i/>
          <w:iCs/>
          <w:sz w:val="22"/>
          <w:szCs w:val="22"/>
        </w:rPr>
        <w:t>8</w:t>
      </w:r>
      <w:r w:rsidRPr="00BB6F58">
        <w:rPr>
          <w:rFonts w:ascii="Verdana" w:hAnsi="Verdana" w:cs="Arial"/>
          <w:i/>
          <w:iCs/>
          <w:sz w:val="22"/>
          <w:szCs w:val="22"/>
        </w:rPr>
        <w:t>, se debe establecer el valor total de la diferencia</w:t>
      </w:r>
      <w:r w:rsidR="00514F51">
        <w:rPr>
          <w:rFonts w:ascii="Verdana" w:hAnsi="Verdana" w:cs="Arial"/>
          <w:i/>
          <w:iCs/>
          <w:sz w:val="22"/>
          <w:szCs w:val="22"/>
        </w:rPr>
        <w:t xml:space="preserve"> </w:t>
      </w:r>
      <w:r w:rsidRPr="00BB6F58">
        <w:rPr>
          <w:rFonts w:ascii="Verdana" w:hAnsi="Verdana" w:cs="Arial"/>
          <w:i/>
          <w:iCs/>
          <w:sz w:val="22"/>
          <w:szCs w:val="22"/>
        </w:rPr>
        <w:t>neta</w:t>
      </w:r>
      <w:r w:rsidR="00514F51">
        <w:rPr>
          <w:rFonts w:ascii="Verdana" w:hAnsi="Verdana" w:cs="Arial"/>
          <w:i/>
          <w:iCs/>
          <w:sz w:val="22"/>
          <w:szCs w:val="22"/>
        </w:rPr>
        <w:t xml:space="preserve"> </w:t>
      </w:r>
      <w:r w:rsidRPr="00BB6F58">
        <w:rPr>
          <w:rFonts w:ascii="Verdana" w:hAnsi="Verdana" w:cs="Arial"/>
          <w:i/>
          <w:iCs/>
          <w:sz w:val="22"/>
          <w:szCs w:val="22"/>
        </w:rPr>
        <w:t>positiva o negativa</w:t>
      </w:r>
      <w:r w:rsidR="00514F51">
        <w:rPr>
          <w:rFonts w:ascii="Verdana" w:hAnsi="Verdana" w:cs="Arial"/>
          <w:i/>
          <w:iCs/>
          <w:sz w:val="22"/>
          <w:szCs w:val="22"/>
        </w:rPr>
        <w:t xml:space="preserve"> </w:t>
      </w:r>
      <w:r w:rsidRPr="00BB6F58">
        <w:rPr>
          <w:rFonts w:ascii="Verdana" w:hAnsi="Verdana" w:cs="Arial"/>
          <w:i/>
          <w:iCs/>
          <w:sz w:val="22"/>
          <w:szCs w:val="22"/>
        </w:rPr>
        <w:t>objeto de reconocimiento gradual y calcular la cuota de reconocimiento anual, esto es, 1/10 del valor total de la diferencia, según</w:t>
      </w:r>
      <w:r w:rsidR="00DA300A">
        <w:rPr>
          <w:rFonts w:ascii="Verdana" w:hAnsi="Verdana" w:cs="Arial"/>
          <w:i/>
          <w:iCs/>
          <w:sz w:val="22"/>
          <w:szCs w:val="22"/>
        </w:rPr>
        <w:t xml:space="preserve"> </w:t>
      </w:r>
      <w:r w:rsidRPr="00BB6F58">
        <w:rPr>
          <w:rFonts w:ascii="Verdana" w:hAnsi="Verdana" w:cs="Arial"/>
          <w:i/>
          <w:iCs/>
          <w:sz w:val="22"/>
          <w:szCs w:val="22"/>
        </w:rPr>
        <w:t>lo</w:t>
      </w:r>
      <w:r w:rsidR="00DA300A">
        <w:rPr>
          <w:rFonts w:ascii="Verdana" w:hAnsi="Verdana" w:cs="Arial"/>
          <w:i/>
          <w:iCs/>
          <w:sz w:val="22"/>
          <w:szCs w:val="22"/>
        </w:rPr>
        <w:t xml:space="preserve"> </w:t>
      </w:r>
      <w:r w:rsidRPr="00BB6F58">
        <w:rPr>
          <w:rFonts w:ascii="Verdana" w:hAnsi="Verdana" w:cs="Arial"/>
          <w:i/>
          <w:iCs/>
          <w:sz w:val="22"/>
          <w:szCs w:val="22"/>
        </w:rPr>
        <w:t xml:space="preserve">señalado en el numeral 3 del artículo </w:t>
      </w:r>
      <w:r w:rsidR="00AB733E" w:rsidRPr="000A479D">
        <w:rPr>
          <w:rFonts w:ascii="Verdana" w:hAnsi="Verdana" w:cs="Arial"/>
          <w:i/>
          <w:iCs/>
          <w:sz w:val="22"/>
          <w:szCs w:val="22"/>
          <w:lang w:val="es-ES"/>
        </w:rPr>
        <w:t>1.1.4.1.5 del Decreto 2420 de 2015, adicionado por medio del Decreto 217 de 2026</w:t>
      </w:r>
      <w:r w:rsidRPr="00BB6F58">
        <w:rPr>
          <w:rFonts w:ascii="Verdana" w:hAnsi="Verdana" w:cs="Arial"/>
          <w:i/>
          <w:iCs/>
          <w:sz w:val="22"/>
          <w:szCs w:val="22"/>
        </w:rPr>
        <w:t>.</w:t>
      </w:r>
      <w:r w:rsidR="00CA3C60">
        <w:rPr>
          <w:rFonts w:ascii="Verdana" w:hAnsi="Verdana" w:cs="Arial"/>
          <w:i/>
          <w:iCs/>
          <w:sz w:val="22"/>
          <w:szCs w:val="22"/>
        </w:rPr>
        <w:t xml:space="preserve"> </w:t>
      </w:r>
      <w:r w:rsidRPr="00BB6F58">
        <w:rPr>
          <w:rFonts w:ascii="Verdana" w:hAnsi="Verdana" w:cs="Arial"/>
          <w:i/>
          <w:iCs/>
          <w:sz w:val="22"/>
          <w:szCs w:val="22"/>
        </w:rPr>
        <w:t>En los años</w:t>
      </w:r>
      <w:r w:rsidR="00CA3C60">
        <w:rPr>
          <w:rFonts w:ascii="Verdana" w:hAnsi="Verdana" w:cs="Arial"/>
          <w:i/>
          <w:iCs/>
          <w:sz w:val="22"/>
          <w:szCs w:val="22"/>
        </w:rPr>
        <w:t xml:space="preserve"> </w:t>
      </w:r>
      <w:r w:rsidRPr="00BB6F58">
        <w:rPr>
          <w:rFonts w:ascii="Verdana" w:hAnsi="Verdana" w:cs="Arial"/>
          <w:i/>
          <w:iCs/>
          <w:sz w:val="22"/>
          <w:szCs w:val="22"/>
        </w:rPr>
        <w:t>posteriores,</w:t>
      </w:r>
      <w:r w:rsidR="00CA3C60">
        <w:rPr>
          <w:rFonts w:ascii="Verdana" w:hAnsi="Verdana" w:cs="Arial"/>
          <w:i/>
          <w:iCs/>
          <w:sz w:val="22"/>
          <w:szCs w:val="22"/>
        </w:rPr>
        <w:t xml:space="preserve"> </w:t>
      </w:r>
      <w:r w:rsidRPr="00BB6F58">
        <w:rPr>
          <w:rFonts w:ascii="Verdana" w:hAnsi="Verdana" w:cs="Arial"/>
          <w:i/>
          <w:iCs/>
          <w:sz w:val="22"/>
          <w:szCs w:val="22"/>
        </w:rPr>
        <w:t>al corte del 1 de enero</w:t>
      </w:r>
      <w:r w:rsidR="00CA3C60">
        <w:rPr>
          <w:rFonts w:ascii="Verdana" w:hAnsi="Verdana" w:cs="Arial"/>
          <w:i/>
          <w:iCs/>
          <w:sz w:val="22"/>
          <w:szCs w:val="22"/>
        </w:rPr>
        <w:t xml:space="preserve"> </w:t>
      </w:r>
      <w:r w:rsidRPr="00BB6F58">
        <w:rPr>
          <w:rFonts w:ascii="Verdana" w:hAnsi="Verdana" w:cs="Arial"/>
          <w:i/>
          <w:iCs/>
          <w:sz w:val="22"/>
          <w:szCs w:val="22"/>
        </w:rPr>
        <w:t>de cada año</w:t>
      </w:r>
      <w:r w:rsidR="00CA3C60">
        <w:rPr>
          <w:rFonts w:ascii="Verdana" w:hAnsi="Verdana" w:cs="Arial"/>
          <w:i/>
          <w:iCs/>
          <w:sz w:val="22"/>
          <w:szCs w:val="22"/>
        </w:rPr>
        <w:t xml:space="preserve"> </w:t>
      </w:r>
      <w:r w:rsidRPr="00BB6F58">
        <w:rPr>
          <w:rFonts w:ascii="Verdana" w:hAnsi="Verdana" w:cs="Arial"/>
          <w:i/>
          <w:iCs/>
          <w:sz w:val="22"/>
          <w:szCs w:val="22"/>
        </w:rPr>
        <w:t>las entidades deben recalcular el monto pendiente</w:t>
      </w:r>
      <w:r w:rsidR="00CA3C60">
        <w:rPr>
          <w:rFonts w:ascii="Verdana" w:hAnsi="Verdana" w:cs="Arial"/>
          <w:i/>
          <w:iCs/>
          <w:sz w:val="22"/>
          <w:szCs w:val="22"/>
        </w:rPr>
        <w:t xml:space="preserve"> </w:t>
      </w:r>
      <w:r w:rsidRPr="00BB6F58">
        <w:rPr>
          <w:rFonts w:ascii="Verdana" w:hAnsi="Verdana" w:cs="Arial"/>
          <w:i/>
          <w:iCs/>
          <w:sz w:val="22"/>
          <w:szCs w:val="22"/>
        </w:rPr>
        <w:t>de la diferencia objeto de reconocimiento gradual, y establecer</w:t>
      </w:r>
      <w:r w:rsidR="00CA3C60">
        <w:rPr>
          <w:rFonts w:ascii="Verdana" w:hAnsi="Verdana" w:cs="Arial"/>
          <w:i/>
          <w:iCs/>
          <w:sz w:val="22"/>
          <w:szCs w:val="22"/>
        </w:rPr>
        <w:t xml:space="preserve"> </w:t>
      </w:r>
      <w:r w:rsidRPr="00BB6F58">
        <w:rPr>
          <w:rFonts w:ascii="Verdana" w:hAnsi="Verdana" w:cs="Arial"/>
          <w:i/>
          <w:iCs/>
          <w:sz w:val="22"/>
          <w:szCs w:val="22"/>
        </w:rPr>
        <w:t>el valor de la cuota de reconocimiento gradual de acuerdo con la siguiente</w:t>
      </w:r>
      <w:r w:rsidR="00CA3C60">
        <w:rPr>
          <w:rFonts w:ascii="Verdana" w:hAnsi="Verdana" w:cs="Arial"/>
          <w:i/>
          <w:iCs/>
          <w:sz w:val="22"/>
          <w:szCs w:val="22"/>
        </w:rPr>
        <w:t xml:space="preserve"> </w:t>
      </w:r>
      <w:r w:rsidRPr="00BB6F58">
        <w:rPr>
          <w:rFonts w:ascii="Verdana" w:hAnsi="Verdana" w:cs="Arial"/>
          <w:i/>
          <w:iCs/>
          <w:sz w:val="22"/>
          <w:szCs w:val="22"/>
        </w:rPr>
        <w:t>expresión:</w:t>
      </w:r>
    </w:p>
    <w:p w14:paraId="14442D91" w14:textId="76C9BABE" w:rsidR="00BB6F58" w:rsidRPr="00BB6F58" w:rsidRDefault="00000000" w:rsidP="00FA1B17">
      <w:pPr>
        <w:widowControl w:val="0"/>
        <w:autoSpaceDE w:val="0"/>
        <w:autoSpaceDN w:val="0"/>
        <w:adjustRightInd w:val="0"/>
        <w:spacing w:line="276" w:lineRule="auto"/>
        <w:ind w:left="1068"/>
        <w:jc w:val="both"/>
        <w:rPr>
          <w:rFonts w:ascii="Verdana" w:hAnsi="Verdana" w:cs="Arial"/>
          <w:i/>
          <w:iCs/>
          <w:sz w:val="22"/>
          <w:szCs w:val="22"/>
        </w:rPr>
      </w:pPr>
      <m:oMathPara>
        <m:oMath>
          <m:sSub>
            <m:sSubPr>
              <m:ctrlPr>
                <w:rPr>
                  <w:rFonts w:ascii="Cambria Math" w:hAnsi="Cambria Math" w:cs="Arial"/>
                  <w:i/>
                  <w:iCs/>
                  <w:sz w:val="22"/>
                  <w:szCs w:val="22"/>
                </w:rPr>
              </m:ctrlPr>
            </m:sSubPr>
            <m:e>
              <m:r>
                <w:rPr>
                  <w:rFonts w:ascii="Cambria Math" w:hAnsi="Cambria Math" w:cs="Arial"/>
                  <w:sz w:val="22"/>
                  <w:szCs w:val="22"/>
                </w:rPr>
                <m:t>Cuota</m:t>
              </m:r>
              <m:r>
                <w:rPr>
                  <w:rFonts w:ascii="Cambria Math" w:hAnsi="Cambria Math" w:cs="Arial"/>
                  <w:sz w:val="22"/>
                  <w:szCs w:val="22"/>
                </w:rPr>
                <m:t xml:space="preserve"> </m:t>
              </m:r>
              <m:r>
                <w:rPr>
                  <w:rFonts w:ascii="Cambria Math" w:hAnsi="Cambria Math" w:cs="Arial"/>
                  <w:sz w:val="22"/>
                  <w:szCs w:val="22"/>
                </w:rPr>
                <m:t>anual</m:t>
              </m:r>
            </m:e>
            <m:sub>
              <m:r>
                <w:rPr>
                  <w:rFonts w:ascii="Cambria Math" w:hAnsi="Cambria Math" w:cs="Arial"/>
                  <w:sz w:val="22"/>
                  <w:szCs w:val="22"/>
                </w:rPr>
                <m:t>i</m:t>
              </m:r>
            </m:sub>
          </m:sSub>
          <m:r>
            <w:rPr>
              <w:rFonts w:ascii="Cambria Math" w:hAnsi="Cambria Math" w:cs="Arial"/>
              <w:sz w:val="22"/>
              <w:szCs w:val="22"/>
            </w:rPr>
            <m:t>=</m:t>
          </m:r>
          <m:r>
            <w:rPr>
              <w:rFonts w:ascii="Cambria Math" w:hAnsi="Cambria Math" w:cs="Arial"/>
              <w:sz w:val="22"/>
              <w:szCs w:val="22"/>
            </w:rPr>
            <m:t>max</m:t>
          </m:r>
          <m:r>
            <w:rPr>
              <w:rFonts w:ascii="Cambria Math" w:hAnsi="Cambria Math" w:cs="Arial"/>
              <w:sz w:val="22"/>
              <w:szCs w:val="22"/>
            </w:rPr>
            <m:t>⁡</m:t>
          </m:r>
          <m:d>
            <m:dPr>
              <m:ctrlPr>
                <w:rPr>
                  <w:rFonts w:ascii="Cambria Math" w:hAnsi="Cambria Math" w:cs="Arial"/>
                  <w:i/>
                  <w:iCs/>
                  <w:sz w:val="22"/>
                  <w:szCs w:val="22"/>
                </w:rPr>
              </m:ctrlPr>
            </m:dPr>
            <m:e>
              <m:r>
                <w:rPr>
                  <w:rFonts w:ascii="Cambria Math" w:hAnsi="Cambria Math" w:cs="Arial"/>
                  <w:sz w:val="22"/>
                  <w:szCs w:val="22"/>
                </w:rPr>
                <m:t>0;</m:t>
              </m:r>
              <m:d>
                <m:dPr>
                  <m:ctrlPr>
                    <w:rPr>
                      <w:rFonts w:ascii="Cambria Math" w:hAnsi="Cambria Math" w:cs="Arial"/>
                      <w:i/>
                      <w:iCs/>
                      <w:sz w:val="22"/>
                      <w:szCs w:val="22"/>
                    </w:rPr>
                  </m:ctrlPr>
                </m:dPr>
                <m:e>
                  <m:f>
                    <m:fPr>
                      <m:ctrlPr>
                        <w:rPr>
                          <w:rFonts w:ascii="Cambria Math" w:hAnsi="Cambria Math" w:cs="Arial"/>
                          <w:i/>
                          <w:iCs/>
                          <w:sz w:val="22"/>
                          <w:szCs w:val="22"/>
                        </w:rPr>
                      </m:ctrlPr>
                    </m:fPr>
                    <m:num>
                      <m:sSub>
                        <m:sSubPr>
                          <m:ctrlPr>
                            <w:rPr>
                              <w:rFonts w:ascii="Cambria Math" w:hAnsi="Cambria Math" w:cs="Arial"/>
                              <w:i/>
                              <w:iCs/>
                              <w:sz w:val="22"/>
                              <w:szCs w:val="22"/>
                            </w:rPr>
                          </m:ctrlPr>
                        </m:sSubPr>
                        <m:e>
                          <m:r>
                            <w:rPr>
                              <w:rFonts w:ascii="Cambria Math" w:hAnsi="Cambria Math" w:cs="Arial"/>
                              <w:sz w:val="22"/>
                              <w:szCs w:val="22"/>
                            </w:rPr>
                            <m:t>ME</m:t>
                          </m:r>
                        </m:e>
                        <m:sub>
                          <m:r>
                            <w:rPr>
                              <w:rFonts w:ascii="Cambria Math" w:hAnsi="Cambria Math" w:cs="Arial"/>
                              <w:sz w:val="22"/>
                              <w:szCs w:val="22"/>
                            </w:rPr>
                            <m:t>i</m:t>
                          </m:r>
                        </m:sub>
                      </m:sSub>
                      <m:r>
                        <w:rPr>
                          <w:rFonts w:ascii="Cambria Math" w:hAnsi="Cambria Math" w:cs="Arial"/>
                          <w:sz w:val="22"/>
                          <w:szCs w:val="22"/>
                        </w:rPr>
                        <m:t>-</m:t>
                      </m:r>
                      <m:nary>
                        <m:naryPr>
                          <m:chr m:val="∑"/>
                          <m:limLoc m:val="undOvr"/>
                          <m:ctrlPr>
                            <w:rPr>
                              <w:rFonts w:ascii="Cambria Math" w:hAnsi="Cambria Math" w:cs="Arial"/>
                              <w:i/>
                              <w:iCs/>
                              <w:sz w:val="22"/>
                              <w:szCs w:val="22"/>
                            </w:rPr>
                          </m:ctrlPr>
                        </m:naryPr>
                        <m:sub>
                          <m:r>
                            <w:rPr>
                              <w:rFonts w:ascii="Cambria Math" w:hAnsi="Cambria Math" w:cs="Arial"/>
                              <w:sz w:val="22"/>
                              <w:szCs w:val="22"/>
                            </w:rPr>
                            <m:t>k</m:t>
                          </m:r>
                          <m:r>
                            <w:rPr>
                              <w:rFonts w:ascii="Cambria Math" w:hAnsi="Cambria Math" w:cs="Arial"/>
                              <w:sz w:val="22"/>
                              <w:szCs w:val="22"/>
                            </w:rPr>
                            <m:t>=1</m:t>
                          </m:r>
                        </m:sub>
                        <m:sup>
                          <m:r>
                            <w:rPr>
                              <w:rFonts w:ascii="Cambria Math" w:hAnsi="Cambria Math" w:cs="Arial"/>
                              <w:sz w:val="22"/>
                              <w:szCs w:val="22"/>
                            </w:rPr>
                            <m:t>i</m:t>
                          </m:r>
                          <m:r>
                            <w:rPr>
                              <w:rFonts w:ascii="Cambria Math" w:hAnsi="Cambria Math" w:cs="Arial"/>
                              <w:sz w:val="22"/>
                              <w:szCs w:val="22"/>
                            </w:rPr>
                            <m:t>-1</m:t>
                          </m:r>
                        </m:sup>
                        <m:e>
                          <m:sSub>
                            <m:sSubPr>
                              <m:ctrlPr>
                                <w:rPr>
                                  <w:rFonts w:ascii="Cambria Math" w:hAnsi="Cambria Math" w:cs="Arial"/>
                                  <w:i/>
                                  <w:iCs/>
                                  <w:sz w:val="22"/>
                                  <w:szCs w:val="22"/>
                                </w:rPr>
                              </m:ctrlPr>
                            </m:sSubPr>
                            <m:e>
                              <m:r>
                                <w:rPr>
                                  <w:rFonts w:ascii="Cambria Math" w:hAnsi="Cambria Math" w:cs="Arial"/>
                                  <w:sz w:val="22"/>
                                  <w:szCs w:val="22"/>
                                </w:rPr>
                                <m:t>RP</m:t>
                              </m:r>
                            </m:e>
                            <m:sub>
                              <m:r>
                                <w:rPr>
                                  <w:rFonts w:ascii="Cambria Math" w:hAnsi="Cambria Math" w:cs="Arial"/>
                                  <w:sz w:val="22"/>
                                  <w:szCs w:val="22"/>
                                </w:rPr>
                                <m:t>k</m:t>
                              </m:r>
                            </m:sub>
                          </m:sSub>
                        </m:e>
                      </m:nary>
                    </m:num>
                    <m:den>
                      <m:r>
                        <w:rPr>
                          <w:rFonts w:ascii="Cambria Math" w:hAnsi="Cambria Math" w:cs="Arial"/>
                          <w:sz w:val="22"/>
                          <w:szCs w:val="22"/>
                        </w:rPr>
                        <m:t>PMA</m:t>
                      </m:r>
                      <m:r>
                        <w:rPr>
                          <w:rFonts w:ascii="Cambria Math" w:hAnsi="Cambria Math" w:cs="Arial"/>
                          <w:sz w:val="22"/>
                          <w:szCs w:val="22"/>
                        </w:rPr>
                        <m:t>-</m:t>
                      </m:r>
                      <m:r>
                        <w:rPr>
                          <w:rFonts w:ascii="Cambria Math" w:hAnsi="Cambria Math" w:cs="Arial"/>
                          <w:sz w:val="22"/>
                          <w:szCs w:val="22"/>
                        </w:rPr>
                        <m:t>(</m:t>
                      </m:r>
                      <m:r>
                        <w:rPr>
                          <w:rFonts w:ascii="Cambria Math" w:hAnsi="Cambria Math" w:cs="Arial"/>
                          <w:sz w:val="22"/>
                          <w:szCs w:val="22"/>
                        </w:rPr>
                        <m:t>i</m:t>
                      </m:r>
                      <m:r>
                        <w:rPr>
                          <w:rFonts w:ascii="Cambria Math" w:hAnsi="Cambria Math" w:cs="Arial"/>
                          <w:sz w:val="22"/>
                          <w:szCs w:val="22"/>
                        </w:rPr>
                        <m:t>-1)</m:t>
                      </m:r>
                    </m:den>
                  </m:f>
                </m:e>
              </m:d>
            </m:e>
          </m:d>
        </m:oMath>
      </m:oMathPara>
    </w:p>
    <w:p w14:paraId="7F1794D1" w14:textId="668FCBD6" w:rsidR="00BB6F58" w:rsidRDefault="00BB6F58" w:rsidP="00FA1B17">
      <w:pPr>
        <w:widowControl w:val="0"/>
        <w:autoSpaceDE w:val="0"/>
        <w:autoSpaceDN w:val="0"/>
        <w:adjustRightInd w:val="0"/>
        <w:spacing w:line="276" w:lineRule="auto"/>
        <w:ind w:left="1068" w:firstLine="708"/>
        <w:jc w:val="both"/>
        <w:rPr>
          <w:rFonts w:ascii="Verdana" w:hAnsi="Verdana" w:cs="Arial"/>
          <w:i/>
          <w:iCs/>
          <w:sz w:val="22"/>
          <w:szCs w:val="22"/>
          <w:lang w:val="es-ES"/>
        </w:rPr>
      </w:pPr>
      <w:r w:rsidRPr="00BB6F58">
        <w:rPr>
          <w:rFonts w:ascii="Verdana" w:hAnsi="Verdana" w:cs="Arial"/>
          <w:i/>
          <w:iCs/>
          <w:sz w:val="22"/>
          <w:szCs w:val="22"/>
          <w:lang w:val="es-ES"/>
        </w:rPr>
        <w:t>Donde:</w:t>
      </w:r>
    </w:p>
    <w:p w14:paraId="12A3C7D1" w14:textId="77777777" w:rsidR="00493C6E" w:rsidRPr="00BB6F58" w:rsidRDefault="00493C6E" w:rsidP="00FA1B17">
      <w:pPr>
        <w:widowControl w:val="0"/>
        <w:autoSpaceDE w:val="0"/>
        <w:autoSpaceDN w:val="0"/>
        <w:adjustRightInd w:val="0"/>
        <w:spacing w:line="276" w:lineRule="auto"/>
        <w:ind w:left="1068"/>
        <w:jc w:val="both"/>
        <w:rPr>
          <w:rFonts w:ascii="Verdana" w:hAnsi="Verdana" w:cs="Arial"/>
          <w:i/>
          <w:iCs/>
          <w:sz w:val="22"/>
          <w:szCs w:val="22"/>
        </w:rPr>
      </w:pPr>
    </w:p>
    <w:p w14:paraId="02E0D414" w14:textId="70ED17C6" w:rsidR="00BB6F58" w:rsidRPr="00BB6F58" w:rsidRDefault="00BB6F58" w:rsidP="00FA1B17">
      <w:pPr>
        <w:widowControl w:val="0"/>
        <w:autoSpaceDE w:val="0"/>
        <w:autoSpaceDN w:val="0"/>
        <w:adjustRightInd w:val="0"/>
        <w:spacing w:line="276" w:lineRule="auto"/>
        <w:ind w:left="1778"/>
        <w:jc w:val="both"/>
        <w:rPr>
          <w:rFonts w:ascii="Verdana" w:hAnsi="Verdana" w:cs="Arial"/>
          <w:i/>
          <w:iCs/>
          <w:sz w:val="22"/>
          <w:szCs w:val="22"/>
        </w:rPr>
      </w:pPr>
      <m:oMath>
        <m:r>
          <w:rPr>
            <w:rFonts w:ascii="Cambria Math" w:hAnsi="Cambria Math" w:cs="Arial"/>
            <w:sz w:val="22"/>
            <w:szCs w:val="22"/>
          </w:rPr>
          <m:t>i:</m:t>
        </m:r>
      </m:oMath>
      <w:r w:rsidR="001D028F">
        <w:rPr>
          <w:rFonts w:ascii="Verdana" w:hAnsi="Verdana" w:cs="Arial"/>
          <w:i/>
          <w:sz w:val="22"/>
          <w:szCs w:val="22"/>
        </w:rPr>
        <w:t xml:space="preserve"> </w:t>
      </w:r>
      <w:r w:rsidR="00DB7C37">
        <w:rPr>
          <w:rFonts w:ascii="Verdana" w:hAnsi="Verdana" w:cs="Arial"/>
          <w:i/>
          <w:iCs/>
          <w:sz w:val="22"/>
          <w:szCs w:val="22"/>
          <w:lang w:val="es-ES"/>
        </w:rPr>
        <w:t xml:space="preserve">corresponde al </w:t>
      </w:r>
      <m:oMath>
        <m:r>
          <w:rPr>
            <w:rFonts w:ascii="Cambria Math" w:hAnsi="Cambria Math" w:cs="Arial"/>
            <w:sz w:val="22"/>
            <w:szCs w:val="22"/>
          </w:rPr>
          <m:t>i</m:t>
        </m:r>
      </m:oMath>
      <w:r w:rsidR="00E21D5B">
        <w:rPr>
          <w:rFonts w:ascii="Verdana" w:hAnsi="Verdana" w:cs="Arial"/>
          <w:i/>
          <w:sz w:val="22"/>
          <w:szCs w:val="22"/>
        </w:rPr>
        <w:t>-</w:t>
      </w:r>
      <w:r w:rsidR="00AA45E5">
        <w:rPr>
          <w:rFonts w:ascii="Verdana" w:hAnsi="Verdana" w:cs="Arial"/>
          <w:i/>
          <w:iCs/>
          <w:sz w:val="22"/>
          <w:szCs w:val="22"/>
          <w:lang w:val="es-ES"/>
        </w:rPr>
        <w:t>ésimo</w:t>
      </w:r>
      <w:r w:rsidR="004E1F33">
        <w:rPr>
          <w:rFonts w:ascii="Verdana" w:hAnsi="Verdana" w:cs="Arial"/>
          <w:i/>
          <w:iCs/>
          <w:sz w:val="22"/>
          <w:szCs w:val="22"/>
          <w:lang w:val="es-ES"/>
        </w:rPr>
        <w:t xml:space="preserve"> a</w:t>
      </w:r>
      <w:r w:rsidRPr="00BB6F58">
        <w:rPr>
          <w:rFonts w:ascii="Verdana" w:hAnsi="Verdana" w:cs="Arial"/>
          <w:i/>
          <w:iCs/>
          <w:sz w:val="22"/>
          <w:szCs w:val="22"/>
          <w:lang w:val="es-ES"/>
        </w:rPr>
        <w:t>ño del periodo de reconocimiento gradual</w:t>
      </w:r>
      <w:r w:rsidR="00E23EE5">
        <w:rPr>
          <w:rFonts w:ascii="Verdana" w:hAnsi="Verdana" w:cs="Arial"/>
          <w:i/>
          <w:iCs/>
          <w:sz w:val="22"/>
          <w:szCs w:val="22"/>
          <w:lang w:val="es-ES"/>
        </w:rPr>
        <w:t xml:space="preserve"> </w:t>
      </w:r>
      <w:r w:rsidRPr="00BB6F58">
        <w:rPr>
          <w:rFonts w:ascii="Verdana" w:hAnsi="Verdana" w:cs="Arial"/>
          <w:i/>
          <w:iCs/>
          <w:sz w:val="22"/>
          <w:szCs w:val="22"/>
          <w:lang w:val="es-ES"/>
        </w:rPr>
        <w:t>definido por la entidad sin superar el plazo de 10 años</w:t>
      </w:r>
      <w:r w:rsidR="00E23EE5">
        <w:rPr>
          <w:rFonts w:ascii="Verdana" w:hAnsi="Verdana" w:cs="Arial"/>
          <w:i/>
          <w:iCs/>
          <w:sz w:val="22"/>
          <w:szCs w:val="22"/>
          <w:lang w:val="es-ES"/>
        </w:rPr>
        <w:t xml:space="preserve"> e</w:t>
      </w:r>
      <w:r w:rsidRPr="00BB6F58">
        <w:rPr>
          <w:rFonts w:ascii="Verdana" w:hAnsi="Verdana" w:cs="Arial"/>
          <w:i/>
          <w:iCs/>
          <w:sz w:val="22"/>
          <w:szCs w:val="22"/>
          <w:lang w:val="es-ES"/>
        </w:rPr>
        <w:t>stablecidos</w:t>
      </w:r>
      <w:r w:rsidR="00E23EE5">
        <w:rPr>
          <w:rFonts w:ascii="Verdana" w:hAnsi="Verdana" w:cs="Arial"/>
          <w:i/>
          <w:iCs/>
          <w:sz w:val="22"/>
          <w:szCs w:val="22"/>
          <w:lang w:val="es-ES"/>
        </w:rPr>
        <w:t xml:space="preserve"> </w:t>
      </w:r>
      <w:r w:rsidRPr="00BB6F58">
        <w:rPr>
          <w:rFonts w:ascii="Verdana" w:hAnsi="Verdana" w:cs="Arial"/>
          <w:i/>
          <w:iCs/>
          <w:sz w:val="22"/>
          <w:szCs w:val="22"/>
          <w:lang w:val="es-ES"/>
        </w:rPr>
        <w:t>en el</w:t>
      </w:r>
      <w:r w:rsidR="00E23EE5">
        <w:rPr>
          <w:rFonts w:ascii="Verdana" w:hAnsi="Verdana" w:cs="Arial"/>
          <w:i/>
          <w:iCs/>
          <w:sz w:val="22"/>
          <w:szCs w:val="22"/>
          <w:lang w:val="es-ES"/>
        </w:rPr>
        <w:t xml:space="preserve"> </w:t>
      </w:r>
      <w:r w:rsidR="0056537B">
        <w:rPr>
          <w:rFonts w:ascii="Verdana" w:hAnsi="Verdana" w:cs="Arial"/>
          <w:i/>
          <w:iCs/>
          <w:sz w:val="22"/>
          <w:szCs w:val="22"/>
          <w:lang w:val="es-ES"/>
        </w:rPr>
        <w:t>numeral 3 del artículo 1.1.4.1.5 del</w:t>
      </w:r>
      <w:r w:rsidR="00E23EE5">
        <w:rPr>
          <w:rFonts w:ascii="Verdana" w:hAnsi="Verdana" w:cs="Arial"/>
          <w:i/>
          <w:iCs/>
          <w:sz w:val="22"/>
          <w:szCs w:val="22"/>
          <w:lang w:val="es-ES"/>
        </w:rPr>
        <w:t xml:space="preserve"> </w:t>
      </w:r>
      <w:r w:rsidRPr="00BB6F58">
        <w:rPr>
          <w:rFonts w:ascii="Verdana" w:hAnsi="Verdana" w:cs="Arial"/>
          <w:i/>
          <w:iCs/>
          <w:sz w:val="22"/>
          <w:szCs w:val="22"/>
          <w:lang w:val="es-ES"/>
        </w:rPr>
        <w:t>Decreto</w:t>
      </w:r>
      <w:r w:rsidR="000F5DC2">
        <w:rPr>
          <w:rFonts w:ascii="Verdana" w:hAnsi="Verdana" w:cs="Arial"/>
          <w:i/>
          <w:iCs/>
          <w:sz w:val="22"/>
          <w:szCs w:val="22"/>
          <w:lang w:val="es-ES"/>
        </w:rPr>
        <w:t xml:space="preserve"> </w:t>
      </w:r>
      <w:r w:rsidR="00D87BE4">
        <w:rPr>
          <w:rFonts w:ascii="Verdana" w:hAnsi="Verdana" w:cs="Arial"/>
          <w:i/>
          <w:iCs/>
          <w:sz w:val="22"/>
          <w:szCs w:val="22"/>
          <w:lang w:val="es-ES"/>
        </w:rPr>
        <w:t>2420</w:t>
      </w:r>
      <w:r w:rsidRPr="00BB6F58">
        <w:rPr>
          <w:rFonts w:ascii="Verdana" w:hAnsi="Verdana" w:cs="Arial"/>
          <w:i/>
          <w:iCs/>
          <w:sz w:val="22"/>
          <w:szCs w:val="22"/>
          <w:lang w:val="es-ES"/>
        </w:rPr>
        <w:t xml:space="preserve"> de </w:t>
      </w:r>
      <w:r w:rsidR="00D87BE4">
        <w:rPr>
          <w:rFonts w:ascii="Verdana" w:hAnsi="Verdana" w:cs="Arial"/>
          <w:i/>
          <w:iCs/>
          <w:sz w:val="22"/>
          <w:szCs w:val="22"/>
          <w:lang w:val="es-ES"/>
        </w:rPr>
        <w:t xml:space="preserve">2015, </w:t>
      </w:r>
      <w:r w:rsidR="006459A9">
        <w:rPr>
          <w:rFonts w:ascii="Verdana" w:hAnsi="Verdana" w:cs="Arial"/>
          <w:i/>
          <w:iCs/>
          <w:sz w:val="22"/>
          <w:szCs w:val="22"/>
          <w:lang w:val="es-ES"/>
        </w:rPr>
        <w:t>adicionado por medio d</w:t>
      </w:r>
      <w:r w:rsidR="00645B31">
        <w:rPr>
          <w:rFonts w:ascii="Verdana" w:hAnsi="Verdana" w:cs="Arial"/>
          <w:i/>
          <w:iCs/>
          <w:sz w:val="22"/>
          <w:szCs w:val="22"/>
          <w:lang w:val="es-ES"/>
        </w:rPr>
        <w:t>el Decreto 217 de 2026</w:t>
      </w:r>
      <w:r w:rsidRPr="00BB6F58">
        <w:rPr>
          <w:rFonts w:ascii="Verdana" w:hAnsi="Verdana" w:cs="Arial"/>
          <w:i/>
          <w:iCs/>
          <w:sz w:val="22"/>
          <w:szCs w:val="22"/>
          <w:lang w:val="es-ES"/>
        </w:rPr>
        <w:t>.</w:t>
      </w:r>
    </w:p>
    <w:p w14:paraId="0634B89E" w14:textId="09A9230B" w:rsidR="00BB6F58" w:rsidRDefault="00BB6F58" w:rsidP="00FA1B17">
      <w:pPr>
        <w:widowControl w:val="0"/>
        <w:autoSpaceDE w:val="0"/>
        <w:autoSpaceDN w:val="0"/>
        <w:adjustRightInd w:val="0"/>
        <w:spacing w:line="276" w:lineRule="auto"/>
        <w:ind w:left="1068"/>
        <w:jc w:val="both"/>
        <w:rPr>
          <w:rFonts w:ascii="Verdana" w:hAnsi="Verdana" w:cs="Arial"/>
          <w:i/>
          <w:iCs/>
          <w:sz w:val="22"/>
          <w:szCs w:val="22"/>
        </w:rPr>
      </w:pPr>
    </w:p>
    <w:p w14:paraId="44018555" w14:textId="4C09CED5" w:rsidR="00BB6F58" w:rsidRPr="00BB6F58" w:rsidRDefault="00000000" w:rsidP="00FA1B17">
      <w:pPr>
        <w:widowControl w:val="0"/>
        <w:autoSpaceDE w:val="0"/>
        <w:autoSpaceDN w:val="0"/>
        <w:adjustRightInd w:val="0"/>
        <w:spacing w:line="276" w:lineRule="auto"/>
        <w:ind w:left="1778"/>
        <w:jc w:val="both"/>
        <w:rPr>
          <w:rFonts w:ascii="Verdana" w:hAnsi="Verdana" w:cs="Arial"/>
          <w:i/>
          <w:iCs/>
          <w:sz w:val="22"/>
          <w:szCs w:val="22"/>
        </w:rPr>
      </w:pPr>
      <m:oMath>
        <m:sSub>
          <m:sSubPr>
            <m:ctrlPr>
              <w:rPr>
                <w:rFonts w:ascii="Cambria Math" w:hAnsi="Cambria Math" w:cs="Arial"/>
                <w:i/>
                <w:iCs/>
                <w:sz w:val="22"/>
                <w:szCs w:val="22"/>
              </w:rPr>
            </m:ctrlPr>
          </m:sSubPr>
          <m:e>
            <m:r>
              <w:rPr>
                <w:rFonts w:ascii="Cambria Math" w:hAnsi="Cambria Math" w:cs="Arial"/>
                <w:sz w:val="22"/>
                <w:szCs w:val="22"/>
              </w:rPr>
              <m:t>Cuota</m:t>
            </m:r>
            <m:r>
              <w:rPr>
                <w:rFonts w:ascii="Cambria Math" w:hAnsi="Cambria Math" w:cs="Arial"/>
                <w:sz w:val="22"/>
                <w:szCs w:val="22"/>
              </w:rPr>
              <m:t xml:space="preserve"> </m:t>
            </m:r>
            <m:r>
              <w:rPr>
                <w:rFonts w:ascii="Cambria Math" w:hAnsi="Cambria Math" w:cs="Arial"/>
                <w:sz w:val="22"/>
                <w:szCs w:val="22"/>
              </w:rPr>
              <m:t>anual</m:t>
            </m:r>
          </m:e>
          <m:sub>
            <m:r>
              <w:rPr>
                <w:rFonts w:ascii="Cambria Math" w:hAnsi="Cambria Math" w:cs="Arial"/>
                <w:sz w:val="22"/>
                <w:szCs w:val="22"/>
              </w:rPr>
              <m:t>i</m:t>
            </m:r>
          </m:sub>
        </m:sSub>
      </m:oMath>
      <w:r w:rsidR="00BB6F58" w:rsidRPr="00BB6F58">
        <w:rPr>
          <w:rFonts w:ascii="Verdana" w:hAnsi="Verdana" w:cs="Arial"/>
          <w:i/>
          <w:iCs/>
          <w:sz w:val="22"/>
          <w:szCs w:val="22"/>
          <w:lang w:val="es-ES"/>
        </w:rPr>
        <w:t>: es la cuota de reconocimiento gradual</w:t>
      </w:r>
      <w:r w:rsidR="00682407">
        <w:rPr>
          <w:rFonts w:ascii="Verdana" w:hAnsi="Verdana" w:cs="Arial"/>
          <w:i/>
          <w:iCs/>
          <w:sz w:val="22"/>
          <w:szCs w:val="22"/>
          <w:lang w:val="es-ES"/>
        </w:rPr>
        <w:t xml:space="preserve"> </w:t>
      </w:r>
      <w:r w:rsidR="00BB6F58" w:rsidRPr="00BB6F58">
        <w:rPr>
          <w:rFonts w:ascii="Verdana" w:hAnsi="Verdana" w:cs="Arial"/>
          <w:i/>
          <w:iCs/>
          <w:sz w:val="22"/>
          <w:szCs w:val="22"/>
          <w:lang w:val="es-ES"/>
        </w:rPr>
        <w:t>aplicable al año</w:t>
      </w:r>
      <w:r w:rsidR="00D45FF2">
        <w:rPr>
          <w:rFonts w:ascii="Verdana" w:hAnsi="Verdana" w:cs="Arial"/>
          <w:i/>
          <w:iCs/>
          <w:sz w:val="22"/>
          <w:szCs w:val="22"/>
          <w:lang w:val="es-ES"/>
        </w:rPr>
        <w:t xml:space="preserve"> </w:t>
      </w:r>
      <m:oMath>
        <m:r>
          <w:rPr>
            <w:rFonts w:ascii="Cambria Math" w:hAnsi="Cambria Math" w:cs="Arial"/>
            <w:sz w:val="22"/>
            <w:szCs w:val="22"/>
          </w:rPr>
          <m:t>i</m:t>
        </m:r>
      </m:oMath>
      <w:r w:rsidR="00BB6F58" w:rsidRPr="00BB6F58">
        <w:rPr>
          <w:rFonts w:ascii="Verdana" w:hAnsi="Verdana" w:cs="Arial"/>
          <w:i/>
          <w:iCs/>
          <w:sz w:val="22"/>
          <w:szCs w:val="22"/>
          <w:lang w:val="es-ES"/>
        </w:rPr>
        <w:t>.</w:t>
      </w:r>
      <w:r w:rsidR="00FF3F62">
        <w:rPr>
          <w:rFonts w:ascii="Verdana" w:hAnsi="Verdana" w:cs="Arial"/>
          <w:i/>
          <w:iCs/>
          <w:sz w:val="22"/>
          <w:szCs w:val="22"/>
          <w:lang w:val="es-ES"/>
        </w:rPr>
        <w:t xml:space="preserve"> </w:t>
      </w:r>
      <w:r w:rsidR="00BB6F58" w:rsidRPr="00BB6F58">
        <w:rPr>
          <w:rFonts w:ascii="Verdana" w:hAnsi="Verdana" w:cs="Arial"/>
          <w:i/>
          <w:iCs/>
          <w:sz w:val="22"/>
          <w:szCs w:val="22"/>
          <w:lang w:val="es-ES"/>
        </w:rPr>
        <w:t>El valor de esta cuota</w:t>
      </w:r>
      <w:r w:rsidR="00FF3F62">
        <w:rPr>
          <w:rFonts w:ascii="Verdana" w:hAnsi="Verdana" w:cs="Arial"/>
          <w:i/>
          <w:iCs/>
          <w:sz w:val="22"/>
          <w:szCs w:val="22"/>
          <w:lang w:val="es-ES"/>
        </w:rPr>
        <w:t xml:space="preserve"> </w:t>
      </w:r>
      <w:r w:rsidR="00BB6F58" w:rsidRPr="00BB6F58">
        <w:rPr>
          <w:rFonts w:ascii="Verdana" w:hAnsi="Verdana" w:cs="Arial"/>
          <w:i/>
          <w:iCs/>
          <w:sz w:val="22"/>
          <w:szCs w:val="22"/>
          <w:lang w:val="es-ES"/>
        </w:rPr>
        <w:t>sólo</w:t>
      </w:r>
      <w:r w:rsidR="00FF3F62">
        <w:rPr>
          <w:rFonts w:ascii="Verdana" w:hAnsi="Verdana" w:cs="Arial"/>
          <w:i/>
          <w:iCs/>
          <w:sz w:val="22"/>
          <w:szCs w:val="22"/>
          <w:lang w:val="es-ES"/>
        </w:rPr>
        <w:t xml:space="preserve"> </w:t>
      </w:r>
      <w:r w:rsidR="00BB6F58" w:rsidRPr="00BB6F58">
        <w:rPr>
          <w:rFonts w:ascii="Verdana" w:hAnsi="Verdana" w:cs="Arial"/>
          <w:i/>
          <w:iCs/>
          <w:sz w:val="22"/>
          <w:szCs w:val="22"/>
          <w:lang w:val="es-ES"/>
        </w:rPr>
        <w:t>podrá ser igual</w:t>
      </w:r>
      <w:r w:rsidR="00FF3F62">
        <w:rPr>
          <w:rFonts w:ascii="Verdana" w:hAnsi="Verdana" w:cs="Arial"/>
          <w:i/>
          <w:iCs/>
          <w:sz w:val="22"/>
          <w:szCs w:val="22"/>
          <w:lang w:val="es-ES"/>
        </w:rPr>
        <w:t xml:space="preserve"> </w:t>
      </w:r>
      <w:r w:rsidR="00BB6F58" w:rsidRPr="00BB6F58">
        <w:rPr>
          <w:rFonts w:ascii="Verdana" w:hAnsi="Verdana" w:cs="Arial"/>
          <w:i/>
          <w:iCs/>
          <w:sz w:val="22"/>
          <w:szCs w:val="22"/>
          <w:lang w:val="es-ES"/>
        </w:rPr>
        <w:t>o superior a</w:t>
      </w:r>
      <w:r w:rsidR="00FF3F62">
        <w:rPr>
          <w:rFonts w:ascii="Verdana" w:hAnsi="Verdana" w:cs="Arial"/>
          <w:i/>
          <w:iCs/>
          <w:sz w:val="22"/>
          <w:szCs w:val="22"/>
          <w:lang w:val="es-ES"/>
        </w:rPr>
        <w:t xml:space="preserve"> </w:t>
      </w:r>
      <w:r w:rsidR="00BB6F58" w:rsidRPr="00BB6F58">
        <w:rPr>
          <w:rFonts w:ascii="Verdana" w:hAnsi="Verdana" w:cs="Arial"/>
          <w:i/>
          <w:iCs/>
          <w:sz w:val="22"/>
          <w:szCs w:val="22"/>
          <w:lang w:val="es-ES"/>
        </w:rPr>
        <w:t>0, sin perjuicio de lo cual las entidades con exceso de reserva podrán adelantar los procedimientos de liberación que corresponda de acuerdo con las normas aplicables.</w:t>
      </w:r>
    </w:p>
    <w:p w14:paraId="0964F4D6" w14:textId="2F5097D9" w:rsidR="00BB6F58" w:rsidRDefault="00BB6F58" w:rsidP="00FA1B17">
      <w:pPr>
        <w:widowControl w:val="0"/>
        <w:autoSpaceDE w:val="0"/>
        <w:autoSpaceDN w:val="0"/>
        <w:adjustRightInd w:val="0"/>
        <w:spacing w:line="276" w:lineRule="auto"/>
        <w:ind w:left="1068"/>
        <w:jc w:val="both"/>
        <w:rPr>
          <w:rFonts w:ascii="Verdana" w:hAnsi="Verdana" w:cs="Arial"/>
          <w:i/>
          <w:iCs/>
          <w:sz w:val="22"/>
          <w:szCs w:val="22"/>
        </w:rPr>
      </w:pPr>
    </w:p>
    <w:p w14:paraId="56C34A94" w14:textId="4CB76955" w:rsidR="00E3515F" w:rsidRDefault="00000000" w:rsidP="00FA1B17">
      <w:pPr>
        <w:widowControl w:val="0"/>
        <w:autoSpaceDE w:val="0"/>
        <w:autoSpaceDN w:val="0"/>
        <w:adjustRightInd w:val="0"/>
        <w:spacing w:line="276" w:lineRule="auto"/>
        <w:ind w:left="1778"/>
        <w:jc w:val="both"/>
        <w:rPr>
          <w:rFonts w:ascii="Verdana" w:hAnsi="Verdana" w:cs="Arial"/>
          <w:i/>
          <w:iCs/>
          <w:sz w:val="22"/>
          <w:szCs w:val="22"/>
        </w:rPr>
      </w:pPr>
      <m:oMath>
        <m:sSub>
          <m:sSubPr>
            <m:ctrlPr>
              <w:rPr>
                <w:rFonts w:ascii="Cambria Math" w:hAnsi="Cambria Math" w:cs="Arial"/>
                <w:i/>
                <w:iCs/>
                <w:sz w:val="22"/>
                <w:szCs w:val="22"/>
              </w:rPr>
            </m:ctrlPr>
          </m:sSubPr>
          <m:e>
            <m:r>
              <w:rPr>
                <w:rFonts w:ascii="Cambria Math" w:hAnsi="Cambria Math" w:cs="Arial"/>
                <w:sz w:val="22"/>
                <w:szCs w:val="22"/>
              </w:rPr>
              <m:t>ME</m:t>
            </m:r>
          </m:e>
          <m:sub>
            <m:r>
              <w:rPr>
                <w:rFonts w:ascii="Cambria Math" w:hAnsi="Cambria Math" w:cs="Arial"/>
                <w:sz w:val="22"/>
                <w:szCs w:val="22"/>
              </w:rPr>
              <m:t>i</m:t>
            </m:r>
          </m:sub>
        </m:sSub>
      </m:oMath>
      <w:r w:rsidR="00BB6F58" w:rsidRPr="00BB6F58">
        <w:rPr>
          <w:rFonts w:ascii="Verdana" w:hAnsi="Verdana" w:cs="Arial"/>
          <w:i/>
          <w:iCs/>
          <w:sz w:val="22"/>
          <w:szCs w:val="22"/>
          <w:lang w:val="es-ES"/>
        </w:rPr>
        <w:t>: corresponde a la mejor estimación del valor total del pasivo objeto de reconocimiento gradual, actualizado</w:t>
      </w:r>
      <w:r w:rsidR="006E7F72">
        <w:rPr>
          <w:rFonts w:ascii="Verdana" w:hAnsi="Verdana" w:cs="Arial"/>
          <w:i/>
          <w:iCs/>
          <w:sz w:val="22"/>
          <w:szCs w:val="22"/>
          <w:lang w:val="es-ES"/>
        </w:rPr>
        <w:t xml:space="preserve"> </w:t>
      </w:r>
      <w:r w:rsidR="00BB6F58" w:rsidRPr="00BB6F58">
        <w:rPr>
          <w:rFonts w:ascii="Verdana" w:hAnsi="Verdana" w:cs="Arial"/>
          <w:i/>
          <w:iCs/>
          <w:sz w:val="22"/>
          <w:szCs w:val="22"/>
          <w:lang w:val="es-ES"/>
        </w:rPr>
        <w:t>el</w:t>
      </w:r>
      <w:r w:rsidR="006E7F72">
        <w:rPr>
          <w:rFonts w:ascii="Verdana" w:hAnsi="Verdana" w:cs="Arial"/>
          <w:i/>
          <w:iCs/>
          <w:sz w:val="22"/>
          <w:szCs w:val="22"/>
          <w:lang w:val="es-ES"/>
        </w:rPr>
        <w:t xml:space="preserve"> </w:t>
      </w:r>
      <w:r w:rsidR="00BB6F58" w:rsidRPr="00BB6F58">
        <w:rPr>
          <w:rFonts w:ascii="Verdana" w:hAnsi="Verdana" w:cs="Arial"/>
          <w:i/>
          <w:iCs/>
          <w:sz w:val="22"/>
          <w:szCs w:val="22"/>
          <w:lang w:val="es-ES"/>
        </w:rPr>
        <w:t>1 de enero del año</w:t>
      </w:r>
      <w:r w:rsidR="00CD13C3">
        <w:rPr>
          <w:rFonts w:ascii="Verdana" w:hAnsi="Verdana" w:cs="Arial"/>
          <w:i/>
          <w:iCs/>
          <w:sz w:val="22"/>
          <w:szCs w:val="22"/>
          <w:lang w:val="es-ES"/>
        </w:rPr>
        <w:t xml:space="preserve"> </w:t>
      </w:r>
      <m:oMath>
        <m:r>
          <w:rPr>
            <w:rFonts w:ascii="Cambria Math" w:hAnsi="Cambria Math" w:cs="Arial"/>
            <w:sz w:val="22"/>
            <w:szCs w:val="22"/>
          </w:rPr>
          <m:t xml:space="preserve"> </m:t>
        </m:r>
        <m:r>
          <w:rPr>
            <w:rFonts w:ascii="Cambria Math" w:hAnsi="Cambria Math" w:cs="Arial"/>
            <w:sz w:val="22"/>
            <w:szCs w:val="22"/>
          </w:rPr>
          <m:t>i</m:t>
        </m:r>
      </m:oMath>
      <w:r w:rsidR="00214AA4">
        <w:rPr>
          <w:rFonts w:ascii="Verdana" w:hAnsi="Verdana" w:cs="Arial"/>
          <w:i/>
          <w:sz w:val="22"/>
          <w:szCs w:val="22"/>
        </w:rPr>
        <w:t xml:space="preserve"> </w:t>
      </w:r>
      <w:r w:rsidR="00BB6F58" w:rsidRPr="00BB6F58">
        <w:rPr>
          <w:rFonts w:ascii="Verdana" w:hAnsi="Verdana" w:cs="Arial"/>
          <w:i/>
          <w:iCs/>
          <w:sz w:val="22"/>
          <w:szCs w:val="22"/>
          <w:lang w:val="es-ES"/>
        </w:rPr>
        <w:t>con información a corte del 31 de diciembre del año</w:t>
      </w:r>
      <w:r w:rsidR="00214AA4">
        <w:rPr>
          <w:rFonts w:ascii="Verdana" w:hAnsi="Verdana" w:cs="Arial"/>
          <w:i/>
          <w:iCs/>
          <w:sz w:val="22"/>
          <w:szCs w:val="22"/>
          <w:lang w:val="es-ES"/>
        </w:rPr>
        <w:t xml:space="preserve"> </w:t>
      </w:r>
      <m:oMath>
        <m:r>
          <w:rPr>
            <w:rFonts w:ascii="Cambria Math" w:hAnsi="Cambria Math" w:cs="Arial"/>
            <w:sz w:val="22"/>
            <w:szCs w:val="22"/>
          </w:rPr>
          <m:t>i</m:t>
        </m:r>
        <m:r>
          <w:rPr>
            <w:rFonts w:ascii="Cambria Math" w:hAnsi="Cambria Math" w:cs="Arial"/>
            <w:sz w:val="22"/>
            <w:szCs w:val="22"/>
          </w:rPr>
          <m:t>-1.</m:t>
        </m:r>
      </m:oMath>
    </w:p>
    <w:p w14:paraId="6ECAA12F" w14:textId="77777777" w:rsidR="00D62B6B" w:rsidRDefault="00D62B6B" w:rsidP="00FA1B17">
      <w:pPr>
        <w:widowControl w:val="0"/>
        <w:autoSpaceDE w:val="0"/>
        <w:autoSpaceDN w:val="0"/>
        <w:adjustRightInd w:val="0"/>
        <w:spacing w:line="276" w:lineRule="auto"/>
        <w:ind w:left="1069"/>
        <w:jc w:val="both"/>
        <w:rPr>
          <w:rFonts w:ascii="Verdana" w:hAnsi="Verdana" w:cs="Arial"/>
          <w:i/>
          <w:iCs/>
          <w:sz w:val="22"/>
          <w:szCs w:val="22"/>
        </w:rPr>
      </w:pPr>
    </w:p>
    <w:p w14:paraId="5606B48A" w14:textId="77777777" w:rsidR="009972FE" w:rsidRDefault="00000000" w:rsidP="00FA1B17">
      <w:pPr>
        <w:widowControl w:val="0"/>
        <w:autoSpaceDE w:val="0"/>
        <w:autoSpaceDN w:val="0"/>
        <w:adjustRightInd w:val="0"/>
        <w:spacing w:line="276" w:lineRule="auto"/>
        <w:ind w:left="1778"/>
        <w:jc w:val="both"/>
        <w:rPr>
          <w:rFonts w:ascii="Verdana" w:hAnsi="Verdana" w:cs="Arial"/>
          <w:i/>
          <w:iCs/>
          <w:sz w:val="22"/>
          <w:szCs w:val="22"/>
        </w:rPr>
      </w:pPr>
      <m:oMath>
        <m:nary>
          <m:naryPr>
            <m:chr m:val="∑"/>
            <m:limLoc m:val="undOvr"/>
            <m:ctrlPr>
              <w:rPr>
                <w:rFonts w:ascii="Cambria Math" w:hAnsi="Cambria Math" w:cs="Arial"/>
                <w:i/>
                <w:iCs/>
                <w:sz w:val="22"/>
                <w:szCs w:val="22"/>
              </w:rPr>
            </m:ctrlPr>
          </m:naryPr>
          <m:sub>
            <m:r>
              <w:rPr>
                <w:rFonts w:ascii="Cambria Math" w:hAnsi="Cambria Math" w:cs="Arial"/>
                <w:sz w:val="22"/>
                <w:szCs w:val="22"/>
              </w:rPr>
              <m:t>k</m:t>
            </m:r>
            <m:r>
              <w:rPr>
                <w:rFonts w:ascii="Cambria Math" w:hAnsi="Cambria Math" w:cs="Arial"/>
                <w:sz w:val="22"/>
                <w:szCs w:val="22"/>
              </w:rPr>
              <m:t>=1</m:t>
            </m:r>
          </m:sub>
          <m:sup>
            <m:r>
              <w:rPr>
                <w:rFonts w:ascii="Cambria Math" w:hAnsi="Cambria Math" w:cs="Arial"/>
                <w:sz w:val="22"/>
                <w:szCs w:val="22"/>
              </w:rPr>
              <m:t>i</m:t>
            </m:r>
            <m:r>
              <w:rPr>
                <w:rFonts w:ascii="Cambria Math" w:hAnsi="Cambria Math" w:cs="Arial"/>
                <w:sz w:val="22"/>
                <w:szCs w:val="22"/>
              </w:rPr>
              <m:t>-1</m:t>
            </m:r>
          </m:sup>
          <m:e>
            <m:sSub>
              <m:sSubPr>
                <m:ctrlPr>
                  <w:rPr>
                    <w:rFonts w:ascii="Cambria Math" w:hAnsi="Cambria Math" w:cs="Arial"/>
                    <w:i/>
                    <w:iCs/>
                    <w:sz w:val="22"/>
                    <w:szCs w:val="22"/>
                  </w:rPr>
                </m:ctrlPr>
              </m:sSubPr>
              <m:e>
                <m:r>
                  <w:rPr>
                    <w:rFonts w:ascii="Cambria Math" w:hAnsi="Cambria Math" w:cs="Arial"/>
                    <w:sz w:val="22"/>
                    <w:szCs w:val="22"/>
                  </w:rPr>
                  <m:t>RP</m:t>
                </m:r>
              </m:e>
              <m:sub>
                <m:r>
                  <w:rPr>
                    <w:rFonts w:ascii="Cambria Math" w:hAnsi="Cambria Math" w:cs="Arial"/>
                    <w:sz w:val="22"/>
                    <w:szCs w:val="22"/>
                  </w:rPr>
                  <m:t>k</m:t>
                </m:r>
              </m:sub>
            </m:sSub>
          </m:e>
        </m:nary>
      </m:oMath>
      <w:r w:rsidR="00BB6F58" w:rsidRPr="00BB6F58">
        <w:rPr>
          <w:rFonts w:ascii="Verdana" w:hAnsi="Verdana" w:cs="Arial"/>
          <w:i/>
          <w:iCs/>
          <w:sz w:val="22"/>
          <w:szCs w:val="22"/>
          <w:lang w:val="es-ES"/>
        </w:rPr>
        <w:t>: es el valor</w:t>
      </w:r>
      <w:r w:rsidR="00D62B6B">
        <w:rPr>
          <w:rFonts w:ascii="Verdana" w:hAnsi="Verdana" w:cs="Arial"/>
          <w:i/>
          <w:iCs/>
          <w:sz w:val="22"/>
          <w:szCs w:val="22"/>
          <w:lang w:val="es-ES"/>
        </w:rPr>
        <w:t xml:space="preserve"> </w:t>
      </w:r>
      <w:r w:rsidR="00BB6F58" w:rsidRPr="00BB6F58">
        <w:rPr>
          <w:rFonts w:ascii="Verdana" w:hAnsi="Verdana" w:cs="Arial"/>
          <w:i/>
          <w:iCs/>
          <w:sz w:val="22"/>
          <w:szCs w:val="22"/>
          <w:lang w:val="es-ES"/>
        </w:rPr>
        <w:t>de reconocimiento</w:t>
      </w:r>
      <w:r w:rsidR="00D62B6B">
        <w:rPr>
          <w:rFonts w:ascii="Verdana" w:hAnsi="Verdana" w:cs="Arial"/>
          <w:i/>
          <w:iCs/>
          <w:sz w:val="22"/>
          <w:szCs w:val="22"/>
          <w:lang w:val="es-ES"/>
        </w:rPr>
        <w:t xml:space="preserve"> </w:t>
      </w:r>
      <w:r w:rsidR="00BB6F58" w:rsidRPr="00BB6F58">
        <w:rPr>
          <w:rFonts w:ascii="Verdana" w:hAnsi="Verdana" w:cs="Arial"/>
          <w:i/>
          <w:iCs/>
          <w:sz w:val="22"/>
          <w:szCs w:val="22"/>
          <w:lang w:val="es-ES"/>
        </w:rPr>
        <w:t>del pasivo acumulado</w:t>
      </w:r>
      <w:r w:rsidR="00D62B6B">
        <w:rPr>
          <w:rFonts w:ascii="Verdana" w:hAnsi="Verdana" w:cs="Arial"/>
          <w:i/>
          <w:iCs/>
          <w:sz w:val="22"/>
          <w:szCs w:val="22"/>
          <w:lang w:val="es-ES"/>
        </w:rPr>
        <w:t xml:space="preserve"> </w:t>
      </w:r>
      <w:r w:rsidR="00BB6F58" w:rsidRPr="00BB6F58">
        <w:rPr>
          <w:rFonts w:ascii="Verdana" w:hAnsi="Verdana" w:cs="Arial"/>
          <w:i/>
          <w:iCs/>
          <w:sz w:val="22"/>
          <w:szCs w:val="22"/>
          <w:lang w:val="es-ES"/>
        </w:rPr>
        <w:t xml:space="preserve">hasta el </w:t>
      </w:r>
      <w:r w:rsidR="009972FE" w:rsidRPr="00BB6F58">
        <w:rPr>
          <w:rFonts w:ascii="Verdana" w:hAnsi="Verdana" w:cs="Arial"/>
          <w:i/>
          <w:iCs/>
          <w:sz w:val="22"/>
          <w:szCs w:val="22"/>
          <w:lang w:val="es-ES"/>
        </w:rPr>
        <w:t>año</w:t>
      </w:r>
      <w:r w:rsidR="009972FE">
        <w:rPr>
          <w:rFonts w:ascii="Verdana" w:hAnsi="Verdana" w:cs="Arial"/>
          <w:i/>
          <w:iCs/>
          <w:sz w:val="22"/>
          <w:szCs w:val="22"/>
          <w:lang w:val="es-ES"/>
        </w:rPr>
        <w:t xml:space="preserve"> </w:t>
      </w:r>
      <m:oMath>
        <m:r>
          <w:rPr>
            <w:rFonts w:ascii="Cambria Math" w:hAnsi="Cambria Math" w:cs="Arial"/>
            <w:sz w:val="22"/>
            <w:szCs w:val="22"/>
          </w:rPr>
          <m:t>i</m:t>
        </m:r>
        <m:r>
          <w:rPr>
            <w:rFonts w:ascii="Cambria Math" w:hAnsi="Cambria Math" w:cs="Arial"/>
            <w:sz w:val="22"/>
            <w:szCs w:val="22"/>
          </w:rPr>
          <m:t>-1.</m:t>
        </m:r>
      </m:oMath>
    </w:p>
    <w:p w14:paraId="425CFBD2" w14:textId="77777777" w:rsidR="005A2AAD" w:rsidRDefault="005A2AAD" w:rsidP="00FA1B17">
      <w:pPr>
        <w:widowControl w:val="0"/>
        <w:autoSpaceDE w:val="0"/>
        <w:autoSpaceDN w:val="0"/>
        <w:adjustRightInd w:val="0"/>
        <w:spacing w:line="276" w:lineRule="auto"/>
        <w:ind w:left="1068"/>
        <w:jc w:val="both"/>
        <w:rPr>
          <w:rFonts w:ascii="Verdana" w:hAnsi="Verdana" w:cs="Arial"/>
          <w:i/>
          <w:iCs/>
          <w:sz w:val="22"/>
          <w:szCs w:val="22"/>
        </w:rPr>
      </w:pPr>
    </w:p>
    <w:p w14:paraId="6D3CE4E7" w14:textId="6166B6F9" w:rsidR="00FD7BB2" w:rsidRPr="00BB6F58" w:rsidRDefault="005A2AAD" w:rsidP="00FA1B17">
      <w:pPr>
        <w:widowControl w:val="0"/>
        <w:autoSpaceDE w:val="0"/>
        <w:autoSpaceDN w:val="0"/>
        <w:adjustRightInd w:val="0"/>
        <w:spacing w:line="276" w:lineRule="auto"/>
        <w:ind w:left="1778"/>
        <w:jc w:val="both"/>
        <w:rPr>
          <w:rFonts w:ascii="Verdana" w:hAnsi="Verdana" w:cs="Arial"/>
          <w:i/>
          <w:iCs/>
          <w:sz w:val="22"/>
          <w:szCs w:val="22"/>
        </w:rPr>
      </w:pPr>
      <m:oMath>
        <m:r>
          <w:rPr>
            <w:rFonts w:ascii="Cambria Math" w:hAnsi="Cambria Math" w:cs="Arial"/>
            <w:sz w:val="22"/>
            <w:szCs w:val="22"/>
          </w:rPr>
          <m:t>k</m:t>
        </m:r>
      </m:oMath>
      <w:r w:rsidR="00BB6F58" w:rsidRPr="00BB6F58">
        <w:rPr>
          <w:rFonts w:ascii="Verdana" w:hAnsi="Verdana" w:cs="Arial"/>
          <w:i/>
          <w:iCs/>
          <w:sz w:val="22"/>
          <w:szCs w:val="22"/>
          <w:lang w:val="es-ES"/>
        </w:rPr>
        <w:t>: corresponde a</w:t>
      </w:r>
      <w:r w:rsidR="00762A81">
        <w:rPr>
          <w:rFonts w:ascii="Verdana" w:hAnsi="Verdana" w:cs="Arial"/>
          <w:i/>
          <w:iCs/>
          <w:sz w:val="22"/>
          <w:szCs w:val="22"/>
          <w:lang w:val="es-ES"/>
        </w:rPr>
        <w:t xml:space="preserve">l </w:t>
      </w:r>
      <m:oMath>
        <m:r>
          <w:rPr>
            <w:rFonts w:ascii="Cambria Math" w:hAnsi="Cambria Math" w:cs="Arial"/>
            <w:sz w:val="22"/>
            <w:szCs w:val="22"/>
          </w:rPr>
          <m:t>k</m:t>
        </m:r>
      </m:oMath>
      <w:r w:rsidR="00BB6F58" w:rsidRPr="00BB6F58">
        <w:rPr>
          <w:rFonts w:ascii="Verdana" w:hAnsi="Verdana" w:cs="Arial"/>
          <w:i/>
          <w:iCs/>
          <w:sz w:val="22"/>
          <w:szCs w:val="22"/>
          <w:lang w:val="es-ES"/>
        </w:rPr>
        <w:t>-ésimo</w:t>
      </w:r>
      <w:r w:rsidR="00762A81">
        <w:rPr>
          <w:rFonts w:ascii="Verdana" w:hAnsi="Verdana" w:cs="Arial"/>
          <w:i/>
          <w:iCs/>
          <w:sz w:val="22"/>
          <w:szCs w:val="22"/>
          <w:lang w:val="es-ES"/>
        </w:rPr>
        <w:t xml:space="preserve"> </w:t>
      </w:r>
      <w:r w:rsidR="00BB6F58" w:rsidRPr="00BB6F58">
        <w:rPr>
          <w:rFonts w:ascii="Verdana" w:hAnsi="Verdana" w:cs="Arial"/>
          <w:i/>
          <w:iCs/>
          <w:sz w:val="22"/>
          <w:szCs w:val="22"/>
          <w:lang w:val="es-ES"/>
        </w:rPr>
        <w:t>año del periodo de reconocimiento trascurrido hasta el momento de cálculo de la</w:t>
      </w:r>
      <m:oMath>
        <m:sSub>
          <m:sSubPr>
            <m:ctrlPr>
              <w:rPr>
                <w:rFonts w:ascii="Cambria Math" w:hAnsi="Cambria Math" w:cs="Arial"/>
                <w:i/>
                <w:iCs/>
                <w:sz w:val="22"/>
                <w:szCs w:val="22"/>
              </w:rPr>
            </m:ctrlPr>
          </m:sSubPr>
          <m:e>
            <m:r>
              <w:rPr>
                <w:rFonts w:ascii="Cambria Math" w:hAnsi="Cambria Math" w:cs="Arial"/>
                <w:sz w:val="22"/>
                <w:szCs w:val="22"/>
              </w:rPr>
              <m:t xml:space="preserve"> Cuota anual</m:t>
            </m:r>
          </m:e>
          <m:sub>
            <m:r>
              <w:rPr>
                <w:rFonts w:ascii="Cambria Math" w:hAnsi="Cambria Math" w:cs="Arial"/>
                <w:sz w:val="22"/>
                <w:szCs w:val="22"/>
              </w:rPr>
              <m:t>i</m:t>
            </m:r>
          </m:sub>
        </m:sSub>
      </m:oMath>
      <w:r w:rsidR="00535028">
        <w:rPr>
          <w:rFonts w:ascii="Verdana" w:hAnsi="Verdana" w:cs="Arial"/>
          <w:i/>
          <w:iCs/>
          <w:sz w:val="22"/>
          <w:szCs w:val="22"/>
        </w:rPr>
        <w:t>.</w:t>
      </w:r>
    </w:p>
    <w:p w14:paraId="207A58DB" w14:textId="77777777" w:rsidR="00D655A4" w:rsidRPr="00BB6F58" w:rsidRDefault="00D655A4" w:rsidP="00FA1B17">
      <w:pPr>
        <w:widowControl w:val="0"/>
        <w:autoSpaceDE w:val="0"/>
        <w:autoSpaceDN w:val="0"/>
        <w:adjustRightInd w:val="0"/>
        <w:spacing w:line="276" w:lineRule="auto"/>
        <w:ind w:left="1778"/>
        <w:jc w:val="both"/>
        <w:rPr>
          <w:rFonts w:ascii="Verdana" w:hAnsi="Verdana" w:cs="Arial"/>
          <w:i/>
          <w:iCs/>
          <w:sz w:val="22"/>
          <w:szCs w:val="22"/>
        </w:rPr>
      </w:pPr>
    </w:p>
    <w:p w14:paraId="245BE2FF" w14:textId="66944626" w:rsidR="00BB6F58" w:rsidRPr="00BB6F58" w:rsidRDefault="00535028" w:rsidP="00FA1B17">
      <w:pPr>
        <w:widowControl w:val="0"/>
        <w:autoSpaceDE w:val="0"/>
        <w:autoSpaceDN w:val="0"/>
        <w:adjustRightInd w:val="0"/>
        <w:spacing w:line="276" w:lineRule="auto"/>
        <w:ind w:left="1778"/>
        <w:jc w:val="both"/>
        <w:rPr>
          <w:rFonts w:ascii="Verdana" w:hAnsi="Verdana" w:cs="Arial"/>
          <w:i/>
          <w:iCs/>
          <w:sz w:val="22"/>
          <w:szCs w:val="22"/>
        </w:rPr>
      </w:pPr>
      <m:oMath>
        <m:r>
          <w:rPr>
            <w:rFonts w:ascii="Cambria Math" w:hAnsi="Cambria Math" w:cs="Arial"/>
            <w:sz w:val="22"/>
            <w:szCs w:val="22"/>
          </w:rPr>
          <m:t>PMA</m:t>
        </m:r>
      </m:oMath>
      <w:r w:rsidR="00BB6F58" w:rsidRPr="00BB6F58">
        <w:rPr>
          <w:rFonts w:ascii="Verdana" w:hAnsi="Verdana" w:cs="Arial"/>
          <w:i/>
          <w:iCs/>
          <w:sz w:val="22"/>
          <w:szCs w:val="22"/>
          <w:lang w:val="es-ES"/>
        </w:rPr>
        <w:t>: es el plazo máximo de amortización</w:t>
      </w:r>
      <w:r>
        <w:rPr>
          <w:rFonts w:ascii="Verdana" w:hAnsi="Verdana" w:cs="Arial"/>
          <w:i/>
          <w:iCs/>
          <w:sz w:val="22"/>
          <w:szCs w:val="22"/>
          <w:lang w:val="es-ES"/>
        </w:rPr>
        <w:t xml:space="preserve"> </w:t>
      </w:r>
      <w:r w:rsidR="00BB6F58" w:rsidRPr="00BB6F58">
        <w:rPr>
          <w:rFonts w:ascii="Verdana" w:hAnsi="Verdana" w:cs="Arial"/>
          <w:i/>
          <w:iCs/>
          <w:sz w:val="22"/>
          <w:szCs w:val="22"/>
          <w:lang w:val="es-ES"/>
        </w:rPr>
        <w:t>definido por la entidad para el reconocimiento gradual de</w:t>
      </w:r>
      <w:r>
        <w:rPr>
          <w:rFonts w:ascii="Verdana" w:hAnsi="Verdana" w:cs="Arial"/>
          <w:i/>
          <w:iCs/>
          <w:sz w:val="22"/>
          <w:szCs w:val="22"/>
          <w:lang w:val="es-ES"/>
        </w:rPr>
        <w:t xml:space="preserve"> </w:t>
      </w:r>
      <w:r w:rsidR="00BB6F58" w:rsidRPr="00BB6F58">
        <w:rPr>
          <w:rFonts w:ascii="Verdana" w:hAnsi="Verdana" w:cs="Arial"/>
          <w:i/>
          <w:iCs/>
          <w:sz w:val="22"/>
          <w:szCs w:val="22"/>
          <w:lang w:val="es-ES"/>
        </w:rPr>
        <w:t>la variación total en el pasivo. De acuerdo con el</w:t>
      </w:r>
      <w:r>
        <w:rPr>
          <w:rFonts w:ascii="Verdana" w:hAnsi="Verdana" w:cs="Arial"/>
          <w:i/>
          <w:iCs/>
          <w:sz w:val="22"/>
          <w:szCs w:val="22"/>
          <w:lang w:val="es-ES"/>
        </w:rPr>
        <w:t xml:space="preserve"> </w:t>
      </w:r>
      <w:r w:rsidR="00BB6F58" w:rsidRPr="00BB6F58">
        <w:rPr>
          <w:rFonts w:ascii="Verdana" w:hAnsi="Verdana" w:cs="Arial"/>
          <w:i/>
          <w:iCs/>
          <w:sz w:val="22"/>
          <w:szCs w:val="22"/>
          <w:lang w:val="es-ES"/>
        </w:rPr>
        <w:t xml:space="preserve">numeral 3 del artículo </w:t>
      </w:r>
      <w:r w:rsidR="00D0666E" w:rsidRPr="000A479D">
        <w:rPr>
          <w:rFonts w:ascii="Verdana" w:hAnsi="Verdana" w:cs="Arial"/>
          <w:i/>
          <w:iCs/>
          <w:sz w:val="22"/>
          <w:szCs w:val="22"/>
          <w:lang w:val="es-ES"/>
        </w:rPr>
        <w:t>1.1.4.1.5 del Decreto 2420 de 2015, adicionado por medio del Decreto 217 de 2026</w:t>
      </w:r>
      <w:r w:rsidR="00BB6F58" w:rsidRPr="00BB6F58">
        <w:rPr>
          <w:rFonts w:ascii="Verdana" w:hAnsi="Verdana" w:cs="Arial"/>
          <w:i/>
          <w:iCs/>
          <w:sz w:val="22"/>
          <w:szCs w:val="22"/>
          <w:lang w:val="es-ES"/>
        </w:rPr>
        <w:t>, el plazo definido por la entidad</w:t>
      </w:r>
      <w:r>
        <w:rPr>
          <w:rFonts w:ascii="Verdana" w:hAnsi="Verdana" w:cs="Arial"/>
          <w:i/>
          <w:iCs/>
          <w:sz w:val="22"/>
          <w:szCs w:val="22"/>
          <w:lang w:val="es-ES"/>
        </w:rPr>
        <w:t xml:space="preserve"> </w:t>
      </w:r>
      <w:r w:rsidR="00BB6F58" w:rsidRPr="00BB6F58">
        <w:rPr>
          <w:rFonts w:ascii="Verdana" w:hAnsi="Verdana" w:cs="Arial"/>
          <w:i/>
          <w:iCs/>
          <w:sz w:val="22"/>
          <w:szCs w:val="22"/>
          <w:lang w:val="es-ES"/>
        </w:rPr>
        <w:t>debe ser</w:t>
      </w:r>
      <w:r>
        <w:rPr>
          <w:rFonts w:ascii="Verdana" w:hAnsi="Verdana" w:cs="Arial"/>
          <w:i/>
          <w:iCs/>
          <w:sz w:val="22"/>
          <w:szCs w:val="22"/>
          <w:lang w:val="es-ES"/>
        </w:rPr>
        <w:t xml:space="preserve"> </w:t>
      </w:r>
      <w:r w:rsidR="00BB6F58" w:rsidRPr="00BB6F58">
        <w:rPr>
          <w:rFonts w:ascii="Verdana" w:hAnsi="Verdana" w:cs="Arial"/>
          <w:i/>
          <w:iCs/>
          <w:sz w:val="22"/>
          <w:szCs w:val="22"/>
          <w:lang w:val="es-ES"/>
        </w:rPr>
        <w:t>de máximo</w:t>
      </w:r>
      <w:r>
        <w:rPr>
          <w:rFonts w:ascii="Verdana" w:hAnsi="Verdana" w:cs="Arial"/>
          <w:i/>
          <w:iCs/>
          <w:sz w:val="22"/>
          <w:szCs w:val="22"/>
          <w:lang w:val="es-ES"/>
        </w:rPr>
        <w:t xml:space="preserve"> </w:t>
      </w:r>
      <w:r w:rsidR="00BB6F58" w:rsidRPr="00BB6F58">
        <w:rPr>
          <w:rFonts w:ascii="Verdana" w:hAnsi="Verdana" w:cs="Arial"/>
          <w:i/>
          <w:iCs/>
          <w:sz w:val="22"/>
          <w:szCs w:val="22"/>
          <w:lang w:val="es-ES"/>
        </w:rPr>
        <w:t>10 años.</w:t>
      </w:r>
    </w:p>
    <w:p w14:paraId="742011BF" w14:textId="7F2B1071" w:rsidR="00BB6F58" w:rsidRDefault="00BB6F58" w:rsidP="00FA1B17">
      <w:pPr>
        <w:widowControl w:val="0"/>
        <w:autoSpaceDE w:val="0"/>
        <w:autoSpaceDN w:val="0"/>
        <w:adjustRightInd w:val="0"/>
        <w:spacing w:line="276" w:lineRule="auto"/>
        <w:ind w:left="1068"/>
        <w:jc w:val="both"/>
        <w:rPr>
          <w:rFonts w:ascii="Verdana" w:hAnsi="Verdana" w:cs="Arial"/>
          <w:i/>
          <w:iCs/>
          <w:sz w:val="22"/>
          <w:szCs w:val="22"/>
        </w:rPr>
      </w:pPr>
    </w:p>
    <w:p w14:paraId="0D55C6AC" w14:textId="49CA449C" w:rsidR="00BB6F58" w:rsidRPr="00BB6F58" w:rsidRDefault="00BB6F58" w:rsidP="00FA1B17">
      <w:pPr>
        <w:widowControl w:val="0"/>
        <w:numPr>
          <w:ilvl w:val="0"/>
          <w:numId w:val="26"/>
        </w:numPr>
        <w:tabs>
          <w:tab w:val="clear" w:pos="720"/>
          <w:tab w:val="num" w:pos="1788"/>
        </w:tabs>
        <w:autoSpaceDE w:val="0"/>
        <w:autoSpaceDN w:val="0"/>
        <w:adjustRightInd w:val="0"/>
        <w:spacing w:line="276" w:lineRule="auto"/>
        <w:ind w:left="1788"/>
        <w:jc w:val="both"/>
        <w:rPr>
          <w:rFonts w:ascii="Verdana" w:hAnsi="Verdana" w:cs="Arial"/>
          <w:i/>
          <w:iCs/>
          <w:sz w:val="22"/>
          <w:szCs w:val="22"/>
        </w:rPr>
      </w:pPr>
      <w:r w:rsidRPr="00BB6F58">
        <w:rPr>
          <w:rFonts w:ascii="Verdana" w:hAnsi="Verdana" w:cs="Arial"/>
          <w:i/>
          <w:iCs/>
          <w:sz w:val="22"/>
          <w:szCs w:val="22"/>
        </w:rPr>
        <w:t>Durante</w:t>
      </w:r>
      <w:r w:rsidR="00535028">
        <w:rPr>
          <w:rFonts w:ascii="Verdana" w:hAnsi="Verdana" w:cs="Arial"/>
          <w:i/>
          <w:iCs/>
          <w:sz w:val="22"/>
          <w:szCs w:val="22"/>
        </w:rPr>
        <w:t xml:space="preserve"> </w:t>
      </w:r>
      <w:r w:rsidRPr="00BB6F58">
        <w:rPr>
          <w:rFonts w:ascii="Verdana" w:hAnsi="Verdana" w:cs="Arial"/>
          <w:i/>
          <w:iCs/>
          <w:sz w:val="22"/>
          <w:szCs w:val="22"/>
        </w:rPr>
        <w:t>el período de</w:t>
      </w:r>
      <w:r w:rsidR="00535028">
        <w:rPr>
          <w:rFonts w:ascii="Verdana" w:hAnsi="Verdana" w:cs="Arial"/>
          <w:i/>
          <w:iCs/>
          <w:sz w:val="22"/>
          <w:szCs w:val="22"/>
        </w:rPr>
        <w:t xml:space="preserve"> </w:t>
      </w:r>
      <w:r w:rsidRPr="00BB6F58">
        <w:rPr>
          <w:rFonts w:ascii="Verdana" w:hAnsi="Verdana" w:cs="Arial"/>
          <w:i/>
          <w:iCs/>
          <w:sz w:val="22"/>
          <w:szCs w:val="22"/>
        </w:rPr>
        <w:t>amortización</w:t>
      </w:r>
      <w:r w:rsidR="00535028">
        <w:rPr>
          <w:rFonts w:ascii="Verdana" w:hAnsi="Verdana" w:cs="Arial"/>
          <w:i/>
          <w:iCs/>
          <w:sz w:val="22"/>
          <w:szCs w:val="22"/>
        </w:rPr>
        <w:t xml:space="preserve"> </w:t>
      </w:r>
      <w:r w:rsidRPr="00BB6F58">
        <w:rPr>
          <w:rFonts w:ascii="Verdana" w:hAnsi="Verdana" w:cs="Arial"/>
          <w:i/>
          <w:iCs/>
          <w:sz w:val="22"/>
          <w:szCs w:val="22"/>
        </w:rPr>
        <w:t>se debe reconocer</w:t>
      </w:r>
      <w:r w:rsidR="00535028">
        <w:rPr>
          <w:rFonts w:ascii="Verdana" w:hAnsi="Verdana" w:cs="Arial"/>
          <w:i/>
          <w:iCs/>
          <w:sz w:val="22"/>
          <w:szCs w:val="22"/>
        </w:rPr>
        <w:t xml:space="preserve"> </w:t>
      </w:r>
      <w:r w:rsidRPr="00BB6F58">
        <w:rPr>
          <w:rFonts w:ascii="Verdana" w:hAnsi="Verdana" w:cs="Arial"/>
          <w:i/>
          <w:iCs/>
          <w:sz w:val="22"/>
          <w:szCs w:val="22"/>
        </w:rPr>
        <w:t>en el pasivo</w:t>
      </w:r>
      <w:r w:rsidR="00535028">
        <w:rPr>
          <w:rFonts w:ascii="Verdana" w:hAnsi="Verdana" w:cs="Arial"/>
          <w:i/>
          <w:iCs/>
          <w:sz w:val="22"/>
          <w:szCs w:val="22"/>
        </w:rPr>
        <w:t xml:space="preserve"> </w:t>
      </w:r>
      <w:r w:rsidRPr="00BB6F58">
        <w:rPr>
          <w:rFonts w:ascii="Verdana" w:hAnsi="Verdana" w:cs="Arial"/>
          <w:i/>
          <w:iCs/>
          <w:sz w:val="22"/>
          <w:szCs w:val="22"/>
        </w:rPr>
        <w:t>y en el estado de resultados</w:t>
      </w:r>
      <w:r w:rsidR="00535028">
        <w:rPr>
          <w:rFonts w:ascii="Verdana" w:hAnsi="Verdana" w:cs="Arial"/>
          <w:i/>
          <w:iCs/>
          <w:sz w:val="22"/>
          <w:szCs w:val="22"/>
        </w:rPr>
        <w:t xml:space="preserve"> </w:t>
      </w:r>
      <w:r w:rsidRPr="00BB6F58">
        <w:rPr>
          <w:rFonts w:ascii="Verdana" w:hAnsi="Verdana" w:cs="Arial"/>
          <w:i/>
          <w:iCs/>
          <w:sz w:val="22"/>
          <w:szCs w:val="22"/>
        </w:rPr>
        <w:t>el valor</w:t>
      </w:r>
      <w:r w:rsidR="00535028">
        <w:rPr>
          <w:rFonts w:ascii="Verdana" w:hAnsi="Verdana" w:cs="Arial"/>
          <w:i/>
          <w:iCs/>
          <w:sz w:val="22"/>
          <w:szCs w:val="22"/>
        </w:rPr>
        <w:t xml:space="preserve"> </w:t>
      </w:r>
      <w:r w:rsidRPr="00BB6F58">
        <w:rPr>
          <w:rFonts w:ascii="Verdana" w:hAnsi="Verdana" w:cs="Arial"/>
          <w:i/>
          <w:iCs/>
          <w:sz w:val="22"/>
          <w:szCs w:val="22"/>
        </w:rPr>
        <w:t>correspondiente</w:t>
      </w:r>
      <w:r w:rsidR="00535028">
        <w:rPr>
          <w:rFonts w:ascii="Verdana" w:hAnsi="Verdana" w:cs="Arial"/>
          <w:i/>
          <w:iCs/>
          <w:sz w:val="22"/>
          <w:szCs w:val="22"/>
        </w:rPr>
        <w:t xml:space="preserve"> </w:t>
      </w:r>
      <w:r w:rsidRPr="00BB6F58">
        <w:rPr>
          <w:rFonts w:ascii="Verdana" w:hAnsi="Verdana" w:cs="Arial"/>
          <w:i/>
          <w:iCs/>
          <w:sz w:val="22"/>
          <w:szCs w:val="22"/>
        </w:rPr>
        <w:t>a la cuota anual</w:t>
      </w:r>
      <w:r w:rsidR="00535028">
        <w:rPr>
          <w:rFonts w:ascii="Verdana" w:hAnsi="Verdana" w:cs="Arial"/>
          <w:i/>
          <w:iCs/>
          <w:sz w:val="22"/>
          <w:szCs w:val="22"/>
        </w:rPr>
        <w:t xml:space="preserve"> </w:t>
      </w:r>
      <w:r w:rsidRPr="00BB6F58">
        <w:rPr>
          <w:rFonts w:ascii="Verdana" w:hAnsi="Verdana" w:cs="Arial"/>
          <w:i/>
          <w:iCs/>
          <w:sz w:val="22"/>
          <w:szCs w:val="22"/>
        </w:rPr>
        <w:t>mencionada anteriormente, de conformidad con el literal (e) del</w:t>
      </w:r>
      <w:r w:rsidR="00535028">
        <w:rPr>
          <w:rFonts w:ascii="Verdana" w:hAnsi="Verdana" w:cs="Arial"/>
          <w:i/>
          <w:iCs/>
          <w:sz w:val="22"/>
          <w:szCs w:val="22"/>
        </w:rPr>
        <w:t xml:space="preserve"> </w:t>
      </w:r>
      <w:r w:rsidRPr="00BB6F58">
        <w:rPr>
          <w:rFonts w:ascii="Verdana" w:hAnsi="Verdana" w:cs="Arial"/>
          <w:i/>
          <w:iCs/>
          <w:sz w:val="22"/>
          <w:szCs w:val="22"/>
        </w:rPr>
        <w:t>numeral 3 del</w:t>
      </w:r>
      <w:r w:rsidR="00535028">
        <w:rPr>
          <w:rFonts w:ascii="Verdana" w:hAnsi="Verdana" w:cs="Arial"/>
          <w:i/>
          <w:iCs/>
          <w:sz w:val="22"/>
          <w:szCs w:val="22"/>
        </w:rPr>
        <w:t xml:space="preserve"> </w:t>
      </w:r>
      <w:r w:rsidRPr="00BB6F58">
        <w:rPr>
          <w:rFonts w:ascii="Verdana" w:hAnsi="Verdana" w:cs="Arial"/>
          <w:i/>
          <w:iCs/>
          <w:sz w:val="22"/>
          <w:szCs w:val="22"/>
        </w:rPr>
        <w:t>artículo</w:t>
      </w:r>
      <w:r w:rsidR="00535028">
        <w:rPr>
          <w:rFonts w:ascii="Verdana" w:hAnsi="Verdana" w:cs="Arial"/>
          <w:i/>
          <w:iCs/>
          <w:sz w:val="22"/>
          <w:szCs w:val="22"/>
        </w:rPr>
        <w:t xml:space="preserve"> </w:t>
      </w:r>
      <w:r w:rsidR="00D0666E" w:rsidRPr="000A479D">
        <w:rPr>
          <w:rFonts w:ascii="Verdana" w:hAnsi="Verdana" w:cs="Arial"/>
          <w:i/>
          <w:iCs/>
          <w:sz w:val="22"/>
          <w:szCs w:val="22"/>
          <w:lang w:val="es-ES"/>
        </w:rPr>
        <w:t>1.1.4.1.5 del Decreto 2420 de 2015, adicionado por medio del Decreto 217 de 2026</w:t>
      </w:r>
      <w:r w:rsidRPr="00BB6F58">
        <w:rPr>
          <w:rFonts w:ascii="Verdana" w:hAnsi="Verdana" w:cs="Arial"/>
          <w:i/>
          <w:iCs/>
          <w:sz w:val="22"/>
          <w:szCs w:val="22"/>
        </w:rPr>
        <w:t>.</w:t>
      </w:r>
      <w:r w:rsidR="00BA0115">
        <w:rPr>
          <w:rFonts w:ascii="Verdana" w:hAnsi="Verdana" w:cs="Arial"/>
          <w:i/>
          <w:iCs/>
          <w:sz w:val="22"/>
          <w:szCs w:val="22"/>
        </w:rPr>
        <w:t xml:space="preserve"> </w:t>
      </w:r>
      <w:r w:rsidRPr="00BB6F58">
        <w:rPr>
          <w:rFonts w:ascii="Verdana" w:hAnsi="Verdana" w:cs="Arial"/>
          <w:i/>
          <w:iCs/>
          <w:sz w:val="22"/>
          <w:szCs w:val="22"/>
        </w:rPr>
        <w:t>El reconocimiento de</w:t>
      </w:r>
      <w:r w:rsidR="00535028">
        <w:rPr>
          <w:rFonts w:ascii="Verdana" w:hAnsi="Verdana" w:cs="Arial"/>
          <w:i/>
          <w:iCs/>
          <w:sz w:val="22"/>
          <w:szCs w:val="22"/>
        </w:rPr>
        <w:t xml:space="preserve"> </w:t>
      </w:r>
      <w:r w:rsidRPr="00BB6F58">
        <w:rPr>
          <w:rFonts w:ascii="Verdana" w:hAnsi="Verdana" w:cs="Arial"/>
          <w:i/>
          <w:iCs/>
          <w:sz w:val="22"/>
          <w:szCs w:val="22"/>
        </w:rPr>
        <w:t>la cuota anual</w:t>
      </w:r>
      <w:r w:rsidR="00535028">
        <w:rPr>
          <w:rFonts w:ascii="Verdana" w:hAnsi="Verdana" w:cs="Arial"/>
          <w:i/>
          <w:iCs/>
          <w:sz w:val="22"/>
          <w:szCs w:val="22"/>
        </w:rPr>
        <w:t xml:space="preserve"> </w:t>
      </w:r>
      <w:r w:rsidRPr="00BB6F58">
        <w:rPr>
          <w:rFonts w:ascii="Verdana" w:hAnsi="Verdana" w:cs="Arial"/>
          <w:i/>
          <w:iCs/>
          <w:sz w:val="22"/>
          <w:szCs w:val="22"/>
        </w:rPr>
        <w:t>se</w:t>
      </w:r>
      <w:r w:rsidR="00535028">
        <w:rPr>
          <w:rFonts w:ascii="Verdana" w:hAnsi="Verdana" w:cs="Arial"/>
          <w:i/>
          <w:iCs/>
          <w:sz w:val="22"/>
          <w:szCs w:val="22"/>
        </w:rPr>
        <w:t xml:space="preserve"> </w:t>
      </w:r>
      <w:r w:rsidRPr="00BB6F58">
        <w:rPr>
          <w:rFonts w:ascii="Verdana" w:hAnsi="Verdana" w:cs="Arial"/>
          <w:i/>
          <w:iCs/>
          <w:sz w:val="22"/>
          <w:szCs w:val="22"/>
        </w:rPr>
        <w:t>debe</w:t>
      </w:r>
      <w:r w:rsidR="00535028">
        <w:rPr>
          <w:rFonts w:ascii="Verdana" w:hAnsi="Verdana" w:cs="Arial"/>
          <w:i/>
          <w:iCs/>
          <w:sz w:val="22"/>
          <w:szCs w:val="22"/>
        </w:rPr>
        <w:t xml:space="preserve"> </w:t>
      </w:r>
      <w:r w:rsidRPr="00BB6F58">
        <w:rPr>
          <w:rFonts w:ascii="Verdana" w:hAnsi="Verdana" w:cs="Arial"/>
          <w:i/>
          <w:iCs/>
          <w:sz w:val="22"/>
          <w:szCs w:val="22"/>
          <w:lang w:val="es-ES"/>
        </w:rPr>
        <w:t>amortizar mensualmente en forma lineal, tomando como base la cuota anual recalculada en los términos del</w:t>
      </w:r>
      <w:r w:rsidR="00535028">
        <w:rPr>
          <w:rFonts w:ascii="Verdana" w:hAnsi="Verdana" w:cs="Arial"/>
          <w:i/>
          <w:iCs/>
          <w:sz w:val="22"/>
          <w:szCs w:val="22"/>
          <w:lang w:val="es-ES"/>
        </w:rPr>
        <w:t xml:space="preserve"> </w:t>
      </w:r>
      <w:r w:rsidRPr="00BB6F58">
        <w:rPr>
          <w:rFonts w:ascii="Verdana" w:hAnsi="Verdana" w:cs="Arial"/>
          <w:i/>
          <w:iCs/>
          <w:sz w:val="22"/>
          <w:szCs w:val="22"/>
          <w:lang w:val="es-ES"/>
        </w:rPr>
        <w:t>numeral i del</w:t>
      </w:r>
      <w:r w:rsidR="00535028">
        <w:rPr>
          <w:rFonts w:ascii="Verdana" w:hAnsi="Verdana" w:cs="Arial"/>
          <w:i/>
          <w:iCs/>
          <w:sz w:val="22"/>
          <w:szCs w:val="22"/>
          <w:lang w:val="es-ES"/>
        </w:rPr>
        <w:t xml:space="preserve"> </w:t>
      </w:r>
      <w:r w:rsidRPr="00BB6F58">
        <w:rPr>
          <w:rFonts w:ascii="Verdana" w:hAnsi="Verdana" w:cs="Arial"/>
          <w:i/>
          <w:iCs/>
          <w:sz w:val="22"/>
          <w:szCs w:val="22"/>
          <w:lang w:val="es-ES"/>
        </w:rPr>
        <w:t>literal (b) de la presente instrucción</w:t>
      </w:r>
      <w:r w:rsidRPr="00BB6F58">
        <w:rPr>
          <w:rFonts w:ascii="Verdana" w:hAnsi="Verdana" w:cs="Arial"/>
          <w:i/>
          <w:iCs/>
          <w:sz w:val="22"/>
          <w:szCs w:val="22"/>
        </w:rPr>
        <w:t>.</w:t>
      </w:r>
    </w:p>
    <w:p w14:paraId="2EB378BF" w14:textId="3FC34D6F" w:rsidR="00BB6F58" w:rsidRPr="00BB6F58" w:rsidRDefault="00BB6F58" w:rsidP="00FA1B17">
      <w:pPr>
        <w:widowControl w:val="0"/>
        <w:autoSpaceDE w:val="0"/>
        <w:autoSpaceDN w:val="0"/>
        <w:adjustRightInd w:val="0"/>
        <w:spacing w:line="276" w:lineRule="auto"/>
        <w:ind w:left="1068"/>
        <w:jc w:val="both"/>
        <w:rPr>
          <w:rFonts w:ascii="Verdana" w:hAnsi="Verdana" w:cs="Arial"/>
          <w:i/>
          <w:iCs/>
          <w:sz w:val="22"/>
          <w:szCs w:val="22"/>
        </w:rPr>
      </w:pPr>
    </w:p>
    <w:p w14:paraId="362BFD12" w14:textId="35EA7BDB" w:rsidR="00BB6F58" w:rsidRPr="00BB6F58" w:rsidRDefault="00BB6F58" w:rsidP="00FA1B17">
      <w:pPr>
        <w:widowControl w:val="0"/>
        <w:numPr>
          <w:ilvl w:val="0"/>
          <w:numId w:val="27"/>
        </w:numPr>
        <w:tabs>
          <w:tab w:val="clear" w:pos="720"/>
          <w:tab w:val="num" w:pos="1788"/>
        </w:tabs>
        <w:autoSpaceDE w:val="0"/>
        <w:autoSpaceDN w:val="0"/>
        <w:adjustRightInd w:val="0"/>
        <w:spacing w:line="276" w:lineRule="auto"/>
        <w:ind w:left="1788"/>
        <w:jc w:val="both"/>
        <w:rPr>
          <w:rFonts w:ascii="Verdana" w:hAnsi="Verdana" w:cs="Arial"/>
          <w:i/>
          <w:iCs/>
          <w:sz w:val="22"/>
          <w:szCs w:val="22"/>
        </w:rPr>
      </w:pPr>
      <w:r w:rsidRPr="00BB6F58">
        <w:rPr>
          <w:rFonts w:ascii="Verdana" w:hAnsi="Verdana" w:cs="Arial"/>
          <w:i/>
          <w:iCs/>
          <w:sz w:val="22"/>
          <w:szCs w:val="22"/>
        </w:rPr>
        <w:t>Sin perjuicio del reconocimiento gradual del monto del pasivo,</w:t>
      </w:r>
      <w:r w:rsidR="00DA705E">
        <w:rPr>
          <w:rFonts w:ascii="Verdana" w:hAnsi="Verdana" w:cs="Arial"/>
          <w:i/>
          <w:iCs/>
          <w:sz w:val="22"/>
          <w:szCs w:val="22"/>
        </w:rPr>
        <w:t xml:space="preserve"> </w:t>
      </w:r>
      <w:r w:rsidRPr="00BB6F58">
        <w:rPr>
          <w:rFonts w:ascii="Verdana" w:hAnsi="Verdana" w:cs="Arial"/>
          <w:i/>
          <w:iCs/>
          <w:sz w:val="22"/>
          <w:szCs w:val="22"/>
        </w:rPr>
        <w:t>a</w:t>
      </w:r>
      <w:r w:rsidR="00DA705E">
        <w:rPr>
          <w:rFonts w:ascii="Verdana" w:hAnsi="Verdana" w:cs="Arial"/>
          <w:i/>
          <w:iCs/>
          <w:sz w:val="22"/>
          <w:szCs w:val="22"/>
        </w:rPr>
        <w:t xml:space="preserve"> </w:t>
      </w:r>
      <w:r w:rsidRPr="00BB6F58">
        <w:rPr>
          <w:rFonts w:ascii="Verdana" w:hAnsi="Verdana" w:cs="Arial"/>
          <w:i/>
          <w:iCs/>
          <w:sz w:val="22"/>
          <w:szCs w:val="22"/>
        </w:rPr>
        <w:t>partir</w:t>
      </w:r>
      <w:r w:rsidR="00DA705E">
        <w:rPr>
          <w:rFonts w:ascii="Verdana" w:hAnsi="Verdana" w:cs="Arial"/>
          <w:i/>
          <w:iCs/>
          <w:sz w:val="22"/>
          <w:szCs w:val="22"/>
        </w:rPr>
        <w:t xml:space="preserve"> </w:t>
      </w:r>
      <w:r w:rsidRPr="00BB6F58">
        <w:rPr>
          <w:rFonts w:ascii="Verdana" w:hAnsi="Verdana" w:cs="Arial"/>
          <w:i/>
          <w:iCs/>
          <w:sz w:val="22"/>
          <w:szCs w:val="22"/>
        </w:rPr>
        <w:t xml:space="preserve">del </w:t>
      </w:r>
      <w:r w:rsidRPr="00BA0115">
        <w:rPr>
          <w:rFonts w:ascii="Verdana" w:hAnsi="Verdana" w:cs="Arial"/>
          <w:i/>
          <w:iCs/>
          <w:sz w:val="22"/>
          <w:szCs w:val="22"/>
        </w:rPr>
        <w:t>1 de enero de 202</w:t>
      </w:r>
      <w:r w:rsidR="007F2109" w:rsidRPr="00BA0115">
        <w:rPr>
          <w:rFonts w:ascii="Verdana" w:hAnsi="Verdana" w:cs="Arial"/>
          <w:i/>
          <w:iCs/>
          <w:sz w:val="22"/>
          <w:szCs w:val="22"/>
        </w:rPr>
        <w:t>8</w:t>
      </w:r>
      <w:r w:rsidRPr="00BB6F58">
        <w:rPr>
          <w:rFonts w:ascii="Verdana" w:hAnsi="Verdana" w:cs="Arial"/>
          <w:i/>
          <w:iCs/>
          <w:sz w:val="22"/>
          <w:szCs w:val="22"/>
        </w:rPr>
        <w:t xml:space="preserve"> y durante todo el periodo de</w:t>
      </w:r>
      <w:r w:rsidR="00DA705E">
        <w:rPr>
          <w:rFonts w:ascii="Verdana" w:hAnsi="Verdana" w:cs="Arial"/>
          <w:i/>
          <w:iCs/>
          <w:sz w:val="22"/>
          <w:szCs w:val="22"/>
        </w:rPr>
        <w:t xml:space="preserve"> </w:t>
      </w:r>
      <w:r w:rsidRPr="00BB6F58">
        <w:rPr>
          <w:rFonts w:ascii="Verdana" w:hAnsi="Verdana" w:cs="Arial"/>
          <w:i/>
          <w:iCs/>
          <w:sz w:val="22"/>
          <w:szCs w:val="22"/>
        </w:rPr>
        <w:t>amortización,</w:t>
      </w:r>
      <w:r w:rsidR="00DA705E">
        <w:rPr>
          <w:rFonts w:ascii="Verdana" w:hAnsi="Verdana" w:cs="Arial"/>
          <w:i/>
          <w:iCs/>
          <w:sz w:val="22"/>
          <w:szCs w:val="22"/>
        </w:rPr>
        <w:t xml:space="preserve"> </w:t>
      </w:r>
      <w:r w:rsidRPr="00BB6F58">
        <w:rPr>
          <w:rFonts w:ascii="Verdana" w:hAnsi="Verdana" w:cs="Arial"/>
          <w:i/>
          <w:iCs/>
          <w:sz w:val="22"/>
          <w:szCs w:val="22"/>
        </w:rPr>
        <w:t>las entidades deben</w:t>
      </w:r>
      <w:r w:rsidR="0087705A">
        <w:rPr>
          <w:rFonts w:ascii="Verdana" w:hAnsi="Verdana" w:cs="Arial"/>
          <w:i/>
          <w:iCs/>
          <w:sz w:val="22"/>
          <w:szCs w:val="22"/>
        </w:rPr>
        <w:t xml:space="preserve"> </w:t>
      </w:r>
      <w:r w:rsidRPr="00BB6F58">
        <w:rPr>
          <w:rFonts w:ascii="Verdana" w:hAnsi="Verdana" w:cs="Arial"/>
          <w:i/>
          <w:iCs/>
          <w:sz w:val="22"/>
          <w:szCs w:val="22"/>
        </w:rPr>
        <w:t>reconocer</w:t>
      </w:r>
      <w:r w:rsidR="0087705A">
        <w:rPr>
          <w:rFonts w:ascii="Verdana" w:hAnsi="Verdana" w:cs="Arial"/>
          <w:i/>
          <w:iCs/>
          <w:sz w:val="22"/>
          <w:szCs w:val="22"/>
        </w:rPr>
        <w:t xml:space="preserve"> </w:t>
      </w:r>
      <w:r w:rsidRPr="00BB6F58">
        <w:rPr>
          <w:rFonts w:ascii="Verdana" w:hAnsi="Verdana" w:cs="Arial"/>
          <w:i/>
          <w:iCs/>
          <w:sz w:val="22"/>
          <w:szCs w:val="22"/>
        </w:rPr>
        <w:t>el valor total de la diferencia objeto de reconocimiento gradual</w:t>
      </w:r>
      <w:r w:rsidR="0087705A">
        <w:rPr>
          <w:rFonts w:ascii="Verdana" w:hAnsi="Verdana" w:cs="Arial"/>
          <w:i/>
          <w:iCs/>
          <w:sz w:val="22"/>
          <w:szCs w:val="22"/>
        </w:rPr>
        <w:t xml:space="preserve"> </w:t>
      </w:r>
      <w:r w:rsidRPr="00BB6F58">
        <w:rPr>
          <w:rFonts w:ascii="Verdana" w:hAnsi="Verdana" w:cs="Arial"/>
          <w:i/>
          <w:iCs/>
          <w:sz w:val="22"/>
          <w:szCs w:val="22"/>
        </w:rPr>
        <w:t>en</w:t>
      </w:r>
      <w:r w:rsidR="0087705A">
        <w:rPr>
          <w:rFonts w:ascii="Verdana" w:hAnsi="Verdana" w:cs="Arial"/>
          <w:i/>
          <w:iCs/>
          <w:sz w:val="22"/>
          <w:szCs w:val="22"/>
        </w:rPr>
        <w:t xml:space="preserve"> </w:t>
      </w:r>
      <w:r w:rsidRPr="00BB6F58">
        <w:rPr>
          <w:rFonts w:ascii="Verdana" w:hAnsi="Verdana" w:cs="Arial"/>
          <w:i/>
          <w:iCs/>
          <w:sz w:val="22"/>
          <w:szCs w:val="22"/>
        </w:rPr>
        <w:t>el código</w:t>
      </w:r>
      <w:r w:rsidR="0087705A">
        <w:rPr>
          <w:rFonts w:ascii="Verdana" w:hAnsi="Verdana" w:cs="Arial"/>
          <w:i/>
          <w:iCs/>
          <w:sz w:val="22"/>
          <w:szCs w:val="22"/>
        </w:rPr>
        <w:t xml:space="preserve"> </w:t>
      </w:r>
      <w:r w:rsidRPr="00BB6F58">
        <w:rPr>
          <w:rFonts w:ascii="Verdana" w:hAnsi="Verdana" w:cs="Arial"/>
          <w:i/>
          <w:iCs/>
          <w:sz w:val="22"/>
          <w:szCs w:val="22"/>
        </w:rPr>
        <w:t>«8203000000 Diferencia neta negativa generada en la aplicación por primera vez de la</w:t>
      </w:r>
      <w:r w:rsidR="0087705A">
        <w:rPr>
          <w:rFonts w:ascii="Verdana" w:hAnsi="Verdana" w:cs="Arial"/>
          <w:i/>
          <w:iCs/>
          <w:sz w:val="22"/>
          <w:szCs w:val="22"/>
        </w:rPr>
        <w:t xml:space="preserve"> </w:t>
      </w:r>
      <w:r w:rsidRPr="00BB6F58">
        <w:rPr>
          <w:rFonts w:ascii="Verdana" w:hAnsi="Verdana" w:cs="Arial"/>
          <w:i/>
          <w:iCs/>
          <w:sz w:val="22"/>
          <w:szCs w:val="22"/>
        </w:rPr>
        <w:t>NIIF</w:t>
      </w:r>
      <w:r w:rsidR="0087705A">
        <w:rPr>
          <w:rFonts w:ascii="Verdana" w:hAnsi="Verdana" w:cs="Arial"/>
          <w:i/>
          <w:iCs/>
          <w:sz w:val="22"/>
          <w:szCs w:val="22"/>
        </w:rPr>
        <w:t xml:space="preserve"> </w:t>
      </w:r>
      <w:r w:rsidRPr="00BB6F58">
        <w:rPr>
          <w:rFonts w:ascii="Verdana" w:hAnsi="Verdana" w:cs="Arial"/>
          <w:i/>
          <w:iCs/>
          <w:sz w:val="22"/>
          <w:szCs w:val="22"/>
        </w:rPr>
        <w:t>17 - saldo pendiente de amortizar», así como</w:t>
      </w:r>
      <w:r w:rsidR="0087705A">
        <w:rPr>
          <w:rFonts w:ascii="Verdana" w:hAnsi="Verdana" w:cs="Arial"/>
          <w:i/>
          <w:iCs/>
          <w:sz w:val="22"/>
          <w:szCs w:val="22"/>
        </w:rPr>
        <w:t xml:space="preserve"> </w:t>
      </w:r>
      <w:r w:rsidRPr="00BB6F58">
        <w:rPr>
          <w:rFonts w:ascii="Verdana" w:hAnsi="Verdana" w:cs="Arial"/>
          <w:i/>
          <w:iCs/>
          <w:sz w:val="22"/>
          <w:szCs w:val="22"/>
        </w:rPr>
        <w:t>revelar el valor total actualizado de este pasivo</w:t>
      </w:r>
      <w:r w:rsidR="0087705A">
        <w:rPr>
          <w:rFonts w:ascii="Verdana" w:hAnsi="Verdana" w:cs="Arial"/>
          <w:i/>
          <w:iCs/>
          <w:sz w:val="22"/>
          <w:szCs w:val="22"/>
        </w:rPr>
        <w:t xml:space="preserve"> </w:t>
      </w:r>
      <w:r w:rsidRPr="00BB6F58">
        <w:rPr>
          <w:rFonts w:ascii="Verdana" w:hAnsi="Verdana" w:cs="Arial"/>
          <w:i/>
          <w:iCs/>
          <w:sz w:val="22"/>
          <w:szCs w:val="22"/>
        </w:rPr>
        <w:t>por ramo</w:t>
      </w:r>
      <w:r w:rsidR="0087705A">
        <w:rPr>
          <w:rFonts w:ascii="Verdana" w:hAnsi="Verdana" w:cs="Arial"/>
          <w:i/>
          <w:iCs/>
          <w:sz w:val="22"/>
          <w:szCs w:val="22"/>
        </w:rPr>
        <w:t xml:space="preserve"> </w:t>
      </w:r>
      <w:r w:rsidRPr="00BB6F58">
        <w:rPr>
          <w:rFonts w:ascii="Verdana" w:hAnsi="Verdana" w:cs="Arial"/>
          <w:i/>
          <w:iCs/>
          <w:sz w:val="22"/>
          <w:szCs w:val="22"/>
        </w:rPr>
        <w:t>en las</w:t>
      </w:r>
      <w:r w:rsidR="0087705A">
        <w:rPr>
          <w:rFonts w:ascii="Verdana" w:hAnsi="Verdana" w:cs="Arial"/>
          <w:i/>
          <w:iCs/>
          <w:sz w:val="22"/>
          <w:szCs w:val="22"/>
        </w:rPr>
        <w:t xml:space="preserve"> </w:t>
      </w:r>
      <w:r w:rsidRPr="00BB6F58">
        <w:rPr>
          <w:rFonts w:ascii="Verdana" w:hAnsi="Verdana" w:cs="Arial"/>
          <w:i/>
          <w:iCs/>
          <w:sz w:val="22"/>
          <w:szCs w:val="22"/>
        </w:rPr>
        <w:t>notas</w:t>
      </w:r>
      <w:r w:rsidR="0087705A">
        <w:rPr>
          <w:rFonts w:ascii="Verdana" w:hAnsi="Verdana" w:cs="Arial"/>
          <w:i/>
          <w:iCs/>
          <w:sz w:val="22"/>
          <w:szCs w:val="22"/>
        </w:rPr>
        <w:t xml:space="preserve"> </w:t>
      </w:r>
      <w:r w:rsidRPr="00BB6F58">
        <w:rPr>
          <w:rFonts w:ascii="Verdana" w:hAnsi="Verdana" w:cs="Arial"/>
          <w:i/>
          <w:iCs/>
          <w:sz w:val="22"/>
          <w:szCs w:val="22"/>
        </w:rPr>
        <w:t>a los estados financieros. Igualmente, las entidades aseguradoras deben remitir</w:t>
      </w:r>
      <w:r w:rsidR="0087705A">
        <w:rPr>
          <w:rFonts w:ascii="Verdana" w:hAnsi="Verdana" w:cs="Arial"/>
          <w:i/>
          <w:iCs/>
          <w:sz w:val="22"/>
          <w:szCs w:val="22"/>
        </w:rPr>
        <w:t xml:space="preserve"> </w:t>
      </w:r>
      <w:r w:rsidRPr="00BB6F58">
        <w:rPr>
          <w:rFonts w:ascii="Verdana" w:hAnsi="Verdana" w:cs="Arial"/>
          <w:i/>
          <w:iCs/>
          <w:sz w:val="22"/>
          <w:szCs w:val="22"/>
        </w:rPr>
        <w:t>a esta Superintendencia</w:t>
      </w:r>
      <w:r w:rsidR="0087705A">
        <w:rPr>
          <w:rFonts w:ascii="Verdana" w:hAnsi="Verdana" w:cs="Arial"/>
          <w:i/>
          <w:iCs/>
          <w:sz w:val="22"/>
          <w:szCs w:val="22"/>
        </w:rPr>
        <w:t xml:space="preserve"> </w:t>
      </w:r>
      <w:r w:rsidRPr="00BB6F58">
        <w:rPr>
          <w:rFonts w:ascii="Verdana" w:hAnsi="Verdana" w:cs="Arial"/>
          <w:i/>
          <w:iCs/>
          <w:sz w:val="22"/>
          <w:szCs w:val="22"/>
        </w:rPr>
        <w:t>la presente información</w:t>
      </w:r>
      <w:r w:rsidR="0087705A">
        <w:rPr>
          <w:rFonts w:ascii="Verdana" w:hAnsi="Verdana" w:cs="Arial"/>
          <w:i/>
          <w:iCs/>
          <w:sz w:val="22"/>
          <w:szCs w:val="22"/>
        </w:rPr>
        <w:t xml:space="preserve"> </w:t>
      </w:r>
      <w:r w:rsidRPr="00BB6F58">
        <w:rPr>
          <w:rFonts w:ascii="Verdana" w:hAnsi="Verdana" w:cs="Arial"/>
          <w:i/>
          <w:iCs/>
          <w:sz w:val="22"/>
          <w:szCs w:val="22"/>
        </w:rPr>
        <w:t>a nivel de ramo en el</w:t>
      </w:r>
      <w:r w:rsidR="00232DCA">
        <w:rPr>
          <w:rFonts w:ascii="Verdana" w:hAnsi="Verdana" w:cs="Arial"/>
          <w:i/>
          <w:iCs/>
          <w:sz w:val="22"/>
          <w:szCs w:val="22"/>
        </w:rPr>
        <w:t xml:space="preserve"> </w:t>
      </w:r>
      <w:r w:rsidRPr="00BB6F58">
        <w:rPr>
          <w:rFonts w:ascii="Verdana" w:hAnsi="Verdana" w:cs="Arial"/>
          <w:i/>
          <w:iCs/>
          <w:sz w:val="22"/>
          <w:szCs w:val="22"/>
        </w:rPr>
        <w:t>Anexo No. 1 «</w:t>
      </w:r>
      <w:r w:rsidR="00E35067" w:rsidRPr="00E35067">
        <w:rPr>
          <w:rFonts w:ascii="Verdana" w:hAnsi="Verdana" w:cs="Arial"/>
          <w:i/>
          <w:iCs/>
          <w:sz w:val="22"/>
          <w:szCs w:val="22"/>
        </w:rPr>
        <w:t>Impactos en la aplicación por primera vez NIIF 17</w:t>
      </w:r>
      <w:r w:rsidRPr="00BB6F58">
        <w:rPr>
          <w:rFonts w:ascii="Verdana" w:hAnsi="Verdana" w:cs="Arial"/>
          <w:i/>
          <w:iCs/>
          <w:sz w:val="22"/>
          <w:szCs w:val="22"/>
        </w:rPr>
        <w:t>».</w:t>
      </w:r>
    </w:p>
    <w:p w14:paraId="50987288" w14:textId="6B15B81A" w:rsidR="00BB6F58" w:rsidRPr="00BB6F58" w:rsidRDefault="00BB6F58" w:rsidP="00FA1B17">
      <w:pPr>
        <w:widowControl w:val="0"/>
        <w:autoSpaceDE w:val="0"/>
        <w:autoSpaceDN w:val="0"/>
        <w:adjustRightInd w:val="0"/>
        <w:spacing w:line="276" w:lineRule="auto"/>
        <w:ind w:left="1068"/>
        <w:jc w:val="both"/>
        <w:rPr>
          <w:rFonts w:ascii="Verdana" w:hAnsi="Verdana" w:cs="Arial"/>
          <w:i/>
          <w:iCs/>
          <w:sz w:val="22"/>
          <w:szCs w:val="22"/>
        </w:rPr>
      </w:pPr>
    </w:p>
    <w:p w14:paraId="036EA0D4" w14:textId="269E7E60" w:rsidR="00BB6F58" w:rsidRPr="00BB6F58" w:rsidRDefault="00BB6F58" w:rsidP="00FA1B17">
      <w:pPr>
        <w:widowControl w:val="0"/>
        <w:numPr>
          <w:ilvl w:val="0"/>
          <w:numId w:val="28"/>
        </w:numPr>
        <w:tabs>
          <w:tab w:val="clear" w:pos="720"/>
          <w:tab w:val="num" w:pos="1788"/>
        </w:tabs>
        <w:autoSpaceDE w:val="0"/>
        <w:autoSpaceDN w:val="0"/>
        <w:adjustRightInd w:val="0"/>
        <w:spacing w:line="276" w:lineRule="auto"/>
        <w:ind w:left="1788"/>
        <w:jc w:val="both"/>
        <w:rPr>
          <w:rFonts w:ascii="Verdana" w:hAnsi="Verdana" w:cs="Arial"/>
          <w:i/>
          <w:iCs/>
          <w:sz w:val="22"/>
          <w:szCs w:val="22"/>
        </w:rPr>
      </w:pPr>
      <w:r w:rsidRPr="00BB6F58">
        <w:rPr>
          <w:rFonts w:ascii="Verdana" w:hAnsi="Verdana" w:cs="Arial"/>
          <w:i/>
          <w:iCs/>
          <w:sz w:val="22"/>
          <w:szCs w:val="22"/>
        </w:rPr>
        <w:t>En</w:t>
      </w:r>
      <w:r w:rsidR="00232DCA">
        <w:rPr>
          <w:rFonts w:ascii="Verdana" w:hAnsi="Verdana" w:cs="Arial"/>
          <w:i/>
          <w:iCs/>
          <w:sz w:val="22"/>
          <w:szCs w:val="22"/>
        </w:rPr>
        <w:t xml:space="preserve"> </w:t>
      </w:r>
      <w:r w:rsidRPr="00BB6F58">
        <w:rPr>
          <w:rFonts w:ascii="Verdana" w:hAnsi="Verdana" w:cs="Arial"/>
          <w:i/>
          <w:iCs/>
          <w:sz w:val="22"/>
          <w:szCs w:val="22"/>
        </w:rPr>
        <w:t xml:space="preserve">desarrollo de lo previsto en los numerales 2 y 3 del artículo </w:t>
      </w:r>
      <w:r w:rsidR="00066D83" w:rsidRPr="000A479D">
        <w:rPr>
          <w:rFonts w:ascii="Verdana" w:hAnsi="Verdana" w:cs="Arial"/>
          <w:i/>
          <w:iCs/>
          <w:sz w:val="22"/>
          <w:szCs w:val="22"/>
          <w:lang w:val="es-ES"/>
        </w:rPr>
        <w:t>1.1.4.1.5 del Decreto 2420 de 2015, adicionado por medio del Decreto 217 de 2026</w:t>
      </w:r>
      <w:r w:rsidRPr="00BB6F58">
        <w:rPr>
          <w:rFonts w:ascii="Verdana" w:hAnsi="Verdana" w:cs="Arial"/>
          <w:i/>
          <w:iCs/>
          <w:sz w:val="22"/>
          <w:szCs w:val="22"/>
        </w:rPr>
        <w:t>,</w:t>
      </w:r>
      <w:r w:rsidR="00232DCA">
        <w:rPr>
          <w:rFonts w:ascii="Verdana" w:hAnsi="Verdana" w:cs="Arial"/>
          <w:i/>
          <w:iCs/>
          <w:sz w:val="22"/>
          <w:szCs w:val="22"/>
        </w:rPr>
        <w:t xml:space="preserve"> </w:t>
      </w:r>
      <w:r w:rsidRPr="00BB6F58">
        <w:rPr>
          <w:rFonts w:ascii="Verdana" w:hAnsi="Verdana" w:cs="Arial"/>
          <w:i/>
          <w:iCs/>
          <w:sz w:val="22"/>
          <w:szCs w:val="22"/>
        </w:rPr>
        <w:t>cuando el valor</w:t>
      </w:r>
      <w:r w:rsidR="00232DCA">
        <w:rPr>
          <w:rFonts w:ascii="Verdana" w:hAnsi="Verdana" w:cs="Arial"/>
          <w:i/>
          <w:iCs/>
          <w:sz w:val="22"/>
          <w:szCs w:val="22"/>
        </w:rPr>
        <w:t xml:space="preserve"> </w:t>
      </w:r>
      <w:r w:rsidRPr="00BB6F58">
        <w:rPr>
          <w:rFonts w:ascii="Verdana" w:hAnsi="Verdana" w:cs="Arial"/>
          <w:i/>
          <w:iCs/>
          <w:sz w:val="22"/>
          <w:szCs w:val="22"/>
        </w:rPr>
        <w:t>de la diferencia</w:t>
      </w:r>
      <w:r w:rsidR="00232DCA">
        <w:rPr>
          <w:rFonts w:ascii="Verdana" w:hAnsi="Verdana" w:cs="Arial"/>
          <w:i/>
          <w:iCs/>
          <w:sz w:val="22"/>
          <w:szCs w:val="22"/>
        </w:rPr>
        <w:t xml:space="preserve"> </w:t>
      </w:r>
      <w:r w:rsidRPr="00BB6F58">
        <w:rPr>
          <w:rFonts w:ascii="Verdana" w:hAnsi="Verdana" w:cs="Arial"/>
          <w:i/>
          <w:iCs/>
          <w:sz w:val="22"/>
          <w:szCs w:val="22"/>
        </w:rPr>
        <w:t>neta</w:t>
      </w:r>
      <w:r w:rsidR="00232DCA">
        <w:rPr>
          <w:rFonts w:ascii="Verdana" w:hAnsi="Verdana" w:cs="Arial"/>
          <w:i/>
          <w:iCs/>
          <w:sz w:val="22"/>
          <w:szCs w:val="22"/>
        </w:rPr>
        <w:t xml:space="preserve"> </w:t>
      </w:r>
      <w:r w:rsidRPr="00BB6F58">
        <w:rPr>
          <w:rFonts w:ascii="Verdana" w:hAnsi="Verdana" w:cs="Arial"/>
          <w:i/>
          <w:iCs/>
          <w:sz w:val="22"/>
          <w:szCs w:val="22"/>
        </w:rPr>
        <w:t>de los</w:t>
      </w:r>
      <w:r w:rsidR="00232DCA">
        <w:rPr>
          <w:rFonts w:ascii="Verdana" w:hAnsi="Verdana" w:cs="Arial"/>
          <w:i/>
          <w:iCs/>
          <w:sz w:val="22"/>
          <w:szCs w:val="22"/>
        </w:rPr>
        <w:t xml:space="preserve"> </w:t>
      </w:r>
      <w:r w:rsidRPr="00BB6F58">
        <w:rPr>
          <w:rFonts w:ascii="Verdana" w:hAnsi="Verdana" w:cs="Arial"/>
          <w:i/>
          <w:iCs/>
          <w:sz w:val="22"/>
          <w:szCs w:val="22"/>
        </w:rPr>
        <w:t xml:space="preserve">ramos de seguros señalados en el literal (c) del numeral 3 del artículo </w:t>
      </w:r>
      <w:r w:rsidR="009B42FC" w:rsidRPr="000A479D">
        <w:rPr>
          <w:rFonts w:ascii="Verdana" w:hAnsi="Verdana" w:cs="Arial"/>
          <w:i/>
          <w:iCs/>
          <w:sz w:val="22"/>
          <w:szCs w:val="22"/>
          <w:lang w:val="es-ES"/>
        </w:rPr>
        <w:t>1.1.4.1.5 del Decreto 2420 de 2015, adicionado por medio del Decreto 217 de 2026</w:t>
      </w:r>
      <w:r w:rsidRPr="00BB6F58">
        <w:rPr>
          <w:rFonts w:ascii="Verdana" w:hAnsi="Verdana" w:cs="Arial"/>
          <w:i/>
          <w:iCs/>
          <w:sz w:val="22"/>
          <w:szCs w:val="22"/>
        </w:rPr>
        <w:t>,</w:t>
      </w:r>
      <w:r w:rsidR="00DA705E">
        <w:rPr>
          <w:rFonts w:ascii="Verdana" w:hAnsi="Verdana" w:cs="Arial"/>
          <w:i/>
          <w:iCs/>
          <w:sz w:val="22"/>
          <w:szCs w:val="22"/>
        </w:rPr>
        <w:t xml:space="preserve"> </w:t>
      </w:r>
      <w:r w:rsidRPr="00BB6F58">
        <w:rPr>
          <w:rFonts w:ascii="Verdana" w:hAnsi="Verdana" w:cs="Arial"/>
          <w:i/>
          <w:iCs/>
          <w:sz w:val="22"/>
          <w:szCs w:val="22"/>
        </w:rPr>
        <w:t>resulte en</w:t>
      </w:r>
      <w:r w:rsidR="00DA705E">
        <w:rPr>
          <w:rFonts w:ascii="Verdana" w:hAnsi="Verdana" w:cs="Arial"/>
          <w:i/>
          <w:iCs/>
          <w:sz w:val="22"/>
          <w:szCs w:val="22"/>
        </w:rPr>
        <w:t xml:space="preserve"> </w:t>
      </w:r>
      <w:r w:rsidRPr="00BB6F58">
        <w:rPr>
          <w:rFonts w:ascii="Verdana" w:hAnsi="Verdana" w:cs="Arial"/>
          <w:i/>
          <w:iCs/>
          <w:sz w:val="22"/>
          <w:szCs w:val="22"/>
        </w:rPr>
        <w:t>una ganancia</w:t>
      </w:r>
      <w:r w:rsidR="00DA705E">
        <w:rPr>
          <w:rFonts w:ascii="Verdana" w:hAnsi="Verdana" w:cs="Arial"/>
          <w:i/>
          <w:iCs/>
          <w:sz w:val="22"/>
          <w:szCs w:val="22"/>
        </w:rPr>
        <w:t xml:space="preserve"> </w:t>
      </w:r>
      <w:r w:rsidRPr="00BB6F58">
        <w:rPr>
          <w:rFonts w:ascii="Verdana" w:hAnsi="Verdana" w:cs="Arial"/>
          <w:i/>
          <w:iCs/>
          <w:sz w:val="22"/>
          <w:szCs w:val="22"/>
        </w:rPr>
        <w:t>neta</w:t>
      </w:r>
      <w:r w:rsidR="00DA705E">
        <w:rPr>
          <w:rFonts w:ascii="Verdana" w:hAnsi="Verdana" w:cs="Arial"/>
          <w:i/>
          <w:iCs/>
          <w:sz w:val="22"/>
          <w:szCs w:val="22"/>
        </w:rPr>
        <w:t xml:space="preserve"> </w:t>
      </w:r>
      <w:r w:rsidRPr="00BB6F58">
        <w:rPr>
          <w:rFonts w:ascii="Verdana" w:hAnsi="Verdana" w:cs="Arial"/>
          <w:i/>
          <w:iCs/>
          <w:sz w:val="22"/>
          <w:szCs w:val="22"/>
        </w:rPr>
        <w:t>de primera aplicación</w:t>
      </w:r>
      <w:r w:rsidR="00DA705E">
        <w:rPr>
          <w:rFonts w:ascii="Verdana" w:hAnsi="Verdana" w:cs="Arial"/>
          <w:i/>
          <w:iCs/>
          <w:sz w:val="22"/>
          <w:szCs w:val="22"/>
        </w:rPr>
        <w:t xml:space="preserve"> </w:t>
      </w:r>
      <w:r w:rsidRPr="00BB6F58">
        <w:rPr>
          <w:rFonts w:ascii="Verdana" w:hAnsi="Verdana" w:cs="Arial"/>
          <w:i/>
          <w:iCs/>
          <w:sz w:val="22"/>
          <w:szCs w:val="22"/>
        </w:rPr>
        <w:t>por primera vez, como consecuencia</w:t>
      </w:r>
      <w:r w:rsidR="007E5D86">
        <w:rPr>
          <w:rFonts w:ascii="Verdana" w:hAnsi="Verdana" w:cs="Arial"/>
          <w:i/>
          <w:iCs/>
          <w:sz w:val="22"/>
          <w:szCs w:val="22"/>
        </w:rPr>
        <w:t xml:space="preserve"> </w:t>
      </w:r>
      <w:r w:rsidRPr="00BB6F58">
        <w:rPr>
          <w:rFonts w:ascii="Verdana" w:hAnsi="Verdana" w:cs="Arial"/>
          <w:i/>
          <w:iCs/>
          <w:sz w:val="22"/>
          <w:szCs w:val="22"/>
        </w:rPr>
        <w:t>de</w:t>
      </w:r>
      <w:r w:rsidR="00490C60">
        <w:rPr>
          <w:rFonts w:ascii="Verdana" w:hAnsi="Verdana" w:cs="Arial"/>
          <w:i/>
          <w:iCs/>
          <w:sz w:val="22"/>
          <w:szCs w:val="22"/>
        </w:rPr>
        <w:t xml:space="preserve"> </w:t>
      </w:r>
      <w:r w:rsidRPr="00BB6F58">
        <w:rPr>
          <w:rFonts w:ascii="Verdana" w:hAnsi="Verdana" w:cs="Arial"/>
          <w:i/>
          <w:iCs/>
          <w:sz w:val="22"/>
          <w:szCs w:val="22"/>
        </w:rPr>
        <w:t>un aumento o una disminución</w:t>
      </w:r>
      <w:r w:rsidR="007E5D86">
        <w:rPr>
          <w:rFonts w:ascii="Verdana" w:hAnsi="Verdana" w:cs="Arial"/>
          <w:i/>
          <w:iCs/>
          <w:sz w:val="22"/>
          <w:szCs w:val="22"/>
        </w:rPr>
        <w:t xml:space="preserve"> </w:t>
      </w:r>
      <w:r w:rsidRPr="00BB6F58">
        <w:rPr>
          <w:rFonts w:ascii="Verdana" w:hAnsi="Verdana" w:cs="Arial"/>
          <w:i/>
          <w:iCs/>
          <w:sz w:val="22"/>
          <w:szCs w:val="22"/>
        </w:rPr>
        <w:t>de los activos o de los pasivos</w:t>
      </w:r>
      <w:r w:rsidR="007E5D86">
        <w:rPr>
          <w:rFonts w:ascii="Verdana" w:hAnsi="Verdana" w:cs="Arial"/>
          <w:i/>
          <w:iCs/>
          <w:sz w:val="22"/>
          <w:szCs w:val="22"/>
        </w:rPr>
        <w:t xml:space="preserve"> </w:t>
      </w:r>
      <w:r w:rsidRPr="00BB6F58">
        <w:rPr>
          <w:rFonts w:ascii="Verdana" w:hAnsi="Verdana" w:cs="Arial"/>
          <w:i/>
          <w:iCs/>
          <w:sz w:val="22"/>
          <w:szCs w:val="22"/>
        </w:rPr>
        <w:t>por efectos de la aplicación de los nuevos estándares, el valor de esta diferencia sólo</w:t>
      </w:r>
      <w:r w:rsidR="00490C60">
        <w:rPr>
          <w:rFonts w:ascii="Verdana" w:hAnsi="Verdana" w:cs="Arial"/>
          <w:i/>
          <w:iCs/>
          <w:sz w:val="22"/>
          <w:szCs w:val="22"/>
        </w:rPr>
        <w:t xml:space="preserve"> </w:t>
      </w:r>
      <w:r w:rsidRPr="00BB6F58">
        <w:rPr>
          <w:rFonts w:ascii="Verdana" w:hAnsi="Verdana" w:cs="Arial"/>
          <w:i/>
          <w:iCs/>
          <w:sz w:val="22"/>
          <w:szCs w:val="22"/>
        </w:rPr>
        <w:t>se</w:t>
      </w:r>
      <w:r w:rsidR="00490C60">
        <w:rPr>
          <w:rFonts w:ascii="Verdana" w:hAnsi="Verdana" w:cs="Arial"/>
          <w:i/>
          <w:iCs/>
          <w:sz w:val="22"/>
          <w:szCs w:val="22"/>
        </w:rPr>
        <w:t xml:space="preserve"> </w:t>
      </w:r>
      <w:r w:rsidRPr="00BB6F58">
        <w:rPr>
          <w:rFonts w:ascii="Verdana" w:hAnsi="Verdana" w:cs="Arial"/>
          <w:i/>
          <w:iCs/>
          <w:sz w:val="22"/>
          <w:szCs w:val="22"/>
        </w:rPr>
        <w:t>podrá devengar en el estado de resultados</w:t>
      </w:r>
      <w:r w:rsidR="00DA705E">
        <w:rPr>
          <w:rFonts w:ascii="Verdana" w:hAnsi="Verdana" w:cs="Arial"/>
          <w:i/>
          <w:iCs/>
          <w:sz w:val="22"/>
          <w:szCs w:val="22"/>
        </w:rPr>
        <w:t xml:space="preserve"> </w:t>
      </w:r>
      <w:r w:rsidRPr="00BB6F58">
        <w:rPr>
          <w:rFonts w:ascii="Verdana" w:hAnsi="Verdana" w:cs="Arial"/>
          <w:i/>
          <w:iCs/>
          <w:sz w:val="22"/>
          <w:szCs w:val="22"/>
        </w:rPr>
        <w:t>cuando: (a)las</w:t>
      </w:r>
      <w:r w:rsidR="007E5D86">
        <w:rPr>
          <w:rFonts w:ascii="Verdana" w:hAnsi="Verdana" w:cs="Arial"/>
          <w:i/>
          <w:iCs/>
          <w:sz w:val="22"/>
          <w:szCs w:val="22"/>
        </w:rPr>
        <w:t xml:space="preserve"> </w:t>
      </w:r>
      <w:r w:rsidRPr="00BB6F58">
        <w:rPr>
          <w:rFonts w:ascii="Verdana" w:hAnsi="Verdana" w:cs="Arial"/>
          <w:i/>
          <w:iCs/>
          <w:sz w:val="22"/>
          <w:szCs w:val="22"/>
        </w:rPr>
        <w:t>obligaciones derivadas de</w:t>
      </w:r>
      <w:r w:rsidR="00DA705E">
        <w:rPr>
          <w:rFonts w:ascii="Verdana" w:hAnsi="Verdana" w:cs="Arial"/>
          <w:i/>
          <w:iCs/>
          <w:sz w:val="22"/>
          <w:szCs w:val="22"/>
        </w:rPr>
        <w:t xml:space="preserve"> </w:t>
      </w:r>
      <w:r w:rsidRPr="00BB6F58">
        <w:rPr>
          <w:rFonts w:ascii="Verdana" w:hAnsi="Verdana" w:cs="Arial"/>
          <w:i/>
          <w:iCs/>
          <w:sz w:val="22"/>
          <w:szCs w:val="22"/>
        </w:rPr>
        <w:t>los</w:t>
      </w:r>
      <w:r w:rsidR="00DA705E">
        <w:rPr>
          <w:rFonts w:ascii="Verdana" w:hAnsi="Verdana" w:cs="Arial"/>
          <w:i/>
          <w:iCs/>
          <w:sz w:val="22"/>
          <w:szCs w:val="22"/>
        </w:rPr>
        <w:t xml:space="preserve"> </w:t>
      </w:r>
      <w:r w:rsidRPr="00BB6F58">
        <w:rPr>
          <w:rFonts w:ascii="Verdana" w:hAnsi="Verdana" w:cs="Arial"/>
          <w:i/>
          <w:iCs/>
          <w:sz w:val="22"/>
          <w:szCs w:val="22"/>
        </w:rPr>
        <w:t>contratos</w:t>
      </w:r>
      <w:r w:rsidR="00DA705E">
        <w:rPr>
          <w:rFonts w:ascii="Verdana" w:hAnsi="Verdana" w:cs="Arial"/>
          <w:i/>
          <w:iCs/>
          <w:sz w:val="22"/>
          <w:szCs w:val="22"/>
        </w:rPr>
        <w:t xml:space="preserve"> </w:t>
      </w:r>
      <w:r w:rsidRPr="00BB6F58">
        <w:rPr>
          <w:rFonts w:ascii="Verdana" w:hAnsi="Verdana" w:cs="Arial"/>
          <w:i/>
          <w:iCs/>
          <w:sz w:val="22"/>
          <w:szCs w:val="22"/>
        </w:rPr>
        <w:t>de seguro se hayan</w:t>
      </w:r>
      <w:r w:rsidR="007E5D86">
        <w:rPr>
          <w:rFonts w:ascii="Verdana" w:hAnsi="Verdana" w:cs="Arial"/>
          <w:i/>
          <w:iCs/>
          <w:sz w:val="22"/>
          <w:szCs w:val="22"/>
        </w:rPr>
        <w:t xml:space="preserve"> </w:t>
      </w:r>
      <w:r w:rsidRPr="00BB6F58">
        <w:rPr>
          <w:rFonts w:ascii="Verdana" w:hAnsi="Verdana" w:cs="Arial"/>
          <w:i/>
          <w:iCs/>
          <w:sz w:val="22"/>
          <w:szCs w:val="22"/>
        </w:rPr>
        <w:t>extinguido</w:t>
      </w:r>
      <w:r w:rsidR="007E5D86">
        <w:rPr>
          <w:rFonts w:ascii="Verdana" w:hAnsi="Verdana" w:cs="Arial"/>
          <w:i/>
          <w:iCs/>
          <w:sz w:val="22"/>
          <w:szCs w:val="22"/>
        </w:rPr>
        <w:t xml:space="preserve"> </w:t>
      </w:r>
      <w:r w:rsidRPr="00BB6F58">
        <w:rPr>
          <w:rFonts w:ascii="Verdana" w:hAnsi="Verdana" w:cs="Arial"/>
          <w:i/>
          <w:iCs/>
          <w:sz w:val="22"/>
          <w:szCs w:val="22"/>
        </w:rPr>
        <w:t>o</w:t>
      </w:r>
      <w:r w:rsidR="007E5D86">
        <w:rPr>
          <w:rFonts w:ascii="Verdana" w:hAnsi="Verdana" w:cs="Arial"/>
          <w:i/>
          <w:iCs/>
          <w:sz w:val="22"/>
          <w:szCs w:val="22"/>
        </w:rPr>
        <w:t xml:space="preserve"> </w:t>
      </w:r>
      <w:r w:rsidRPr="00BB6F58">
        <w:rPr>
          <w:rFonts w:ascii="Verdana" w:hAnsi="Verdana" w:cs="Arial"/>
          <w:i/>
          <w:iCs/>
          <w:sz w:val="22"/>
          <w:szCs w:val="22"/>
        </w:rPr>
        <w:t>(b)</w:t>
      </w:r>
      <w:r w:rsidR="007E5D86">
        <w:rPr>
          <w:rFonts w:ascii="Verdana" w:hAnsi="Verdana" w:cs="Arial"/>
          <w:i/>
          <w:iCs/>
          <w:sz w:val="22"/>
          <w:szCs w:val="22"/>
        </w:rPr>
        <w:t xml:space="preserve"> </w:t>
      </w:r>
      <w:r w:rsidRPr="00BB6F58">
        <w:rPr>
          <w:rFonts w:ascii="Verdana" w:hAnsi="Verdana" w:cs="Arial"/>
          <w:i/>
          <w:iCs/>
          <w:sz w:val="22"/>
          <w:szCs w:val="22"/>
        </w:rPr>
        <w:t>la entidad</w:t>
      </w:r>
      <w:r w:rsidR="00DA705E">
        <w:rPr>
          <w:rFonts w:ascii="Verdana" w:hAnsi="Verdana" w:cs="Arial"/>
          <w:i/>
          <w:iCs/>
          <w:sz w:val="22"/>
          <w:szCs w:val="22"/>
        </w:rPr>
        <w:t xml:space="preserve"> </w:t>
      </w:r>
      <w:r w:rsidRPr="00BB6F58">
        <w:rPr>
          <w:rFonts w:ascii="Verdana" w:hAnsi="Verdana" w:cs="Arial"/>
          <w:i/>
          <w:iCs/>
          <w:sz w:val="22"/>
          <w:szCs w:val="22"/>
        </w:rPr>
        <w:t>acredite</w:t>
      </w:r>
      <w:r w:rsidR="00DA705E">
        <w:rPr>
          <w:rFonts w:ascii="Verdana" w:hAnsi="Verdana" w:cs="Arial"/>
          <w:i/>
          <w:iCs/>
          <w:sz w:val="22"/>
          <w:szCs w:val="22"/>
        </w:rPr>
        <w:t xml:space="preserve"> </w:t>
      </w:r>
      <w:r w:rsidRPr="00BB6F58">
        <w:rPr>
          <w:rFonts w:ascii="Verdana" w:hAnsi="Verdana" w:cs="Arial"/>
          <w:i/>
          <w:iCs/>
          <w:sz w:val="22"/>
          <w:szCs w:val="22"/>
        </w:rPr>
        <w:t>ante la SFC</w:t>
      </w:r>
      <w:r w:rsidR="00DA705E">
        <w:rPr>
          <w:rFonts w:ascii="Verdana" w:hAnsi="Verdana" w:cs="Arial"/>
          <w:i/>
          <w:iCs/>
          <w:sz w:val="22"/>
          <w:szCs w:val="22"/>
        </w:rPr>
        <w:t xml:space="preserve"> </w:t>
      </w:r>
      <w:r w:rsidRPr="00BB6F58">
        <w:rPr>
          <w:rFonts w:ascii="Verdana" w:hAnsi="Verdana" w:cs="Arial"/>
          <w:i/>
          <w:iCs/>
          <w:sz w:val="22"/>
          <w:szCs w:val="22"/>
        </w:rPr>
        <w:t>el cumplimiento de los siguientes requisitos:</w:t>
      </w:r>
    </w:p>
    <w:p w14:paraId="461C9B30" w14:textId="21C1D711" w:rsidR="00BB6F58" w:rsidRPr="00BB6F58" w:rsidRDefault="00BB6F58" w:rsidP="00FA1B17">
      <w:pPr>
        <w:widowControl w:val="0"/>
        <w:autoSpaceDE w:val="0"/>
        <w:autoSpaceDN w:val="0"/>
        <w:adjustRightInd w:val="0"/>
        <w:spacing w:line="276" w:lineRule="auto"/>
        <w:ind w:left="1068"/>
        <w:jc w:val="both"/>
        <w:rPr>
          <w:rFonts w:ascii="Verdana" w:hAnsi="Verdana" w:cs="Arial"/>
          <w:i/>
          <w:iCs/>
          <w:sz w:val="22"/>
          <w:szCs w:val="22"/>
        </w:rPr>
      </w:pPr>
    </w:p>
    <w:p w14:paraId="527A66CA" w14:textId="607607C4" w:rsidR="00BB6F58" w:rsidRPr="00BB6F58" w:rsidRDefault="00BB6F58" w:rsidP="00FA1B17">
      <w:pPr>
        <w:widowControl w:val="0"/>
        <w:autoSpaceDE w:val="0"/>
        <w:autoSpaceDN w:val="0"/>
        <w:adjustRightInd w:val="0"/>
        <w:spacing w:line="276" w:lineRule="auto"/>
        <w:ind w:left="1776"/>
        <w:jc w:val="both"/>
        <w:rPr>
          <w:rFonts w:ascii="Verdana" w:hAnsi="Verdana" w:cs="Arial"/>
          <w:i/>
          <w:iCs/>
          <w:sz w:val="22"/>
          <w:szCs w:val="22"/>
        </w:rPr>
      </w:pPr>
      <w:r w:rsidRPr="00BB6F58">
        <w:rPr>
          <w:rFonts w:ascii="Verdana" w:hAnsi="Verdana" w:cs="Arial"/>
          <w:i/>
          <w:iCs/>
          <w:sz w:val="22"/>
          <w:szCs w:val="22"/>
        </w:rPr>
        <w:t>(b.i.)</w:t>
      </w:r>
      <w:r w:rsidR="00F626D2">
        <w:rPr>
          <w:rFonts w:ascii="Verdana" w:hAnsi="Verdana" w:cs="Arial"/>
          <w:i/>
          <w:iCs/>
          <w:sz w:val="22"/>
          <w:szCs w:val="22"/>
        </w:rPr>
        <w:t xml:space="preserve"> </w:t>
      </w:r>
      <w:r w:rsidRPr="00BB6F58">
        <w:rPr>
          <w:rFonts w:ascii="Verdana" w:hAnsi="Verdana" w:cs="Arial"/>
          <w:i/>
          <w:iCs/>
          <w:sz w:val="22"/>
          <w:szCs w:val="22"/>
        </w:rPr>
        <w:t>la entidad puede acreditar que</w:t>
      </w:r>
      <w:r w:rsidR="00F626D2">
        <w:rPr>
          <w:rFonts w:ascii="Verdana" w:hAnsi="Verdana" w:cs="Arial"/>
          <w:i/>
          <w:iCs/>
          <w:sz w:val="22"/>
          <w:szCs w:val="22"/>
        </w:rPr>
        <w:t xml:space="preserve"> </w:t>
      </w:r>
      <w:r w:rsidRPr="00BB6F58">
        <w:rPr>
          <w:rFonts w:ascii="Verdana" w:hAnsi="Verdana" w:cs="Arial"/>
          <w:i/>
          <w:iCs/>
          <w:sz w:val="22"/>
          <w:szCs w:val="22"/>
        </w:rPr>
        <w:t>el valor del pasivo</w:t>
      </w:r>
      <w:r w:rsidR="00F626D2">
        <w:rPr>
          <w:rFonts w:ascii="Verdana" w:hAnsi="Verdana" w:cs="Arial"/>
          <w:i/>
          <w:iCs/>
          <w:sz w:val="22"/>
          <w:szCs w:val="22"/>
        </w:rPr>
        <w:t xml:space="preserve"> </w:t>
      </w:r>
      <w:r w:rsidRPr="00BB6F58">
        <w:rPr>
          <w:rFonts w:ascii="Verdana" w:hAnsi="Verdana" w:cs="Arial"/>
          <w:i/>
          <w:iCs/>
          <w:sz w:val="22"/>
          <w:szCs w:val="22"/>
        </w:rPr>
        <w:t>no registrará un aumento que pueda resultar en la</w:t>
      </w:r>
      <w:r w:rsidR="00F626D2">
        <w:rPr>
          <w:rFonts w:ascii="Verdana" w:hAnsi="Verdana" w:cs="Arial"/>
          <w:i/>
          <w:iCs/>
          <w:sz w:val="22"/>
          <w:szCs w:val="22"/>
        </w:rPr>
        <w:t xml:space="preserve"> </w:t>
      </w:r>
      <w:r w:rsidRPr="00BB6F58">
        <w:rPr>
          <w:rFonts w:ascii="Verdana" w:hAnsi="Verdana" w:cs="Arial"/>
          <w:i/>
          <w:iCs/>
          <w:sz w:val="22"/>
          <w:szCs w:val="22"/>
        </w:rPr>
        <w:t>disminución o</w:t>
      </w:r>
      <w:r w:rsidR="00F626D2">
        <w:rPr>
          <w:rFonts w:ascii="Verdana" w:hAnsi="Verdana" w:cs="Arial"/>
          <w:i/>
          <w:iCs/>
          <w:sz w:val="22"/>
          <w:szCs w:val="22"/>
        </w:rPr>
        <w:t xml:space="preserve"> </w:t>
      </w:r>
      <w:r w:rsidRPr="00BB6F58">
        <w:rPr>
          <w:rFonts w:ascii="Verdana" w:hAnsi="Verdana" w:cs="Arial"/>
          <w:i/>
          <w:iCs/>
          <w:sz w:val="22"/>
          <w:szCs w:val="22"/>
        </w:rPr>
        <w:lastRenderedPageBreak/>
        <w:t>pérdida de la</w:t>
      </w:r>
      <w:r w:rsidR="00F626D2">
        <w:rPr>
          <w:rFonts w:ascii="Verdana" w:hAnsi="Verdana" w:cs="Arial"/>
          <w:i/>
          <w:iCs/>
          <w:sz w:val="22"/>
          <w:szCs w:val="22"/>
        </w:rPr>
        <w:t xml:space="preserve"> </w:t>
      </w:r>
      <w:r w:rsidRPr="00BB6F58">
        <w:rPr>
          <w:rFonts w:ascii="Verdana" w:hAnsi="Verdana" w:cs="Arial"/>
          <w:i/>
          <w:iCs/>
          <w:sz w:val="22"/>
          <w:szCs w:val="22"/>
        </w:rPr>
        <w:t>ganancia no realizada,</w:t>
      </w:r>
      <w:r w:rsidR="00F626D2">
        <w:rPr>
          <w:rFonts w:ascii="Verdana" w:hAnsi="Verdana" w:cs="Arial"/>
          <w:i/>
          <w:iCs/>
          <w:sz w:val="22"/>
          <w:szCs w:val="22"/>
        </w:rPr>
        <w:t xml:space="preserve"> </w:t>
      </w:r>
      <w:r w:rsidRPr="00BB6F58">
        <w:rPr>
          <w:rFonts w:ascii="Verdana" w:hAnsi="Verdana" w:cs="Arial"/>
          <w:i/>
          <w:iCs/>
          <w:sz w:val="22"/>
          <w:szCs w:val="22"/>
        </w:rPr>
        <w:t>cumpliendo con los requisitos de</w:t>
      </w:r>
      <w:r w:rsidR="00F626D2">
        <w:rPr>
          <w:rFonts w:ascii="Verdana" w:hAnsi="Verdana" w:cs="Arial"/>
          <w:i/>
          <w:iCs/>
          <w:sz w:val="22"/>
          <w:szCs w:val="22"/>
        </w:rPr>
        <w:t xml:space="preserve"> </w:t>
      </w:r>
      <w:r w:rsidRPr="00BB6F58">
        <w:rPr>
          <w:rFonts w:ascii="Verdana" w:hAnsi="Verdana" w:cs="Arial"/>
          <w:i/>
          <w:iCs/>
          <w:sz w:val="22"/>
          <w:szCs w:val="22"/>
        </w:rPr>
        <w:t>la mejor estimación de los</w:t>
      </w:r>
      <w:r w:rsidR="00EE0EAB">
        <w:rPr>
          <w:rFonts w:ascii="Verdana" w:hAnsi="Verdana" w:cs="Arial"/>
          <w:i/>
          <w:iCs/>
          <w:sz w:val="22"/>
          <w:szCs w:val="22"/>
        </w:rPr>
        <w:t xml:space="preserve"> </w:t>
      </w:r>
      <w:r w:rsidRPr="00BB6F58">
        <w:rPr>
          <w:rFonts w:ascii="Verdana" w:hAnsi="Verdana" w:cs="Arial"/>
          <w:i/>
          <w:iCs/>
          <w:sz w:val="22"/>
          <w:szCs w:val="22"/>
        </w:rPr>
        <w:t>activos por contratos de reaseguro mantenidos</w:t>
      </w:r>
      <w:r w:rsidR="00EE0EAB">
        <w:rPr>
          <w:rFonts w:ascii="Verdana" w:hAnsi="Verdana" w:cs="Arial"/>
          <w:i/>
          <w:iCs/>
          <w:sz w:val="22"/>
          <w:szCs w:val="22"/>
        </w:rPr>
        <w:t xml:space="preserve"> </w:t>
      </w:r>
      <w:r w:rsidRPr="00BB6F58">
        <w:rPr>
          <w:rFonts w:ascii="Verdana" w:hAnsi="Verdana" w:cs="Arial"/>
          <w:i/>
          <w:iCs/>
          <w:sz w:val="22"/>
          <w:szCs w:val="22"/>
        </w:rPr>
        <w:t xml:space="preserve">y de los pasivos de contratos de seguros vigentes al </w:t>
      </w:r>
      <w:r w:rsidRPr="00EE0EAB">
        <w:rPr>
          <w:rFonts w:ascii="Verdana" w:hAnsi="Verdana" w:cs="Arial"/>
          <w:i/>
          <w:iCs/>
          <w:sz w:val="22"/>
          <w:szCs w:val="22"/>
        </w:rPr>
        <w:t>1 de enero</w:t>
      </w:r>
      <w:r w:rsidR="00F25473">
        <w:rPr>
          <w:rFonts w:ascii="Verdana" w:hAnsi="Verdana" w:cs="Arial"/>
          <w:i/>
          <w:iCs/>
          <w:sz w:val="22"/>
          <w:szCs w:val="22"/>
        </w:rPr>
        <w:t xml:space="preserve"> </w:t>
      </w:r>
      <w:r w:rsidRPr="00EE0EAB">
        <w:rPr>
          <w:rFonts w:ascii="Verdana" w:hAnsi="Verdana" w:cs="Arial"/>
          <w:i/>
          <w:iCs/>
          <w:sz w:val="22"/>
          <w:szCs w:val="22"/>
        </w:rPr>
        <w:t>del 202</w:t>
      </w:r>
      <w:r w:rsidR="00A561AE" w:rsidRPr="00E303D4">
        <w:rPr>
          <w:rFonts w:ascii="Verdana" w:hAnsi="Verdana" w:cs="Arial"/>
          <w:i/>
          <w:iCs/>
          <w:sz w:val="22"/>
          <w:szCs w:val="22"/>
        </w:rPr>
        <w:t>8</w:t>
      </w:r>
      <w:r w:rsidRPr="00BB6F58">
        <w:rPr>
          <w:rFonts w:ascii="Verdana" w:hAnsi="Verdana" w:cs="Arial"/>
          <w:i/>
          <w:iCs/>
          <w:sz w:val="22"/>
          <w:szCs w:val="22"/>
        </w:rPr>
        <w:t xml:space="preserve"> y con obligaciones pendientes de contratos de seguro expedidos con anterioridad a esa fecha.</w:t>
      </w:r>
      <w:r w:rsidR="00F25473">
        <w:rPr>
          <w:rFonts w:ascii="Verdana" w:hAnsi="Verdana" w:cs="Arial"/>
          <w:i/>
          <w:iCs/>
          <w:sz w:val="22"/>
          <w:szCs w:val="22"/>
        </w:rPr>
        <w:t xml:space="preserve"> </w:t>
      </w:r>
      <w:r w:rsidRPr="00BB6F58">
        <w:rPr>
          <w:rFonts w:ascii="Verdana" w:hAnsi="Verdana" w:cs="Arial"/>
          <w:i/>
          <w:iCs/>
          <w:sz w:val="22"/>
          <w:szCs w:val="22"/>
        </w:rPr>
        <w:t>Esta estimación debe efectuarse</w:t>
      </w:r>
      <w:r w:rsidR="00F25473">
        <w:rPr>
          <w:rFonts w:ascii="Verdana" w:hAnsi="Verdana" w:cs="Arial"/>
          <w:i/>
          <w:iCs/>
          <w:sz w:val="22"/>
          <w:szCs w:val="22"/>
        </w:rPr>
        <w:t xml:space="preserve"> </w:t>
      </w:r>
      <w:r w:rsidRPr="00BB6F58">
        <w:rPr>
          <w:rFonts w:ascii="Verdana" w:hAnsi="Verdana" w:cs="Arial"/>
          <w:i/>
          <w:iCs/>
          <w:sz w:val="22"/>
          <w:szCs w:val="22"/>
        </w:rPr>
        <w:t>para</w:t>
      </w:r>
      <w:r w:rsidR="00F25473">
        <w:rPr>
          <w:rFonts w:ascii="Verdana" w:hAnsi="Verdana" w:cs="Arial"/>
          <w:i/>
          <w:iCs/>
          <w:sz w:val="22"/>
          <w:szCs w:val="22"/>
        </w:rPr>
        <w:t xml:space="preserve"> </w:t>
      </w:r>
      <w:r w:rsidRPr="00BB6F58">
        <w:rPr>
          <w:rFonts w:ascii="Verdana" w:hAnsi="Verdana" w:cs="Arial"/>
          <w:i/>
          <w:iCs/>
          <w:sz w:val="22"/>
          <w:szCs w:val="22"/>
        </w:rPr>
        <w:t>la vigencia</w:t>
      </w:r>
      <w:r w:rsidR="00F25473">
        <w:rPr>
          <w:rFonts w:ascii="Verdana" w:hAnsi="Verdana" w:cs="Arial"/>
          <w:i/>
          <w:iCs/>
          <w:sz w:val="22"/>
          <w:szCs w:val="22"/>
        </w:rPr>
        <w:t xml:space="preserve"> </w:t>
      </w:r>
      <w:r w:rsidRPr="00BB6F58">
        <w:rPr>
          <w:rFonts w:ascii="Verdana" w:hAnsi="Verdana" w:cs="Arial"/>
          <w:i/>
          <w:iCs/>
          <w:sz w:val="22"/>
          <w:szCs w:val="22"/>
        </w:rPr>
        <w:t>de los contratos de seguro</w:t>
      </w:r>
      <w:r w:rsidR="00F25473">
        <w:rPr>
          <w:rFonts w:ascii="Verdana" w:hAnsi="Verdana" w:cs="Arial"/>
          <w:i/>
          <w:iCs/>
          <w:sz w:val="22"/>
          <w:szCs w:val="22"/>
        </w:rPr>
        <w:t xml:space="preserve"> </w:t>
      </w:r>
      <w:r w:rsidRPr="00BB6F58">
        <w:rPr>
          <w:rFonts w:ascii="Verdana" w:hAnsi="Verdana" w:cs="Arial"/>
          <w:i/>
          <w:iCs/>
          <w:sz w:val="22"/>
          <w:szCs w:val="22"/>
        </w:rPr>
        <w:t>en</w:t>
      </w:r>
      <w:r w:rsidR="00F25473">
        <w:rPr>
          <w:rFonts w:ascii="Verdana" w:hAnsi="Verdana" w:cs="Arial"/>
          <w:i/>
          <w:iCs/>
          <w:sz w:val="22"/>
          <w:szCs w:val="22"/>
        </w:rPr>
        <w:t xml:space="preserve"> </w:t>
      </w:r>
      <w:r w:rsidRPr="00BB6F58">
        <w:rPr>
          <w:rFonts w:ascii="Verdana" w:hAnsi="Verdana" w:cs="Arial"/>
          <w:i/>
          <w:iCs/>
          <w:sz w:val="22"/>
          <w:szCs w:val="22"/>
        </w:rPr>
        <w:t>los</w:t>
      </w:r>
      <w:r w:rsidR="00F25473">
        <w:rPr>
          <w:rFonts w:ascii="Verdana" w:hAnsi="Verdana" w:cs="Arial"/>
          <w:i/>
          <w:iCs/>
          <w:sz w:val="22"/>
          <w:szCs w:val="22"/>
        </w:rPr>
        <w:t xml:space="preserve"> </w:t>
      </w:r>
      <w:r w:rsidRPr="00BB6F58">
        <w:rPr>
          <w:rFonts w:ascii="Verdana" w:hAnsi="Verdana" w:cs="Arial"/>
          <w:i/>
          <w:iCs/>
          <w:sz w:val="22"/>
          <w:szCs w:val="22"/>
        </w:rPr>
        <w:t xml:space="preserve">ramos señalados en el literal (c) del numeral 3 del artículo </w:t>
      </w:r>
      <w:r w:rsidR="00A561AE" w:rsidRPr="000A479D">
        <w:rPr>
          <w:rFonts w:ascii="Verdana" w:hAnsi="Verdana" w:cs="Arial"/>
          <w:i/>
          <w:iCs/>
          <w:sz w:val="22"/>
          <w:szCs w:val="22"/>
          <w:lang w:val="es-ES"/>
        </w:rPr>
        <w:t>1.1.4.1.5 del Decreto 2420 de 2015, adicionado por medio del Decreto 217 de 2026</w:t>
      </w:r>
      <w:r w:rsidR="00F02F30">
        <w:rPr>
          <w:rFonts w:ascii="Verdana" w:hAnsi="Verdana" w:cs="Arial"/>
          <w:i/>
          <w:iCs/>
          <w:sz w:val="22"/>
          <w:szCs w:val="22"/>
        </w:rPr>
        <w:t xml:space="preserve"> </w:t>
      </w:r>
      <w:r w:rsidRPr="00BB6F58">
        <w:rPr>
          <w:rFonts w:ascii="Verdana" w:hAnsi="Verdana" w:cs="Arial"/>
          <w:i/>
          <w:iCs/>
          <w:sz w:val="22"/>
          <w:szCs w:val="22"/>
        </w:rPr>
        <w:t>o,</w:t>
      </w:r>
      <w:r w:rsidR="00F02F30">
        <w:rPr>
          <w:rFonts w:ascii="Verdana" w:hAnsi="Verdana" w:cs="Arial"/>
          <w:i/>
          <w:iCs/>
          <w:sz w:val="22"/>
          <w:szCs w:val="22"/>
        </w:rPr>
        <w:t xml:space="preserve"> </w:t>
      </w:r>
      <w:r w:rsidRPr="00BB6F58">
        <w:rPr>
          <w:rFonts w:ascii="Verdana" w:hAnsi="Verdana" w:cs="Arial"/>
          <w:i/>
          <w:iCs/>
          <w:sz w:val="22"/>
          <w:szCs w:val="22"/>
        </w:rPr>
        <w:t>como mínimo,</w:t>
      </w:r>
      <w:r w:rsidR="00F02F30">
        <w:rPr>
          <w:rFonts w:ascii="Verdana" w:hAnsi="Verdana" w:cs="Arial"/>
          <w:i/>
          <w:iCs/>
          <w:sz w:val="22"/>
          <w:szCs w:val="22"/>
        </w:rPr>
        <w:t xml:space="preserve"> </w:t>
      </w:r>
      <w:r w:rsidRPr="00BB6F58">
        <w:rPr>
          <w:rFonts w:ascii="Verdana" w:hAnsi="Verdana" w:cs="Arial"/>
          <w:i/>
          <w:iCs/>
          <w:sz w:val="22"/>
          <w:szCs w:val="22"/>
        </w:rPr>
        <w:t>por</w:t>
      </w:r>
      <w:r w:rsidR="00F02F30">
        <w:rPr>
          <w:rFonts w:ascii="Verdana" w:hAnsi="Verdana" w:cs="Arial"/>
          <w:i/>
          <w:iCs/>
          <w:sz w:val="22"/>
          <w:szCs w:val="22"/>
        </w:rPr>
        <w:t xml:space="preserve"> </w:t>
      </w:r>
      <w:r w:rsidRPr="00BB6F58">
        <w:rPr>
          <w:rFonts w:ascii="Verdana" w:hAnsi="Verdana" w:cs="Arial"/>
          <w:i/>
          <w:iCs/>
          <w:sz w:val="22"/>
          <w:szCs w:val="22"/>
        </w:rPr>
        <w:t>los 3 años siguientes</w:t>
      </w:r>
      <w:r w:rsidR="00F02F30">
        <w:rPr>
          <w:rFonts w:ascii="Verdana" w:hAnsi="Verdana" w:cs="Arial"/>
          <w:i/>
          <w:iCs/>
          <w:sz w:val="22"/>
          <w:szCs w:val="22"/>
        </w:rPr>
        <w:t xml:space="preserve"> </w:t>
      </w:r>
      <w:r w:rsidRPr="00BB6F58">
        <w:rPr>
          <w:rFonts w:ascii="Verdana" w:hAnsi="Verdana" w:cs="Arial"/>
          <w:i/>
          <w:iCs/>
          <w:sz w:val="22"/>
          <w:szCs w:val="22"/>
        </w:rPr>
        <w:t>a la fecha de aplicación por primera vez, cuando se trate de contratos de seguro</w:t>
      </w:r>
      <w:r w:rsidR="00F02F30">
        <w:rPr>
          <w:rFonts w:ascii="Verdana" w:hAnsi="Verdana" w:cs="Arial"/>
          <w:i/>
          <w:iCs/>
          <w:sz w:val="22"/>
          <w:szCs w:val="22"/>
        </w:rPr>
        <w:t xml:space="preserve"> </w:t>
      </w:r>
      <w:r w:rsidRPr="00BB6F58">
        <w:rPr>
          <w:rFonts w:ascii="Verdana" w:hAnsi="Verdana" w:cs="Arial"/>
          <w:i/>
          <w:iCs/>
          <w:sz w:val="22"/>
          <w:szCs w:val="22"/>
        </w:rPr>
        <w:t xml:space="preserve">diferentes a los señalados en literal (c) del numeral 3 del artículo </w:t>
      </w:r>
      <w:r w:rsidR="00A561AE" w:rsidRPr="000A479D">
        <w:rPr>
          <w:rFonts w:ascii="Verdana" w:hAnsi="Verdana" w:cs="Arial"/>
          <w:i/>
          <w:iCs/>
          <w:sz w:val="22"/>
          <w:szCs w:val="22"/>
          <w:lang w:val="es-ES"/>
        </w:rPr>
        <w:t>1.1.4.1.5 del Decreto 2420 de 2015, adicionado por medio del Decreto 217 de 2026</w:t>
      </w:r>
      <w:r w:rsidRPr="00BB6F58">
        <w:rPr>
          <w:rFonts w:ascii="Verdana" w:hAnsi="Verdana" w:cs="Arial"/>
          <w:i/>
          <w:iCs/>
          <w:sz w:val="22"/>
          <w:szCs w:val="22"/>
        </w:rPr>
        <w:t>.</w:t>
      </w:r>
    </w:p>
    <w:p w14:paraId="3CC631DE" w14:textId="3CE02B5B" w:rsidR="00BB6F58" w:rsidRPr="00BB6F58" w:rsidRDefault="00BB6F58" w:rsidP="00FA1B17">
      <w:pPr>
        <w:widowControl w:val="0"/>
        <w:autoSpaceDE w:val="0"/>
        <w:autoSpaceDN w:val="0"/>
        <w:adjustRightInd w:val="0"/>
        <w:spacing w:line="276" w:lineRule="auto"/>
        <w:ind w:left="1776"/>
        <w:jc w:val="both"/>
        <w:rPr>
          <w:rFonts w:ascii="Verdana" w:hAnsi="Verdana" w:cs="Arial"/>
          <w:i/>
          <w:iCs/>
          <w:sz w:val="22"/>
          <w:szCs w:val="22"/>
        </w:rPr>
      </w:pPr>
    </w:p>
    <w:p w14:paraId="1A73ED5D" w14:textId="7778E54A" w:rsidR="00BB6F58" w:rsidRPr="00BB6F58" w:rsidRDefault="00BB6F58" w:rsidP="00FA1B17">
      <w:pPr>
        <w:widowControl w:val="0"/>
        <w:autoSpaceDE w:val="0"/>
        <w:autoSpaceDN w:val="0"/>
        <w:adjustRightInd w:val="0"/>
        <w:spacing w:line="276" w:lineRule="auto"/>
        <w:ind w:left="1776"/>
        <w:jc w:val="both"/>
        <w:rPr>
          <w:rFonts w:ascii="Verdana" w:hAnsi="Verdana" w:cs="Arial"/>
          <w:i/>
          <w:iCs/>
          <w:sz w:val="22"/>
          <w:szCs w:val="22"/>
        </w:rPr>
      </w:pPr>
      <w:r w:rsidRPr="00BB6F58">
        <w:rPr>
          <w:rFonts w:ascii="Verdana" w:hAnsi="Verdana" w:cs="Arial"/>
          <w:i/>
          <w:iCs/>
          <w:sz w:val="22"/>
          <w:szCs w:val="22"/>
        </w:rPr>
        <w:t>(b.ii.)</w:t>
      </w:r>
      <w:r w:rsidR="00F02F30">
        <w:rPr>
          <w:rFonts w:ascii="Verdana" w:hAnsi="Verdana" w:cs="Arial"/>
          <w:i/>
          <w:iCs/>
          <w:sz w:val="22"/>
          <w:szCs w:val="22"/>
        </w:rPr>
        <w:t xml:space="preserve"> </w:t>
      </w:r>
      <w:r w:rsidRPr="00BB6F58">
        <w:rPr>
          <w:rFonts w:ascii="Verdana" w:hAnsi="Verdana" w:cs="Arial"/>
          <w:i/>
          <w:iCs/>
          <w:sz w:val="22"/>
          <w:szCs w:val="22"/>
        </w:rPr>
        <w:t>se</w:t>
      </w:r>
      <w:r w:rsidR="00F02F30">
        <w:rPr>
          <w:rFonts w:ascii="Verdana" w:hAnsi="Verdana" w:cs="Arial"/>
          <w:i/>
          <w:iCs/>
          <w:sz w:val="22"/>
          <w:szCs w:val="22"/>
        </w:rPr>
        <w:t xml:space="preserve"> </w:t>
      </w:r>
      <w:r w:rsidRPr="00BB6F58">
        <w:rPr>
          <w:rFonts w:ascii="Verdana" w:hAnsi="Verdana" w:cs="Arial"/>
          <w:i/>
          <w:iCs/>
          <w:sz w:val="22"/>
          <w:szCs w:val="22"/>
        </w:rPr>
        <w:t>cuenta con aprobación de la junta directiva.</w:t>
      </w:r>
    </w:p>
    <w:p w14:paraId="6C65C8D9" w14:textId="5E3C4251" w:rsidR="00BB6F58" w:rsidRPr="00BB6F58" w:rsidRDefault="00BB6F58" w:rsidP="00FA1B17">
      <w:pPr>
        <w:widowControl w:val="0"/>
        <w:autoSpaceDE w:val="0"/>
        <w:autoSpaceDN w:val="0"/>
        <w:adjustRightInd w:val="0"/>
        <w:spacing w:line="276" w:lineRule="auto"/>
        <w:ind w:left="1776"/>
        <w:jc w:val="both"/>
        <w:rPr>
          <w:rFonts w:ascii="Verdana" w:hAnsi="Verdana" w:cs="Arial"/>
          <w:i/>
          <w:iCs/>
          <w:sz w:val="22"/>
          <w:szCs w:val="22"/>
        </w:rPr>
      </w:pPr>
    </w:p>
    <w:p w14:paraId="17D7124A" w14:textId="2239F52C" w:rsidR="00BB6F58" w:rsidRPr="00BB6F58" w:rsidRDefault="00BB6F58" w:rsidP="00FA1B17">
      <w:pPr>
        <w:widowControl w:val="0"/>
        <w:autoSpaceDE w:val="0"/>
        <w:autoSpaceDN w:val="0"/>
        <w:adjustRightInd w:val="0"/>
        <w:spacing w:line="276" w:lineRule="auto"/>
        <w:ind w:left="1776"/>
        <w:jc w:val="both"/>
        <w:rPr>
          <w:rFonts w:ascii="Verdana" w:hAnsi="Verdana" w:cs="Arial"/>
          <w:i/>
          <w:iCs/>
          <w:sz w:val="22"/>
          <w:szCs w:val="22"/>
        </w:rPr>
      </w:pPr>
      <w:r w:rsidRPr="00BB6F58">
        <w:rPr>
          <w:rFonts w:ascii="Verdana" w:hAnsi="Verdana" w:cs="Arial"/>
          <w:i/>
          <w:iCs/>
          <w:sz w:val="22"/>
          <w:szCs w:val="22"/>
        </w:rPr>
        <w:t>(b.iii.)</w:t>
      </w:r>
      <w:r w:rsidR="00F02F30">
        <w:rPr>
          <w:rFonts w:ascii="Verdana" w:hAnsi="Verdana" w:cs="Arial"/>
          <w:i/>
          <w:iCs/>
          <w:sz w:val="22"/>
          <w:szCs w:val="22"/>
        </w:rPr>
        <w:t xml:space="preserve"> </w:t>
      </w:r>
      <w:r w:rsidRPr="00BB6F58">
        <w:rPr>
          <w:rFonts w:ascii="Verdana" w:hAnsi="Verdana" w:cs="Arial"/>
          <w:i/>
          <w:iCs/>
          <w:sz w:val="22"/>
          <w:szCs w:val="22"/>
        </w:rPr>
        <w:t>se informe a la</w:t>
      </w:r>
      <w:r w:rsidR="00F02F30">
        <w:rPr>
          <w:rFonts w:ascii="Verdana" w:hAnsi="Verdana" w:cs="Arial"/>
          <w:i/>
          <w:iCs/>
          <w:sz w:val="22"/>
          <w:szCs w:val="22"/>
        </w:rPr>
        <w:t xml:space="preserve"> </w:t>
      </w:r>
      <w:r w:rsidRPr="00BB6F58">
        <w:rPr>
          <w:rFonts w:ascii="Verdana" w:hAnsi="Verdana" w:cs="Arial"/>
          <w:i/>
          <w:iCs/>
          <w:sz w:val="22"/>
          <w:szCs w:val="22"/>
        </w:rPr>
        <w:t>asamblea</w:t>
      </w:r>
      <w:r w:rsidR="00F02F30">
        <w:rPr>
          <w:rFonts w:ascii="Verdana" w:hAnsi="Verdana" w:cs="Arial"/>
          <w:i/>
          <w:iCs/>
          <w:sz w:val="22"/>
          <w:szCs w:val="22"/>
        </w:rPr>
        <w:t xml:space="preserve"> </w:t>
      </w:r>
      <w:r w:rsidRPr="00BB6F58">
        <w:rPr>
          <w:rFonts w:ascii="Verdana" w:hAnsi="Verdana" w:cs="Arial"/>
          <w:i/>
          <w:iCs/>
          <w:sz w:val="22"/>
          <w:szCs w:val="22"/>
        </w:rPr>
        <w:t>general</w:t>
      </w:r>
      <w:r w:rsidR="00F02F30">
        <w:rPr>
          <w:rFonts w:ascii="Verdana" w:hAnsi="Verdana" w:cs="Arial"/>
          <w:i/>
          <w:iCs/>
          <w:sz w:val="22"/>
          <w:szCs w:val="22"/>
        </w:rPr>
        <w:t xml:space="preserve"> </w:t>
      </w:r>
      <w:r w:rsidRPr="00BB6F58">
        <w:rPr>
          <w:rFonts w:ascii="Verdana" w:hAnsi="Verdana" w:cs="Arial"/>
          <w:i/>
          <w:iCs/>
          <w:sz w:val="22"/>
          <w:szCs w:val="22"/>
        </w:rPr>
        <w:t>de forma clara sobre el valor de la ganancia</w:t>
      </w:r>
      <w:r w:rsidR="001777BE">
        <w:rPr>
          <w:rFonts w:ascii="Verdana" w:hAnsi="Verdana" w:cs="Arial"/>
          <w:i/>
          <w:iCs/>
          <w:sz w:val="22"/>
          <w:szCs w:val="22"/>
        </w:rPr>
        <w:t xml:space="preserve"> </w:t>
      </w:r>
      <w:r w:rsidRPr="00BB6F58">
        <w:rPr>
          <w:rFonts w:ascii="Verdana" w:hAnsi="Verdana" w:cs="Arial"/>
          <w:i/>
          <w:iCs/>
          <w:sz w:val="22"/>
          <w:szCs w:val="22"/>
        </w:rPr>
        <w:t>neta</w:t>
      </w:r>
      <w:r w:rsidR="001777BE">
        <w:rPr>
          <w:rFonts w:ascii="Verdana" w:hAnsi="Verdana" w:cs="Arial"/>
          <w:i/>
          <w:iCs/>
          <w:sz w:val="22"/>
          <w:szCs w:val="22"/>
        </w:rPr>
        <w:t xml:space="preserve"> </w:t>
      </w:r>
      <w:r w:rsidRPr="00BB6F58">
        <w:rPr>
          <w:rFonts w:ascii="Verdana" w:hAnsi="Verdana" w:cs="Arial"/>
          <w:i/>
          <w:iCs/>
          <w:sz w:val="22"/>
          <w:szCs w:val="22"/>
        </w:rPr>
        <w:t>de</w:t>
      </w:r>
      <w:r w:rsidR="001777BE">
        <w:rPr>
          <w:rFonts w:ascii="Verdana" w:hAnsi="Verdana" w:cs="Arial"/>
          <w:i/>
          <w:iCs/>
          <w:sz w:val="22"/>
          <w:szCs w:val="22"/>
        </w:rPr>
        <w:t xml:space="preserve"> </w:t>
      </w:r>
      <w:r w:rsidRPr="00BB6F58">
        <w:rPr>
          <w:rFonts w:ascii="Verdana" w:hAnsi="Verdana" w:cs="Arial"/>
          <w:i/>
          <w:iCs/>
          <w:sz w:val="22"/>
          <w:szCs w:val="22"/>
        </w:rPr>
        <w:t>aplicación por primera vez,</w:t>
      </w:r>
      <w:r w:rsidR="001777BE">
        <w:rPr>
          <w:rFonts w:ascii="Verdana" w:hAnsi="Verdana" w:cs="Arial"/>
          <w:i/>
          <w:iCs/>
          <w:sz w:val="22"/>
          <w:szCs w:val="22"/>
        </w:rPr>
        <w:t xml:space="preserve"> </w:t>
      </w:r>
      <w:r w:rsidRPr="00BB6F58">
        <w:rPr>
          <w:rFonts w:ascii="Verdana" w:hAnsi="Verdana" w:cs="Arial"/>
          <w:i/>
          <w:iCs/>
          <w:sz w:val="22"/>
          <w:szCs w:val="22"/>
        </w:rPr>
        <w:t>y su</w:t>
      </w:r>
      <w:r w:rsidR="001777BE">
        <w:rPr>
          <w:rFonts w:ascii="Verdana" w:hAnsi="Verdana" w:cs="Arial"/>
          <w:i/>
          <w:iCs/>
          <w:sz w:val="22"/>
          <w:szCs w:val="22"/>
        </w:rPr>
        <w:t xml:space="preserve"> </w:t>
      </w:r>
      <w:r w:rsidRPr="00BB6F58">
        <w:rPr>
          <w:rFonts w:ascii="Verdana" w:hAnsi="Verdana" w:cs="Arial"/>
          <w:i/>
          <w:iCs/>
          <w:sz w:val="22"/>
          <w:szCs w:val="22"/>
        </w:rPr>
        <w:t>participación respecto del resultado técnico del negocio asegurador.</w:t>
      </w:r>
    </w:p>
    <w:p w14:paraId="30E55243" w14:textId="7BEF9A30" w:rsidR="00BB6F58" w:rsidRPr="00BB6F58" w:rsidRDefault="00BB6F58" w:rsidP="00FA1B17">
      <w:pPr>
        <w:widowControl w:val="0"/>
        <w:autoSpaceDE w:val="0"/>
        <w:autoSpaceDN w:val="0"/>
        <w:adjustRightInd w:val="0"/>
        <w:spacing w:line="276" w:lineRule="auto"/>
        <w:ind w:left="1776"/>
        <w:jc w:val="both"/>
        <w:rPr>
          <w:rFonts w:ascii="Verdana" w:hAnsi="Verdana" w:cs="Arial"/>
          <w:i/>
          <w:iCs/>
          <w:sz w:val="22"/>
          <w:szCs w:val="22"/>
        </w:rPr>
      </w:pPr>
    </w:p>
    <w:p w14:paraId="6891A2B6" w14:textId="75F36A41" w:rsidR="00BB6F58" w:rsidRPr="00BB6F58" w:rsidRDefault="00BB6F58" w:rsidP="00FA1B17">
      <w:pPr>
        <w:widowControl w:val="0"/>
        <w:autoSpaceDE w:val="0"/>
        <w:autoSpaceDN w:val="0"/>
        <w:adjustRightInd w:val="0"/>
        <w:spacing w:line="276" w:lineRule="auto"/>
        <w:ind w:left="1776"/>
        <w:jc w:val="both"/>
        <w:rPr>
          <w:rFonts w:ascii="Verdana" w:hAnsi="Verdana" w:cs="Arial"/>
          <w:i/>
          <w:iCs/>
          <w:sz w:val="22"/>
          <w:szCs w:val="22"/>
        </w:rPr>
      </w:pPr>
      <w:r w:rsidRPr="00BB6F58">
        <w:rPr>
          <w:rFonts w:ascii="Verdana" w:hAnsi="Verdana" w:cs="Arial"/>
          <w:i/>
          <w:iCs/>
          <w:sz w:val="22"/>
          <w:szCs w:val="22"/>
        </w:rPr>
        <w:t>En caso contrario,</w:t>
      </w:r>
      <w:r w:rsidR="001777BE">
        <w:rPr>
          <w:rFonts w:ascii="Verdana" w:hAnsi="Verdana" w:cs="Arial"/>
          <w:i/>
          <w:iCs/>
          <w:sz w:val="22"/>
          <w:szCs w:val="22"/>
        </w:rPr>
        <w:t xml:space="preserve"> </w:t>
      </w:r>
      <w:r w:rsidRPr="00BB6F58">
        <w:rPr>
          <w:rFonts w:ascii="Verdana" w:hAnsi="Verdana" w:cs="Arial"/>
          <w:i/>
          <w:iCs/>
          <w:sz w:val="22"/>
          <w:szCs w:val="22"/>
        </w:rPr>
        <w:t>esto es, de no cumplirse los requisitos señalados en los literales (b.i.), (b.ii.) y (b.iii.) anteriores,</w:t>
      </w:r>
      <w:r w:rsidR="001777BE">
        <w:rPr>
          <w:rFonts w:ascii="Verdana" w:hAnsi="Verdana" w:cs="Arial"/>
          <w:i/>
          <w:iCs/>
          <w:sz w:val="22"/>
          <w:szCs w:val="22"/>
        </w:rPr>
        <w:t xml:space="preserve"> </w:t>
      </w:r>
      <w:r w:rsidRPr="00BB6F58">
        <w:rPr>
          <w:rFonts w:ascii="Verdana" w:hAnsi="Verdana" w:cs="Arial"/>
          <w:i/>
          <w:iCs/>
          <w:sz w:val="22"/>
          <w:szCs w:val="22"/>
        </w:rPr>
        <w:t>el valor de</w:t>
      </w:r>
      <w:r w:rsidR="001777BE">
        <w:rPr>
          <w:rFonts w:ascii="Verdana" w:hAnsi="Verdana" w:cs="Arial"/>
          <w:i/>
          <w:iCs/>
          <w:sz w:val="22"/>
          <w:szCs w:val="22"/>
        </w:rPr>
        <w:t xml:space="preserve"> </w:t>
      </w:r>
      <w:r w:rsidRPr="00BB6F58">
        <w:rPr>
          <w:rFonts w:ascii="Verdana" w:hAnsi="Verdana" w:cs="Arial"/>
          <w:i/>
          <w:iCs/>
          <w:sz w:val="22"/>
          <w:szCs w:val="22"/>
        </w:rPr>
        <w:t>la</w:t>
      </w:r>
      <w:r w:rsidR="001777BE">
        <w:rPr>
          <w:rFonts w:ascii="Verdana" w:hAnsi="Verdana" w:cs="Arial"/>
          <w:i/>
          <w:iCs/>
          <w:sz w:val="22"/>
          <w:szCs w:val="22"/>
        </w:rPr>
        <w:t xml:space="preserve"> </w:t>
      </w:r>
      <w:r w:rsidRPr="00BB6F58">
        <w:rPr>
          <w:rFonts w:ascii="Verdana" w:hAnsi="Verdana" w:cs="Arial"/>
          <w:i/>
          <w:iCs/>
          <w:sz w:val="22"/>
          <w:szCs w:val="22"/>
        </w:rPr>
        <w:t>diferencia</w:t>
      </w:r>
      <w:r w:rsidR="001777BE">
        <w:rPr>
          <w:rFonts w:ascii="Verdana" w:hAnsi="Verdana" w:cs="Arial"/>
          <w:i/>
          <w:iCs/>
          <w:sz w:val="22"/>
          <w:szCs w:val="22"/>
        </w:rPr>
        <w:t xml:space="preserve"> </w:t>
      </w:r>
      <w:r w:rsidRPr="00BB6F58">
        <w:rPr>
          <w:rFonts w:ascii="Verdana" w:hAnsi="Verdana" w:cs="Arial"/>
          <w:i/>
          <w:iCs/>
          <w:sz w:val="22"/>
          <w:szCs w:val="22"/>
        </w:rPr>
        <w:t>debe reconocerse en la cuenta</w:t>
      </w:r>
      <w:r w:rsidR="001777BE">
        <w:rPr>
          <w:rFonts w:ascii="Verdana" w:hAnsi="Verdana" w:cs="Arial"/>
          <w:i/>
          <w:iCs/>
          <w:sz w:val="22"/>
          <w:szCs w:val="22"/>
        </w:rPr>
        <w:t xml:space="preserve"> </w:t>
      </w:r>
      <w:r w:rsidRPr="00BB6F58">
        <w:rPr>
          <w:rFonts w:ascii="Verdana" w:hAnsi="Verdana" w:cs="Arial"/>
          <w:i/>
          <w:iCs/>
          <w:sz w:val="22"/>
          <w:szCs w:val="22"/>
        </w:rPr>
        <w:t>de Ganancias o Pérdidas no realizadas «ORI»</w:t>
      </w:r>
      <w:r w:rsidR="001777BE">
        <w:rPr>
          <w:rFonts w:ascii="Verdana" w:hAnsi="Verdana" w:cs="Arial"/>
          <w:i/>
          <w:iCs/>
          <w:sz w:val="22"/>
          <w:szCs w:val="22"/>
        </w:rPr>
        <w:t xml:space="preserve"> </w:t>
      </w:r>
      <w:r w:rsidRPr="00BB6F58">
        <w:rPr>
          <w:rFonts w:ascii="Verdana" w:hAnsi="Verdana" w:cs="Arial"/>
          <w:i/>
          <w:iCs/>
          <w:sz w:val="22"/>
          <w:szCs w:val="22"/>
        </w:rPr>
        <w:t>y</w:t>
      </w:r>
      <w:r w:rsidR="001777BE">
        <w:rPr>
          <w:rFonts w:ascii="Verdana" w:hAnsi="Verdana" w:cs="Arial"/>
          <w:i/>
          <w:iCs/>
          <w:sz w:val="22"/>
          <w:szCs w:val="22"/>
        </w:rPr>
        <w:t xml:space="preserve"> </w:t>
      </w:r>
      <w:r w:rsidRPr="00BB6F58">
        <w:rPr>
          <w:rFonts w:ascii="Verdana" w:hAnsi="Verdana" w:cs="Arial"/>
          <w:i/>
          <w:iCs/>
          <w:sz w:val="22"/>
          <w:szCs w:val="22"/>
        </w:rPr>
        <w:t>solo</w:t>
      </w:r>
      <w:r w:rsidR="001777BE">
        <w:rPr>
          <w:rFonts w:ascii="Verdana" w:hAnsi="Verdana" w:cs="Arial"/>
          <w:i/>
          <w:iCs/>
          <w:sz w:val="22"/>
          <w:szCs w:val="22"/>
        </w:rPr>
        <w:t xml:space="preserve"> </w:t>
      </w:r>
      <w:r w:rsidRPr="00BB6F58">
        <w:rPr>
          <w:rFonts w:ascii="Verdana" w:hAnsi="Verdana" w:cs="Arial"/>
          <w:i/>
          <w:iCs/>
          <w:sz w:val="22"/>
          <w:szCs w:val="22"/>
        </w:rPr>
        <w:t>podrá ser objeto de devengo</w:t>
      </w:r>
      <w:r w:rsidR="001777BE">
        <w:rPr>
          <w:rFonts w:ascii="Verdana" w:hAnsi="Verdana" w:cs="Arial"/>
          <w:i/>
          <w:iCs/>
          <w:sz w:val="22"/>
          <w:szCs w:val="22"/>
        </w:rPr>
        <w:t xml:space="preserve"> </w:t>
      </w:r>
      <w:r w:rsidRPr="00BB6F58">
        <w:rPr>
          <w:rFonts w:ascii="Verdana" w:hAnsi="Verdana" w:cs="Arial"/>
          <w:i/>
          <w:iCs/>
          <w:sz w:val="22"/>
          <w:szCs w:val="22"/>
        </w:rPr>
        <w:t>posteriormente,</w:t>
      </w:r>
      <w:r w:rsidR="001777BE">
        <w:rPr>
          <w:rFonts w:ascii="Verdana" w:hAnsi="Verdana" w:cs="Arial"/>
          <w:i/>
          <w:iCs/>
          <w:sz w:val="22"/>
          <w:szCs w:val="22"/>
        </w:rPr>
        <w:t xml:space="preserve"> </w:t>
      </w:r>
      <w:r w:rsidRPr="00BB6F58">
        <w:rPr>
          <w:rFonts w:ascii="Verdana" w:hAnsi="Verdana" w:cs="Arial"/>
          <w:i/>
          <w:iCs/>
          <w:sz w:val="22"/>
          <w:szCs w:val="22"/>
        </w:rPr>
        <w:t>previa no objeción de la SFC.</w:t>
      </w:r>
    </w:p>
    <w:p w14:paraId="6E42317D" w14:textId="77777777" w:rsidR="00572168" w:rsidRPr="00BB6F58" w:rsidRDefault="00572168" w:rsidP="00BB6F58">
      <w:pPr>
        <w:widowControl w:val="0"/>
        <w:autoSpaceDE w:val="0"/>
        <w:autoSpaceDN w:val="0"/>
        <w:adjustRightInd w:val="0"/>
        <w:spacing w:line="276" w:lineRule="auto"/>
        <w:ind w:left="708"/>
        <w:jc w:val="both"/>
        <w:rPr>
          <w:rFonts w:ascii="Verdana" w:hAnsi="Verdana" w:cs="Arial"/>
          <w:i/>
          <w:iCs/>
          <w:sz w:val="22"/>
          <w:szCs w:val="22"/>
        </w:rPr>
      </w:pPr>
    </w:p>
    <w:p w14:paraId="361C202C" w14:textId="1F7889A6" w:rsidR="00BB6F58" w:rsidRPr="00BB6F58" w:rsidRDefault="00BB6F58" w:rsidP="00BB6F58">
      <w:pPr>
        <w:widowControl w:val="0"/>
        <w:autoSpaceDE w:val="0"/>
        <w:autoSpaceDN w:val="0"/>
        <w:adjustRightInd w:val="0"/>
        <w:spacing w:line="276" w:lineRule="auto"/>
        <w:ind w:left="708"/>
        <w:jc w:val="both"/>
        <w:rPr>
          <w:rFonts w:ascii="Verdana" w:hAnsi="Verdana" w:cs="Arial"/>
          <w:i/>
          <w:iCs/>
          <w:sz w:val="22"/>
          <w:szCs w:val="22"/>
        </w:rPr>
      </w:pPr>
      <w:r w:rsidRPr="00BB6F58">
        <w:rPr>
          <w:rFonts w:ascii="Verdana" w:hAnsi="Verdana" w:cs="Arial"/>
          <w:i/>
          <w:iCs/>
          <w:sz w:val="22"/>
          <w:szCs w:val="22"/>
          <w:lang w:val="es-ES"/>
        </w:rPr>
        <w:t>En los casos</w:t>
      </w:r>
      <w:r w:rsidR="006174DF">
        <w:rPr>
          <w:rFonts w:ascii="Verdana" w:hAnsi="Verdana" w:cs="Arial"/>
          <w:i/>
          <w:iCs/>
          <w:sz w:val="22"/>
          <w:szCs w:val="22"/>
          <w:lang w:val="es-ES"/>
        </w:rPr>
        <w:t xml:space="preserve"> </w:t>
      </w:r>
      <w:r w:rsidRPr="00BB6F58">
        <w:rPr>
          <w:rFonts w:ascii="Verdana" w:hAnsi="Verdana" w:cs="Arial"/>
          <w:i/>
          <w:iCs/>
          <w:sz w:val="22"/>
          <w:szCs w:val="22"/>
          <w:lang w:val="es-ES"/>
        </w:rPr>
        <w:t>previstos en</w:t>
      </w:r>
      <w:r w:rsidR="006174DF">
        <w:rPr>
          <w:rFonts w:ascii="Verdana" w:hAnsi="Verdana" w:cs="Arial"/>
          <w:i/>
          <w:iCs/>
          <w:sz w:val="22"/>
          <w:szCs w:val="22"/>
          <w:lang w:val="es-ES"/>
        </w:rPr>
        <w:t xml:space="preserve"> </w:t>
      </w:r>
      <w:r w:rsidRPr="00BB6F58">
        <w:rPr>
          <w:rFonts w:ascii="Verdana" w:hAnsi="Verdana" w:cs="Arial"/>
          <w:i/>
          <w:iCs/>
          <w:sz w:val="22"/>
          <w:szCs w:val="22"/>
          <w:lang w:val="es-ES"/>
        </w:rPr>
        <w:t>los numerales 11.1. y 11.2., cuando</w:t>
      </w:r>
      <w:r w:rsidR="006174DF">
        <w:rPr>
          <w:rFonts w:ascii="Verdana" w:hAnsi="Verdana" w:cs="Arial"/>
          <w:i/>
          <w:iCs/>
          <w:sz w:val="22"/>
          <w:szCs w:val="22"/>
          <w:lang w:val="es-ES"/>
        </w:rPr>
        <w:t xml:space="preserve"> </w:t>
      </w:r>
      <w:r w:rsidRPr="00BB6F58">
        <w:rPr>
          <w:rFonts w:ascii="Verdana" w:hAnsi="Verdana" w:cs="Arial"/>
          <w:i/>
          <w:iCs/>
          <w:sz w:val="22"/>
          <w:szCs w:val="22"/>
          <w:lang w:val="es-ES"/>
        </w:rPr>
        <w:t>se genere</w:t>
      </w:r>
      <w:r w:rsidR="006174DF">
        <w:rPr>
          <w:rFonts w:ascii="Verdana" w:hAnsi="Verdana" w:cs="Arial"/>
          <w:i/>
          <w:iCs/>
          <w:sz w:val="22"/>
          <w:szCs w:val="22"/>
          <w:lang w:val="es-ES"/>
        </w:rPr>
        <w:t xml:space="preserve"> </w:t>
      </w:r>
      <w:r w:rsidRPr="00BB6F58">
        <w:rPr>
          <w:rFonts w:ascii="Verdana" w:hAnsi="Verdana" w:cs="Arial"/>
          <w:i/>
          <w:iCs/>
          <w:sz w:val="22"/>
          <w:szCs w:val="22"/>
          <w:lang w:val="es-ES"/>
        </w:rPr>
        <w:t>una ganancia neta positiva,</w:t>
      </w:r>
      <w:r w:rsidR="006174DF">
        <w:rPr>
          <w:rFonts w:ascii="Verdana" w:hAnsi="Verdana" w:cs="Arial"/>
          <w:i/>
          <w:iCs/>
          <w:sz w:val="22"/>
          <w:szCs w:val="22"/>
          <w:lang w:val="es-ES"/>
        </w:rPr>
        <w:t xml:space="preserve"> </w:t>
      </w:r>
      <w:r w:rsidRPr="00BB6F58">
        <w:rPr>
          <w:rFonts w:ascii="Verdana" w:hAnsi="Verdana" w:cs="Arial"/>
          <w:i/>
          <w:iCs/>
          <w:sz w:val="22"/>
          <w:szCs w:val="22"/>
          <w:lang w:val="es-ES"/>
        </w:rPr>
        <w:t>la entidad</w:t>
      </w:r>
      <w:r w:rsidR="006174DF">
        <w:rPr>
          <w:rFonts w:ascii="Verdana" w:hAnsi="Verdana" w:cs="Arial"/>
          <w:i/>
          <w:iCs/>
          <w:sz w:val="22"/>
          <w:szCs w:val="22"/>
          <w:lang w:val="es-ES"/>
        </w:rPr>
        <w:t xml:space="preserve"> </w:t>
      </w:r>
      <w:r w:rsidRPr="00BB6F58">
        <w:rPr>
          <w:rFonts w:ascii="Verdana" w:hAnsi="Verdana" w:cs="Arial"/>
          <w:i/>
          <w:iCs/>
          <w:sz w:val="22"/>
          <w:szCs w:val="22"/>
          <w:lang w:val="es-ES"/>
        </w:rPr>
        <w:t>aseguradora, previo al reconocimiento de esta ganancia,</w:t>
      </w:r>
      <w:r w:rsidR="006174DF">
        <w:rPr>
          <w:rFonts w:ascii="Verdana" w:hAnsi="Verdana" w:cs="Arial"/>
          <w:i/>
          <w:iCs/>
          <w:sz w:val="22"/>
          <w:szCs w:val="22"/>
          <w:lang w:val="es-ES"/>
        </w:rPr>
        <w:t xml:space="preserve"> </w:t>
      </w:r>
      <w:r w:rsidRPr="00BB6F58">
        <w:rPr>
          <w:rFonts w:ascii="Verdana" w:hAnsi="Verdana" w:cs="Arial"/>
          <w:i/>
          <w:iCs/>
          <w:sz w:val="22"/>
          <w:szCs w:val="22"/>
          <w:lang w:val="es-ES"/>
        </w:rPr>
        <w:t>debe remitir</w:t>
      </w:r>
      <w:r w:rsidR="006174DF">
        <w:rPr>
          <w:rFonts w:ascii="Verdana" w:hAnsi="Verdana" w:cs="Arial"/>
          <w:i/>
          <w:iCs/>
          <w:sz w:val="22"/>
          <w:szCs w:val="22"/>
          <w:lang w:val="es-ES"/>
        </w:rPr>
        <w:t xml:space="preserve"> </w:t>
      </w:r>
      <w:r w:rsidRPr="00BB6F58">
        <w:rPr>
          <w:rFonts w:ascii="Verdana" w:hAnsi="Verdana" w:cs="Arial"/>
          <w:i/>
          <w:iCs/>
          <w:sz w:val="22"/>
          <w:szCs w:val="22"/>
          <w:lang w:val="es-ES"/>
        </w:rPr>
        <w:t>una comunicación suscrita por el representante legal. En esta comunicación se debe informar: (i)</w:t>
      </w:r>
      <w:r w:rsidR="006174DF">
        <w:rPr>
          <w:rFonts w:ascii="Verdana" w:hAnsi="Verdana" w:cs="Arial"/>
          <w:i/>
          <w:iCs/>
          <w:sz w:val="22"/>
          <w:szCs w:val="22"/>
          <w:lang w:val="es-ES"/>
        </w:rPr>
        <w:t xml:space="preserve"> </w:t>
      </w:r>
      <w:r w:rsidRPr="00BB6F58">
        <w:rPr>
          <w:rFonts w:ascii="Verdana" w:hAnsi="Verdana" w:cs="Arial"/>
          <w:i/>
          <w:iCs/>
          <w:sz w:val="22"/>
          <w:szCs w:val="22"/>
          <w:lang w:val="es-ES"/>
        </w:rPr>
        <w:t>el cumplimiento de los requisitos</w:t>
      </w:r>
      <w:r w:rsidR="006174DF">
        <w:rPr>
          <w:rFonts w:ascii="Verdana" w:hAnsi="Verdana" w:cs="Arial"/>
          <w:i/>
          <w:iCs/>
          <w:sz w:val="22"/>
          <w:szCs w:val="22"/>
          <w:lang w:val="es-ES"/>
        </w:rPr>
        <w:t xml:space="preserve"> </w:t>
      </w:r>
      <w:r w:rsidRPr="00BB6F58">
        <w:rPr>
          <w:rFonts w:ascii="Verdana" w:hAnsi="Verdana" w:cs="Arial"/>
          <w:i/>
          <w:iCs/>
          <w:sz w:val="22"/>
          <w:szCs w:val="22"/>
          <w:lang w:val="es-ES"/>
        </w:rPr>
        <w:t>señalados</w:t>
      </w:r>
      <w:r w:rsidR="006174DF">
        <w:rPr>
          <w:rFonts w:ascii="Verdana" w:hAnsi="Verdana" w:cs="Arial"/>
          <w:i/>
          <w:iCs/>
          <w:sz w:val="22"/>
          <w:szCs w:val="22"/>
          <w:lang w:val="es-ES"/>
        </w:rPr>
        <w:t xml:space="preserve"> </w:t>
      </w:r>
      <w:r w:rsidRPr="00BB6F58">
        <w:rPr>
          <w:rFonts w:ascii="Verdana" w:hAnsi="Verdana" w:cs="Arial"/>
          <w:i/>
          <w:iCs/>
          <w:sz w:val="22"/>
          <w:szCs w:val="22"/>
          <w:lang w:val="es-ES"/>
        </w:rPr>
        <w:t>en</w:t>
      </w:r>
      <w:r w:rsidR="006174DF">
        <w:rPr>
          <w:rFonts w:ascii="Verdana" w:hAnsi="Verdana" w:cs="Arial"/>
          <w:i/>
          <w:iCs/>
          <w:sz w:val="22"/>
          <w:szCs w:val="22"/>
          <w:lang w:val="es-ES"/>
        </w:rPr>
        <w:t xml:space="preserve"> </w:t>
      </w:r>
      <w:r w:rsidRPr="00BB6F58">
        <w:rPr>
          <w:rFonts w:ascii="Verdana" w:hAnsi="Verdana" w:cs="Arial"/>
          <w:i/>
          <w:iCs/>
          <w:sz w:val="22"/>
          <w:szCs w:val="22"/>
          <w:lang w:val="es-ES"/>
        </w:rPr>
        <w:t>los</w:t>
      </w:r>
      <w:r w:rsidR="006174DF">
        <w:rPr>
          <w:rFonts w:ascii="Verdana" w:hAnsi="Verdana" w:cs="Arial"/>
          <w:i/>
          <w:iCs/>
          <w:sz w:val="22"/>
          <w:szCs w:val="22"/>
          <w:lang w:val="es-ES"/>
        </w:rPr>
        <w:t xml:space="preserve"> </w:t>
      </w:r>
      <w:r w:rsidRPr="00BB6F58">
        <w:rPr>
          <w:rFonts w:ascii="Verdana" w:hAnsi="Verdana" w:cs="Arial"/>
          <w:i/>
          <w:iCs/>
          <w:sz w:val="22"/>
          <w:szCs w:val="22"/>
          <w:lang w:val="es-ES"/>
        </w:rPr>
        <w:t>numerales</w:t>
      </w:r>
      <w:r w:rsidR="006174DF">
        <w:rPr>
          <w:rFonts w:ascii="Verdana" w:hAnsi="Verdana" w:cs="Arial"/>
          <w:i/>
          <w:iCs/>
          <w:sz w:val="22"/>
          <w:szCs w:val="22"/>
          <w:lang w:val="es-ES"/>
        </w:rPr>
        <w:t xml:space="preserve"> </w:t>
      </w:r>
      <w:r w:rsidRPr="00BB6F58">
        <w:rPr>
          <w:rFonts w:ascii="Verdana" w:hAnsi="Verdana" w:cs="Arial"/>
          <w:i/>
          <w:iCs/>
          <w:sz w:val="22"/>
          <w:szCs w:val="22"/>
          <w:lang w:val="es-ES"/>
        </w:rPr>
        <w:t>mencionados,</w:t>
      </w:r>
      <w:r w:rsidR="006174DF">
        <w:rPr>
          <w:rFonts w:ascii="Verdana" w:hAnsi="Verdana" w:cs="Arial"/>
          <w:i/>
          <w:iCs/>
          <w:sz w:val="22"/>
          <w:szCs w:val="22"/>
          <w:lang w:val="es-ES"/>
        </w:rPr>
        <w:t xml:space="preserve"> </w:t>
      </w:r>
      <w:r w:rsidRPr="00BB6F58">
        <w:rPr>
          <w:rFonts w:ascii="Verdana" w:hAnsi="Verdana" w:cs="Arial"/>
          <w:i/>
          <w:iCs/>
          <w:sz w:val="22"/>
          <w:szCs w:val="22"/>
          <w:lang w:val="es-ES"/>
        </w:rPr>
        <w:t>y</w:t>
      </w:r>
      <w:r w:rsidR="006174DF">
        <w:rPr>
          <w:rFonts w:ascii="Verdana" w:hAnsi="Verdana" w:cs="Arial"/>
          <w:i/>
          <w:iCs/>
          <w:sz w:val="22"/>
          <w:szCs w:val="22"/>
          <w:lang w:val="es-ES"/>
        </w:rPr>
        <w:t xml:space="preserve"> </w:t>
      </w:r>
      <w:r w:rsidRPr="00BB6F58">
        <w:rPr>
          <w:rFonts w:ascii="Verdana" w:hAnsi="Verdana" w:cs="Arial"/>
          <w:i/>
          <w:iCs/>
          <w:sz w:val="22"/>
          <w:szCs w:val="22"/>
          <w:lang w:val="es-ES"/>
        </w:rPr>
        <w:t>(ii)</w:t>
      </w:r>
      <w:r w:rsidR="006174DF">
        <w:rPr>
          <w:rFonts w:ascii="Verdana" w:hAnsi="Verdana" w:cs="Arial"/>
          <w:i/>
          <w:iCs/>
          <w:sz w:val="22"/>
          <w:szCs w:val="22"/>
          <w:lang w:val="es-ES"/>
        </w:rPr>
        <w:t xml:space="preserve"> </w:t>
      </w:r>
      <w:r w:rsidRPr="00BB6F58">
        <w:rPr>
          <w:rFonts w:ascii="Verdana" w:hAnsi="Verdana" w:cs="Arial"/>
          <w:i/>
          <w:iCs/>
          <w:sz w:val="22"/>
          <w:szCs w:val="22"/>
          <w:lang w:val="es-ES"/>
        </w:rPr>
        <w:t>el acta de aprobación de la Junta Directiva.</w:t>
      </w:r>
      <w:r w:rsidR="006174DF">
        <w:rPr>
          <w:rFonts w:ascii="Verdana" w:hAnsi="Verdana" w:cs="Arial"/>
          <w:i/>
          <w:iCs/>
          <w:sz w:val="22"/>
          <w:szCs w:val="22"/>
          <w:lang w:val="es-ES"/>
        </w:rPr>
        <w:t xml:space="preserve"> </w:t>
      </w:r>
      <w:r w:rsidRPr="00BB6F58">
        <w:rPr>
          <w:rFonts w:ascii="Verdana" w:hAnsi="Verdana" w:cs="Arial"/>
          <w:i/>
          <w:iCs/>
          <w:sz w:val="22"/>
          <w:szCs w:val="22"/>
          <w:lang w:val="es-ES"/>
        </w:rPr>
        <w:t>Esta comunicación debe acompañarse de</w:t>
      </w:r>
      <w:r w:rsidR="006174DF">
        <w:rPr>
          <w:rFonts w:ascii="Verdana" w:hAnsi="Verdana" w:cs="Arial"/>
          <w:i/>
          <w:iCs/>
          <w:sz w:val="22"/>
          <w:szCs w:val="22"/>
          <w:lang w:val="es-ES"/>
        </w:rPr>
        <w:t xml:space="preserve"> </w:t>
      </w:r>
      <w:r w:rsidRPr="00BB6F58">
        <w:rPr>
          <w:rFonts w:ascii="Verdana" w:hAnsi="Verdana" w:cs="Arial"/>
          <w:i/>
          <w:iCs/>
          <w:sz w:val="22"/>
          <w:szCs w:val="22"/>
          <w:lang w:val="es-ES"/>
        </w:rPr>
        <w:t>un informe</w:t>
      </w:r>
      <w:r w:rsidR="006174DF">
        <w:rPr>
          <w:rFonts w:ascii="Verdana" w:hAnsi="Verdana" w:cs="Arial"/>
          <w:i/>
          <w:iCs/>
          <w:sz w:val="22"/>
          <w:szCs w:val="22"/>
          <w:lang w:val="es-ES"/>
        </w:rPr>
        <w:t xml:space="preserve"> </w:t>
      </w:r>
      <w:r w:rsidRPr="00BB6F58">
        <w:rPr>
          <w:rFonts w:ascii="Verdana" w:hAnsi="Verdana" w:cs="Arial"/>
          <w:i/>
          <w:iCs/>
          <w:sz w:val="22"/>
          <w:szCs w:val="22"/>
          <w:lang w:val="es-ES"/>
        </w:rPr>
        <w:t>suscrito</w:t>
      </w:r>
      <w:r w:rsidR="006174DF">
        <w:rPr>
          <w:rFonts w:ascii="Verdana" w:hAnsi="Verdana" w:cs="Arial"/>
          <w:i/>
          <w:iCs/>
          <w:sz w:val="22"/>
          <w:szCs w:val="22"/>
          <w:lang w:val="es-ES"/>
        </w:rPr>
        <w:t xml:space="preserve"> </w:t>
      </w:r>
      <w:r w:rsidRPr="00BB6F58">
        <w:rPr>
          <w:rFonts w:ascii="Verdana" w:hAnsi="Verdana" w:cs="Arial"/>
          <w:i/>
          <w:iCs/>
          <w:sz w:val="22"/>
          <w:szCs w:val="22"/>
          <w:lang w:val="es-ES"/>
        </w:rPr>
        <w:t>por el actuario responsable,</w:t>
      </w:r>
      <w:r w:rsidR="006174DF">
        <w:rPr>
          <w:rFonts w:ascii="Verdana" w:hAnsi="Verdana" w:cs="Arial"/>
          <w:i/>
          <w:iCs/>
          <w:sz w:val="22"/>
          <w:szCs w:val="22"/>
          <w:lang w:val="es-ES"/>
        </w:rPr>
        <w:t xml:space="preserve"> </w:t>
      </w:r>
      <w:r w:rsidRPr="00BB6F58">
        <w:rPr>
          <w:rFonts w:ascii="Verdana" w:hAnsi="Verdana" w:cs="Arial"/>
          <w:i/>
          <w:iCs/>
          <w:sz w:val="22"/>
          <w:szCs w:val="22"/>
          <w:lang w:val="es-ES"/>
        </w:rPr>
        <w:t>en</w:t>
      </w:r>
      <w:r w:rsidR="006174DF">
        <w:rPr>
          <w:rFonts w:ascii="Verdana" w:hAnsi="Verdana" w:cs="Arial"/>
          <w:i/>
          <w:iCs/>
          <w:sz w:val="22"/>
          <w:szCs w:val="22"/>
          <w:lang w:val="es-ES"/>
        </w:rPr>
        <w:t xml:space="preserve"> </w:t>
      </w:r>
      <w:r w:rsidRPr="00BB6F58">
        <w:rPr>
          <w:rFonts w:ascii="Verdana" w:hAnsi="Verdana" w:cs="Arial"/>
          <w:i/>
          <w:iCs/>
          <w:sz w:val="22"/>
          <w:szCs w:val="22"/>
          <w:lang w:val="es-ES"/>
        </w:rPr>
        <w:t>el</w:t>
      </w:r>
      <w:r w:rsidR="006174DF">
        <w:rPr>
          <w:rFonts w:ascii="Verdana" w:hAnsi="Verdana" w:cs="Arial"/>
          <w:i/>
          <w:iCs/>
          <w:sz w:val="22"/>
          <w:szCs w:val="22"/>
          <w:lang w:val="es-ES"/>
        </w:rPr>
        <w:t xml:space="preserve"> </w:t>
      </w:r>
      <w:r w:rsidRPr="00BB6F58">
        <w:rPr>
          <w:rFonts w:ascii="Verdana" w:hAnsi="Verdana" w:cs="Arial"/>
          <w:i/>
          <w:iCs/>
          <w:sz w:val="22"/>
          <w:szCs w:val="22"/>
          <w:lang w:val="es-ES"/>
        </w:rPr>
        <w:t>que</w:t>
      </w:r>
      <w:r w:rsidR="006174DF">
        <w:rPr>
          <w:rFonts w:ascii="Verdana" w:hAnsi="Verdana" w:cs="Arial"/>
          <w:i/>
          <w:iCs/>
          <w:sz w:val="22"/>
          <w:szCs w:val="22"/>
          <w:lang w:val="es-ES"/>
        </w:rPr>
        <w:t xml:space="preserve"> </w:t>
      </w:r>
      <w:r w:rsidRPr="00BB6F58">
        <w:rPr>
          <w:rFonts w:ascii="Verdana" w:hAnsi="Verdana" w:cs="Arial"/>
          <w:i/>
          <w:iCs/>
          <w:sz w:val="22"/>
          <w:szCs w:val="22"/>
          <w:lang w:val="es-ES"/>
        </w:rPr>
        <w:t>este</w:t>
      </w:r>
      <w:r w:rsidR="006174DF">
        <w:rPr>
          <w:rFonts w:ascii="Verdana" w:hAnsi="Verdana" w:cs="Arial"/>
          <w:i/>
          <w:iCs/>
          <w:sz w:val="22"/>
          <w:szCs w:val="22"/>
          <w:lang w:val="es-ES"/>
        </w:rPr>
        <w:t xml:space="preserve"> </w:t>
      </w:r>
      <w:r w:rsidRPr="00BB6F58">
        <w:rPr>
          <w:rFonts w:ascii="Verdana" w:hAnsi="Verdana" w:cs="Arial"/>
          <w:i/>
          <w:iCs/>
          <w:sz w:val="22"/>
          <w:szCs w:val="22"/>
          <w:lang w:val="es-ES"/>
        </w:rPr>
        <w:t>se pronuncie</w:t>
      </w:r>
      <w:r w:rsidR="006174DF">
        <w:rPr>
          <w:rFonts w:ascii="Verdana" w:hAnsi="Verdana" w:cs="Arial"/>
          <w:i/>
          <w:iCs/>
          <w:sz w:val="22"/>
          <w:szCs w:val="22"/>
          <w:lang w:val="es-ES"/>
        </w:rPr>
        <w:t xml:space="preserve"> </w:t>
      </w:r>
      <w:r w:rsidRPr="00BB6F58">
        <w:rPr>
          <w:rFonts w:ascii="Verdana" w:hAnsi="Verdana" w:cs="Arial"/>
          <w:i/>
          <w:iCs/>
          <w:sz w:val="22"/>
          <w:szCs w:val="22"/>
          <w:lang w:val="es-ES"/>
        </w:rPr>
        <w:t>sobre</w:t>
      </w:r>
      <w:r w:rsidR="006174DF">
        <w:rPr>
          <w:rFonts w:ascii="Verdana" w:hAnsi="Verdana" w:cs="Arial"/>
          <w:i/>
          <w:iCs/>
          <w:sz w:val="22"/>
          <w:szCs w:val="22"/>
          <w:lang w:val="es-ES"/>
        </w:rPr>
        <w:t xml:space="preserve"> </w:t>
      </w:r>
      <w:r w:rsidRPr="00BB6F58">
        <w:rPr>
          <w:rFonts w:ascii="Verdana" w:hAnsi="Verdana" w:cs="Arial"/>
          <w:i/>
          <w:iCs/>
          <w:sz w:val="22"/>
          <w:szCs w:val="22"/>
          <w:lang w:val="es-ES"/>
        </w:rPr>
        <w:t>el ejercicio realizado por la entidad aseguradora</w:t>
      </w:r>
      <w:r w:rsidR="006174DF">
        <w:rPr>
          <w:rFonts w:ascii="Verdana" w:hAnsi="Verdana" w:cs="Arial"/>
          <w:i/>
          <w:iCs/>
          <w:sz w:val="22"/>
          <w:szCs w:val="22"/>
          <w:lang w:val="es-ES"/>
        </w:rPr>
        <w:t xml:space="preserve"> </w:t>
      </w:r>
      <w:r w:rsidRPr="00BB6F58">
        <w:rPr>
          <w:rFonts w:ascii="Verdana" w:hAnsi="Verdana" w:cs="Arial"/>
          <w:i/>
          <w:iCs/>
          <w:sz w:val="22"/>
          <w:szCs w:val="22"/>
          <w:lang w:val="es-ES"/>
        </w:rPr>
        <w:t>y</w:t>
      </w:r>
      <w:r w:rsidR="006174DF">
        <w:rPr>
          <w:rFonts w:ascii="Verdana" w:hAnsi="Verdana" w:cs="Arial"/>
          <w:i/>
          <w:iCs/>
          <w:sz w:val="22"/>
          <w:szCs w:val="22"/>
          <w:lang w:val="es-ES"/>
        </w:rPr>
        <w:t xml:space="preserve"> </w:t>
      </w:r>
      <w:r w:rsidRPr="00BB6F58">
        <w:rPr>
          <w:rFonts w:ascii="Verdana" w:hAnsi="Verdana" w:cs="Arial"/>
          <w:i/>
          <w:iCs/>
          <w:sz w:val="22"/>
          <w:szCs w:val="22"/>
          <w:lang w:val="es-ES"/>
        </w:rPr>
        <w:t>sobre</w:t>
      </w:r>
      <w:r w:rsidR="006174DF">
        <w:rPr>
          <w:rFonts w:ascii="Verdana" w:hAnsi="Verdana" w:cs="Arial"/>
          <w:i/>
          <w:iCs/>
          <w:sz w:val="22"/>
          <w:szCs w:val="22"/>
          <w:lang w:val="es-ES"/>
        </w:rPr>
        <w:t xml:space="preserve"> </w:t>
      </w:r>
      <w:r w:rsidRPr="00BB6F58">
        <w:rPr>
          <w:rFonts w:ascii="Verdana" w:hAnsi="Verdana" w:cs="Arial"/>
          <w:i/>
          <w:iCs/>
          <w:sz w:val="22"/>
          <w:szCs w:val="22"/>
          <w:lang w:val="es-ES"/>
        </w:rPr>
        <w:t>la suficiencia de</w:t>
      </w:r>
      <w:r w:rsidR="006174DF">
        <w:rPr>
          <w:rFonts w:ascii="Verdana" w:hAnsi="Verdana" w:cs="Arial"/>
          <w:i/>
          <w:iCs/>
          <w:sz w:val="22"/>
          <w:szCs w:val="22"/>
          <w:lang w:val="es-ES"/>
        </w:rPr>
        <w:t xml:space="preserve"> </w:t>
      </w:r>
      <w:r w:rsidRPr="00BB6F58">
        <w:rPr>
          <w:rFonts w:ascii="Verdana" w:hAnsi="Verdana" w:cs="Arial"/>
          <w:i/>
          <w:iCs/>
          <w:sz w:val="22"/>
          <w:szCs w:val="22"/>
          <w:lang w:val="es-ES"/>
        </w:rPr>
        <w:t>los pasivos por contratos de seguro y</w:t>
      </w:r>
      <w:r w:rsidR="006174DF">
        <w:rPr>
          <w:rFonts w:ascii="Verdana" w:hAnsi="Verdana" w:cs="Arial"/>
          <w:i/>
          <w:iCs/>
          <w:sz w:val="22"/>
          <w:szCs w:val="22"/>
          <w:lang w:val="es-ES"/>
        </w:rPr>
        <w:t xml:space="preserve"> </w:t>
      </w:r>
      <w:r w:rsidRPr="00BB6F58">
        <w:rPr>
          <w:rFonts w:ascii="Verdana" w:hAnsi="Verdana" w:cs="Arial"/>
          <w:i/>
          <w:iCs/>
          <w:sz w:val="22"/>
          <w:szCs w:val="22"/>
          <w:lang w:val="es-ES"/>
        </w:rPr>
        <w:t>del activo por contingencias a cargo del reasegurador.</w:t>
      </w:r>
    </w:p>
    <w:p w14:paraId="700AFBB8" w14:textId="78368C78" w:rsidR="00BB6F58" w:rsidRPr="00BB6F58" w:rsidRDefault="00BB6F58" w:rsidP="00BB6F58">
      <w:pPr>
        <w:widowControl w:val="0"/>
        <w:autoSpaceDE w:val="0"/>
        <w:autoSpaceDN w:val="0"/>
        <w:adjustRightInd w:val="0"/>
        <w:spacing w:line="276" w:lineRule="auto"/>
        <w:ind w:left="708"/>
        <w:jc w:val="both"/>
        <w:rPr>
          <w:rFonts w:ascii="Verdana" w:hAnsi="Verdana" w:cs="Arial"/>
          <w:i/>
          <w:iCs/>
          <w:sz w:val="22"/>
          <w:szCs w:val="22"/>
        </w:rPr>
      </w:pPr>
    </w:p>
    <w:p w14:paraId="7067A379" w14:textId="77EEC1A0" w:rsidR="00BB6F58" w:rsidRPr="00BB6F58" w:rsidRDefault="00BB6F58" w:rsidP="00BB6F58">
      <w:pPr>
        <w:widowControl w:val="0"/>
        <w:autoSpaceDE w:val="0"/>
        <w:autoSpaceDN w:val="0"/>
        <w:adjustRightInd w:val="0"/>
        <w:spacing w:line="276" w:lineRule="auto"/>
        <w:ind w:left="708"/>
        <w:jc w:val="both"/>
        <w:rPr>
          <w:rFonts w:ascii="Verdana" w:hAnsi="Verdana" w:cs="Arial"/>
          <w:i/>
          <w:iCs/>
          <w:sz w:val="22"/>
          <w:szCs w:val="22"/>
        </w:rPr>
      </w:pPr>
      <w:r w:rsidRPr="00BB6F58">
        <w:rPr>
          <w:rFonts w:ascii="Verdana" w:hAnsi="Verdana" w:cs="Arial"/>
          <w:i/>
          <w:iCs/>
          <w:sz w:val="22"/>
          <w:szCs w:val="22"/>
          <w:lang w:val="es-ES"/>
        </w:rPr>
        <w:t>Sin perjuicio del periodo de transición</w:t>
      </w:r>
      <w:r w:rsidR="008C6308">
        <w:rPr>
          <w:rFonts w:ascii="Verdana" w:hAnsi="Verdana" w:cs="Arial"/>
          <w:i/>
          <w:iCs/>
          <w:sz w:val="22"/>
          <w:szCs w:val="22"/>
          <w:lang w:val="es-ES"/>
        </w:rPr>
        <w:t xml:space="preserve"> </w:t>
      </w:r>
      <w:r w:rsidRPr="00BB6F58">
        <w:rPr>
          <w:rFonts w:ascii="Verdana" w:hAnsi="Verdana" w:cs="Arial"/>
          <w:i/>
          <w:iCs/>
          <w:sz w:val="22"/>
          <w:szCs w:val="22"/>
          <w:lang w:val="es-ES"/>
        </w:rPr>
        <w:t>regulado</w:t>
      </w:r>
      <w:r w:rsidR="008C6308">
        <w:rPr>
          <w:rFonts w:ascii="Verdana" w:hAnsi="Verdana" w:cs="Arial"/>
          <w:i/>
          <w:iCs/>
          <w:sz w:val="22"/>
          <w:szCs w:val="22"/>
          <w:lang w:val="es-ES"/>
        </w:rPr>
        <w:t xml:space="preserve"> </w:t>
      </w:r>
      <w:r w:rsidRPr="00BB6F58">
        <w:rPr>
          <w:rFonts w:ascii="Verdana" w:hAnsi="Verdana" w:cs="Arial"/>
          <w:i/>
          <w:iCs/>
          <w:sz w:val="22"/>
          <w:szCs w:val="22"/>
          <w:lang w:val="es-ES"/>
        </w:rPr>
        <w:t>en esta instrucción,</w:t>
      </w:r>
      <w:r w:rsidR="008C6308">
        <w:rPr>
          <w:rFonts w:ascii="Verdana" w:hAnsi="Verdana" w:cs="Arial"/>
          <w:i/>
          <w:iCs/>
          <w:sz w:val="22"/>
          <w:szCs w:val="22"/>
          <w:lang w:val="es-ES"/>
        </w:rPr>
        <w:t xml:space="preserve"> </w:t>
      </w:r>
      <w:r w:rsidRPr="00BB6F58">
        <w:rPr>
          <w:rFonts w:ascii="Verdana" w:hAnsi="Verdana" w:cs="Arial"/>
          <w:i/>
          <w:iCs/>
          <w:sz w:val="22"/>
          <w:szCs w:val="22"/>
          <w:lang w:val="es-ES"/>
        </w:rPr>
        <w:t xml:space="preserve">a partir del </w:t>
      </w:r>
      <w:r w:rsidRPr="008C6308">
        <w:rPr>
          <w:rFonts w:ascii="Verdana" w:hAnsi="Verdana" w:cs="Arial"/>
          <w:i/>
          <w:iCs/>
          <w:sz w:val="22"/>
          <w:szCs w:val="22"/>
          <w:lang w:val="es-ES"/>
        </w:rPr>
        <w:t>1 de enero de 202</w:t>
      </w:r>
      <w:r w:rsidR="001F31EB" w:rsidRPr="008C6308">
        <w:rPr>
          <w:rFonts w:ascii="Verdana" w:hAnsi="Verdana" w:cs="Arial"/>
          <w:i/>
          <w:iCs/>
          <w:sz w:val="22"/>
          <w:szCs w:val="22"/>
          <w:lang w:val="es-ES"/>
        </w:rPr>
        <w:t>8</w:t>
      </w:r>
      <w:r w:rsidR="008C6308">
        <w:rPr>
          <w:rFonts w:ascii="Verdana" w:hAnsi="Verdana" w:cs="Arial"/>
          <w:i/>
          <w:iCs/>
          <w:sz w:val="22"/>
          <w:szCs w:val="22"/>
          <w:lang w:val="es-ES"/>
        </w:rPr>
        <w:t xml:space="preserve"> </w:t>
      </w:r>
      <w:r w:rsidRPr="00BB6F58">
        <w:rPr>
          <w:rFonts w:ascii="Verdana" w:hAnsi="Verdana" w:cs="Arial"/>
          <w:i/>
          <w:iCs/>
          <w:sz w:val="22"/>
          <w:szCs w:val="22"/>
          <w:lang w:val="es-ES"/>
        </w:rPr>
        <w:t>las entidades aseguradoras deberán dar aplicación</w:t>
      </w:r>
      <w:r w:rsidR="00D14A79">
        <w:rPr>
          <w:rFonts w:ascii="Verdana" w:hAnsi="Verdana" w:cs="Arial"/>
          <w:i/>
          <w:iCs/>
          <w:sz w:val="22"/>
          <w:szCs w:val="22"/>
          <w:lang w:val="es-ES"/>
        </w:rPr>
        <w:t xml:space="preserve"> </w:t>
      </w:r>
      <w:r w:rsidRPr="00BB6F58">
        <w:rPr>
          <w:rFonts w:ascii="Verdana" w:hAnsi="Verdana" w:cs="Arial"/>
          <w:i/>
          <w:iCs/>
          <w:sz w:val="22"/>
          <w:szCs w:val="22"/>
          <w:lang w:val="es-ES"/>
        </w:rPr>
        <w:t>plena a: (i)</w:t>
      </w:r>
      <w:r w:rsidR="00D14A79">
        <w:rPr>
          <w:rFonts w:ascii="Verdana" w:hAnsi="Verdana" w:cs="Arial"/>
          <w:i/>
          <w:iCs/>
          <w:sz w:val="22"/>
          <w:szCs w:val="22"/>
          <w:lang w:val="es-ES"/>
        </w:rPr>
        <w:t xml:space="preserve"> </w:t>
      </w:r>
      <w:r w:rsidRPr="00BB6F58">
        <w:rPr>
          <w:rFonts w:ascii="Verdana" w:hAnsi="Verdana" w:cs="Arial"/>
          <w:i/>
          <w:iCs/>
          <w:sz w:val="22"/>
          <w:szCs w:val="22"/>
          <w:lang w:val="es-ES"/>
        </w:rPr>
        <w:t>las disposiciones de la</w:t>
      </w:r>
      <w:r w:rsidR="00D14A79">
        <w:rPr>
          <w:rFonts w:ascii="Verdana" w:hAnsi="Verdana" w:cs="Arial"/>
          <w:i/>
          <w:iCs/>
          <w:sz w:val="22"/>
          <w:szCs w:val="22"/>
          <w:lang w:val="es-ES"/>
        </w:rPr>
        <w:t xml:space="preserve"> </w:t>
      </w:r>
      <w:r w:rsidRPr="00BB6F58">
        <w:rPr>
          <w:rFonts w:ascii="Verdana" w:hAnsi="Verdana" w:cs="Arial"/>
          <w:i/>
          <w:iCs/>
          <w:sz w:val="22"/>
          <w:szCs w:val="22"/>
          <w:lang w:val="es-ES"/>
        </w:rPr>
        <w:t>NIIF 17 (incorporada al anexo 1 del Decreto 2420 de 2015),</w:t>
      </w:r>
      <w:r w:rsidR="00D14A79">
        <w:rPr>
          <w:rFonts w:ascii="Verdana" w:hAnsi="Verdana" w:cs="Arial"/>
          <w:i/>
          <w:iCs/>
          <w:sz w:val="22"/>
          <w:szCs w:val="22"/>
          <w:lang w:val="es-ES"/>
        </w:rPr>
        <w:t xml:space="preserve"> </w:t>
      </w:r>
      <w:r w:rsidRPr="00BB6F58">
        <w:rPr>
          <w:rFonts w:ascii="Verdana" w:hAnsi="Verdana" w:cs="Arial"/>
          <w:i/>
          <w:iCs/>
          <w:sz w:val="22"/>
          <w:szCs w:val="22"/>
          <w:lang w:val="es-ES"/>
        </w:rPr>
        <w:t>(ii)</w:t>
      </w:r>
      <w:r w:rsidR="00D14A79">
        <w:rPr>
          <w:rFonts w:ascii="Verdana" w:hAnsi="Verdana" w:cs="Arial"/>
          <w:i/>
          <w:iCs/>
          <w:sz w:val="22"/>
          <w:szCs w:val="22"/>
          <w:lang w:val="es-ES"/>
        </w:rPr>
        <w:t xml:space="preserve"> </w:t>
      </w:r>
      <w:r w:rsidRPr="00BB6F58">
        <w:rPr>
          <w:rFonts w:ascii="Verdana" w:hAnsi="Verdana" w:cs="Arial"/>
          <w:i/>
          <w:iCs/>
          <w:sz w:val="22"/>
          <w:szCs w:val="22"/>
          <w:lang w:val="es-ES"/>
        </w:rPr>
        <w:t>las</w:t>
      </w:r>
      <w:r w:rsidR="00D14A79">
        <w:rPr>
          <w:rFonts w:ascii="Verdana" w:hAnsi="Verdana" w:cs="Arial"/>
          <w:i/>
          <w:iCs/>
          <w:sz w:val="22"/>
          <w:szCs w:val="22"/>
          <w:lang w:val="es-ES"/>
        </w:rPr>
        <w:t xml:space="preserve"> </w:t>
      </w:r>
      <w:r w:rsidRPr="00BB6F58">
        <w:rPr>
          <w:rFonts w:ascii="Verdana" w:hAnsi="Verdana" w:cs="Arial"/>
          <w:i/>
          <w:iCs/>
          <w:sz w:val="22"/>
          <w:szCs w:val="22"/>
          <w:lang w:val="es-ES"/>
        </w:rPr>
        <w:t>reglas contenidas en el</w:t>
      </w:r>
      <w:r w:rsidR="00D14A79">
        <w:rPr>
          <w:rFonts w:ascii="Verdana" w:hAnsi="Verdana" w:cs="Arial"/>
          <w:i/>
          <w:iCs/>
          <w:sz w:val="22"/>
          <w:szCs w:val="22"/>
          <w:lang w:val="es-ES"/>
        </w:rPr>
        <w:t xml:space="preserve"> </w:t>
      </w:r>
      <w:r w:rsidRPr="00BB6F58">
        <w:rPr>
          <w:rFonts w:ascii="Verdana" w:hAnsi="Verdana" w:cs="Arial"/>
          <w:i/>
          <w:iCs/>
          <w:sz w:val="22"/>
          <w:szCs w:val="22"/>
          <w:lang w:val="es-ES"/>
        </w:rPr>
        <w:t>Decreto</w:t>
      </w:r>
      <w:r w:rsidR="00D14A79">
        <w:rPr>
          <w:rFonts w:ascii="Verdana" w:hAnsi="Verdana" w:cs="Arial"/>
          <w:i/>
          <w:iCs/>
          <w:sz w:val="22"/>
          <w:szCs w:val="22"/>
          <w:lang w:val="es-ES"/>
        </w:rPr>
        <w:t xml:space="preserve"> </w:t>
      </w:r>
      <w:r w:rsidRPr="00BB6F58">
        <w:rPr>
          <w:rFonts w:ascii="Verdana" w:hAnsi="Verdana" w:cs="Arial"/>
          <w:i/>
          <w:iCs/>
          <w:sz w:val="22"/>
          <w:szCs w:val="22"/>
          <w:lang w:val="es-ES"/>
        </w:rPr>
        <w:t>2555 de 2010</w:t>
      </w:r>
      <w:r w:rsidR="00D14A79">
        <w:rPr>
          <w:rFonts w:ascii="Verdana" w:hAnsi="Verdana" w:cs="Arial"/>
          <w:i/>
          <w:iCs/>
          <w:sz w:val="22"/>
          <w:szCs w:val="22"/>
          <w:lang w:val="es-ES"/>
        </w:rPr>
        <w:t xml:space="preserve"> </w:t>
      </w:r>
      <w:r w:rsidRPr="00BB6F58">
        <w:rPr>
          <w:rFonts w:ascii="Verdana" w:hAnsi="Verdana" w:cs="Arial"/>
          <w:i/>
          <w:iCs/>
          <w:sz w:val="22"/>
          <w:szCs w:val="22"/>
          <w:lang w:val="es-ES"/>
        </w:rPr>
        <w:t>y (iii)</w:t>
      </w:r>
      <w:r w:rsidR="00D14A79">
        <w:rPr>
          <w:rFonts w:ascii="Verdana" w:hAnsi="Verdana" w:cs="Arial"/>
          <w:i/>
          <w:iCs/>
          <w:sz w:val="22"/>
          <w:szCs w:val="22"/>
          <w:lang w:val="es-ES"/>
        </w:rPr>
        <w:t xml:space="preserve"> </w:t>
      </w:r>
      <w:r w:rsidRPr="00BB6F58">
        <w:rPr>
          <w:rFonts w:ascii="Verdana" w:hAnsi="Verdana" w:cs="Arial"/>
          <w:i/>
          <w:iCs/>
          <w:sz w:val="22"/>
          <w:szCs w:val="22"/>
          <w:lang w:val="es-ES"/>
        </w:rPr>
        <w:t>las instrucciones</w:t>
      </w:r>
      <w:r w:rsidR="00D14A79">
        <w:rPr>
          <w:rFonts w:ascii="Verdana" w:hAnsi="Verdana" w:cs="Arial"/>
          <w:i/>
          <w:iCs/>
          <w:sz w:val="22"/>
          <w:szCs w:val="22"/>
          <w:lang w:val="es-ES"/>
        </w:rPr>
        <w:t xml:space="preserve"> </w:t>
      </w:r>
      <w:r w:rsidRPr="00BB6F58">
        <w:rPr>
          <w:rFonts w:ascii="Verdana" w:hAnsi="Verdana" w:cs="Arial"/>
          <w:i/>
          <w:iCs/>
          <w:sz w:val="22"/>
          <w:szCs w:val="22"/>
          <w:lang w:val="es-ES"/>
        </w:rPr>
        <w:t>de</w:t>
      </w:r>
      <w:r w:rsidR="00D14A79">
        <w:rPr>
          <w:rFonts w:ascii="Verdana" w:hAnsi="Verdana" w:cs="Arial"/>
          <w:i/>
          <w:iCs/>
          <w:sz w:val="22"/>
          <w:szCs w:val="22"/>
          <w:lang w:val="es-ES"/>
        </w:rPr>
        <w:t xml:space="preserve"> </w:t>
      </w:r>
      <w:r w:rsidRPr="00BB6F58">
        <w:rPr>
          <w:rFonts w:ascii="Verdana" w:hAnsi="Verdana" w:cs="Arial"/>
          <w:i/>
          <w:iCs/>
          <w:sz w:val="22"/>
          <w:szCs w:val="22"/>
          <w:lang w:val="es-ES"/>
        </w:rPr>
        <w:t>los</w:t>
      </w:r>
      <w:r w:rsidR="00D14A79">
        <w:rPr>
          <w:rFonts w:ascii="Verdana" w:hAnsi="Verdana" w:cs="Arial"/>
          <w:i/>
          <w:iCs/>
          <w:sz w:val="22"/>
          <w:szCs w:val="22"/>
          <w:lang w:val="es-ES"/>
        </w:rPr>
        <w:t xml:space="preserve"> </w:t>
      </w:r>
      <w:r w:rsidRPr="00BB6F58">
        <w:rPr>
          <w:rFonts w:ascii="Verdana" w:hAnsi="Verdana" w:cs="Arial"/>
          <w:i/>
          <w:iCs/>
          <w:sz w:val="22"/>
          <w:szCs w:val="22"/>
          <w:lang w:val="es-ES"/>
        </w:rPr>
        <w:t>Capítulos</w:t>
      </w:r>
      <w:r w:rsidR="00D14A79">
        <w:rPr>
          <w:rFonts w:ascii="Verdana" w:hAnsi="Verdana" w:cs="Arial"/>
          <w:i/>
          <w:iCs/>
          <w:sz w:val="22"/>
          <w:szCs w:val="22"/>
          <w:lang w:val="es-ES"/>
        </w:rPr>
        <w:t xml:space="preserve"> </w:t>
      </w:r>
      <w:r w:rsidRPr="00BB6F58">
        <w:rPr>
          <w:rFonts w:ascii="Verdana" w:hAnsi="Verdana" w:cs="Arial"/>
          <w:i/>
          <w:iCs/>
          <w:sz w:val="22"/>
          <w:szCs w:val="22"/>
          <w:lang w:val="es-ES"/>
        </w:rPr>
        <w:t>XXXIV y XXXV de la CBCF,</w:t>
      </w:r>
      <w:r w:rsidR="001F31EB">
        <w:rPr>
          <w:rFonts w:ascii="Verdana" w:hAnsi="Verdana" w:cs="Arial"/>
          <w:i/>
          <w:iCs/>
          <w:sz w:val="22"/>
          <w:szCs w:val="22"/>
          <w:lang w:val="es-ES"/>
        </w:rPr>
        <w:t xml:space="preserve"> o la norma que la modifique, adicione o sustituya,</w:t>
      </w:r>
      <w:r w:rsidR="00D14A79">
        <w:rPr>
          <w:rFonts w:ascii="Verdana" w:hAnsi="Verdana" w:cs="Arial"/>
          <w:i/>
          <w:iCs/>
          <w:sz w:val="22"/>
          <w:szCs w:val="22"/>
          <w:lang w:val="es-ES"/>
        </w:rPr>
        <w:t xml:space="preserve"> </w:t>
      </w:r>
      <w:r w:rsidRPr="00BB6F58">
        <w:rPr>
          <w:rFonts w:ascii="Verdana" w:hAnsi="Verdana" w:cs="Arial"/>
          <w:i/>
          <w:iCs/>
          <w:sz w:val="22"/>
          <w:szCs w:val="22"/>
          <w:lang w:val="es-ES"/>
        </w:rPr>
        <w:t>para todos los contratos celebrados o expedidos.</w:t>
      </w:r>
    </w:p>
    <w:p w14:paraId="52F74CDF" w14:textId="79CAA1D3" w:rsidR="00BB6F58" w:rsidRPr="00BB6F58" w:rsidRDefault="00BB6F58" w:rsidP="00BB6F58">
      <w:pPr>
        <w:widowControl w:val="0"/>
        <w:autoSpaceDE w:val="0"/>
        <w:autoSpaceDN w:val="0"/>
        <w:adjustRightInd w:val="0"/>
        <w:spacing w:line="276" w:lineRule="auto"/>
        <w:ind w:left="708"/>
        <w:jc w:val="both"/>
        <w:rPr>
          <w:rFonts w:ascii="Verdana" w:hAnsi="Verdana" w:cs="Arial"/>
          <w:i/>
          <w:iCs/>
          <w:sz w:val="22"/>
          <w:szCs w:val="22"/>
        </w:rPr>
      </w:pPr>
    </w:p>
    <w:p w14:paraId="744CE0D9" w14:textId="0B348DE6" w:rsidR="00BB6F58" w:rsidRDefault="00BB6F58" w:rsidP="00BB6F58">
      <w:pPr>
        <w:widowControl w:val="0"/>
        <w:autoSpaceDE w:val="0"/>
        <w:autoSpaceDN w:val="0"/>
        <w:adjustRightInd w:val="0"/>
        <w:spacing w:line="276" w:lineRule="auto"/>
        <w:ind w:left="708"/>
        <w:jc w:val="both"/>
        <w:rPr>
          <w:rFonts w:ascii="Verdana" w:hAnsi="Verdana" w:cs="Arial"/>
          <w:i/>
          <w:iCs/>
          <w:sz w:val="22"/>
          <w:szCs w:val="22"/>
          <w:lang w:val="es-ES"/>
        </w:rPr>
      </w:pPr>
      <w:r w:rsidRPr="00BB6F58">
        <w:rPr>
          <w:rFonts w:ascii="Verdana" w:hAnsi="Verdana" w:cs="Arial"/>
          <w:i/>
          <w:iCs/>
          <w:sz w:val="22"/>
          <w:szCs w:val="22"/>
          <w:lang w:val="es-ES"/>
        </w:rPr>
        <w:t>Para el caso de la reserva de insuficiencia de activos</w:t>
      </w:r>
      <w:r w:rsidR="00D14A79">
        <w:rPr>
          <w:rFonts w:ascii="Verdana" w:hAnsi="Verdana" w:cs="Arial"/>
          <w:i/>
          <w:iCs/>
          <w:sz w:val="22"/>
          <w:szCs w:val="22"/>
          <w:lang w:val="es-ES"/>
        </w:rPr>
        <w:t xml:space="preserve"> </w:t>
      </w:r>
      <w:r w:rsidRPr="00BB6F58">
        <w:rPr>
          <w:rFonts w:ascii="Verdana" w:hAnsi="Verdana" w:cs="Arial"/>
          <w:i/>
          <w:iCs/>
          <w:sz w:val="22"/>
          <w:szCs w:val="22"/>
          <w:lang w:val="es-ES"/>
        </w:rPr>
        <w:t>(RIA)</w:t>
      </w:r>
      <w:r w:rsidR="00D14A79">
        <w:rPr>
          <w:rFonts w:ascii="Verdana" w:hAnsi="Verdana" w:cs="Arial"/>
          <w:i/>
          <w:iCs/>
          <w:sz w:val="22"/>
          <w:szCs w:val="22"/>
          <w:lang w:val="es-ES"/>
        </w:rPr>
        <w:t xml:space="preserve"> </w:t>
      </w:r>
      <w:r w:rsidRPr="00BB6F58">
        <w:rPr>
          <w:rFonts w:ascii="Verdana" w:hAnsi="Verdana" w:cs="Arial"/>
          <w:i/>
          <w:iCs/>
          <w:sz w:val="22"/>
          <w:szCs w:val="22"/>
          <w:lang w:val="es-ES"/>
        </w:rPr>
        <w:t>de que trata el numeral</w:t>
      </w:r>
      <w:r w:rsidR="00D14A79">
        <w:rPr>
          <w:rFonts w:ascii="Verdana" w:hAnsi="Verdana" w:cs="Arial"/>
          <w:i/>
          <w:iCs/>
          <w:sz w:val="22"/>
          <w:szCs w:val="22"/>
          <w:lang w:val="es-ES"/>
        </w:rPr>
        <w:t xml:space="preserve"> </w:t>
      </w:r>
      <w:r w:rsidRPr="00BB6F58">
        <w:rPr>
          <w:rFonts w:ascii="Verdana" w:hAnsi="Verdana" w:cs="Arial"/>
          <w:i/>
          <w:iCs/>
          <w:sz w:val="22"/>
          <w:szCs w:val="22"/>
          <w:lang w:val="es-ES"/>
        </w:rPr>
        <w:t xml:space="preserve">5.3. </w:t>
      </w:r>
      <w:r w:rsidR="00473B90">
        <w:rPr>
          <w:rFonts w:ascii="Verdana" w:hAnsi="Verdana" w:cs="Arial"/>
          <w:i/>
          <w:iCs/>
          <w:sz w:val="22"/>
          <w:szCs w:val="22"/>
          <w:lang w:val="es-ES"/>
        </w:rPr>
        <w:t>«</w:t>
      </w:r>
      <w:r w:rsidR="00473B90" w:rsidRPr="00473B90">
        <w:rPr>
          <w:rFonts w:ascii="Verdana" w:hAnsi="Verdana" w:cs="Arial"/>
          <w:i/>
          <w:iCs/>
          <w:sz w:val="22"/>
          <w:szCs w:val="22"/>
          <w:lang w:val="es-ES"/>
        </w:rPr>
        <w:t>Reserva por insuficiencia de activos (RIA)</w:t>
      </w:r>
      <w:r w:rsidR="00473B90">
        <w:rPr>
          <w:rFonts w:ascii="Verdana" w:hAnsi="Verdana" w:cs="Arial"/>
          <w:i/>
          <w:iCs/>
          <w:sz w:val="22"/>
          <w:szCs w:val="22"/>
          <w:lang w:val="es-ES"/>
        </w:rPr>
        <w:t xml:space="preserve">» </w:t>
      </w:r>
      <w:r w:rsidRPr="00BB6F58">
        <w:rPr>
          <w:rFonts w:ascii="Verdana" w:hAnsi="Verdana" w:cs="Arial"/>
          <w:i/>
          <w:iCs/>
          <w:sz w:val="22"/>
          <w:szCs w:val="22"/>
          <w:lang w:val="es-ES"/>
        </w:rPr>
        <w:t xml:space="preserve">del Capítulo XXXIV </w:t>
      </w:r>
      <w:r w:rsidR="00882031">
        <w:rPr>
          <w:rFonts w:ascii="Verdana" w:hAnsi="Verdana" w:cs="Arial"/>
          <w:i/>
          <w:iCs/>
          <w:sz w:val="22"/>
          <w:szCs w:val="22"/>
          <w:lang w:val="es-ES"/>
        </w:rPr>
        <w:t>«</w:t>
      </w:r>
      <w:r w:rsidR="00882031" w:rsidRPr="00882031">
        <w:rPr>
          <w:rFonts w:ascii="Verdana" w:hAnsi="Verdana" w:cs="Arial"/>
          <w:i/>
          <w:iCs/>
          <w:sz w:val="22"/>
          <w:szCs w:val="22"/>
          <w:lang w:val="es-ES"/>
        </w:rPr>
        <w:t>Régimen prudencial de las reservas técnicas de las entidades aseguradoras</w:t>
      </w:r>
      <w:r w:rsidR="00882031">
        <w:rPr>
          <w:rFonts w:ascii="Verdana" w:hAnsi="Verdana" w:cs="Arial"/>
          <w:i/>
          <w:iCs/>
          <w:sz w:val="22"/>
          <w:szCs w:val="22"/>
          <w:lang w:val="es-ES"/>
        </w:rPr>
        <w:t>»</w:t>
      </w:r>
      <w:r w:rsidR="00882031" w:rsidRPr="00882031">
        <w:rPr>
          <w:rFonts w:ascii="Verdana" w:hAnsi="Verdana" w:cs="Arial"/>
          <w:i/>
          <w:iCs/>
          <w:sz w:val="22"/>
          <w:szCs w:val="22"/>
          <w:lang w:val="es-ES"/>
        </w:rPr>
        <w:t xml:space="preserve"> </w:t>
      </w:r>
      <w:r w:rsidRPr="00BB6F58">
        <w:rPr>
          <w:rFonts w:ascii="Verdana" w:hAnsi="Verdana" w:cs="Arial"/>
          <w:i/>
          <w:iCs/>
          <w:sz w:val="22"/>
          <w:szCs w:val="22"/>
          <w:lang w:val="es-ES"/>
        </w:rPr>
        <w:t>de la CBCF,</w:t>
      </w:r>
      <w:r w:rsidR="001F31EB">
        <w:rPr>
          <w:rFonts w:ascii="Verdana" w:hAnsi="Verdana" w:cs="Arial"/>
          <w:i/>
          <w:iCs/>
          <w:sz w:val="22"/>
          <w:szCs w:val="22"/>
          <w:lang w:val="es-ES"/>
        </w:rPr>
        <w:t xml:space="preserve"> o la norma que la modifique, adicione o sustituya</w:t>
      </w:r>
      <w:r w:rsidRPr="00BB6F58">
        <w:rPr>
          <w:rFonts w:ascii="Verdana" w:hAnsi="Verdana" w:cs="Arial"/>
          <w:i/>
          <w:iCs/>
          <w:sz w:val="22"/>
          <w:szCs w:val="22"/>
          <w:lang w:val="es-ES"/>
        </w:rPr>
        <w:t>, los pasivos empleados para</w:t>
      </w:r>
      <w:r w:rsidR="00D14A79">
        <w:rPr>
          <w:rFonts w:ascii="Verdana" w:hAnsi="Verdana" w:cs="Arial"/>
          <w:i/>
          <w:iCs/>
          <w:sz w:val="22"/>
          <w:szCs w:val="22"/>
          <w:lang w:val="es-ES"/>
        </w:rPr>
        <w:t xml:space="preserve"> </w:t>
      </w:r>
      <w:r w:rsidRPr="00BB6F58">
        <w:rPr>
          <w:rFonts w:ascii="Verdana" w:hAnsi="Verdana" w:cs="Arial"/>
          <w:i/>
          <w:iCs/>
          <w:sz w:val="22"/>
          <w:szCs w:val="22"/>
          <w:lang w:val="es-ES"/>
        </w:rPr>
        <w:t>el</w:t>
      </w:r>
      <w:r w:rsidR="00D14A79">
        <w:rPr>
          <w:rFonts w:ascii="Verdana" w:hAnsi="Verdana" w:cs="Arial"/>
          <w:i/>
          <w:iCs/>
          <w:sz w:val="22"/>
          <w:szCs w:val="22"/>
          <w:lang w:val="es-ES"/>
        </w:rPr>
        <w:t xml:space="preserve"> </w:t>
      </w:r>
      <w:r w:rsidRPr="00BB6F58">
        <w:rPr>
          <w:rFonts w:ascii="Verdana" w:hAnsi="Verdana" w:cs="Arial"/>
          <w:i/>
          <w:iCs/>
          <w:sz w:val="22"/>
          <w:szCs w:val="22"/>
          <w:lang w:val="es-ES"/>
        </w:rPr>
        <w:t>cálculo</w:t>
      </w:r>
      <w:r w:rsidR="00D14A79">
        <w:rPr>
          <w:rFonts w:ascii="Verdana" w:hAnsi="Verdana" w:cs="Arial"/>
          <w:i/>
          <w:iCs/>
          <w:sz w:val="22"/>
          <w:szCs w:val="22"/>
          <w:lang w:val="es-ES"/>
        </w:rPr>
        <w:t xml:space="preserve"> </w:t>
      </w:r>
      <w:r w:rsidRPr="00BB6F58">
        <w:rPr>
          <w:rFonts w:ascii="Verdana" w:hAnsi="Verdana" w:cs="Arial"/>
          <w:i/>
          <w:iCs/>
          <w:sz w:val="22"/>
          <w:szCs w:val="22"/>
          <w:lang w:val="es-ES"/>
        </w:rPr>
        <w:t>de esta reserva</w:t>
      </w:r>
      <w:r w:rsidR="00D14A79">
        <w:rPr>
          <w:rFonts w:ascii="Verdana" w:hAnsi="Verdana" w:cs="Arial"/>
          <w:i/>
          <w:iCs/>
          <w:sz w:val="22"/>
          <w:szCs w:val="22"/>
          <w:lang w:val="es-ES"/>
        </w:rPr>
        <w:t xml:space="preserve"> </w:t>
      </w:r>
      <w:r w:rsidRPr="00BB6F58">
        <w:rPr>
          <w:rFonts w:ascii="Verdana" w:hAnsi="Verdana" w:cs="Arial"/>
          <w:i/>
          <w:iCs/>
          <w:sz w:val="22"/>
          <w:szCs w:val="22"/>
          <w:lang w:val="es-ES"/>
        </w:rPr>
        <w:t xml:space="preserve">serán los </w:t>
      </w:r>
      <w:r w:rsidRPr="00BB6F58">
        <w:rPr>
          <w:rFonts w:ascii="Verdana" w:hAnsi="Verdana" w:cs="Arial"/>
          <w:i/>
          <w:iCs/>
          <w:sz w:val="22"/>
          <w:szCs w:val="22"/>
          <w:lang w:val="es-ES"/>
        </w:rPr>
        <w:lastRenderedPageBreak/>
        <w:t>reconocidos gradualmente en cada período, de conformidad con el período de transición previsto en la instrucción</w:t>
      </w:r>
      <w:r w:rsidR="004D6815">
        <w:rPr>
          <w:rFonts w:ascii="Verdana" w:hAnsi="Verdana" w:cs="Arial"/>
          <w:i/>
          <w:iCs/>
          <w:sz w:val="22"/>
          <w:szCs w:val="22"/>
          <w:lang w:val="es-ES"/>
        </w:rPr>
        <w:t xml:space="preserve"> </w:t>
      </w:r>
      <w:r w:rsidRPr="00BB6F58">
        <w:rPr>
          <w:rFonts w:ascii="Verdana" w:hAnsi="Verdana" w:cs="Arial"/>
          <w:i/>
          <w:iCs/>
          <w:sz w:val="22"/>
          <w:szCs w:val="22"/>
          <w:lang w:val="es-ES"/>
        </w:rPr>
        <w:t>DÉCIMAPRIMERA</w:t>
      </w:r>
      <w:r w:rsidR="004D6815">
        <w:rPr>
          <w:rFonts w:ascii="Verdana" w:hAnsi="Verdana" w:cs="Arial"/>
          <w:i/>
          <w:iCs/>
          <w:sz w:val="22"/>
          <w:szCs w:val="22"/>
          <w:lang w:val="es-ES"/>
        </w:rPr>
        <w:t xml:space="preserve"> </w:t>
      </w:r>
      <w:r w:rsidRPr="00BB6F58">
        <w:rPr>
          <w:rFonts w:ascii="Verdana" w:hAnsi="Verdana" w:cs="Arial"/>
          <w:i/>
          <w:iCs/>
          <w:sz w:val="22"/>
          <w:szCs w:val="22"/>
          <w:lang w:val="es-ES"/>
        </w:rPr>
        <w:t>de la presente Circular.</w:t>
      </w:r>
      <w:r w:rsidR="004D6815">
        <w:rPr>
          <w:rFonts w:ascii="Verdana" w:hAnsi="Verdana" w:cs="Arial"/>
          <w:i/>
          <w:iCs/>
          <w:sz w:val="22"/>
          <w:szCs w:val="22"/>
          <w:lang w:val="es-ES"/>
        </w:rPr>
        <w:t xml:space="preserve"> </w:t>
      </w:r>
      <w:r w:rsidRPr="00BB6F58">
        <w:rPr>
          <w:rFonts w:ascii="Verdana" w:hAnsi="Verdana" w:cs="Arial"/>
          <w:i/>
          <w:iCs/>
          <w:sz w:val="22"/>
          <w:szCs w:val="22"/>
          <w:lang w:val="es-ES"/>
        </w:rPr>
        <w:t>Una vez finalizada la</w:t>
      </w:r>
      <w:r w:rsidR="004D6815">
        <w:rPr>
          <w:rFonts w:ascii="Verdana" w:hAnsi="Verdana" w:cs="Arial"/>
          <w:i/>
          <w:iCs/>
          <w:sz w:val="22"/>
          <w:szCs w:val="22"/>
          <w:lang w:val="es-ES"/>
        </w:rPr>
        <w:t xml:space="preserve"> </w:t>
      </w:r>
      <w:r w:rsidRPr="00BB6F58">
        <w:rPr>
          <w:rFonts w:ascii="Verdana" w:hAnsi="Verdana" w:cs="Arial"/>
          <w:i/>
          <w:iCs/>
          <w:sz w:val="22"/>
          <w:szCs w:val="22"/>
          <w:lang w:val="es-ES"/>
        </w:rPr>
        <w:t>transición, el cálculo de la RIA deberá</w:t>
      </w:r>
      <w:r w:rsidR="004D6815">
        <w:rPr>
          <w:rFonts w:ascii="Verdana" w:hAnsi="Verdana" w:cs="Arial"/>
          <w:i/>
          <w:iCs/>
          <w:sz w:val="22"/>
          <w:szCs w:val="22"/>
          <w:lang w:val="es-ES"/>
        </w:rPr>
        <w:t xml:space="preserve"> </w:t>
      </w:r>
      <w:r w:rsidRPr="00BB6F58">
        <w:rPr>
          <w:rFonts w:ascii="Verdana" w:hAnsi="Verdana" w:cs="Arial"/>
          <w:i/>
          <w:iCs/>
          <w:sz w:val="22"/>
          <w:szCs w:val="22"/>
          <w:lang w:val="es-ES"/>
        </w:rPr>
        <w:t>tener en cuenta el monto total del pasivo reconocido, de acuerdo con el anexo aplicable.</w:t>
      </w:r>
    </w:p>
    <w:p w14:paraId="60B5027D" w14:textId="77777777" w:rsidR="003378A0" w:rsidRPr="008C6308" w:rsidRDefault="003378A0" w:rsidP="00BB6F58">
      <w:pPr>
        <w:widowControl w:val="0"/>
        <w:autoSpaceDE w:val="0"/>
        <w:autoSpaceDN w:val="0"/>
        <w:adjustRightInd w:val="0"/>
        <w:spacing w:line="276" w:lineRule="auto"/>
        <w:ind w:left="708"/>
        <w:jc w:val="both"/>
        <w:rPr>
          <w:rFonts w:ascii="Verdana" w:hAnsi="Verdana" w:cs="Arial"/>
          <w:i/>
          <w:sz w:val="22"/>
          <w:szCs w:val="22"/>
          <w:lang w:val="es-ES"/>
        </w:rPr>
      </w:pPr>
    </w:p>
    <w:p w14:paraId="7D9DF068" w14:textId="65CA6E4D" w:rsidR="00156293" w:rsidRDefault="00FF211D" w:rsidP="00D41E1D">
      <w:pPr>
        <w:widowControl w:val="0"/>
        <w:autoSpaceDE w:val="0"/>
        <w:autoSpaceDN w:val="0"/>
        <w:adjustRightInd w:val="0"/>
        <w:spacing w:line="276" w:lineRule="auto"/>
        <w:jc w:val="both"/>
        <w:rPr>
          <w:rFonts w:ascii="Verdana" w:hAnsi="Verdana" w:cs="Arial"/>
          <w:b/>
          <w:bCs/>
          <w:sz w:val="22"/>
          <w:szCs w:val="22"/>
        </w:rPr>
      </w:pPr>
      <w:r>
        <w:rPr>
          <w:rFonts w:ascii="Verdana" w:hAnsi="Verdana" w:cs="Arial"/>
          <w:b/>
          <w:bCs/>
          <w:sz w:val="22"/>
          <w:szCs w:val="22"/>
        </w:rPr>
        <w:t xml:space="preserve">SEXTA: </w:t>
      </w:r>
      <w:r w:rsidR="00AE2E43" w:rsidRPr="00AE2E43">
        <w:rPr>
          <w:rFonts w:ascii="Verdana" w:hAnsi="Verdana" w:cs="Arial"/>
          <w:sz w:val="22"/>
          <w:szCs w:val="22"/>
        </w:rPr>
        <w:t>Modificar la instrucción DÉCIMASEGUNDA de la Circular Externa 013 de 2025, la cual quedará así:</w:t>
      </w:r>
    </w:p>
    <w:p w14:paraId="0EC824C4" w14:textId="77777777" w:rsidR="00AE2E43" w:rsidRDefault="00AE2E43" w:rsidP="00D41E1D">
      <w:pPr>
        <w:widowControl w:val="0"/>
        <w:autoSpaceDE w:val="0"/>
        <w:autoSpaceDN w:val="0"/>
        <w:adjustRightInd w:val="0"/>
        <w:spacing w:line="276" w:lineRule="auto"/>
        <w:jc w:val="both"/>
        <w:rPr>
          <w:rFonts w:ascii="Verdana" w:hAnsi="Verdana" w:cs="Arial"/>
          <w:b/>
          <w:bCs/>
          <w:sz w:val="22"/>
          <w:szCs w:val="22"/>
        </w:rPr>
      </w:pPr>
    </w:p>
    <w:p w14:paraId="27003CE0" w14:textId="784BA50F" w:rsidR="00AE2E43" w:rsidRPr="00AE2E43" w:rsidRDefault="00AE2E43" w:rsidP="00AE2E43">
      <w:pPr>
        <w:widowControl w:val="0"/>
        <w:autoSpaceDE w:val="0"/>
        <w:autoSpaceDN w:val="0"/>
        <w:adjustRightInd w:val="0"/>
        <w:spacing w:line="276" w:lineRule="auto"/>
        <w:ind w:left="708"/>
        <w:jc w:val="both"/>
        <w:rPr>
          <w:rFonts w:ascii="Verdana" w:hAnsi="Verdana" w:cs="Arial"/>
          <w:i/>
          <w:iCs/>
          <w:sz w:val="22"/>
          <w:szCs w:val="22"/>
        </w:rPr>
      </w:pPr>
      <w:r w:rsidRPr="00AE2E43">
        <w:rPr>
          <w:rFonts w:ascii="Verdana" w:hAnsi="Verdana" w:cs="Arial"/>
          <w:b/>
          <w:bCs/>
          <w:i/>
          <w:iCs/>
          <w:sz w:val="22"/>
          <w:szCs w:val="22"/>
          <w:lang w:val="es-ES"/>
        </w:rPr>
        <w:t>DÉCIMASEGUNDA.</w:t>
      </w:r>
      <w:r w:rsidR="00232DCA">
        <w:rPr>
          <w:rFonts w:ascii="Verdana" w:hAnsi="Verdana" w:cs="Arial"/>
          <w:b/>
          <w:bCs/>
          <w:i/>
          <w:iCs/>
          <w:sz w:val="22"/>
          <w:szCs w:val="22"/>
          <w:lang w:val="es-ES"/>
        </w:rPr>
        <w:t xml:space="preserve"> </w:t>
      </w:r>
      <w:r w:rsidRPr="00AE2E43">
        <w:rPr>
          <w:rFonts w:ascii="Verdana" w:hAnsi="Verdana" w:cs="Arial"/>
          <w:b/>
          <w:bCs/>
          <w:i/>
          <w:iCs/>
          <w:sz w:val="22"/>
          <w:szCs w:val="22"/>
          <w:lang w:val="es-ES"/>
        </w:rPr>
        <w:t>INSTRUCCIONES PARA LA RECLASIFICACIÓN DE INVERSIONES</w:t>
      </w:r>
      <w:r w:rsidR="00360ABD">
        <w:rPr>
          <w:rFonts w:ascii="Verdana" w:hAnsi="Verdana" w:cs="Arial"/>
          <w:b/>
          <w:bCs/>
          <w:i/>
          <w:iCs/>
          <w:sz w:val="22"/>
          <w:szCs w:val="22"/>
          <w:lang w:val="es-ES"/>
        </w:rPr>
        <w:t xml:space="preserve"> </w:t>
      </w:r>
      <w:r w:rsidRPr="00AE2E43">
        <w:rPr>
          <w:rFonts w:ascii="Verdana" w:hAnsi="Verdana" w:cs="Arial"/>
          <w:b/>
          <w:bCs/>
          <w:i/>
          <w:iCs/>
          <w:sz w:val="22"/>
          <w:szCs w:val="22"/>
          <w:lang w:val="es-ES"/>
        </w:rPr>
        <w:t>EN EL PROCESO DE CONVERGENCIA A NIIF 17.</w:t>
      </w:r>
      <w:r w:rsidR="00232DCA">
        <w:rPr>
          <w:rFonts w:ascii="Verdana" w:hAnsi="Verdana" w:cs="Arial"/>
          <w:b/>
          <w:bCs/>
          <w:i/>
          <w:iCs/>
          <w:sz w:val="22"/>
          <w:szCs w:val="22"/>
          <w:lang w:val="es-ES"/>
        </w:rPr>
        <w:t xml:space="preserve"> </w:t>
      </w:r>
      <w:r w:rsidRPr="00AE2E43">
        <w:rPr>
          <w:rFonts w:ascii="Verdana" w:hAnsi="Verdana" w:cs="Arial"/>
          <w:i/>
          <w:iCs/>
          <w:sz w:val="22"/>
          <w:szCs w:val="22"/>
          <w:lang w:val="es-ES"/>
        </w:rPr>
        <w:t>Las entidades aseguradoras que en el marco del proceso de convergencia a la NIIF 17 requieran modificar su modelo de negocio para la adecuada gestión de los activos y pasivos relacionados con los contratos de seguros, con ocasión de la implementación de los nuevos marcos técnicos normativos de información financiera, podrán reclasificar las inversiones contabilizadas</w:t>
      </w:r>
      <w:r w:rsidR="007F6B7F">
        <w:rPr>
          <w:rFonts w:ascii="Verdana" w:hAnsi="Verdana" w:cs="Arial"/>
          <w:i/>
          <w:iCs/>
          <w:sz w:val="22"/>
          <w:szCs w:val="22"/>
          <w:lang w:val="es-ES"/>
        </w:rPr>
        <w:t xml:space="preserve"> </w:t>
      </w:r>
      <w:r w:rsidRPr="00AE2E43">
        <w:rPr>
          <w:rFonts w:ascii="Verdana" w:hAnsi="Verdana" w:cs="Arial"/>
          <w:i/>
          <w:iCs/>
          <w:sz w:val="22"/>
          <w:szCs w:val="22"/>
          <w:lang w:val="es-ES"/>
        </w:rPr>
        <w:t>como</w:t>
      </w:r>
      <w:r w:rsidR="007F6B7F">
        <w:rPr>
          <w:rFonts w:ascii="Verdana" w:hAnsi="Verdana" w:cs="Arial"/>
          <w:i/>
          <w:iCs/>
          <w:sz w:val="22"/>
          <w:szCs w:val="22"/>
          <w:lang w:val="es-ES"/>
        </w:rPr>
        <w:t xml:space="preserve"> </w:t>
      </w:r>
      <w:r w:rsidRPr="00AE2E43">
        <w:rPr>
          <w:rFonts w:ascii="Verdana" w:hAnsi="Verdana" w:cs="Arial"/>
          <w:i/>
          <w:iCs/>
          <w:sz w:val="22"/>
          <w:szCs w:val="22"/>
          <w:lang w:val="es-ES"/>
        </w:rPr>
        <w:t>«Inversiones para mantener hasta el vencimiento» para que se clasifiquen</w:t>
      </w:r>
      <w:r w:rsidR="007F6B7F">
        <w:rPr>
          <w:rFonts w:ascii="Verdana" w:hAnsi="Verdana" w:cs="Arial"/>
          <w:i/>
          <w:iCs/>
          <w:sz w:val="22"/>
          <w:szCs w:val="22"/>
          <w:lang w:val="es-ES"/>
        </w:rPr>
        <w:t xml:space="preserve"> </w:t>
      </w:r>
      <w:r w:rsidRPr="00AE2E43">
        <w:rPr>
          <w:rFonts w:ascii="Verdana" w:hAnsi="Verdana" w:cs="Arial"/>
          <w:i/>
          <w:iCs/>
          <w:sz w:val="22"/>
          <w:szCs w:val="22"/>
          <w:lang w:val="es-ES"/>
        </w:rPr>
        <w:t>como: (i)«Inversiones negociables»</w:t>
      </w:r>
      <w:r w:rsidR="007F6B7F">
        <w:rPr>
          <w:rFonts w:ascii="Verdana" w:hAnsi="Verdana" w:cs="Arial"/>
          <w:i/>
          <w:iCs/>
          <w:sz w:val="22"/>
          <w:szCs w:val="22"/>
          <w:lang w:val="es-ES"/>
        </w:rPr>
        <w:t xml:space="preserve"> </w:t>
      </w:r>
      <w:r w:rsidRPr="00AE2E43">
        <w:rPr>
          <w:rFonts w:ascii="Verdana" w:hAnsi="Verdana" w:cs="Arial"/>
          <w:i/>
          <w:iCs/>
          <w:sz w:val="22"/>
          <w:szCs w:val="22"/>
          <w:lang w:val="es-ES"/>
        </w:rPr>
        <w:t>y (ii)</w:t>
      </w:r>
      <w:r w:rsidR="007F6B7F">
        <w:rPr>
          <w:rFonts w:ascii="Verdana" w:hAnsi="Verdana" w:cs="Arial"/>
          <w:i/>
          <w:iCs/>
          <w:sz w:val="22"/>
          <w:szCs w:val="22"/>
          <w:lang w:val="es-ES"/>
        </w:rPr>
        <w:t xml:space="preserve"> </w:t>
      </w:r>
      <w:r w:rsidRPr="00AE2E43">
        <w:rPr>
          <w:rFonts w:ascii="Verdana" w:hAnsi="Verdana" w:cs="Arial"/>
          <w:i/>
          <w:iCs/>
          <w:sz w:val="22"/>
          <w:szCs w:val="22"/>
          <w:lang w:val="es-ES"/>
        </w:rPr>
        <w:t>«Inversiones disponibles para la venta»,</w:t>
      </w:r>
      <w:r w:rsidR="007F6B7F">
        <w:rPr>
          <w:rFonts w:ascii="Verdana" w:hAnsi="Verdana" w:cs="Arial"/>
          <w:i/>
          <w:iCs/>
          <w:sz w:val="22"/>
          <w:szCs w:val="22"/>
          <w:lang w:val="es-ES"/>
        </w:rPr>
        <w:t xml:space="preserve"> </w:t>
      </w:r>
      <w:r w:rsidRPr="00AE2E43">
        <w:rPr>
          <w:rFonts w:ascii="Verdana" w:hAnsi="Verdana" w:cs="Arial"/>
          <w:i/>
          <w:iCs/>
          <w:sz w:val="22"/>
          <w:szCs w:val="22"/>
          <w:lang w:val="es-ES"/>
        </w:rPr>
        <w:t>de acuerdo con</w:t>
      </w:r>
      <w:r w:rsidR="007F6B7F">
        <w:rPr>
          <w:rFonts w:ascii="Verdana" w:hAnsi="Verdana" w:cs="Arial"/>
          <w:i/>
          <w:iCs/>
          <w:sz w:val="22"/>
          <w:szCs w:val="22"/>
          <w:lang w:val="es-ES"/>
        </w:rPr>
        <w:t xml:space="preserve"> </w:t>
      </w:r>
      <w:r w:rsidRPr="00AE2E43">
        <w:rPr>
          <w:rFonts w:ascii="Verdana" w:hAnsi="Verdana" w:cs="Arial"/>
          <w:i/>
          <w:iCs/>
          <w:sz w:val="22"/>
          <w:szCs w:val="22"/>
          <w:lang w:val="es-ES"/>
        </w:rPr>
        <w:t>las siguientes instrucciones.</w:t>
      </w:r>
    </w:p>
    <w:p w14:paraId="4F2C31D2" w14:textId="2E654C1C" w:rsidR="00AE2E43" w:rsidRPr="00AE2E43" w:rsidRDefault="00AE2E43" w:rsidP="00AE2E43">
      <w:pPr>
        <w:widowControl w:val="0"/>
        <w:autoSpaceDE w:val="0"/>
        <w:autoSpaceDN w:val="0"/>
        <w:adjustRightInd w:val="0"/>
        <w:spacing w:line="276" w:lineRule="auto"/>
        <w:ind w:left="708"/>
        <w:jc w:val="both"/>
        <w:rPr>
          <w:rFonts w:ascii="Verdana" w:hAnsi="Verdana" w:cs="Arial"/>
          <w:i/>
          <w:iCs/>
          <w:sz w:val="22"/>
          <w:szCs w:val="22"/>
        </w:rPr>
      </w:pPr>
    </w:p>
    <w:p w14:paraId="6D8013F6" w14:textId="45A21732" w:rsidR="00AE2E43" w:rsidRPr="00AE2E43" w:rsidRDefault="00AE2E43" w:rsidP="00AE2E43">
      <w:pPr>
        <w:widowControl w:val="0"/>
        <w:autoSpaceDE w:val="0"/>
        <w:autoSpaceDN w:val="0"/>
        <w:adjustRightInd w:val="0"/>
        <w:spacing w:line="276" w:lineRule="auto"/>
        <w:ind w:left="708"/>
        <w:jc w:val="both"/>
        <w:rPr>
          <w:rFonts w:ascii="Verdana" w:hAnsi="Verdana" w:cs="Arial"/>
          <w:i/>
          <w:iCs/>
          <w:sz w:val="22"/>
          <w:szCs w:val="22"/>
        </w:rPr>
      </w:pPr>
      <w:r w:rsidRPr="00AE2E43">
        <w:rPr>
          <w:rFonts w:ascii="Verdana" w:hAnsi="Verdana" w:cs="Arial"/>
          <w:i/>
          <w:iCs/>
          <w:sz w:val="22"/>
          <w:szCs w:val="22"/>
        </w:rPr>
        <w:t>A</w:t>
      </w:r>
      <w:r w:rsidR="007F6B7F">
        <w:rPr>
          <w:rFonts w:ascii="Verdana" w:hAnsi="Verdana" w:cs="Arial"/>
          <w:i/>
          <w:iCs/>
          <w:sz w:val="22"/>
          <w:szCs w:val="22"/>
        </w:rPr>
        <w:t xml:space="preserve"> </w:t>
      </w:r>
      <w:r w:rsidRPr="00AE2E43">
        <w:rPr>
          <w:rFonts w:ascii="Verdana" w:hAnsi="Verdana" w:cs="Arial"/>
          <w:i/>
          <w:iCs/>
          <w:sz w:val="22"/>
          <w:szCs w:val="22"/>
        </w:rPr>
        <w:t xml:space="preserve">más tardar </w:t>
      </w:r>
      <w:r w:rsidRPr="00D11A8C">
        <w:rPr>
          <w:rFonts w:ascii="Verdana" w:hAnsi="Verdana" w:cs="Arial"/>
          <w:i/>
          <w:iCs/>
          <w:sz w:val="22"/>
          <w:szCs w:val="22"/>
          <w:lang w:val="es-ES"/>
        </w:rPr>
        <w:t>el 30</w:t>
      </w:r>
      <w:r w:rsidR="007F6B7F" w:rsidRPr="00D11A8C">
        <w:rPr>
          <w:rFonts w:ascii="Verdana" w:hAnsi="Verdana" w:cs="Arial"/>
          <w:i/>
          <w:iCs/>
          <w:sz w:val="22"/>
          <w:szCs w:val="22"/>
          <w:lang w:val="es-ES"/>
        </w:rPr>
        <w:t xml:space="preserve"> </w:t>
      </w:r>
      <w:r w:rsidRPr="00D11A8C">
        <w:rPr>
          <w:rFonts w:ascii="Verdana" w:hAnsi="Verdana" w:cs="Arial"/>
          <w:i/>
          <w:iCs/>
          <w:sz w:val="22"/>
          <w:szCs w:val="22"/>
          <w:lang w:val="es-ES"/>
        </w:rPr>
        <w:t>de</w:t>
      </w:r>
      <w:r w:rsidR="00D11A8C">
        <w:rPr>
          <w:rFonts w:ascii="Verdana" w:hAnsi="Verdana" w:cs="Arial"/>
          <w:i/>
          <w:iCs/>
          <w:sz w:val="22"/>
          <w:szCs w:val="22"/>
          <w:lang w:val="es-ES"/>
        </w:rPr>
        <w:t xml:space="preserve"> </w:t>
      </w:r>
      <w:r w:rsidRPr="00D11A8C">
        <w:rPr>
          <w:rFonts w:ascii="Verdana" w:hAnsi="Verdana" w:cs="Arial"/>
          <w:i/>
          <w:iCs/>
          <w:sz w:val="22"/>
          <w:szCs w:val="22"/>
          <w:lang w:val="es-ES"/>
        </w:rPr>
        <w:t>septiembre</w:t>
      </w:r>
      <w:r w:rsidR="007F6B7F" w:rsidRPr="00D11A8C">
        <w:rPr>
          <w:rFonts w:ascii="Verdana" w:hAnsi="Verdana" w:cs="Arial"/>
          <w:i/>
          <w:iCs/>
          <w:sz w:val="22"/>
          <w:szCs w:val="22"/>
          <w:lang w:val="es-ES"/>
        </w:rPr>
        <w:t xml:space="preserve"> </w:t>
      </w:r>
      <w:r w:rsidRPr="00D11A8C">
        <w:rPr>
          <w:rFonts w:ascii="Verdana" w:hAnsi="Verdana" w:cs="Arial"/>
          <w:i/>
          <w:iCs/>
          <w:sz w:val="22"/>
          <w:szCs w:val="22"/>
          <w:lang w:val="es-ES"/>
        </w:rPr>
        <w:t>de 202</w:t>
      </w:r>
      <w:r w:rsidR="00973149" w:rsidRPr="00D11A8C">
        <w:rPr>
          <w:rFonts w:ascii="Verdana" w:hAnsi="Verdana" w:cs="Arial"/>
          <w:i/>
          <w:iCs/>
          <w:sz w:val="22"/>
          <w:szCs w:val="22"/>
          <w:lang w:val="es-ES"/>
        </w:rPr>
        <w:t>7</w:t>
      </w:r>
      <w:r w:rsidRPr="00D11A8C">
        <w:rPr>
          <w:rFonts w:ascii="Verdana" w:hAnsi="Verdana" w:cs="Arial"/>
          <w:i/>
          <w:iCs/>
          <w:sz w:val="22"/>
          <w:szCs w:val="22"/>
          <w:lang w:val="es-ES"/>
        </w:rPr>
        <w:t xml:space="preserve"> las entidades</w:t>
      </w:r>
      <w:r w:rsidR="007F6B7F" w:rsidRPr="00D11A8C">
        <w:rPr>
          <w:rFonts w:ascii="Verdana" w:hAnsi="Verdana" w:cs="Arial"/>
          <w:i/>
          <w:iCs/>
          <w:sz w:val="22"/>
          <w:szCs w:val="22"/>
          <w:lang w:val="es-ES"/>
        </w:rPr>
        <w:t xml:space="preserve"> </w:t>
      </w:r>
      <w:r w:rsidRPr="00D11A8C">
        <w:rPr>
          <w:rFonts w:ascii="Verdana" w:hAnsi="Verdana" w:cs="Arial"/>
          <w:i/>
          <w:iCs/>
          <w:sz w:val="22"/>
          <w:szCs w:val="22"/>
          <w:lang w:val="es-ES"/>
        </w:rPr>
        <w:t>aseguradoras</w:t>
      </w:r>
      <w:r w:rsidR="007F6B7F" w:rsidRPr="00D11A8C">
        <w:rPr>
          <w:rFonts w:ascii="Verdana" w:hAnsi="Verdana" w:cs="Arial"/>
          <w:i/>
          <w:iCs/>
          <w:sz w:val="22"/>
          <w:szCs w:val="22"/>
          <w:lang w:val="es-ES"/>
        </w:rPr>
        <w:t xml:space="preserve"> </w:t>
      </w:r>
      <w:r w:rsidRPr="00D11A8C">
        <w:rPr>
          <w:rFonts w:ascii="Verdana" w:hAnsi="Verdana" w:cs="Arial"/>
          <w:i/>
          <w:iCs/>
          <w:sz w:val="22"/>
          <w:szCs w:val="22"/>
          <w:lang w:val="es-ES"/>
        </w:rPr>
        <w:t>deben remitir a la SFC una comunicación en</w:t>
      </w:r>
      <w:r w:rsidRPr="00AE2E43">
        <w:rPr>
          <w:rFonts w:ascii="Verdana" w:hAnsi="Verdana" w:cs="Arial"/>
          <w:i/>
          <w:iCs/>
          <w:sz w:val="22"/>
          <w:szCs w:val="22"/>
        </w:rPr>
        <w:t xml:space="preserve"> la cual se incluya: (i) la información de las inversiones que serán objeto de reclasificación</w:t>
      </w:r>
      <w:r w:rsidR="00232DCA">
        <w:rPr>
          <w:rFonts w:ascii="Verdana" w:hAnsi="Verdana" w:cs="Arial"/>
          <w:i/>
          <w:iCs/>
          <w:sz w:val="22"/>
          <w:szCs w:val="22"/>
        </w:rPr>
        <w:t xml:space="preserve"> </w:t>
      </w:r>
      <w:r w:rsidRPr="00AE2E43">
        <w:rPr>
          <w:rFonts w:ascii="Verdana" w:hAnsi="Verdana" w:cs="Arial"/>
          <w:i/>
          <w:iCs/>
          <w:sz w:val="22"/>
          <w:szCs w:val="22"/>
        </w:rPr>
        <w:t>a</w:t>
      </w:r>
      <w:r w:rsidR="00232DCA">
        <w:rPr>
          <w:rFonts w:ascii="Verdana" w:hAnsi="Verdana" w:cs="Arial"/>
          <w:i/>
          <w:iCs/>
          <w:sz w:val="22"/>
          <w:szCs w:val="22"/>
        </w:rPr>
        <w:t xml:space="preserve"> </w:t>
      </w:r>
      <w:r w:rsidRPr="00AE2E43">
        <w:rPr>
          <w:rFonts w:ascii="Verdana" w:hAnsi="Verdana" w:cs="Arial"/>
          <w:i/>
          <w:iCs/>
          <w:sz w:val="22"/>
          <w:szCs w:val="22"/>
        </w:rPr>
        <w:t>«Disponibles para la venta»</w:t>
      </w:r>
      <w:r w:rsidR="00232DCA">
        <w:rPr>
          <w:rFonts w:ascii="Verdana" w:hAnsi="Verdana" w:cs="Arial"/>
          <w:i/>
          <w:iCs/>
          <w:sz w:val="22"/>
          <w:szCs w:val="22"/>
        </w:rPr>
        <w:t xml:space="preserve"> </w:t>
      </w:r>
      <w:r w:rsidRPr="00AE2E43">
        <w:rPr>
          <w:rFonts w:ascii="Verdana" w:hAnsi="Verdana" w:cs="Arial"/>
          <w:i/>
          <w:iCs/>
          <w:sz w:val="22"/>
          <w:szCs w:val="22"/>
        </w:rPr>
        <w:t>o</w:t>
      </w:r>
      <w:r w:rsidR="00232DCA">
        <w:rPr>
          <w:rFonts w:ascii="Verdana" w:hAnsi="Verdana" w:cs="Arial"/>
          <w:i/>
          <w:iCs/>
          <w:sz w:val="22"/>
          <w:szCs w:val="22"/>
        </w:rPr>
        <w:t xml:space="preserve"> </w:t>
      </w:r>
      <w:r w:rsidRPr="00AE2E43">
        <w:rPr>
          <w:rFonts w:ascii="Verdana" w:hAnsi="Verdana" w:cs="Arial"/>
          <w:i/>
          <w:iCs/>
          <w:sz w:val="22"/>
          <w:szCs w:val="22"/>
          <w:lang w:val="es-ES"/>
        </w:rPr>
        <w:t>«Inversiones negociables»;</w:t>
      </w:r>
      <w:r w:rsidR="00232DCA">
        <w:rPr>
          <w:rFonts w:ascii="Verdana" w:hAnsi="Verdana" w:cs="Arial"/>
          <w:i/>
          <w:iCs/>
          <w:sz w:val="22"/>
          <w:szCs w:val="22"/>
          <w:lang w:val="es-ES"/>
        </w:rPr>
        <w:t xml:space="preserve"> </w:t>
      </w:r>
      <w:r w:rsidRPr="00AE2E43">
        <w:rPr>
          <w:rFonts w:ascii="Verdana" w:hAnsi="Verdana" w:cs="Arial"/>
          <w:i/>
          <w:iCs/>
          <w:sz w:val="22"/>
          <w:szCs w:val="22"/>
        </w:rPr>
        <w:t>(ii) las razones para la reclasificación de las inversiones</w:t>
      </w:r>
      <w:r w:rsidR="00232DCA">
        <w:rPr>
          <w:rFonts w:ascii="Verdana" w:hAnsi="Verdana" w:cs="Arial"/>
          <w:i/>
          <w:iCs/>
          <w:sz w:val="22"/>
          <w:szCs w:val="22"/>
        </w:rPr>
        <w:t xml:space="preserve"> </w:t>
      </w:r>
      <w:r w:rsidRPr="00AE2E43">
        <w:rPr>
          <w:rFonts w:ascii="Verdana" w:hAnsi="Verdana" w:cs="Arial"/>
          <w:i/>
          <w:iCs/>
          <w:sz w:val="22"/>
          <w:szCs w:val="22"/>
        </w:rPr>
        <w:t>como</w:t>
      </w:r>
      <w:r w:rsidR="00232DCA">
        <w:rPr>
          <w:rFonts w:ascii="Verdana" w:hAnsi="Verdana" w:cs="Arial"/>
          <w:i/>
          <w:iCs/>
          <w:sz w:val="22"/>
          <w:szCs w:val="22"/>
        </w:rPr>
        <w:t xml:space="preserve"> </w:t>
      </w:r>
      <w:r w:rsidRPr="00AE2E43">
        <w:rPr>
          <w:rFonts w:ascii="Verdana" w:hAnsi="Verdana" w:cs="Arial"/>
          <w:i/>
          <w:iCs/>
          <w:sz w:val="22"/>
          <w:szCs w:val="22"/>
        </w:rPr>
        <w:t>«Disponibles para la venta»</w:t>
      </w:r>
      <w:r w:rsidR="00232DCA">
        <w:rPr>
          <w:rFonts w:ascii="Verdana" w:hAnsi="Verdana" w:cs="Arial"/>
          <w:i/>
          <w:iCs/>
          <w:sz w:val="22"/>
          <w:szCs w:val="22"/>
        </w:rPr>
        <w:t xml:space="preserve"> </w:t>
      </w:r>
      <w:r w:rsidRPr="00AE2E43">
        <w:rPr>
          <w:rFonts w:ascii="Verdana" w:hAnsi="Verdana" w:cs="Arial"/>
          <w:i/>
          <w:iCs/>
          <w:sz w:val="22"/>
          <w:szCs w:val="22"/>
        </w:rPr>
        <w:t>o</w:t>
      </w:r>
      <w:r w:rsidR="00232DCA">
        <w:rPr>
          <w:rFonts w:ascii="Verdana" w:hAnsi="Verdana" w:cs="Arial"/>
          <w:i/>
          <w:iCs/>
          <w:sz w:val="22"/>
          <w:szCs w:val="22"/>
        </w:rPr>
        <w:t xml:space="preserve"> </w:t>
      </w:r>
      <w:r w:rsidRPr="00AE2E43">
        <w:rPr>
          <w:rFonts w:ascii="Verdana" w:hAnsi="Verdana" w:cs="Arial"/>
          <w:i/>
          <w:iCs/>
          <w:sz w:val="22"/>
          <w:szCs w:val="22"/>
          <w:lang w:val="es-ES"/>
        </w:rPr>
        <w:t>«Inversiones negociables»</w:t>
      </w:r>
      <w:r w:rsidR="00232DCA">
        <w:rPr>
          <w:rFonts w:ascii="Verdana" w:hAnsi="Verdana" w:cs="Arial"/>
          <w:i/>
          <w:iCs/>
          <w:sz w:val="22"/>
          <w:szCs w:val="22"/>
          <w:lang w:val="es-ES"/>
        </w:rPr>
        <w:t xml:space="preserve"> </w:t>
      </w:r>
      <w:r w:rsidRPr="00AE2E43">
        <w:rPr>
          <w:rFonts w:ascii="Verdana" w:hAnsi="Verdana" w:cs="Arial"/>
          <w:i/>
          <w:iCs/>
          <w:sz w:val="22"/>
          <w:szCs w:val="22"/>
          <w:lang w:val="es-ES"/>
        </w:rPr>
        <w:t>y,</w:t>
      </w:r>
      <w:r w:rsidR="00232DCA">
        <w:rPr>
          <w:rFonts w:ascii="Verdana" w:hAnsi="Verdana" w:cs="Arial"/>
          <w:i/>
          <w:iCs/>
          <w:sz w:val="22"/>
          <w:szCs w:val="22"/>
        </w:rPr>
        <w:t xml:space="preserve"> </w:t>
      </w:r>
      <w:r w:rsidRPr="00AE2E43">
        <w:rPr>
          <w:rFonts w:ascii="Verdana" w:hAnsi="Verdana" w:cs="Arial"/>
          <w:i/>
          <w:iCs/>
          <w:sz w:val="22"/>
          <w:szCs w:val="22"/>
        </w:rPr>
        <w:t xml:space="preserve">(iii) los impactos estimados por la reclasificación en el </w:t>
      </w:r>
      <w:r w:rsidR="001D3193">
        <w:rPr>
          <w:rFonts w:ascii="Verdana" w:hAnsi="Verdana" w:cs="Arial"/>
          <w:i/>
          <w:iCs/>
          <w:sz w:val="22"/>
          <w:szCs w:val="22"/>
        </w:rPr>
        <w:t xml:space="preserve">código: 3815000000 </w:t>
      </w:r>
      <w:r w:rsidR="00FC5837">
        <w:rPr>
          <w:rFonts w:ascii="Verdana" w:hAnsi="Verdana" w:cs="Arial"/>
          <w:i/>
          <w:iCs/>
          <w:sz w:val="22"/>
          <w:szCs w:val="22"/>
        </w:rPr>
        <w:t>«I</w:t>
      </w:r>
      <w:r w:rsidR="00FC5837" w:rsidRPr="00FC5837">
        <w:rPr>
          <w:rFonts w:ascii="Verdana" w:hAnsi="Verdana" w:cs="Arial"/>
          <w:i/>
          <w:iCs/>
          <w:sz w:val="22"/>
          <w:szCs w:val="22"/>
        </w:rPr>
        <w:t xml:space="preserve">nversiones medidas al valor razonable con cambios en el </w:t>
      </w:r>
      <w:r w:rsidR="00FC5837">
        <w:rPr>
          <w:rFonts w:ascii="Verdana" w:hAnsi="Verdana" w:cs="Arial"/>
          <w:i/>
          <w:iCs/>
          <w:sz w:val="22"/>
          <w:szCs w:val="22"/>
        </w:rPr>
        <w:t>ORI</w:t>
      </w:r>
      <w:r w:rsidR="00FC5837" w:rsidRPr="00FC5837">
        <w:rPr>
          <w:rFonts w:ascii="Verdana" w:hAnsi="Verdana" w:cs="Arial"/>
          <w:i/>
          <w:iCs/>
          <w:sz w:val="22"/>
          <w:szCs w:val="22"/>
        </w:rPr>
        <w:t xml:space="preserve"> por aplicación por primera vez de la </w:t>
      </w:r>
      <w:r w:rsidR="00466F75">
        <w:rPr>
          <w:rFonts w:ascii="Verdana" w:hAnsi="Verdana" w:cs="Arial"/>
          <w:i/>
          <w:iCs/>
          <w:sz w:val="22"/>
          <w:szCs w:val="22"/>
        </w:rPr>
        <w:t>NIIF</w:t>
      </w:r>
      <w:r w:rsidR="00FC5837" w:rsidRPr="00FC5837">
        <w:rPr>
          <w:rFonts w:ascii="Verdana" w:hAnsi="Verdana" w:cs="Arial"/>
          <w:i/>
          <w:iCs/>
          <w:sz w:val="22"/>
          <w:szCs w:val="22"/>
        </w:rPr>
        <w:t xml:space="preserve"> 17</w:t>
      </w:r>
      <w:r w:rsidR="00FC5837">
        <w:rPr>
          <w:rFonts w:ascii="Verdana" w:hAnsi="Verdana" w:cs="Arial"/>
          <w:i/>
          <w:iCs/>
          <w:sz w:val="22"/>
          <w:szCs w:val="22"/>
        </w:rPr>
        <w:t>»</w:t>
      </w:r>
      <w:r w:rsidR="00FC5837" w:rsidRPr="00FC5837">
        <w:rPr>
          <w:rFonts w:ascii="Verdana" w:hAnsi="Verdana" w:cs="Arial"/>
          <w:i/>
          <w:iCs/>
          <w:sz w:val="22"/>
          <w:szCs w:val="22"/>
        </w:rPr>
        <w:t xml:space="preserve"> </w:t>
      </w:r>
      <w:r w:rsidR="00FC5837">
        <w:rPr>
          <w:rFonts w:ascii="Verdana" w:hAnsi="Verdana" w:cs="Arial"/>
          <w:i/>
          <w:iCs/>
          <w:sz w:val="22"/>
          <w:szCs w:val="22"/>
        </w:rPr>
        <w:t xml:space="preserve">del </w:t>
      </w:r>
      <w:r w:rsidR="00377739">
        <w:rPr>
          <w:rFonts w:ascii="Verdana" w:hAnsi="Verdana" w:cs="Arial"/>
          <w:i/>
          <w:iCs/>
          <w:sz w:val="22"/>
          <w:szCs w:val="22"/>
        </w:rPr>
        <w:t xml:space="preserve">CUIF </w:t>
      </w:r>
      <w:r w:rsidRPr="00AE2E43">
        <w:rPr>
          <w:rFonts w:ascii="Verdana" w:hAnsi="Verdana" w:cs="Arial"/>
          <w:i/>
          <w:iCs/>
          <w:sz w:val="22"/>
          <w:szCs w:val="22"/>
        </w:rPr>
        <w:t>por la reclasificación a inversiones disponibles para la venta,</w:t>
      </w:r>
      <w:r w:rsidR="00232DCA">
        <w:rPr>
          <w:rFonts w:ascii="Verdana" w:hAnsi="Verdana" w:cs="Arial"/>
          <w:i/>
          <w:iCs/>
          <w:sz w:val="22"/>
          <w:szCs w:val="22"/>
        </w:rPr>
        <w:t xml:space="preserve"> </w:t>
      </w:r>
      <w:r w:rsidRPr="00AE2E43">
        <w:rPr>
          <w:rFonts w:ascii="Verdana" w:hAnsi="Verdana" w:cs="Arial"/>
          <w:i/>
          <w:iCs/>
          <w:sz w:val="22"/>
          <w:szCs w:val="22"/>
        </w:rPr>
        <w:t>o en el</w:t>
      </w:r>
      <w:r w:rsidR="00232DCA">
        <w:rPr>
          <w:rFonts w:ascii="Verdana" w:hAnsi="Verdana" w:cs="Arial"/>
          <w:i/>
          <w:iCs/>
          <w:sz w:val="22"/>
          <w:szCs w:val="22"/>
        </w:rPr>
        <w:t xml:space="preserve"> </w:t>
      </w:r>
      <w:r w:rsidRPr="00AE2E43">
        <w:rPr>
          <w:rFonts w:ascii="Verdana" w:hAnsi="Verdana" w:cs="Arial"/>
          <w:i/>
          <w:iCs/>
          <w:sz w:val="22"/>
          <w:szCs w:val="22"/>
          <w:lang w:val="es-ES"/>
        </w:rPr>
        <w:t>«</w:t>
      </w:r>
      <w:r w:rsidRPr="00AE2E43">
        <w:rPr>
          <w:rFonts w:ascii="Verdana" w:hAnsi="Verdana" w:cs="Arial"/>
          <w:i/>
          <w:iCs/>
          <w:sz w:val="22"/>
          <w:szCs w:val="22"/>
        </w:rPr>
        <w:t>Estado de resultados»</w:t>
      </w:r>
      <w:r w:rsidR="00232DCA">
        <w:rPr>
          <w:rFonts w:ascii="Verdana" w:hAnsi="Verdana" w:cs="Arial"/>
          <w:i/>
          <w:iCs/>
          <w:sz w:val="22"/>
          <w:szCs w:val="22"/>
        </w:rPr>
        <w:t xml:space="preserve"> </w:t>
      </w:r>
      <w:r w:rsidRPr="00AE2E43">
        <w:rPr>
          <w:rFonts w:ascii="Verdana" w:hAnsi="Verdana" w:cs="Arial"/>
          <w:i/>
          <w:iCs/>
          <w:sz w:val="22"/>
          <w:szCs w:val="22"/>
        </w:rPr>
        <w:t>por la reclasificación a inversiones negociables.</w:t>
      </w:r>
    </w:p>
    <w:p w14:paraId="658AB9ED" w14:textId="1E7FBAEF" w:rsidR="00AE2E43" w:rsidRPr="00AE2E43" w:rsidRDefault="00AE2E43" w:rsidP="00AE2E43">
      <w:pPr>
        <w:widowControl w:val="0"/>
        <w:autoSpaceDE w:val="0"/>
        <w:autoSpaceDN w:val="0"/>
        <w:adjustRightInd w:val="0"/>
        <w:spacing w:line="276" w:lineRule="auto"/>
        <w:ind w:left="708"/>
        <w:jc w:val="both"/>
        <w:rPr>
          <w:rFonts w:ascii="Verdana" w:hAnsi="Verdana" w:cs="Arial"/>
          <w:i/>
          <w:iCs/>
          <w:sz w:val="22"/>
          <w:szCs w:val="22"/>
        </w:rPr>
      </w:pPr>
    </w:p>
    <w:p w14:paraId="160BB927" w14:textId="318C4FA6" w:rsidR="00AE2E43" w:rsidRPr="00AE2E43" w:rsidRDefault="00AE2E43" w:rsidP="00AE2E43">
      <w:pPr>
        <w:widowControl w:val="0"/>
        <w:autoSpaceDE w:val="0"/>
        <w:autoSpaceDN w:val="0"/>
        <w:adjustRightInd w:val="0"/>
        <w:spacing w:line="276" w:lineRule="auto"/>
        <w:ind w:left="708"/>
        <w:jc w:val="both"/>
        <w:rPr>
          <w:rFonts w:ascii="Verdana" w:hAnsi="Verdana" w:cs="Arial"/>
          <w:i/>
          <w:iCs/>
          <w:sz w:val="22"/>
          <w:szCs w:val="22"/>
        </w:rPr>
      </w:pPr>
      <w:r w:rsidRPr="00AE2E43">
        <w:rPr>
          <w:rFonts w:ascii="Verdana" w:hAnsi="Verdana" w:cs="Arial"/>
          <w:i/>
          <w:iCs/>
          <w:sz w:val="22"/>
          <w:szCs w:val="22"/>
        </w:rPr>
        <w:t>Una vez radicada</w:t>
      </w:r>
      <w:r w:rsidR="00D11A8C">
        <w:rPr>
          <w:rFonts w:ascii="Verdana" w:hAnsi="Verdana" w:cs="Arial"/>
          <w:i/>
          <w:iCs/>
          <w:sz w:val="22"/>
          <w:szCs w:val="22"/>
        </w:rPr>
        <w:t xml:space="preserve"> </w:t>
      </w:r>
      <w:r w:rsidRPr="00AE2E43">
        <w:rPr>
          <w:rFonts w:ascii="Verdana" w:hAnsi="Verdana" w:cs="Arial"/>
          <w:i/>
          <w:iCs/>
          <w:sz w:val="22"/>
          <w:szCs w:val="22"/>
        </w:rPr>
        <w:t>esta</w:t>
      </w:r>
      <w:r w:rsidR="00D11A8C">
        <w:rPr>
          <w:rFonts w:ascii="Verdana" w:hAnsi="Verdana" w:cs="Arial"/>
          <w:i/>
          <w:iCs/>
          <w:sz w:val="22"/>
          <w:szCs w:val="22"/>
        </w:rPr>
        <w:t xml:space="preserve"> </w:t>
      </w:r>
      <w:r w:rsidRPr="00AE2E43">
        <w:rPr>
          <w:rFonts w:ascii="Verdana" w:hAnsi="Verdana" w:cs="Arial"/>
          <w:i/>
          <w:iCs/>
          <w:sz w:val="22"/>
          <w:szCs w:val="22"/>
        </w:rPr>
        <w:t>comunicación ante</w:t>
      </w:r>
      <w:r w:rsidR="00D11A8C">
        <w:rPr>
          <w:rFonts w:ascii="Verdana" w:hAnsi="Verdana" w:cs="Arial"/>
          <w:i/>
          <w:iCs/>
          <w:sz w:val="22"/>
          <w:szCs w:val="22"/>
        </w:rPr>
        <w:t xml:space="preserve"> </w:t>
      </w:r>
      <w:r w:rsidRPr="00AE2E43">
        <w:rPr>
          <w:rFonts w:ascii="Verdana" w:hAnsi="Verdana" w:cs="Arial"/>
          <w:i/>
          <w:iCs/>
          <w:sz w:val="22"/>
          <w:szCs w:val="22"/>
        </w:rPr>
        <w:t>la Superintendencia, la entidad podrá</w:t>
      </w:r>
      <w:r w:rsidR="00D11A8C">
        <w:rPr>
          <w:rFonts w:ascii="Verdana" w:hAnsi="Verdana" w:cs="Arial"/>
          <w:i/>
          <w:iCs/>
          <w:sz w:val="22"/>
          <w:szCs w:val="22"/>
        </w:rPr>
        <w:t xml:space="preserve"> </w:t>
      </w:r>
      <w:r w:rsidRPr="00AE2E43">
        <w:rPr>
          <w:rFonts w:ascii="Verdana" w:hAnsi="Verdana" w:cs="Arial"/>
          <w:i/>
          <w:iCs/>
          <w:sz w:val="22"/>
          <w:szCs w:val="22"/>
        </w:rPr>
        <w:t>efectuar</w:t>
      </w:r>
      <w:r w:rsidR="00D11A8C">
        <w:rPr>
          <w:rFonts w:ascii="Verdana" w:hAnsi="Verdana" w:cs="Arial"/>
          <w:i/>
          <w:iCs/>
          <w:sz w:val="22"/>
          <w:szCs w:val="22"/>
        </w:rPr>
        <w:t xml:space="preserve"> </w:t>
      </w:r>
      <w:r w:rsidRPr="00AE2E43">
        <w:rPr>
          <w:rFonts w:ascii="Verdana" w:hAnsi="Verdana" w:cs="Arial"/>
          <w:i/>
          <w:iCs/>
          <w:sz w:val="22"/>
          <w:szCs w:val="22"/>
        </w:rPr>
        <w:t>la</w:t>
      </w:r>
      <w:r w:rsidR="00D11A8C">
        <w:rPr>
          <w:rFonts w:ascii="Verdana" w:hAnsi="Verdana" w:cs="Arial"/>
          <w:i/>
          <w:iCs/>
          <w:sz w:val="22"/>
          <w:szCs w:val="22"/>
        </w:rPr>
        <w:t xml:space="preserve"> </w:t>
      </w:r>
      <w:r w:rsidRPr="00AE2E43">
        <w:rPr>
          <w:rFonts w:ascii="Verdana" w:hAnsi="Verdana" w:cs="Arial"/>
          <w:i/>
          <w:iCs/>
          <w:sz w:val="22"/>
          <w:szCs w:val="22"/>
        </w:rPr>
        <w:t xml:space="preserve">reclasificación, excepcionalmente, de forma simultánea con la fecha de aplicación inicial de NIIF 17, es decir, el </w:t>
      </w:r>
      <w:r w:rsidRPr="00D11A8C">
        <w:rPr>
          <w:rFonts w:ascii="Verdana" w:hAnsi="Verdana" w:cs="Arial"/>
          <w:i/>
          <w:iCs/>
          <w:sz w:val="22"/>
          <w:szCs w:val="22"/>
        </w:rPr>
        <w:t>1 de enero de 202</w:t>
      </w:r>
      <w:r w:rsidR="00742528" w:rsidRPr="00D11A8C">
        <w:rPr>
          <w:rFonts w:ascii="Verdana" w:hAnsi="Verdana" w:cs="Arial"/>
          <w:i/>
          <w:iCs/>
          <w:sz w:val="22"/>
          <w:szCs w:val="22"/>
        </w:rPr>
        <w:t>8</w:t>
      </w:r>
      <w:r w:rsidRPr="00AE2E43">
        <w:rPr>
          <w:rFonts w:ascii="Verdana" w:hAnsi="Verdana" w:cs="Arial"/>
          <w:i/>
          <w:iCs/>
          <w:sz w:val="22"/>
          <w:szCs w:val="22"/>
        </w:rPr>
        <w:t>, sin que para ello se requiera el pronunciamiento previo de la SFC.</w:t>
      </w:r>
    </w:p>
    <w:p w14:paraId="5ACAD0E7" w14:textId="31C399C8" w:rsidR="00AE2E43" w:rsidRPr="00AE2E43" w:rsidRDefault="00AE2E43" w:rsidP="00AE2E43">
      <w:pPr>
        <w:widowControl w:val="0"/>
        <w:autoSpaceDE w:val="0"/>
        <w:autoSpaceDN w:val="0"/>
        <w:adjustRightInd w:val="0"/>
        <w:spacing w:line="276" w:lineRule="auto"/>
        <w:ind w:left="708"/>
        <w:jc w:val="both"/>
        <w:rPr>
          <w:rFonts w:ascii="Verdana" w:hAnsi="Verdana" w:cs="Arial"/>
          <w:i/>
          <w:iCs/>
          <w:sz w:val="22"/>
          <w:szCs w:val="22"/>
        </w:rPr>
      </w:pPr>
    </w:p>
    <w:p w14:paraId="31BD0F8D" w14:textId="786A7942" w:rsidR="00AE2E43" w:rsidRPr="00AE2E43" w:rsidRDefault="00AE2E43" w:rsidP="00AE2E43">
      <w:pPr>
        <w:widowControl w:val="0"/>
        <w:autoSpaceDE w:val="0"/>
        <w:autoSpaceDN w:val="0"/>
        <w:adjustRightInd w:val="0"/>
        <w:spacing w:line="276" w:lineRule="auto"/>
        <w:ind w:left="708"/>
        <w:jc w:val="both"/>
        <w:rPr>
          <w:rFonts w:ascii="Verdana" w:hAnsi="Verdana" w:cs="Arial"/>
          <w:i/>
          <w:iCs/>
          <w:sz w:val="22"/>
          <w:szCs w:val="22"/>
        </w:rPr>
      </w:pPr>
      <w:r w:rsidRPr="00AE2E43">
        <w:rPr>
          <w:rFonts w:ascii="Verdana" w:hAnsi="Verdana" w:cs="Arial"/>
          <w:i/>
          <w:iCs/>
          <w:sz w:val="22"/>
          <w:szCs w:val="22"/>
        </w:rPr>
        <w:t xml:space="preserve">Al momento de la baja en cuentas, la pérdida o ganancia acumulada en el </w:t>
      </w:r>
      <w:r w:rsidR="006F5B60">
        <w:rPr>
          <w:rFonts w:ascii="Verdana" w:hAnsi="Verdana" w:cs="Arial"/>
          <w:i/>
          <w:iCs/>
          <w:sz w:val="22"/>
          <w:szCs w:val="22"/>
        </w:rPr>
        <w:t>código: 3815000000 «I</w:t>
      </w:r>
      <w:r w:rsidR="006F5B60" w:rsidRPr="00FC5837">
        <w:rPr>
          <w:rFonts w:ascii="Verdana" w:hAnsi="Verdana" w:cs="Arial"/>
          <w:i/>
          <w:iCs/>
          <w:sz w:val="22"/>
          <w:szCs w:val="22"/>
        </w:rPr>
        <w:t xml:space="preserve">nversiones medidas al valor razonable con cambios en el </w:t>
      </w:r>
      <w:r w:rsidR="006F5B60">
        <w:rPr>
          <w:rFonts w:ascii="Verdana" w:hAnsi="Verdana" w:cs="Arial"/>
          <w:i/>
          <w:iCs/>
          <w:sz w:val="22"/>
          <w:szCs w:val="22"/>
        </w:rPr>
        <w:t>ORI</w:t>
      </w:r>
      <w:r w:rsidR="006F5B60" w:rsidRPr="00FC5837">
        <w:rPr>
          <w:rFonts w:ascii="Verdana" w:hAnsi="Verdana" w:cs="Arial"/>
          <w:i/>
          <w:iCs/>
          <w:sz w:val="22"/>
          <w:szCs w:val="22"/>
        </w:rPr>
        <w:t xml:space="preserve"> por aplicación por primera vez de la </w:t>
      </w:r>
      <w:r w:rsidR="004E4D86">
        <w:rPr>
          <w:rFonts w:ascii="Verdana" w:hAnsi="Verdana" w:cs="Arial"/>
          <w:i/>
          <w:iCs/>
          <w:sz w:val="22"/>
          <w:szCs w:val="22"/>
        </w:rPr>
        <w:t>NIIF</w:t>
      </w:r>
      <w:r w:rsidR="006F5B60" w:rsidRPr="00FC5837">
        <w:rPr>
          <w:rFonts w:ascii="Verdana" w:hAnsi="Verdana" w:cs="Arial"/>
          <w:i/>
          <w:iCs/>
          <w:sz w:val="22"/>
          <w:szCs w:val="22"/>
        </w:rPr>
        <w:t xml:space="preserve"> 17</w:t>
      </w:r>
      <w:r w:rsidR="006F5B60">
        <w:rPr>
          <w:rFonts w:ascii="Verdana" w:hAnsi="Verdana" w:cs="Arial"/>
          <w:i/>
          <w:iCs/>
          <w:sz w:val="22"/>
          <w:szCs w:val="22"/>
        </w:rPr>
        <w:t>»</w:t>
      </w:r>
      <w:r w:rsidR="006F5B60" w:rsidRPr="00FC5837">
        <w:rPr>
          <w:rFonts w:ascii="Verdana" w:hAnsi="Verdana" w:cs="Arial"/>
          <w:i/>
          <w:iCs/>
          <w:sz w:val="22"/>
          <w:szCs w:val="22"/>
        </w:rPr>
        <w:t xml:space="preserve"> </w:t>
      </w:r>
      <w:r w:rsidR="006F5B60">
        <w:rPr>
          <w:rFonts w:ascii="Verdana" w:hAnsi="Verdana" w:cs="Arial"/>
          <w:i/>
          <w:iCs/>
          <w:sz w:val="22"/>
          <w:szCs w:val="22"/>
        </w:rPr>
        <w:t xml:space="preserve">del CUIF </w:t>
      </w:r>
      <w:r w:rsidRPr="00AE2E43">
        <w:rPr>
          <w:rFonts w:ascii="Verdana" w:hAnsi="Verdana" w:cs="Arial"/>
          <w:i/>
          <w:iCs/>
          <w:sz w:val="22"/>
          <w:szCs w:val="22"/>
        </w:rPr>
        <w:t>de las inversiones</w:t>
      </w:r>
      <w:r w:rsidR="00D11A8C">
        <w:rPr>
          <w:rFonts w:ascii="Verdana" w:hAnsi="Verdana" w:cs="Arial"/>
          <w:i/>
          <w:iCs/>
          <w:sz w:val="22"/>
          <w:szCs w:val="22"/>
        </w:rPr>
        <w:t xml:space="preserve"> </w:t>
      </w:r>
      <w:r w:rsidRPr="00AE2E43">
        <w:rPr>
          <w:rFonts w:ascii="Verdana" w:hAnsi="Verdana" w:cs="Arial"/>
          <w:i/>
          <w:iCs/>
          <w:sz w:val="22"/>
          <w:szCs w:val="22"/>
        </w:rPr>
        <w:t>«Disponibles para la venta»</w:t>
      </w:r>
      <w:r w:rsidR="00D11A8C">
        <w:rPr>
          <w:rFonts w:ascii="Verdana" w:hAnsi="Verdana" w:cs="Arial"/>
          <w:i/>
          <w:iCs/>
          <w:sz w:val="22"/>
          <w:szCs w:val="22"/>
        </w:rPr>
        <w:t xml:space="preserve"> </w:t>
      </w:r>
      <w:r w:rsidRPr="00AE2E43">
        <w:rPr>
          <w:rFonts w:ascii="Verdana" w:hAnsi="Verdana" w:cs="Arial"/>
          <w:i/>
          <w:iCs/>
          <w:sz w:val="22"/>
          <w:szCs w:val="22"/>
        </w:rPr>
        <w:t>antes reclasificadas, se debe reconocer en el estado de resultados.</w:t>
      </w:r>
    </w:p>
    <w:p w14:paraId="3D0A61B3" w14:textId="56AADEF7" w:rsidR="00AE2E43" w:rsidRPr="00AE2E43" w:rsidRDefault="00AE2E43" w:rsidP="00AE2E43">
      <w:pPr>
        <w:widowControl w:val="0"/>
        <w:autoSpaceDE w:val="0"/>
        <w:autoSpaceDN w:val="0"/>
        <w:adjustRightInd w:val="0"/>
        <w:spacing w:line="276" w:lineRule="auto"/>
        <w:ind w:left="708"/>
        <w:jc w:val="both"/>
        <w:rPr>
          <w:rFonts w:ascii="Verdana" w:hAnsi="Verdana" w:cs="Arial"/>
          <w:i/>
          <w:iCs/>
          <w:sz w:val="22"/>
          <w:szCs w:val="22"/>
        </w:rPr>
      </w:pPr>
    </w:p>
    <w:p w14:paraId="5252E2D3" w14:textId="2587DF1B" w:rsidR="00AE2E43" w:rsidRPr="00AE2E43" w:rsidRDefault="00AE2E43" w:rsidP="00AE2E43">
      <w:pPr>
        <w:widowControl w:val="0"/>
        <w:autoSpaceDE w:val="0"/>
        <w:autoSpaceDN w:val="0"/>
        <w:adjustRightInd w:val="0"/>
        <w:spacing w:line="276" w:lineRule="auto"/>
        <w:ind w:left="708"/>
        <w:jc w:val="both"/>
        <w:rPr>
          <w:rFonts w:ascii="Verdana" w:hAnsi="Verdana" w:cs="Arial"/>
          <w:sz w:val="22"/>
          <w:szCs w:val="22"/>
        </w:rPr>
      </w:pPr>
      <w:r w:rsidRPr="00AE2E43">
        <w:rPr>
          <w:rFonts w:ascii="Verdana" w:hAnsi="Verdana" w:cs="Arial"/>
          <w:i/>
          <w:iCs/>
          <w:sz w:val="22"/>
          <w:szCs w:val="22"/>
        </w:rPr>
        <w:t>Las reclasificaciones que se realicen</w:t>
      </w:r>
      <w:r w:rsidR="00D11A8C">
        <w:rPr>
          <w:rFonts w:ascii="Verdana" w:hAnsi="Verdana" w:cs="Arial"/>
          <w:i/>
          <w:iCs/>
          <w:sz w:val="22"/>
          <w:szCs w:val="22"/>
        </w:rPr>
        <w:t xml:space="preserve"> </w:t>
      </w:r>
      <w:r w:rsidRPr="00AE2E43">
        <w:rPr>
          <w:rFonts w:ascii="Verdana" w:hAnsi="Verdana" w:cs="Arial"/>
          <w:i/>
          <w:iCs/>
          <w:sz w:val="22"/>
          <w:szCs w:val="22"/>
        </w:rPr>
        <w:t>antes o después de la ventana de reclasificación regulada en la presente instrucción</w:t>
      </w:r>
      <w:r w:rsidR="00D11A8C">
        <w:rPr>
          <w:rFonts w:ascii="Verdana" w:hAnsi="Verdana" w:cs="Arial"/>
          <w:i/>
          <w:iCs/>
          <w:sz w:val="22"/>
          <w:szCs w:val="22"/>
        </w:rPr>
        <w:t xml:space="preserve"> </w:t>
      </w:r>
      <w:r w:rsidRPr="00AE2E43">
        <w:rPr>
          <w:rFonts w:ascii="Verdana" w:hAnsi="Verdana" w:cs="Arial"/>
          <w:i/>
          <w:iCs/>
          <w:sz w:val="22"/>
          <w:szCs w:val="22"/>
        </w:rPr>
        <w:t>deben observar las instrucciones generales vigentes sobre</w:t>
      </w:r>
      <w:r w:rsidR="00D11A8C">
        <w:rPr>
          <w:rFonts w:ascii="Verdana" w:hAnsi="Verdana" w:cs="Arial"/>
          <w:i/>
          <w:iCs/>
          <w:sz w:val="22"/>
          <w:szCs w:val="22"/>
        </w:rPr>
        <w:t xml:space="preserve"> </w:t>
      </w:r>
      <w:r w:rsidRPr="00AE2E43">
        <w:rPr>
          <w:rFonts w:ascii="Verdana" w:hAnsi="Verdana" w:cs="Arial"/>
          <w:i/>
          <w:iCs/>
          <w:sz w:val="22"/>
          <w:szCs w:val="22"/>
        </w:rPr>
        <w:t>clasificación, valoración y contabilización de inversiones.</w:t>
      </w:r>
    </w:p>
    <w:p w14:paraId="7FB01199" w14:textId="77777777" w:rsidR="00156293" w:rsidRDefault="00156293" w:rsidP="00D41E1D">
      <w:pPr>
        <w:widowControl w:val="0"/>
        <w:autoSpaceDE w:val="0"/>
        <w:autoSpaceDN w:val="0"/>
        <w:adjustRightInd w:val="0"/>
        <w:spacing w:line="276" w:lineRule="auto"/>
        <w:jc w:val="both"/>
        <w:rPr>
          <w:rFonts w:ascii="Verdana" w:hAnsi="Verdana" w:cs="Arial"/>
          <w:b/>
          <w:bCs/>
          <w:sz w:val="22"/>
          <w:szCs w:val="22"/>
        </w:rPr>
      </w:pPr>
    </w:p>
    <w:p w14:paraId="79C58798" w14:textId="753F3D6B" w:rsidR="0008338D" w:rsidRDefault="0008338D" w:rsidP="00D41E1D">
      <w:pPr>
        <w:widowControl w:val="0"/>
        <w:autoSpaceDE w:val="0"/>
        <w:autoSpaceDN w:val="0"/>
        <w:adjustRightInd w:val="0"/>
        <w:spacing w:line="276" w:lineRule="auto"/>
        <w:jc w:val="both"/>
        <w:rPr>
          <w:rFonts w:ascii="Verdana" w:hAnsi="Verdana" w:cs="Arial"/>
          <w:b/>
          <w:bCs/>
          <w:sz w:val="22"/>
          <w:szCs w:val="22"/>
        </w:rPr>
      </w:pPr>
      <w:r>
        <w:rPr>
          <w:rFonts w:ascii="Verdana" w:hAnsi="Verdana" w:cs="Arial"/>
          <w:b/>
          <w:bCs/>
          <w:sz w:val="22"/>
          <w:szCs w:val="22"/>
        </w:rPr>
        <w:t xml:space="preserve">SÉPTIMA: </w:t>
      </w:r>
      <w:r w:rsidR="004A7C74" w:rsidRPr="004A7C74">
        <w:rPr>
          <w:rFonts w:ascii="Verdana" w:hAnsi="Verdana" w:cs="Arial"/>
          <w:sz w:val="22"/>
          <w:szCs w:val="22"/>
        </w:rPr>
        <w:t>Modificar la instrucción DÉCIMATERCERA de la Circular Externa 013 de 2025, la cual quedará así:</w:t>
      </w:r>
    </w:p>
    <w:p w14:paraId="6EF85B88" w14:textId="77777777" w:rsidR="0008338D" w:rsidRDefault="0008338D" w:rsidP="00D41E1D">
      <w:pPr>
        <w:widowControl w:val="0"/>
        <w:autoSpaceDE w:val="0"/>
        <w:autoSpaceDN w:val="0"/>
        <w:adjustRightInd w:val="0"/>
        <w:spacing w:line="276" w:lineRule="auto"/>
        <w:jc w:val="both"/>
        <w:rPr>
          <w:rFonts w:ascii="Verdana" w:hAnsi="Verdana" w:cs="Arial"/>
          <w:b/>
          <w:bCs/>
          <w:sz w:val="22"/>
          <w:szCs w:val="22"/>
        </w:rPr>
      </w:pPr>
    </w:p>
    <w:p w14:paraId="2A32B511" w14:textId="15F8BC1B" w:rsidR="004A7C74" w:rsidRDefault="004A7C74" w:rsidP="004A7C74">
      <w:pPr>
        <w:widowControl w:val="0"/>
        <w:autoSpaceDE w:val="0"/>
        <w:autoSpaceDN w:val="0"/>
        <w:adjustRightInd w:val="0"/>
        <w:spacing w:line="276" w:lineRule="auto"/>
        <w:ind w:left="708"/>
        <w:jc w:val="both"/>
        <w:rPr>
          <w:rFonts w:ascii="Verdana" w:hAnsi="Verdana" w:cs="Arial"/>
          <w:i/>
          <w:iCs/>
          <w:sz w:val="22"/>
          <w:szCs w:val="22"/>
          <w:lang w:val="es-ES"/>
        </w:rPr>
      </w:pPr>
      <w:r w:rsidRPr="004A7C74">
        <w:rPr>
          <w:rFonts w:ascii="Verdana" w:hAnsi="Verdana" w:cs="Arial"/>
          <w:b/>
          <w:bCs/>
          <w:i/>
          <w:iCs/>
          <w:sz w:val="22"/>
          <w:szCs w:val="22"/>
          <w:lang w:val="es-ES"/>
        </w:rPr>
        <w:lastRenderedPageBreak/>
        <w:t>DÉCIMATERCERA:</w:t>
      </w:r>
      <w:r w:rsidR="00073007">
        <w:rPr>
          <w:rFonts w:ascii="Verdana" w:hAnsi="Verdana" w:cs="Arial"/>
          <w:b/>
          <w:bCs/>
          <w:i/>
          <w:iCs/>
          <w:sz w:val="22"/>
          <w:szCs w:val="22"/>
          <w:lang w:val="es-ES"/>
        </w:rPr>
        <w:t xml:space="preserve"> </w:t>
      </w:r>
      <w:r w:rsidRPr="004A7C74">
        <w:rPr>
          <w:rFonts w:ascii="Verdana" w:hAnsi="Verdana" w:cs="Arial"/>
          <w:b/>
          <w:bCs/>
          <w:i/>
          <w:iCs/>
          <w:sz w:val="22"/>
          <w:szCs w:val="22"/>
          <w:lang w:val="es-ES"/>
        </w:rPr>
        <w:t>VIGENCIA.</w:t>
      </w:r>
      <w:r w:rsidR="00073007">
        <w:rPr>
          <w:rFonts w:ascii="Verdana" w:hAnsi="Verdana" w:cs="Arial"/>
          <w:i/>
          <w:iCs/>
          <w:sz w:val="22"/>
          <w:szCs w:val="22"/>
          <w:lang w:val="es-ES"/>
        </w:rPr>
        <w:t xml:space="preserve"> </w:t>
      </w:r>
      <w:r w:rsidRPr="004A7C74">
        <w:rPr>
          <w:rFonts w:ascii="Verdana" w:hAnsi="Verdana" w:cs="Arial"/>
          <w:i/>
          <w:iCs/>
          <w:sz w:val="22"/>
          <w:szCs w:val="22"/>
          <w:lang w:val="es-ES"/>
        </w:rPr>
        <w:t>Para efectos de la aplicación</w:t>
      </w:r>
      <w:r w:rsidR="00073007">
        <w:rPr>
          <w:rFonts w:ascii="Verdana" w:hAnsi="Verdana" w:cs="Arial"/>
          <w:i/>
          <w:iCs/>
          <w:sz w:val="22"/>
          <w:szCs w:val="22"/>
          <w:lang w:val="es-ES"/>
        </w:rPr>
        <w:t xml:space="preserve"> </w:t>
      </w:r>
      <w:r w:rsidRPr="004A7C74">
        <w:rPr>
          <w:rFonts w:ascii="Verdana" w:hAnsi="Verdana" w:cs="Arial"/>
          <w:i/>
          <w:iCs/>
          <w:sz w:val="22"/>
          <w:szCs w:val="22"/>
          <w:lang w:val="es-ES"/>
        </w:rPr>
        <w:t>de las instrucciones de</w:t>
      </w:r>
      <w:r w:rsidR="00073007">
        <w:rPr>
          <w:rFonts w:ascii="Verdana" w:hAnsi="Verdana" w:cs="Arial"/>
          <w:i/>
          <w:iCs/>
          <w:sz w:val="22"/>
          <w:szCs w:val="22"/>
          <w:lang w:val="es-ES"/>
        </w:rPr>
        <w:t xml:space="preserve"> </w:t>
      </w:r>
      <w:r w:rsidRPr="004A7C74">
        <w:rPr>
          <w:rFonts w:ascii="Verdana" w:hAnsi="Verdana" w:cs="Arial"/>
          <w:i/>
          <w:iCs/>
          <w:sz w:val="22"/>
          <w:szCs w:val="22"/>
          <w:lang w:val="es-ES"/>
        </w:rPr>
        <w:t>la presente</w:t>
      </w:r>
      <w:r w:rsidR="00073007">
        <w:rPr>
          <w:rFonts w:ascii="Verdana" w:hAnsi="Verdana" w:cs="Arial"/>
          <w:i/>
          <w:iCs/>
          <w:sz w:val="22"/>
          <w:szCs w:val="22"/>
          <w:lang w:val="es-ES"/>
        </w:rPr>
        <w:t xml:space="preserve"> </w:t>
      </w:r>
      <w:r w:rsidRPr="004A7C74">
        <w:rPr>
          <w:rFonts w:ascii="Verdana" w:hAnsi="Verdana" w:cs="Arial"/>
          <w:i/>
          <w:iCs/>
          <w:sz w:val="22"/>
          <w:szCs w:val="22"/>
          <w:lang w:val="es-ES"/>
        </w:rPr>
        <w:t>circular</w:t>
      </w:r>
      <w:r w:rsidR="00073007">
        <w:rPr>
          <w:rFonts w:ascii="Verdana" w:hAnsi="Verdana" w:cs="Arial"/>
          <w:i/>
          <w:iCs/>
          <w:sz w:val="22"/>
          <w:szCs w:val="22"/>
          <w:lang w:val="es-ES"/>
        </w:rPr>
        <w:t xml:space="preserve"> </w:t>
      </w:r>
      <w:r w:rsidRPr="004A7C74">
        <w:rPr>
          <w:rFonts w:ascii="Verdana" w:hAnsi="Verdana" w:cs="Arial"/>
          <w:i/>
          <w:iCs/>
          <w:sz w:val="22"/>
          <w:szCs w:val="22"/>
          <w:lang w:val="es-ES"/>
        </w:rPr>
        <w:t>externa</w:t>
      </w:r>
      <w:r w:rsidR="00073007">
        <w:rPr>
          <w:rFonts w:ascii="Verdana" w:hAnsi="Verdana" w:cs="Arial"/>
          <w:i/>
          <w:iCs/>
          <w:sz w:val="22"/>
          <w:szCs w:val="22"/>
          <w:lang w:val="es-ES"/>
        </w:rPr>
        <w:t xml:space="preserve"> </w:t>
      </w:r>
      <w:r w:rsidRPr="004A7C74" w:rsidDel="00073007">
        <w:rPr>
          <w:rFonts w:ascii="Verdana" w:hAnsi="Verdana" w:cs="Arial"/>
          <w:i/>
          <w:iCs/>
          <w:sz w:val="22"/>
          <w:szCs w:val="22"/>
          <w:lang w:val="es-ES"/>
        </w:rPr>
        <w:t>l</w:t>
      </w:r>
      <w:r w:rsidRPr="004A7C74">
        <w:rPr>
          <w:rFonts w:ascii="Verdana" w:hAnsi="Verdana" w:cs="Arial"/>
          <w:i/>
          <w:iCs/>
          <w:sz w:val="22"/>
          <w:szCs w:val="22"/>
          <w:lang w:val="es-ES"/>
        </w:rPr>
        <w:t>as entidades vigiladas</w:t>
      </w:r>
      <w:r w:rsidR="00073007">
        <w:rPr>
          <w:rFonts w:ascii="Verdana" w:hAnsi="Verdana" w:cs="Arial"/>
          <w:i/>
          <w:iCs/>
          <w:sz w:val="22"/>
          <w:szCs w:val="22"/>
          <w:lang w:val="es-ES"/>
        </w:rPr>
        <w:t xml:space="preserve"> </w:t>
      </w:r>
      <w:r w:rsidRPr="004A7C74">
        <w:rPr>
          <w:rFonts w:ascii="Verdana" w:hAnsi="Verdana" w:cs="Arial"/>
          <w:i/>
          <w:iCs/>
          <w:sz w:val="22"/>
          <w:szCs w:val="22"/>
          <w:lang w:val="es-ES"/>
        </w:rPr>
        <w:t>deben dar aplicación a los siguientes lineamientos:</w:t>
      </w:r>
    </w:p>
    <w:p w14:paraId="765915A1" w14:textId="02551CAC" w:rsidR="004A7C74" w:rsidRPr="00FA1B17" w:rsidRDefault="004A7C74" w:rsidP="004A7C74">
      <w:pPr>
        <w:widowControl w:val="0"/>
        <w:autoSpaceDE w:val="0"/>
        <w:autoSpaceDN w:val="0"/>
        <w:adjustRightInd w:val="0"/>
        <w:spacing w:line="276" w:lineRule="auto"/>
        <w:ind w:left="708"/>
        <w:jc w:val="both"/>
        <w:rPr>
          <w:rFonts w:ascii="Verdana" w:hAnsi="Verdana" w:cs="Arial"/>
          <w:i/>
          <w:sz w:val="22"/>
          <w:szCs w:val="22"/>
          <w:lang w:val="es-ES"/>
        </w:rPr>
      </w:pPr>
    </w:p>
    <w:p w14:paraId="794019C0" w14:textId="03667211" w:rsidR="005C722B" w:rsidRPr="005C722B" w:rsidRDefault="005C722B" w:rsidP="005C722B">
      <w:pPr>
        <w:widowControl w:val="0"/>
        <w:autoSpaceDE w:val="0"/>
        <w:autoSpaceDN w:val="0"/>
        <w:adjustRightInd w:val="0"/>
        <w:spacing w:line="276" w:lineRule="auto"/>
        <w:ind w:left="708"/>
        <w:jc w:val="both"/>
        <w:rPr>
          <w:rFonts w:ascii="Verdana" w:hAnsi="Verdana" w:cs="Arial"/>
          <w:i/>
          <w:iCs/>
          <w:sz w:val="22"/>
          <w:szCs w:val="22"/>
          <w:lang w:val="es-ES"/>
        </w:rPr>
      </w:pPr>
      <w:r w:rsidRPr="00FA1B17">
        <w:rPr>
          <w:rFonts w:ascii="Verdana" w:hAnsi="Verdana" w:cs="Arial"/>
          <w:i/>
          <w:sz w:val="22"/>
          <w:szCs w:val="22"/>
          <w:lang w:val="es-ES"/>
        </w:rPr>
        <w:t>13.1.</w:t>
      </w:r>
      <w:r w:rsidR="00736CBA">
        <w:rPr>
          <w:rFonts w:ascii="Verdana" w:hAnsi="Verdana" w:cs="Arial"/>
          <w:i/>
          <w:sz w:val="22"/>
          <w:szCs w:val="22"/>
          <w:lang w:val="es-ES"/>
        </w:rPr>
        <w:tab/>
      </w:r>
      <w:r w:rsidR="004A7C74" w:rsidRPr="00FA1B17">
        <w:rPr>
          <w:rFonts w:ascii="Verdana" w:hAnsi="Verdana" w:cs="Arial"/>
          <w:i/>
          <w:sz w:val="22"/>
          <w:szCs w:val="22"/>
          <w:lang w:val="es-ES"/>
        </w:rPr>
        <w:t xml:space="preserve">Las instrucciones del nuevo capítulo XXXIV </w:t>
      </w:r>
      <w:r w:rsidR="003E5EBF" w:rsidRPr="00FA1B17">
        <w:rPr>
          <w:rFonts w:ascii="Verdana" w:hAnsi="Verdana" w:cs="Arial"/>
          <w:i/>
          <w:sz w:val="22"/>
          <w:szCs w:val="22"/>
          <w:lang w:val="es-ES"/>
        </w:rPr>
        <w:t xml:space="preserve">«Régimen prudencial de las reservas técnicas de las entidades aseguradoras» </w:t>
      </w:r>
      <w:r w:rsidR="004A7C74" w:rsidRPr="00FA1B17">
        <w:rPr>
          <w:rFonts w:ascii="Verdana" w:hAnsi="Verdana" w:cs="Arial"/>
          <w:i/>
          <w:sz w:val="22"/>
          <w:szCs w:val="22"/>
          <w:lang w:val="es-ES"/>
        </w:rPr>
        <w:t>de la CBCF</w:t>
      </w:r>
      <w:r w:rsidR="003E5EBF" w:rsidRPr="00FA1B17">
        <w:rPr>
          <w:rFonts w:ascii="Verdana" w:hAnsi="Verdana" w:cs="Arial"/>
          <w:i/>
          <w:sz w:val="22"/>
          <w:szCs w:val="22"/>
          <w:lang w:val="es-ES"/>
        </w:rPr>
        <w:t>, o las normas que la modifiquen, sustituyan o adicionen,</w:t>
      </w:r>
      <w:r w:rsidR="001B0520" w:rsidRPr="00FA1B17">
        <w:rPr>
          <w:rFonts w:ascii="Verdana" w:hAnsi="Verdana" w:cs="Arial"/>
          <w:i/>
          <w:sz w:val="22"/>
          <w:szCs w:val="22"/>
          <w:lang w:val="es-ES"/>
        </w:rPr>
        <w:t xml:space="preserve"> </w:t>
      </w:r>
      <w:r w:rsidR="004A7C74" w:rsidRPr="00FA1B17">
        <w:rPr>
          <w:rFonts w:ascii="Verdana" w:hAnsi="Verdana" w:cs="Arial"/>
          <w:i/>
          <w:sz w:val="22"/>
          <w:szCs w:val="22"/>
          <w:lang w:val="es-ES"/>
        </w:rPr>
        <w:t>y sus anexos</w:t>
      </w:r>
      <w:r w:rsidR="001B0520" w:rsidRPr="00FA1B17">
        <w:rPr>
          <w:rFonts w:ascii="Verdana" w:hAnsi="Verdana" w:cs="Arial"/>
          <w:i/>
          <w:sz w:val="22"/>
          <w:szCs w:val="22"/>
          <w:lang w:val="es-ES"/>
        </w:rPr>
        <w:t xml:space="preserve"> </w:t>
      </w:r>
      <w:r w:rsidR="004A7C74" w:rsidRPr="00FA1B17">
        <w:rPr>
          <w:rFonts w:ascii="Verdana" w:hAnsi="Verdana" w:cs="Arial"/>
          <w:i/>
          <w:sz w:val="22"/>
          <w:szCs w:val="22"/>
          <w:lang w:val="es-ES"/>
        </w:rPr>
        <w:t>creados por medio de la instrucción TERCERA,</w:t>
      </w:r>
      <w:r w:rsidR="001B0520" w:rsidRPr="00FA1B17">
        <w:rPr>
          <w:rFonts w:ascii="Verdana" w:hAnsi="Verdana" w:cs="Arial"/>
          <w:i/>
          <w:sz w:val="22"/>
          <w:szCs w:val="22"/>
          <w:lang w:val="es-ES"/>
        </w:rPr>
        <w:t xml:space="preserve"> </w:t>
      </w:r>
      <w:r w:rsidR="004A7C74" w:rsidRPr="00FA1B17">
        <w:rPr>
          <w:rFonts w:ascii="Verdana" w:hAnsi="Verdana" w:cs="Arial"/>
          <w:i/>
          <w:sz w:val="22"/>
          <w:szCs w:val="22"/>
          <w:lang w:val="es-ES"/>
        </w:rPr>
        <w:t>entran a regir a partir</w:t>
      </w:r>
      <w:r w:rsidR="001B0520" w:rsidRPr="00FA1B17">
        <w:rPr>
          <w:rFonts w:ascii="Verdana" w:hAnsi="Verdana" w:cs="Arial"/>
          <w:i/>
          <w:sz w:val="22"/>
          <w:szCs w:val="22"/>
          <w:lang w:val="es-ES"/>
        </w:rPr>
        <w:t xml:space="preserve"> </w:t>
      </w:r>
      <w:r w:rsidR="004A7C74" w:rsidRPr="00FA1B17">
        <w:rPr>
          <w:rFonts w:ascii="Verdana" w:hAnsi="Verdana" w:cs="Arial"/>
          <w:i/>
          <w:sz w:val="22"/>
          <w:szCs w:val="22"/>
          <w:lang w:val="es-ES"/>
        </w:rPr>
        <w:t>del 1 de enero de 2028</w:t>
      </w:r>
      <w:r w:rsidRPr="00FA1B17">
        <w:rPr>
          <w:rFonts w:ascii="Verdana" w:hAnsi="Verdana" w:cs="Arial"/>
          <w:i/>
          <w:sz w:val="22"/>
          <w:szCs w:val="22"/>
          <w:lang w:val="es-ES"/>
        </w:rPr>
        <w:t>.</w:t>
      </w:r>
    </w:p>
    <w:p w14:paraId="50F26956" w14:textId="77777777" w:rsidR="00FA1B17" w:rsidRPr="00FA1B17" w:rsidRDefault="00FA1B17" w:rsidP="00FA1B17">
      <w:pPr>
        <w:widowControl w:val="0"/>
        <w:autoSpaceDE w:val="0"/>
        <w:autoSpaceDN w:val="0"/>
        <w:adjustRightInd w:val="0"/>
        <w:spacing w:line="276" w:lineRule="auto"/>
        <w:ind w:left="708"/>
        <w:jc w:val="both"/>
        <w:rPr>
          <w:rFonts w:ascii="Verdana" w:hAnsi="Verdana" w:cs="Arial"/>
          <w:i/>
          <w:iCs/>
          <w:sz w:val="22"/>
          <w:szCs w:val="22"/>
          <w:lang w:val="es-ES"/>
        </w:rPr>
      </w:pPr>
    </w:p>
    <w:p w14:paraId="278F2F61" w14:textId="4DA38899" w:rsidR="004A7C74" w:rsidRPr="004A7C74" w:rsidRDefault="00FA1B17" w:rsidP="00FA1B17">
      <w:pPr>
        <w:widowControl w:val="0"/>
        <w:autoSpaceDE w:val="0"/>
        <w:autoSpaceDN w:val="0"/>
        <w:adjustRightInd w:val="0"/>
        <w:spacing w:line="276" w:lineRule="auto"/>
        <w:ind w:left="708"/>
        <w:jc w:val="both"/>
        <w:rPr>
          <w:rFonts w:ascii="Verdana" w:hAnsi="Verdana" w:cs="Arial"/>
          <w:i/>
          <w:iCs/>
          <w:sz w:val="22"/>
          <w:szCs w:val="22"/>
        </w:rPr>
      </w:pPr>
      <w:r w:rsidRPr="00FA1B17">
        <w:rPr>
          <w:rFonts w:ascii="Verdana" w:hAnsi="Verdana" w:cs="Arial"/>
          <w:i/>
          <w:iCs/>
          <w:sz w:val="22"/>
          <w:szCs w:val="22"/>
          <w:lang w:val="es-ES"/>
        </w:rPr>
        <w:t>13.2.</w:t>
      </w:r>
      <w:r w:rsidR="00736CBA">
        <w:rPr>
          <w:rFonts w:ascii="Verdana" w:hAnsi="Verdana" w:cs="Arial"/>
          <w:i/>
          <w:iCs/>
          <w:sz w:val="22"/>
          <w:szCs w:val="22"/>
          <w:lang w:val="es-ES"/>
        </w:rPr>
        <w:tab/>
      </w:r>
      <w:r w:rsidR="004A7C74" w:rsidRPr="00FA1B17">
        <w:rPr>
          <w:rFonts w:ascii="Verdana" w:hAnsi="Verdana" w:cs="Arial"/>
          <w:i/>
          <w:sz w:val="22"/>
          <w:szCs w:val="22"/>
          <w:lang w:val="es-ES"/>
        </w:rPr>
        <w:t xml:space="preserve">Las instrucciones del nuevo capítulo XXXV </w:t>
      </w:r>
      <w:r w:rsidR="00F76DD7">
        <w:rPr>
          <w:rFonts w:ascii="Verdana" w:hAnsi="Verdana" w:cs="Arial"/>
          <w:i/>
          <w:iCs/>
          <w:sz w:val="22"/>
          <w:szCs w:val="22"/>
          <w:lang w:val="es-ES"/>
        </w:rPr>
        <w:t>«</w:t>
      </w:r>
      <w:r w:rsidR="00F76DD7" w:rsidRPr="00F76DD7">
        <w:rPr>
          <w:rFonts w:ascii="Verdana" w:hAnsi="Verdana" w:cs="Arial"/>
          <w:i/>
          <w:iCs/>
          <w:sz w:val="22"/>
          <w:szCs w:val="22"/>
          <w:lang w:val="es-ES"/>
        </w:rPr>
        <w:t>Información financiera de los contratos de seguros</w:t>
      </w:r>
      <w:r w:rsidR="00F76DD7">
        <w:rPr>
          <w:rFonts w:ascii="Verdana" w:hAnsi="Verdana" w:cs="Arial"/>
          <w:i/>
          <w:iCs/>
          <w:sz w:val="22"/>
          <w:szCs w:val="22"/>
          <w:lang w:val="es-ES"/>
        </w:rPr>
        <w:t xml:space="preserve">» </w:t>
      </w:r>
      <w:r w:rsidR="004A7C74" w:rsidRPr="004A7C74">
        <w:rPr>
          <w:rFonts w:ascii="Verdana" w:hAnsi="Verdana" w:cs="Arial"/>
          <w:i/>
          <w:iCs/>
          <w:sz w:val="22"/>
          <w:szCs w:val="22"/>
          <w:lang w:val="es-ES"/>
        </w:rPr>
        <w:t>de la CBCF</w:t>
      </w:r>
      <w:r w:rsidR="003E5EBF">
        <w:rPr>
          <w:rFonts w:ascii="Verdana" w:hAnsi="Verdana" w:cs="Arial"/>
          <w:i/>
          <w:iCs/>
          <w:sz w:val="22"/>
          <w:szCs w:val="22"/>
          <w:lang w:val="es-ES"/>
        </w:rPr>
        <w:t>, o las normas que la modifiquen, sustituyan o adicionen,</w:t>
      </w:r>
      <w:r w:rsidR="004A7C74" w:rsidRPr="004A7C74">
        <w:rPr>
          <w:rFonts w:ascii="Verdana" w:hAnsi="Verdana" w:cs="Arial"/>
          <w:i/>
          <w:iCs/>
          <w:sz w:val="22"/>
          <w:szCs w:val="22"/>
          <w:lang w:val="es-ES"/>
        </w:rPr>
        <w:t xml:space="preserve"> entran a regir a partir del </w:t>
      </w:r>
      <w:r w:rsidR="004A7C74" w:rsidRPr="00B67667">
        <w:rPr>
          <w:rFonts w:ascii="Verdana" w:hAnsi="Verdana" w:cs="Arial"/>
          <w:i/>
          <w:sz w:val="22"/>
          <w:szCs w:val="22"/>
          <w:lang w:val="es-ES"/>
        </w:rPr>
        <w:t xml:space="preserve">1 de enero de </w:t>
      </w:r>
      <w:r w:rsidR="004A7C74" w:rsidRPr="00B67667">
        <w:rPr>
          <w:rFonts w:ascii="Verdana" w:hAnsi="Verdana" w:cs="Arial"/>
          <w:i/>
          <w:iCs/>
          <w:sz w:val="22"/>
          <w:szCs w:val="22"/>
          <w:lang w:val="es-ES"/>
        </w:rPr>
        <w:t>2028.</w:t>
      </w:r>
    </w:p>
    <w:p w14:paraId="3B196B23" w14:textId="23DC9571" w:rsidR="004A7C74" w:rsidRPr="004A7C74" w:rsidRDefault="004A7C74" w:rsidP="004A7C74">
      <w:pPr>
        <w:widowControl w:val="0"/>
        <w:autoSpaceDE w:val="0"/>
        <w:autoSpaceDN w:val="0"/>
        <w:adjustRightInd w:val="0"/>
        <w:spacing w:line="276" w:lineRule="auto"/>
        <w:ind w:left="708"/>
        <w:jc w:val="both"/>
        <w:rPr>
          <w:rFonts w:ascii="Verdana" w:hAnsi="Verdana" w:cs="Arial"/>
          <w:i/>
          <w:iCs/>
          <w:sz w:val="22"/>
          <w:szCs w:val="22"/>
        </w:rPr>
      </w:pPr>
    </w:p>
    <w:p w14:paraId="593001D1" w14:textId="3AA78474" w:rsidR="004A7C74" w:rsidRPr="004A7C74" w:rsidRDefault="004A7C74" w:rsidP="004A7C74">
      <w:pPr>
        <w:widowControl w:val="0"/>
        <w:autoSpaceDE w:val="0"/>
        <w:autoSpaceDN w:val="0"/>
        <w:adjustRightInd w:val="0"/>
        <w:spacing w:line="276" w:lineRule="auto"/>
        <w:ind w:left="708"/>
        <w:jc w:val="both"/>
        <w:rPr>
          <w:rFonts w:ascii="Verdana" w:hAnsi="Verdana" w:cs="Arial"/>
          <w:i/>
          <w:iCs/>
          <w:sz w:val="22"/>
          <w:szCs w:val="22"/>
        </w:rPr>
      </w:pPr>
      <w:r w:rsidRPr="004A7C74">
        <w:rPr>
          <w:rFonts w:ascii="Verdana" w:hAnsi="Verdana" w:cs="Arial"/>
          <w:i/>
          <w:iCs/>
          <w:sz w:val="22"/>
          <w:szCs w:val="22"/>
          <w:lang w:val="es-ES"/>
        </w:rPr>
        <w:t>13.3.</w:t>
      </w:r>
      <w:r w:rsidRPr="004A7C74">
        <w:rPr>
          <w:rFonts w:ascii="Verdana" w:hAnsi="Verdana" w:cs="Arial"/>
          <w:i/>
          <w:iCs/>
          <w:sz w:val="22"/>
          <w:szCs w:val="22"/>
        </w:rPr>
        <w:tab/>
      </w:r>
      <w:r w:rsidRPr="004A7C74">
        <w:rPr>
          <w:rFonts w:ascii="Verdana" w:hAnsi="Verdana" w:cs="Arial"/>
          <w:i/>
          <w:iCs/>
          <w:sz w:val="22"/>
          <w:szCs w:val="22"/>
          <w:lang w:val="es-ES"/>
        </w:rPr>
        <w:t>Las disposiciones de las instrucciones</w:t>
      </w:r>
      <w:r w:rsidR="007D1993">
        <w:rPr>
          <w:rFonts w:ascii="Verdana" w:hAnsi="Verdana" w:cs="Arial"/>
          <w:i/>
          <w:iCs/>
          <w:sz w:val="22"/>
          <w:szCs w:val="22"/>
          <w:lang w:val="es-ES"/>
        </w:rPr>
        <w:t xml:space="preserve"> </w:t>
      </w:r>
      <w:r w:rsidRPr="004A7C74">
        <w:rPr>
          <w:rFonts w:ascii="Verdana" w:hAnsi="Verdana" w:cs="Arial"/>
          <w:i/>
          <w:iCs/>
          <w:sz w:val="22"/>
          <w:szCs w:val="22"/>
          <w:lang w:val="es-ES"/>
        </w:rPr>
        <w:t>CUARTA, QUINTA</w:t>
      </w:r>
      <w:r w:rsidR="007D1993">
        <w:rPr>
          <w:rFonts w:ascii="Verdana" w:hAnsi="Verdana" w:cs="Arial"/>
          <w:i/>
          <w:iCs/>
          <w:sz w:val="22"/>
          <w:szCs w:val="22"/>
          <w:lang w:val="es-ES"/>
        </w:rPr>
        <w:t xml:space="preserve"> </w:t>
      </w:r>
      <w:r w:rsidRPr="004A7C74">
        <w:rPr>
          <w:rFonts w:ascii="Verdana" w:hAnsi="Verdana" w:cs="Arial"/>
          <w:i/>
          <w:iCs/>
          <w:sz w:val="22"/>
          <w:szCs w:val="22"/>
          <w:lang w:val="es-ES"/>
        </w:rPr>
        <w:t>y</w:t>
      </w:r>
      <w:r w:rsidR="007D1993">
        <w:rPr>
          <w:rFonts w:ascii="Verdana" w:hAnsi="Verdana" w:cs="Arial"/>
          <w:i/>
          <w:iCs/>
          <w:sz w:val="22"/>
          <w:szCs w:val="22"/>
          <w:lang w:val="es-ES"/>
        </w:rPr>
        <w:t xml:space="preserve"> </w:t>
      </w:r>
      <w:r w:rsidRPr="004A7C74">
        <w:rPr>
          <w:rFonts w:ascii="Verdana" w:hAnsi="Verdana" w:cs="Arial"/>
          <w:i/>
          <w:iCs/>
          <w:sz w:val="22"/>
          <w:szCs w:val="22"/>
          <w:lang w:val="es-ES"/>
        </w:rPr>
        <w:t>SEXTA</w:t>
      </w:r>
      <w:r w:rsidR="007D1993">
        <w:rPr>
          <w:rFonts w:ascii="Verdana" w:hAnsi="Verdana" w:cs="Arial"/>
          <w:i/>
          <w:iCs/>
          <w:sz w:val="22"/>
          <w:szCs w:val="22"/>
          <w:lang w:val="es-ES"/>
        </w:rPr>
        <w:t xml:space="preserve"> </w:t>
      </w:r>
      <w:r w:rsidRPr="004A7C74">
        <w:rPr>
          <w:rFonts w:ascii="Verdana" w:hAnsi="Verdana" w:cs="Arial"/>
          <w:i/>
          <w:iCs/>
          <w:sz w:val="22"/>
          <w:szCs w:val="22"/>
          <w:lang w:val="es-ES"/>
        </w:rPr>
        <w:t>de la presente</w:t>
      </w:r>
      <w:r w:rsidRPr="004A7C74" w:rsidDel="007D1993">
        <w:rPr>
          <w:rFonts w:ascii="Verdana" w:hAnsi="Verdana" w:cs="Arial"/>
          <w:i/>
          <w:iCs/>
          <w:sz w:val="22"/>
          <w:szCs w:val="22"/>
          <w:lang w:val="es-ES"/>
        </w:rPr>
        <w:t> c</w:t>
      </w:r>
      <w:r w:rsidRPr="004A7C74">
        <w:rPr>
          <w:rFonts w:ascii="Verdana" w:hAnsi="Verdana" w:cs="Arial"/>
          <w:i/>
          <w:iCs/>
          <w:sz w:val="22"/>
          <w:szCs w:val="22"/>
          <w:lang w:val="es-ES"/>
        </w:rPr>
        <w:t>ircular </w:t>
      </w:r>
      <w:r w:rsidRPr="004A7C74" w:rsidDel="007D1993">
        <w:rPr>
          <w:rFonts w:ascii="Verdana" w:hAnsi="Verdana" w:cs="Arial"/>
          <w:i/>
          <w:iCs/>
          <w:sz w:val="22"/>
          <w:szCs w:val="22"/>
          <w:lang w:val="es-ES"/>
        </w:rPr>
        <w:t>e</w:t>
      </w:r>
      <w:r w:rsidRPr="004A7C74">
        <w:rPr>
          <w:rFonts w:ascii="Verdana" w:hAnsi="Verdana" w:cs="Arial"/>
          <w:i/>
          <w:iCs/>
          <w:sz w:val="22"/>
          <w:szCs w:val="22"/>
          <w:lang w:val="es-ES"/>
        </w:rPr>
        <w:t xml:space="preserve">xterna entran a regir a partir del </w:t>
      </w:r>
      <w:r w:rsidRPr="00B67667">
        <w:rPr>
          <w:rFonts w:ascii="Verdana" w:hAnsi="Verdana" w:cs="Arial"/>
          <w:i/>
          <w:sz w:val="22"/>
          <w:szCs w:val="22"/>
          <w:lang w:val="es-ES"/>
        </w:rPr>
        <w:t xml:space="preserve">1 de enero de </w:t>
      </w:r>
      <w:r w:rsidRPr="00B67667">
        <w:rPr>
          <w:rFonts w:ascii="Verdana" w:hAnsi="Verdana" w:cs="Arial"/>
          <w:i/>
          <w:iCs/>
          <w:sz w:val="22"/>
          <w:szCs w:val="22"/>
          <w:lang w:val="es-ES"/>
        </w:rPr>
        <w:t>2028.</w:t>
      </w:r>
    </w:p>
    <w:p w14:paraId="21C2A28B" w14:textId="479119F3" w:rsidR="004A7C74" w:rsidRPr="004A7C74" w:rsidRDefault="004A7C74" w:rsidP="004A7C74">
      <w:pPr>
        <w:widowControl w:val="0"/>
        <w:autoSpaceDE w:val="0"/>
        <w:autoSpaceDN w:val="0"/>
        <w:adjustRightInd w:val="0"/>
        <w:spacing w:line="276" w:lineRule="auto"/>
        <w:ind w:left="708"/>
        <w:jc w:val="both"/>
        <w:rPr>
          <w:rFonts w:ascii="Verdana" w:hAnsi="Verdana" w:cs="Arial"/>
          <w:i/>
          <w:iCs/>
          <w:sz w:val="22"/>
          <w:szCs w:val="22"/>
        </w:rPr>
      </w:pPr>
    </w:p>
    <w:p w14:paraId="42E26C63" w14:textId="4D2AC408" w:rsidR="004A7C74" w:rsidRPr="004A7C74" w:rsidRDefault="004A7C74" w:rsidP="004A7C74">
      <w:pPr>
        <w:widowControl w:val="0"/>
        <w:autoSpaceDE w:val="0"/>
        <w:autoSpaceDN w:val="0"/>
        <w:adjustRightInd w:val="0"/>
        <w:spacing w:line="276" w:lineRule="auto"/>
        <w:ind w:left="708"/>
        <w:jc w:val="both"/>
        <w:rPr>
          <w:rFonts w:ascii="Verdana" w:hAnsi="Verdana" w:cs="Arial"/>
          <w:i/>
          <w:iCs/>
          <w:sz w:val="22"/>
          <w:szCs w:val="22"/>
        </w:rPr>
      </w:pPr>
      <w:r w:rsidRPr="004A7C74">
        <w:rPr>
          <w:rFonts w:ascii="Verdana" w:hAnsi="Verdana" w:cs="Arial"/>
          <w:i/>
          <w:iCs/>
          <w:sz w:val="22"/>
          <w:szCs w:val="22"/>
          <w:lang w:val="es-ES"/>
        </w:rPr>
        <w:t>13.4.</w:t>
      </w:r>
      <w:r w:rsidRPr="004A7C74">
        <w:rPr>
          <w:rFonts w:ascii="Verdana" w:hAnsi="Verdana" w:cs="Arial"/>
          <w:i/>
          <w:iCs/>
          <w:sz w:val="22"/>
          <w:szCs w:val="22"/>
        </w:rPr>
        <w:tab/>
      </w:r>
      <w:r w:rsidRPr="004A7C74">
        <w:rPr>
          <w:rFonts w:ascii="Verdana" w:hAnsi="Verdana" w:cs="Arial"/>
          <w:i/>
          <w:iCs/>
          <w:sz w:val="22"/>
          <w:szCs w:val="22"/>
          <w:lang w:val="es-ES"/>
        </w:rPr>
        <w:t>Las disposiciones de</w:t>
      </w:r>
      <w:r w:rsidR="007D1993">
        <w:rPr>
          <w:rFonts w:ascii="Verdana" w:hAnsi="Verdana" w:cs="Arial"/>
          <w:i/>
          <w:iCs/>
          <w:sz w:val="22"/>
          <w:szCs w:val="22"/>
          <w:lang w:val="es-ES"/>
        </w:rPr>
        <w:t xml:space="preserve"> </w:t>
      </w:r>
      <w:r w:rsidRPr="004A7C74">
        <w:rPr>
          <w:rFonts w:ascii="Verdana" w:hAnsi="Verdana" w:cs="Arial"/>
          <w:i/>
          <w:iCs/>
          <w:sz w:val="22"/>
          <w:szCs w:val="22"/>
          <w:lang w:val="es-ES"/>
        </w:rPr>
        <w:t>las instrucciones</w:t>
      </w:r>
      <w:r w:rsidR="007D1993">
        <w:rPr>
          <w:rFonts w:ascii="Verdana" w:hAnsi="Verdana" w:cs="Arial"/>
          <w:i/>
          <w:iCs/>
          <w:sz w:val="22"/>
          <w:szCs w:val="22"/>
          <w:lang w:val="es-ES"/>
        </w:rPr>
        <w:t xml:space="preserve"> </w:t>
      </w:r>
      <w:r w:rsidRPr="004A7C74">
        <w:rPr>
          <w:rFonts w:ascii="Verdana" w:hAnsi="Verdana" w:cs="Arial"/>
          <w:i/>
          <w:iCs/>
          <w:sz w:val="22"/>
          <w:szCs w:val="22"/>
          <w:lang w:val="es-ES"/>
        </w:rPr>
        <w:t>SÉPTIMA,</w:t>
      </w:r>
      <w:r w:rsidR="007D1993">
        <w:rPr>
          <w:rFonts w:ascii="Verdana" w:hAnsi="Verdana" w:cs="Arial"/>
          <w:i/>
          <w:iCs/>
          <w:sz w:val="22"/>
          <w:szCs w:val="22"/>
          <w:lang w:val="es-ES"/>
        </w:rPr>
        <w:t xml:space="preserve"> </w:t>
      </w:r>
      <w:r w:rsidRPr="004A7C74">
        <w:rPr>
          <w:rFonts w:ascii="Verdana" w:hAnsi="Verdana" w:cs="Arial"/>
          <w:i/>
          <w:iCs/>
          <w:sz w:val="22"/>
          <w:szCs w:val="22"/>
          <w:lang w:val="es-ES"/>
        </w:rPr>
        <w:t>OCTAVA,</w:t>
      </w:r>
      <w:r w:rsidR="007D1993">
        <w:rPr>
          <w:rFonts w:ascii="Verdana" w:hAnsi="Verdana" w:cs="Arial"/>
          <w:i/>
          <w:iCs/>
          <w:sz w:val="22"/>
          <w:szCs w:val="22"/>
          <w:lang w:val="es-ES"/>
        </w:rPr>
        <w:t xml:space="preserve"> </w:t>
      </w:r>
      <w:r w:rsidRPr="004A7C74">
        <w:rPr>
          <w:rFonts w:ascii="Verdana" w:hAnsi="Verdana" w:cs="Arial"/>
          <w:i/>
          <w:iCs/>
          <w:sz w:val="22"/>
          <w:szCs w:val="22"/>
          <w:lang w:val="es-ES"/>
        </w:rPr>
        <w:t>NOVENA,</w:t>
      </w:r>
      <w:r w:rsidR="007D1993">
        <w:rPr>
          <w:rFonts w:ascii="Verdana" w:hAnsi="Verdana" w:cs="Arial"/>
          <w:i/>
          <w:iCs/>
          <w:sz w:val="22"/>
          <w:szCs w:val="22"/>
          <w:lang w:val="es-ES"/>
        </w:rPr>
        <w:t xml:space="preserve"> </w:t>
      </w:r>
      <w:r w:rsidRPr="004A7C74">
        <w:rPr>
          <w:rFonts w:ascii="Verdana" w:hAnsi="Verdana" w:cs="Arial"/>
          <w:i/>
          <w:iCs/>
          <w:sz w:val="22"/>
          <w:szCs w:val="22"/>
          <w:lang w:val="es-ES"/>
        </w:rPr>
        <w:t>DÉCIMA,</w:t>
      </w:r>
      <w:r w:rsidR="007D1993">
        <w:rPr>
          <w:rFonts w:ascii="Verdana" w:hAnsi="Verdana" w:cs="Arial"/>
          <w:i/>
          <w:iCs/>
          <w:sz w:val="22"/>
          <w:szCs w:val="22"/>
          <w:lang w:val="es-ES"/>
        </w:rPr>
        <w:t xml:space="preserve"> </w:t>
      </w:r>
      <w:r w:rsidRPr="004A7C74">
        <w:rPr>
          <w:rFonts w:ascii="Verdana" w:hAnsi="Verdana" w:cs="Arial"/>
          <w:i/>
          <w:iCs/>
          <w:sz w:val="22"/>
          <w:szCs w:val="22"/>
          <w:lang w:val="es-ES"/>
        </w:rPr>
        <w:t>DÉCIMAPRIMERA,</w:t>
      </w:r>
      <w:r w:rsidR="007D1993">
        <w:rPr>
          <w:rFonts w:ascii="Verdana" w:hAnsi="Verdana" w:cs="Arial"/>
          <w:i/>
          <w:iCs/>
          <w:sz w:val="22"/>
          <w:szCs w:val="22"/>
          <w:lang w:val="es-ES"/>
        </w:rPr>
        <w:t xml:space="preserve"> </w:t>
      </w:r>
      <w:r w:rsidRPr="004A7C74">
        <w:rPr>
          <w:rFonts w:ascii="Verdana" w:hAnsi="Verdana" w:cs="Arial"/>
          <w:i/>
          <w:iCs/>
          <w:sz w:val="22"/>
          <w:szCs w:val="22"/>
          <w:lang w:val="es-ES"/>
        </w:rPr>
        <w:t>DÉCIMASEGUNDA</w:t>
      </w:r>
      <w:r w:rsidR="007D1993">
        <w:rPr>
          <w:rFonts w:ascii="Verdana" w:hAnsi="Verdana" w:cs="Arial"/>
          <w:i/>
          <w:iCs/>
          <w:sz w:val="22"/>
          <w:szCs w:val="22"/>
          <w:lang w:val="es-ES"/>
        </w:rPr>
        <w:t xml:space="preserve"> </w:t>
      </w:r>
      <w:r w:rsidRPr="004A7C74">
        <w:rPr>
          <w:rFonts w:ascii="Verdana" w:hAnsi="Verdana" w:cs="Arial"/>
          <w:i/>
          <w:iCs/>
          <w:sz w:val="22"/>
          <w:szCs w:val="22"/>
          <w:lang w:val="es-ES"/>
        </w:rPr>
        <w:t>y</w:t>
      </w:r>
      <w:r w:rsidR="007D1993">
        <w:rPr>
          <w:rFonts w:ascii="Verdana" w:hAnsi="Verdana" w:cs="Arial"/>
          <w:i/>
          <w:iCs/>
          <w:sz w:val="22"/>
          <w:szCs w:val="22"/>
          <w:lang w:val="es-ES"/>
        </w:rPr>
        <w:t xml:space="preserve"> </w:t>
      </w:r>
      <w:r w:rsidRPr="004A7C74">
        <w:rPr>
          <w:rFonts w:ascii="Verdana" w:hAnsi="Verdana" w:cs="Arial"/>
          <w:i/>
          <w:iCs/>
          <w:sz w:val="22"/>
          <w:szCs w:val="22"/>
        </w:rPr>
        <w:t>DÉCIMOTERCERA</w:t>
      </w:r>
      <w:r w:rsidR="007D1993">
        <w:rPr>
          <w:rFonts w:ascii="Verdana" w:hAnsi="Verdana" w:cs="Arial"/>
          <w:i/>
          <w:iCs/>
          <w:sz w:val="22"/>
          <w:szCs w:val="22"/>
          <w:lang w:val="es-ES"/>
        </w:rPr>
        <w:t xml:space="preserve"> </w:t>
      </w:r>
      <w:r w:rsidRPr="004A7C74">
        <w:rPr>
          <w:rFonts w:ascii="Verdana" w:hAnsi="Verdana" w:cs="Arial"/>
          <w:i/>
          <w:iCs/>
          <w:sz w:val="22"/>
          <w:szCs w:val="22"/>
          <w:lang w:val="es-ES"/>
        </w:rPr>
        <w:t xml:space="preserve">de la presente circular </w:t>
      </w:r>
      <w:r w:rsidRPr="004A7C74" w:rsidDel="007D1993">
        <w:rPr>
          <w:rFonts w:ascii="Verdana" w:hAnsi="Verdana" w:cs="Arial"/>
          <w:i/>
          <w:iCs/>
          <w:sz w:val="22"/>
          <w:szCs w:val="22"/>
          <w:lang w:val="es-ES"/>
        </w:rPr>
        <w:t>e</w:t>
      </w:r>
      <w:r w:rsidRPr="004A7C74">
        <w:rPr>
          <w:rFonts w:ascii="Verdana" w:hAnsi="Verdana" w:cs="Arial"/>
          <w:i/>
          <w:iCs/>
          <w:sz w:val="22"/>
          <w:szCs w:val="22"/>
          <w:lang w:val="es-ES"/>
        </w:rPr>
        <w:t>xterna entran a regir a partir de la fecha de expedición de la presente circular.</w:t>
      </w:r>
    </w:p>
    <w:p w14:paraId="0364ED28" w14:textId="42131538" w:rsidR="004A7C74" w:rsidRPr="004A7C74" w:rsidRDefault="004A7C74" w:rsidP="004A7C74">
      <w:pPr>
        <w:widowControl w:val="0"/>
        <w:autoSpaceDE w:val="0"/>
        <w:autoSpaceDN w:val="0"/>
        <w:adjustRightInd w:val="0"/>
        <w:spacing w:line="276" w:lineRule="auto"/>
        <w:ind w:left="708"/>
        <w:jc w:val="both"/>
        <w:rPr>
          <w:rFonts w:ascii="Verdana" w:hAnsi="Verdana" w:cs="Arial"/>
          <w:i/>
          <w:iCs/>
          <w:sz w:val="22"/>
          <w:szCs w:val="22"/>
        </w:rPr>
      </w:pPr>
    </w:p>
    <w:p w14:paraId="28A7D885" w14:textId="0E4CCFE9" w:rsidR="004A7C74" w:rsidRPr="004A7C74" w:rsidRDefault="004A7C74" w:rsidP="004A7C74">
      <w:pPr>
        <w:widowControl w:val="0"/>
        <w:autoSpaceDE w:val="0"/>
        <w:autoSpaceDN w:val="0"/>
        <w:adjustRightInd w:val="0"/>
        <w:spacing w:line="276" w:lineRule="auto"/>
        <w:ind w:left="708"/>
        <w:jc w:val="both"/>
        <w:rPr>
          <w:rFonts w:ascii="Verdana" w:hAnsi="Verdana" w:cs="Arial"/>
          <w:i/>
          <w:iCs/>
          <w:sz w:val="22"/>
          <w:szCs w:val="22"/>
        </w:rPr>
      </w:pPr>
      <w:r w:rsidRPr="004A7C74">
        <w:rPr>
          <w:rFonts w:ascii="Verdana" w:hAnsi="Verdana" w:cs="Arial"/>
          <w:i/>
          <w:iCs/>
          <w:sz w:val="22"/>
          <w:szCs w:val="22"/>
          <w:lang w:val="es-ES"/>
        </w:rPr>
        <w:t>13.5.</w:t>
      </w:r>
      <w:r w:rsidR="00736CBA">
        <w:rPr>
          <w:rFonts w:ascii="Verdana" w:hAnsi="Verdana" w:cs="Arial"/>
          <w:i/>
          <w:iCs/>
          <w:sz w:val="22"/>
          <w:szCs w:val="22"/>
          <w:lang w:val="es-ES"/>
        </w:rPr>
        <w:tab/>
      </w:r>
      <w:r w:rsidRPr="004A7C74">
        <w:rPr>
          <w:rFonts w:ascii="Verdana" w:hAnsi="Verdana" w:cs="Arial"/>
          <w:i/>
          <w:iCs/>
          <w:sz w:val="22"/>
          <w:szCs w:val="22"/>
          <w:lang w:val="es-ES"/>
        </w:rPr>
        <w:t>De acuerdo con el numeral 1 del artículo 2.31.4.1.4. del Decreto 2555 de 2010, para los ramos, productos, flujos o prestaciones</w:t>
      </w:r>
      <w:r w:rsidR="00452472">
        <w:rPr>
          <w:rFonts w:ascii="Verdana" w:hAnsi="Verdana" w:cs="Arial"/>
          <w:i/>
          <w:iCs/>
          <w:sz w:val="22"/>
          <w:szCs w:val="22"/>
          <w:lang w:val="es-ES"/>
        </w:rPr>
        <w:t xml:space="preserve"> </w:t>
      </w:r>
      <w:r w:rsidRPr="004A7C74">
        <w:rPr>
          <w:rFonts w:ascii="Verdana" w:hAnsi="Verdana" w:cs="Arial"/>
          <w:i/>
          <w:iCs/>
          <w:sz w:val="22"/>
          <w:szCs w:val="22"/>
          <w:lang w:val="es-ES"/>
        </w:rPr>
        <w:t>definidos en el numeral 1 del</w:t>
      </w:r>
      <w:r w:rsidR="00452472">
        <w:rPr>
          <w:rFonts w:ascii="Verdana" w:hAnsi="Verdana" w:cs="Arial"/>
          <w:i/>
          <w:iCs/>
          <w:sz w:val="22"/>
          <w:szCs w:val="22"/>
          <w:lang w:val="es-ES"/>
        </w:rPr>
        <w:t xml:space="preserve"> </w:t>
      </w:r>
      <w:r w:rsidRPr="004A7C74">
        <w:rPr>
          <w:rFonts w:ascii="Verdana" w:hAnsi="Verdana" w:cs="Arial"/>
          <w:i/>
          <w:iCs/>
          <w:sz w:val="22"/>
          <w:szCs w:val="22"/>
          <w:lang w:val="es-ES"/>
        </w:rPr>
        <w:t>Anexo No. 6 del Capítulo XXXIV de la CBCF «Metodología de cálculo de la prima de iliquidez», la tasa de descuento para los flujos futuros de efectivo debe contemplar una prima de iliquidez, la cual debe ser calculada internamente por cada entidad de conformidad con las instrucciones</w:t>
      </w:r>
      <w:r w:rsidR="00452472">
        <w:rPr>
          <w:rFonts w:ascii="Verdana" w:hAnsi="Verdana" w:cs="Arial"/>
          <w:i/>
          <w:iCs/>
          <w:sz w:val="22"/>
          <w:szCs w:val="22"/>
          <w:lang w:val="es-ES"/>
        </w:rPr>
        <w:t xml:space="preserve"> </w:t>
      </w:r>
      <w:r w:rsidRPr="004A7C74">
        <w:rPr>
          <w:rFonts w:ascii="Verdana" w:hAnsi="Verdana" w:cs="Arial"/>
          <w:i/>
          <w:iCs/>
          <w:sz w:val="22"/>
          <w:szCs w:val="22"/>
          <w:lang w:val="es-ES"/>
        </w:rPr>
        <w:t xml:space="preserve">del Anexo No. 6 del Capítulo XXXIV </w:t>
      </w:r>
      <w:r w:rsidR="00817FD7">
        <w:rPr>
          <w:rFonts w:ascii="Verdana" w:hAnsi="Verdana" w:cs="Arial"/>
          <w:i/>
          <w:iCs/>
          <w:sz w:val="22"/>
          <w:szCs w:val="22"/>
          <w:lang w:val="es-ES"/>
        </w:rPr>
        <w:t>«</w:t>
      </w:r>
      <w:r w:rsidR="00817FD7" w:rsidRPr="003E5EBF">
        <w:rPr>
          <w:rFonts w:ascii="Verdana" w:hAnsi="Verdana" w:cs="Arial"/>
          <w:i/>
          <w:iCs/>
          <w:sz w:val="22"/>
          <w:szCs w:val="22"/>
          <w:lang w:val="es-ES"/>
        </w:rPr>
        <w:t>Régimen prudencial de las reservas técnicas de las entidades aseguradoras»</w:t>
      </w:r>
      <w:r w:rsidRPr="004A7C74">
        <w:rPr>
          <w:rFonts w:ascii="Verdana" w:hAnsi="Verdana" w:cs="Arial"/>
          <w:i/>
          <w:iCs/>
          <w:sz w:val="22"/>
          <w:szCs w:val="22"/>
          <w:lang w:val="es-ES"/>
        </w:rPr>
        <w:t xml:space="preserve"> de la CBCF,</w:t>
      </w:r>
      <w:r w:rsidR="00817FD7">
        <w:rPr>
          <w:rFonts w:ascii="Verdana" w:hAnsi="Verdana" w:cs="Arial"/>
          <w:i/>
          <w:iCs/>
          <w:sz w:val="22"/>
          <w:szCs w:val="22"/>
          <w:lang w:val="es-ES"/>
        </w:rPr>
        <w:t xml:space="preserve"> o las normas que la modifiquen, sustituyan o adicionen,</w:t>
      </w:r>
      <w:r w:rsidR="00452472">
        <w:rPr>
          <w:rFonts w:ascii="Verdana" w:hAnsi="Verdana" w:cs="Arial"/>
          <w:i/>
          <w:iCs/>
          <w:sz w:val="22"/>
          <w:szCs w:val="22"/>
          <w:lang w:val="es-ES"/>
        </w:rPr>
        <w:t xml:space="preserve"> </w:t>
      </w:r>
      <w:r w:rsidRPr="004A7C74">
        <w:rPr>
          <w:rFonts w:ascii="Verdana" w:hAnsi="Verdana" w:cs="Arial"/>
          <w:i/>
          <w:iCs/>
          <w:sz w:val="22"/>
          <w:szCs w:val="22"/>
          <w:lang w:val="es-ES"/>
        </w:rPr>
        <w:t>o de acuerdo con la metodología definida por cada entidad, previa no objeción de la SFC.</w:t>
      </w:r>
    </w:p>
    <w:p w14:paraId="51C3D203" w14:textId="6B30C4D8" w:rsidR="004A7C74" w:rsidRPr="004A7C74" w:rsidRDefault="004A7C74" w:rsidP="004A7C74">
      <w:pPr>
        <w:widowControl w:val="0"/>
        <w:autoSpaceDE w:val="0"/>
        <w:autoSpaceDN w:val="0"/>
        <w:adjustRightInd w:val="0"/>
        <w:spacing w:line="276" w:lineRule="auto"/>
        <w:jc w:val="both"/>
        <w:rPr>
          <w:rFonts w:ascii="Verdana" w:hAnsi="Verdana" w:cs="Arial"/>
          <w:sz w:val="22"/>
          <w:szCs w:val="22"/>
        </w:rPr>
      </w:pPr>
    </w:p>
    <w:p w14:paraId="3D404DB1" w14:textId="5031A6AD" w:rsidR="00E17ACE" w:rsidRDefault="00E17ACE" w:rsidP="004A7C74">
      <w:pPr>
        <w:widowControl w:val="0"/>
        <w:autoSpaceDE w:val="0"/>
        <w:autoSpaceDN w:val="0"/>
        <w:adjustRightInd w:val="0"/>
        <w:spacing w:line="276" w:lineRule="auto"/>
        <w:jc w:val="both"/>
        <w:rPr>
          <w:rFonts w:ascii="Verdana" w:hAnsi="Verdana" w:cs="Arial"/>
          <w:sz w:val="22"/>
          <w:szCs w:val="22"/>
        </w:rPr>
      </w:pPr>
      <w:r w:rsidRPr="00502D39">
        <w:rPr>
          <w:rFonts w:ascii="Verdana" w:hAnsi="Verdana" w:cs="Arial"/>
          <w:b/>
          <w:bCs/>
          <w:sz w:val="22"/>
          <w:szCs w:val="22"/>
        </w:rPr>
        <w:t>OCTAVA</w:t>
      </w:r>
      <w:r>
        <w:rPr>
          <w:rFonts w:ascii="Verdana" w:hAnsi="Verdana" w:cs="Arial"/>
          <w:sz w:val="22"/>
          <w:szCs w:val="22"/>
        </w:rPr>
        <w:t xml:space="preserve">: </w:t>
      </w:r>
      <w:r w:rsidR="00D12DE3">
        <w:rPr>
          <w:rFonts w:ascii="Verdana" w:hAnsi="Verdana" w:cs="Arial"/>
          <w:sz w:val="22"/>
          <w:szCs w:val="22"/>
        </w:rPr>
        <w:t>Modificar</w:t>
      </w:r>
      <w:r w:rsidR="00502D39">
        <w:rPr>
          <w:rFonts w:ascii="Verdana" w:hAnsi="Verdana" w:cs="Arial"/>
          <w:sz w:val="22"/>
          <w:szCs w:val="22"/>
        </w:rPr>
        <w:t xml:space="preserve"> las fechas de</w:t>
      </w:r>
      <w:r w:rsidR="00D12DE3">
        <w:rPr>
          <w:rFonts w:ascii="Verdana" w:hAnsi="Verdana" w:cs="Arial"/>
          <w:sz w:val="22"/>
          <w:szCs w:val="22"/>
        </w:rPr>
        <w:t xml:space="preserve"> los siguientes anexos de la Circular Externa 013 de 2025</w:t>
      </w:r>
      <w:r w:rsidR="00F6194A">
        <w:rPr>
          <w:rFonts w:ascii="Verdana" w:hAnsi="Verdana" w:cs="Arial"/>
          <w:sz w:val="22"/>
          <w:szCs w:val="22"/>
        </w:rPr>
        <w:t xml:space="preserve">: </w:t>
      </w:r>
    </w:p>
    <w:p w14:paraId="34119831" w14:textId="77777777" w:rsidR="00F6194A" w:rsidRDefault="00F6194A" w:rsidP="004A7C74">
      <w:pPr>
        <w:widowControl w:val="0"/>
        <w:autoSpaceDE w:val="0"/>
        <w:autoSpaceDN w:val="0"/>
        <w:adjustRightInd w:val="0"/>
        <w:spacing w:line="276" w:lineRule="auto"/>
        <w:jc w:val="both"/>
        <w:rPr>
          <w:rFonts w:ascii="Verdana" w:hAnsi="Verdana" w:cs="Arial"/>
          <w:sz w:val="22"/>
          <w:szCs w:val="22"/>
        </w:rPr>
      </w:pPr>
    </w:p>
    <w:p w14:paraId="77E2EDF3" w14:textId="517FA0CF" w:rsidR="00F6194A" w:rsidRPr="001B5EF5" w:rsidRDefault="00EC7BDB" w:rsidP="001B5EF5">
      <w:pPr>
        <w:pStyle w:val="Prrafodelista"/>
        <w:widowControl w:val="0"/>
        <w:numPr>
          <w:ilvl w:val="1"/>
          <w:numId w:val="29"/>
        </w:numPr>
        <w:autoSpaceDE w:val="0"/>
        <w:autoSpaceDN w:val="0"/>
        <w:adjustRightInd w:val="0"/>
        <w:spacing w:line="276" w:lineRule="auto"/>
        <w:jc w:val="both"/>
        <w:rPr>
          <w:rFonts w:ascii="Verdana" w:hAnsi="Verdana" w:cs="Arial"/>
        </w:rPr>
      </w:pPr>
      <w:r w:rsidRPr="001B5EF5">
        <w:rPr>
          <w:rFonts w:ascii="Verdana" w:hAnsi="Verdana" w:cs="Arial"/>
        </w:rPr>
        <w:t>Anexo 1.0 - Impactos en la aplicación por primera vez NIIF 17</w:t>
      </w:r>
    </w:p>
    <w:p w14:paraId="5E7354A1" w14:textId="47D66436" w:rsidR="00EC7BDB" w:rsidRPr="001B5EF5" w:rsidRDefault="00EC7BDB" w:rsidP="001B5EF5">
      <w:pPr>
        <w:pStyle w:val="Prrafodelista"/>
        <w:widowControl w:val="0"/>
        <w:numPr>
          <w:ilvl w:val="1"/>
          <w:numId w:val="29"/>
        </w:numPr>
        <w:autoSpaceDE w:val="0"/>
        <w:autoSpaceDN w:val="0"/>
        <w:adjustRightInd w:val="0"/>
        <w:spacing w:line="276" w:lineRule="auto"/>
        <w:jc w:val="both"/>
        <w:rPr>
          <w:rFonts w:ascii="Verdana" w:hAnsi="Verdana" w:cs="Arial"/>
        </w:rPr>
      </w:pPr>
      <w:r w:rsidRPr="001B5EF5">
        <w:rPr>
          <w:rFonts w:ascii="Verdana" w:hAnsi="Verdana" w:cs="Arial"/>
        </w:rPr>
        <w:t xml:space="preserve">Anexo 2.0 - </w:t>
      </w:r>
      <w:r w:rsidR="009D255C" w:rsidRPr="001B5EF5">
        <w:rPr>
          <w:rFonts w:ascii="Verdana" w:hAnsi="Verdana" w:cs="Arial"/>
        </w:rPr>
        <w:t>Estado de Situación Financiera de Apertura -ESFA</w:t>
      </w:r>
    </w:p>
    <w:p w14:paraId="189F9B47" w14:textId="77777777" w:rsidR="00E17ACE" w:rsidRDefault="00E17ACE" w:rsidP="004A7C74">
      <w:pPr>
        <w:widowControl w:val="0"/>
        <w:autoSpaceDE w:val="0"/>
        <w:autoSpaceDN w:val="0"/>
        <w:adjustRightInd w:val="0"/>
        <w:spacing w:line="276" w:lineRule="auto"/>
        <w:jc w:val="both"/>
        <w:rPr>
          <w:rFonts w:ascii="Verdana" w:hAnsi="Verdana" w:cs="Arial"/>
          <w:sz w:val="22"/>
          <w:szCs w:val="22"/>
        </w:rPr>
      </w:pPr>
    </w:p>
    <w:p w14:paraId="650B4318" w14:textId="77777777" w:rsidR="009D255C" w:rsidRDefault="009D255C" w:rsidP="004A7C74">
      <w:pPr>
        <w:widowControl w:val="0"/>
        <w:autoSpaceDE w:val="0"/>
        <w:autoSpaceDN w:val="0"/>
        <w:adjustRightInd w:val="0"/>
        <w:spacing w:line="276" w:lineRule="auto"/>
        <w:jc w:val="both"/>
        <w:rPr>
          <w:rFonts w:ascii="Verdana" w:hAnsi="Verdana" w:cs="Arial"/>
          <w:sz w:val="22"/>
          <w:szCs w:val="22"/>
        </w:rPr>
      </w:pPr>
    </w:p>
    <w:p w14:paraId="605CA9CF" w14:textId="7515F7AE" w:rsidR="004A7C74" w:rsidRPr="004A7C74" w:rsidRDefault="004A7C74" w:rsidP="004A7C74">
      <w:pPr>
        <w:widowControl w:val="0"/>
        <w:autoSpaceDE w:val="0"/>
        <w:autoSpaceDN w:val="0"/>
        <w:adjustRightInd w:val="0"/>
        <w:spacing w:line="276" w:lineRule="auto"/>
        <w:jc w:val="both"/>
        <w:rPr>
          <w:rFonts w:ascii="Verdana" w:hAnsi="Verdana" w:cs="Arial"/>
          <w:sz w:val="22"/>
          <w:szCs w:val="22"/>
        </w:rPr>
      </w:pPr>
      <w:r w:rsidRPr="004A7C74">
        <w:rPr>
          <w:rFonts w:ascii="Verdana" w:hAnsi="Verdana" w:cs="Arial"/>
          <w:sz w:val="22"/>
          <w:szCs w:val="22"/>
        </w:rPr>
        <w:t>La presente</w:t>
      </w:r>
      <w:r w:rsidR="00452472">
        <w:rPr>
          <w:rFonts w:ascii="Verdana" w:hAnsi="Verdana" w:cs="Arial"/>
          <w:sz w:val="22"/>
          <w:szCs w:val="22"/>
        </w:rPr>
        <w:t xml:space="preserve"> </w:t>
      </w:r>
      <w:r w:rsidRPr="004A7C74">
        <w:rPr>
          <w:rFonts w:ascii="Verdana" w:hAnsi="Verdana" w:cs="Arial"/>
          <w:sz w:val="22"/>
          <w:szCs w:val="22"/>
        </w:rPr>
        <w:t>circular</w:t>
      </w:r>
      <w:r w:rsidR="00452472">
        <w:rPr>
          <w:rFonts w:ascii="Verdana" w:hAnsi="Verdana" w:cs="Arial"/>
          <w:sz w:val="22"/>
          <w:szCs w:val="22"/>
        </w:rPr>
        <w:t xml:space="preserve"> </w:t>
      </w:r>
      <w:r w:rsidRPr="004A7C74">
        <w:rPr>
          <w:rFonts w:ascii="Verdana" w:hAnsi="Verdana" w:cs="Arial"/>
          <w:sz w:val="22"/>
          <w:szCs w:val="22"/>
        </w:rPr>
        <w:t>externa</w:t>
      </w:r>
      <w:r w:rsidR="00452472">
        <w:rPr>
          <w:rFonts w:ascii="Verdana" w:hAnsi="Verdana" w:cs="Arial"/>
          <w:sz w:val="22"/>
          <w:szCs w:val="22"/>
        </w:rPr>
        <w:t xml:space="preserve"> </w:t>
      </w:r>
      <w:proofErr w:type="gramStart"/>
      <w:r w:rsidRPr="004A7C74">
        <w:rPr>
          <w:rFonts w:ascii="Verdana" w:hAnsi="Verdana" w:cs="Arial"/>
          <w:sz w:val="22"/>
          <w:szCs w:val="22"/>
        </w:rPr>
        <w:t>entra en vigencia</w:t>
      </w:r>
      <w:proofErr w:type="gramEnd"/>
      <w:r w:rsidR="00452472">
        <w:rPr>
          <w:rFonts w:ascii="Verdana" w:hAnsi="Verdana" w:cs="Arial"/>
          <w:sz w:val="22"/>
          <w:szCs w:val="22"/>
        </w:rPr>
        <w:t xml:space="preserve"> </w:t>
      </w:r>
      <w:r w:rsidRPr="004A7C74">
        <w:rPr>
          <w:rFonts w:ascii="Verdana" w:hAnsi="Verdana" w:cs="Arial"/>
          <w:sz w:val="22"/>
          <w:szCs w:val="22"/>
        </w:rPr>
        <w:t>a partir de su publicación, sin perjuicio</w:t>
      </w:r>
      <w:r w:rsidR="00452472">
        <w:rPr>
          <w:rFonts w:ascii="Verdana" w:hAnsi="Verdana" w:cs="Arial"/>
          <w:sz w:val="22"/>
          <w:szCs w:val="22"/>
        </w:rPr>
        <w:t xml:space="preserve"> </w:t>
      </w:r>
      <w:r w:rsidRPr="004A7C74">
        <w:rPr>
          <w:rFonts w:ascii="Verdana" w:hAnsi="Verdana" w:cs="Arial"/>
          <w:sz w:val="22"/>
          <w:szCs w:val="22"/>
        </w:rPr>
        <w:t>de lo señalado en las</w:t>
      </w:r>
      <w:r w:rsidR="00452472">
        <w:rPr>
          <w:rFonts w:ascii="Verdana" w:hAnsi="Verdana" w:cs="Arial"/>
          <w:sz w:val="22"/>
          <w:szCs w:val="22"/>
        </w:rPr>
        <w:t xml:space="preserve"> </w:t>
      </w:r>
      <w:r w:rsidRPr="004A7C74">
        <w:rPr>
          <w:rFonts w:ascii="Verdana" w:hAnsi="Verdana" w:cs="Arial"/>
          <w:sz w:val="22"/>
          <w:szCs w:val="22"/>
        </w:rPr>
        <w:t>demás</w:t>
      </w:r>
      <w:r w:rsidR="00452472">
        <w:rPr>
          <w:rFonts w:ascii="Verdana" w:hAnsi="Verdana" w:cs="Arial"/>
          <w:sz w:val="22"/>
          <w:szCs w:val="22"/>
        </w:rPr>
        <w:t xml:space="preserve"> </w:t>
      </w:r>
      <w:r w:rsidRPr="004A7C74">
        <w:rPr>
          <w:rFonts w:ascii="Verdana" w:hAnsi="Verdana" w:cs="Arial"/>
          <w:sz w:val="22"/>
          <w:szCs w:val="22"/>
        </w:rPr>
        <w:t>instrucciones.</w:t>
      </w:r>
    </w:p>
    <w:p w14:paraId="5DEB598B" w14:textId="2F4ED677" w:rsidR="004A7C74" w:rsidRPr="004A7C74" w:rsidRDefault="004A7C74" w:rsidP="004A7C74">
      <w:pPr>
        <w:widowControl w:val="0"/>
        <w:autoSpaceDE w:val="0"/>
        <w:autoSpaceDN w:val="0"/>
        <w:adjustRightInd w:val="0"/>
        <w:spacing w:line="276" w:lineRule="auto"/>
        <w:jc w:val="both"/>
        <w:rPr>
          <w:rFonts w:ascii="Verdana" w:hAnsi="Verdana" w:cs="Arial"/>
          <w:sz w:val="22"/>
          <w:szCs w:val="22"/>
        </w:rPr>
      </w:pPr>
    </w:p>
    <w:p w14:paraId="28D70031" w14:textId="510ED0ED" w:rsidR="004A7C74" w:rsidRPr="004A7C74" w:rsidRDefault="004A7C74" w:rsidP="004A7C74">
      <w:pPr>
        <w:widowControl w:val="0"/>
        <w:autoSpaceDE w:val="0"/>
        <w:autoSpaceDN w:val="0"/>
        <w:adjustRightInd w:val="0"/>
        <w:spacing w:line="276" w:lineRule="auto"/>
        <w:jc w:val="both"/>
        <w:rPr>
          <w:rFonts w:ascii="Verdana" w:hAnsi="Verdana" w:cs="Arial"/>
          <w:sz w:val="22"/>
          <w:szCs w:val="22"/>
        </w:rPr>
      </w:pPr>
      <w:r w:rsidRPr="004A7C74">
        <w:rPr>
          <w:rFonts w:ascii="Verdana" w:hAnsi="Verdana" w:cs="Arial"/>
          <w:sz w:val="22"/>
          <w:szCs w:val="22"/>
          <w:lang w:val="es-ES"/>
        </w:rPr>
        <w:t>Se</w:t>
      </w:r>
      <w:r w:rsidR="00452472">
        <w:rPr>
          <w:rFonts w:ascii="Verdana" w:hAnsi="Verdana" w:cs="Arial"/>
          <w:sz w:val="22"/>
          <w:szCs w:val="22"/>
          <w:lang w:val="es-ES"/>
        </w:rPr>
        <w:t xml:space="preserve"> </w:t>
      </w:r>
      <w:r w:rsidRPr="004A7C74">
        <w:rPr>
          <w:rFonts w:ascii="Verdana" w:hAnsi="Verdana" w:cs="Arial"/>
          <w:sz w:val="22"/>
          <w:szCs w:val="22"/>
          <w:lang w:val="es-ES"/>
        </w:rPr>
        <w:t>adjuntan</w:t>
      </w:r>
      <w:r w:rsidR="00452472">
        <w:rPr>
          <w:rFonts w:ascii="Verdana" w:hAnsi="Verdana" w:cs="Arial"/>
          <w:sz w:val="22"/>
          <w:szCs w:val="22"/>
          <w:lang w:val="es-ES"/>
        </w:rPr>
        <w:t xml:space="preserve"> </w:t>
      </w:r>
      <w:r w:rsidRPr="004A7C74">
        <w:rPr>
          <w:rFonts w:ascii="Verdana" w:hAnsi="Verdana" w:cs="Arial"/>
          <w:sz w:val="22"/>
          <w:szCs w:val="22"/>
          <w:lang w:val="es-ES"/>
        </w:rPr>
        <w:t>las páginas y anexos correspondientes.</w:t>
      </w:r>
    </w:p>
    <w:p w14:paraId="750F5BBE" w14:textId="77777777" w:rsidR="0025232E" w:rsidRDefault="0025232E" w:rsidP="00D41E1D">
      <w:pPr>
        <w:spacing w:line="276" w:lineRule="auto"/>
        <w:jc w:val="both"/>
        <w:rPr>
          <w:rFonts w:ascii="Verdana" w:hAnsi="Verdana" w:cs="Arial"/>
          <w:sz w:val="22"/>
          <w:szCs w:val="22"/>
        </w:rPr>
      </w:pPr>
    </w:p>
    <w:p w14:paraId="38D04B94" w14:textId="77777777" w:rsidR="00364C12" w:rsidRPr="007C1A06" w:rsidRDefault="00364C12" w:rsidP="00D41E1D">
      <w:pPr>
        <w:spacing w:line="276" w:lineRule="auto"/>
        <w:jc w:val="both"/>
        <w:rPr>
          <w:rFonts w:ascii="Verdana" w:hAnsi="Verdana" w:cs="Arial"/>
          <w:sz w:val="22"/>
          <w:szCs w:val="22"/>
        </w:rPr>
      </w:pPr>
    </w:p>
    <w:p w14:paraId="693F8E84" w14:textId="77777777" w:rsidR="0025232E" w:rsidRPr="007C1A06" w:rsidRDefault="0025232E" w:rsidP="00D41E1D">
      <w:pPr>
        <w:spacing w:line="276" w:lineRule="auto"/>
        <w:jc w:val="both"/>
        <w:rPr>
          <w:rFonts w:ascii="Verdana" w:hAnsi="Verdana" w:cs="Arial"/>
          <w:sz w:val="22"/>
          <w:szCs w:val="22"/>
        </w:rPr>
      </w:pPr>
      <w:r w:rsidRPr="007C1A06">
        <w:rPr>
          <w:rFonts w:ascii="Verdana" w:hAnsi="Verdana" w:cs="Arial"/>
          <w:sz w:val="22"/>
          <w:szCs w:val="22"/>
        </w:rPr>
        <w:t>Cordialmente,</w:t>
      </w:r>
    </w:p>
    <w:p w14:paraId="464B5FF4" w14:textId="77777777" w:rsidR="0025232E" w:rsidRDefault="0025232E" w:rsidP="00D41E1D">
      <w:pPr>
        <w:spacing w:line="276" w:lineRule="auto"/>
        <w:jc w:val="both"/>
        <w:rPr>
          <w:rFonts w:ascii="Verdana" w:hAnsi="Verdana" w:cs="Arial"/>
          <w:sz w:val="22"/>
          <w:szCs w:val="22"/>
        </w:rPr>
      </w:pPr>
    </w:p>
    <w:p w14:paraId="21B52F10" w14:textId="77777777" w:rsidR="00921CC9" w:rsidRPr="007C1A06" w:rsidRDefault="00921CC9" w:rsidP="00D41E1D">
      <w:pPr>
        <w:spacing w:line="276" w:lineRule="auto"/>
        <w:jc w:val="both"/>
        <w:rPr>
          <w:rFonts w:ascii="Verdana" w:hAnsi="Verdana" w:cs="Arial"/>
          <w:sz w:val="22"/>
          <w:szCs w:val="22"/>
        </w:rPr>
      </w:pPr>
    </w:p>
    <w:p w14:paraId="66108037" w14:textId="77777777" w:rsidR="00F456C1" w:rsidRPr="007C1A06" w:rsidRDefault="00F456C1" w:rsidP="00D41E1D">
      <w:pPr>
        <w:widowControl w:val="0"/>
        <w:autoSpaceDE w:val="0"/>
        <w:autoSpaceDN w:val="0"/>
        <w:adjustRightInd w:val="0"/>
        <w:spacing w:line="276" w:lineRule="auto"/>
        <w:jc w:val="both"/>
        <w:rPr>
          <w:rFonts w:ascii="Verdana" w:hAnsi="Verdana" w:cs="Arial"/>
          <w:sz w:val="22"/>
          <w:szCs w:val="22"/>
        </w:rPr>
      </w:pPr>
    </w:p>
    <w:p w14:paraId="660FF54F" w14:textId="77777777" w:rsidR="00F456C1" w:rsidRPr="007C1A06" w:rsidRDefault="00F456C1" w:rsidP="00D41E1D">
      <w:pPr>
        <w:widowControl w:val="0"/>
        <w:autoSpaceDE w:val="0"/>
        <w:autoSpaceDN w:val="0"/>
        <w:adjustRightInd w:val="0"/>
        <w:spacing w:line="276" w:lineRule="auto"/>
        <w:jc w:val="both"/>
        <w:rPr>
          <w:rFonts w:ascii="Verdana" w:hAnsi="Verdana" w:cs="Arial"/>
          <w:sz w:val="22"/>
          <w:szCs w:val="22"/>
        </w:rPr>
      </w:pPr>
    </w:p>
    <w:p w14:paraId="6A9A0923" w14:textId="41B0A7F2" w:rsidR="007E1909" w:rsidRPr="007C1A06" w:rsidRDefault="007E1909" w:rsidP="00D41E1D">
      <w:pPr>
        <w:widowControl w:val="0"/>
        <w:spacing w:line="276" w:lineRule="auto"/>
        <w:jc w:val="both"/>
        <w:rPr>
          <w:rFonts w:ascii="Verdana" w:hAnsi="Verdana" w:cs="Arial"/>
          <w:b/>
          <w:bCs/>
          <w:sz w:val="22"/>
          <w:szCs w:val="22"/>
        </w:rPr>
      </w:pPr>
      <w:r w:rsidRPr="007C1A06">
        <w:rPr>
          <w:rFonts w:ascii="Verdana" w:hAnsi="Verdana" w:cs="Arial"/>
          <w:b/>
          <w:bCs/>
          <w:sz w:val="22"/>
          <w:szCs w:val="22"/>
        </w:rPr>
        <w:lastRenderedPageBreak/>
        <w:t>CÉSAR FERRARI Ph.</w:t>
      </w:r>
      <w:r w:rsidR="00735A4C" w:rsidRPr="007C1A06">
        <w:rPr>
          <w:rFonts w:ascii="Verdana" w:hAnsi="Verdana" w:cs="Arial"/>
          <w:b/>
          <w:bCs/>
          <w:sz w:val="22"/>
          <w:szCs w:val="22"/>
        </w:rPr>
        <w:t>D</w:t>
      </w:r>
      <w:r w:rsidR="00EC1A54">
        <w:rPr>
          <w:rFonts w:ascii="Verdana" w:hAnsi="Verdana" w:cs="Arial"/>
          <w:b/>
          <w:bCs/>
          <w:sz w:val="22"/>
          <w:szCs w:val="22"/>
        </w:rPr>
        <w:t>.</w:t>
      </w:r>
    </w:p>
    <w:p w14:paraId="325D7263" w14:textId="77777777" w:rsidR="007E1909" w:rsidRPr="007C1A06" w:rsidRDefault="007E1909" w:rsidP="00D41E1D">
      <w:pPr>
        <w:widowControl w:val="0"/>
        <w:autoSpaceDE w:val="0"/>
        <w:autoSpaceDN w:val="0"/>
        <w:adjustRightInd w:val="0"/>
        <w:spacing w:line="276" w:lineRule="auto"/>
        <w:jc w:val="both"/>
        <w:rPr>
          <w:rFonts w:ascii="Verdana" w:hAnsi="Verdana" w:cs="Arial"/>
          <w:sz w:val="22"/>
          <w:szCs w:val="22"/>
        </w:rPr>
      </w:pPr>
      <w:r w:rsidRPr="007C1A06">
        <w:rPr>
          <w:rFonts w:ascii="Verdana" w:hAnsi="Verdana" w:cs="Arial"/>
          <w:sz w:val="22"/>
          <w:szCs w:val="22"/>
        </w:rPr>
        <w:t xml:space="preserve">Superintendente Financiero de Colombia </w:t>
      </w:r>
    </w:p>
    <w:p w14:paraId="45F9FE4E" w14:textId="7DA6966E" w:rsidR="007E1909" w:rsidRPr="007C1A06" w:rsidRDefault="007E1909" w:rsidP="00D41E1D">
      <w:pPr>
        <w:widowControl w:val="0"/>
        <w:spacing w:line="276" w:lineRule="auto"/>
        <w:jc w:val="both"/>
        <w:rPr>
          <w:rFonts w:ascii="Verdana" w:hAnsi="Verdana" w:cs="Arial"/>
          <w:sz w:val="22"/>
          <w:szCs w:val="22"/>
        </w:rPr>
      </w:pPr>
      <w:r w:rsidRPr="007C1A06">
        <w:rPr>
          <w:rFonts w:ascii="Verdana" w:hAnsi="Verdana" w:cs="Arial"/>
          <w:sz w:val="22"/>
          <w:szCs w:val="22"/>
        </w:rPr>
        <w:t>50000</w:t>
      </w:r>
    </w:p>
    <w:p w14:paraId="5DCB683F" w14:textId="77777777" w:rsidR="00F1381B" w:rsidRDefault="00F1381B" w:rsidP="00D41E1D">
      <w:pPr>
        <w:widowControl w:val="0"/>
        <w:spacing w:line="276" w:lineRule="auto"/>
        <w:jc w:val="both"/>
        <w:rPr>
          <w:rFonts w:ascii="Verdana" w:hAnsi="Verdana" w:cs="Arial"/>
          <w:sz w:val="22"/>
          <w:szCs w:val="22"/>
        </w:rPr>
      </w:pPr>
    </w:p>
    <w:p w14:paraId="2E18522D" w14:textId="77777777" w:rsidR="00A676C1" w:rsidRPr="007C1A06" w:rsidRDefault="00A676C1" w:rsidP="00D41E1D">
      <w:pPr>
        <w:widowControl w:val="0"/>
        <w:spacing w:line="276" w:lineRule="auto"/>
        <w:jc w:val="both"/>
        <w:rPr>
          <w:rFonts w:ascii="Verdana" w:hAnsi="Verdana" w:cs="Arial"/>
          <w:sz w:val="22"/>
          <w:szCs w:val="22"/>
        </w:rPr>
      </w:pPr>
    </w:p>
    <w:p w14:paraId="7123F3AE" w14:textId="4051C711" w:rsidR="00A549AE" w:rsidRPr="00A676C1" w:rsidRDefault="00A676C1" w:rsidP="00D41E1D">
      <w:pPr>
        <w:widowControl w:val="0"/>
        <w:spacing w:line="276" w:lineRule="auto"/>
        <w:jc w:val="both"/>
        <w:rPr>
          <w:rFonts w:ascii="Verdana" w:hAnsi="Verdana" w:cs="Arial"/>
          <w:sz w:val="20"/>
          <w:szCs w:val="20"/>
        </w:rPr>
      </w:pPr>
      <w:r w:rsidRPr="00A676C1">
        <w:rPr>
          <w:rFonts w:ascii="Verdana" w:hAnsi="Verdana" w:cs="Arial"/>
          <w:sz w:val="20"/>
          <w:szCs w:val="20"/>
        </w:rPr>
        <w:t xml:space="preserve">Elaboró: </w:t>
      </w:r>
      <w:r w:rsidR="006723E1">
        <w:rPr>
          <w:rFonts w:ascii="Verdana" w:hAnsi="Verdana" w:cs="Arial"/>
          <w:sz w:val="20"/>
          <w:szCs w:val="20"/>
        </w:rPr>
        <w:t>Lucinda Díaz Cleves, Geraldine Fandiño Bustos</w:t>
      </w:r>
    </w:p>
    <w:p w14:paraId="6B28614D" w14:textId="4369709D" w:rsidR="00A676C1" w:rsidRPr="00A676C1" w:rsidRDefault="00A676C1" w:rsidP="00D41E1D">
      <w:pPr>
        <w:widowControl w:val="0"/>
        <w:spacing w:line="276" w:lineRule="auto"/>
        <w:jc w:val="both"/>
        <w:rPr>
          <w:rFonts w:ascii="Verdana" w:hAnsi="Verdana" w:cs="Arial"/>
          <w:sz w:val="20"/>
          <w:szCs w:val="20"/>
        </w:rPr>
      </w:pPr>
      <w:r w:rsidRPr="00A676C1">
        <w:rPr>
          <w:rFonts w:ascii="Verdana" w:hAnsi="Verdana" w:cs="Arial"/>
          <w:sz w:val="20"/>
          <w:szCs w:val="20"/>
        </w:rPr>
        <w:t>Revisó: Sebastián Durán Méndez</w:t>
      </w:r>
    </w:p>
    <w:p w14:paraId="33C4EB8C" w14:textId="0AA0C404" w:rsidR="00A676C1" w:rsidRPr="00A676C1" w:rsidRDefault="00A676C1" w:rsidP="00D41E1D">
      <w:pPr>
        <w:widowControl w:val="0"/>
        <w:spacing w:line="276" w:lineRule="auto"/>
        <w:jc w:val="both"/>
        <w:rPr>
          <w:rFonts w:ascii="Verdana" w:hAnsi="Verdana" w:cs="Arial"/>
          <w:sz w:val="20"/>
          <w:szCs w:val="20"/>
        </w:rPr>
      </w:pPr>
      <w:r w:rsidRPr="00A676C1">
        <w:rPr>
          <w:rFonts w:ascii="Verdana" w:hAnsi="Verdana" w:cs="Arial"/>
          <w:sz w:val="20"/>
          <w:szCs w:val="20"/>
        </w:rPr>
        <w:t xml:space="preserve">Aprobó: Francisco Javier Duque Sandoval </w:t>
      </w:r>
    </w:p>
    <w:p w14:paraId="264ED26D" w14:textId="090829E9" w:rsidR="00CF1649" w:rsidRPr="007C1A06" w:rsidRDefault="00CF1649" w:rsidP="00D41E1D">
      <w:pPr>
        <w:widowControl w:val="0"/>
        <w:spacing w:line="276" w:lineRule="auto"/>
        <w:jc w:val="both"/>
        <w:rPr>
          <w:rFonts w:ascii="Verdana" w:hAnsi="Verdana" w:cs="Arial"/>
          <w:sz w:val="22"/>
          <w:szCs w:val="22"/>
        </w:rPr>
      </w:pPr>
    </w:p>
    <w:sectPr w:rsidR="00CF1649" w:rsidRPr="007C1A06" w:rsidSect="00C54186">
      <w:headerReference w:type="default" r:id="rId12"/>
      <w:footerReference w:type="default" r:id="rId13"/>
      <w:pgSz w:w="12240" w:h="20160" w:code="5"/>
      <w:pgMar w:top="2126"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AA682" w14:textId="77777777" w:rsidR="00304965" w:rsidRDefault="00304965" w:rsidP="00757B36">
      <w:r>
        <w:separator/>
      </w:r>
    </w:p>
  </w:endnote>
  <w:endnote w:type="continuationSeparator" w:id="0">
    <w:p w14:paraId="5D12B611" w14:textId="77777777" w:rsidR="00304965" w:rsidRDefault="00304965" w:rsidP="00757B36">
      <w:r>
        <w:continuationSeparator/>
      </w:r>
    </w:p>
  </w:endnote>
  <w:endnote w:type="continuationNotice" w:id="1">
    <w:p w14:paraId="69454330" w14:textId="77777777" w:rsidR="00304965" w:rsidRDefault="003049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lang w:val="es-ES"/>
      </w:rPr>
      <w:id w:val="-1071572585"/>
      <w:docPartObj>
        <w:docPartGallery w:val="Page Numbers (Bottom of Page)"/>
        <w:docPartUnique/>
      </w:docPartObj>
    </w:sdtPr>
    <w:sdtContent>
      <w:p w14:paraId="324BE145" w14:textId="6A7E2C22" w:rsidR="00D34D20" w:rsidRPr="00160630" w:rsidRDefault="00D34D20">
        <w:pPr>
          <w:pStyle w:val="Piedepgina"/>
          <w:jc w:val="right"/>
          <w:rPr>
            <w:rFonts w:ascii="Verdana" w:hAnsi="Verdana"/>
          </w:rPr>
        </w:pPr>
        <w:r w:rsidRPr="00160630">
          <w:rPr>
            <w:rFonts w:ascii="Verdana" w:hAnsi="Verdana"/>
            <w:noProof/>
            <w:lang w:eastAsia="es-CO"/>
          </w:rPr>
          <mc:AlternateContent>
            <mc:Choice Requires="wps">
              <w:drawing>
                <wp:anchor distT="0" distB="0" distL="114300" distR="114300" simplePos="0" relativeHeight="251658240" behindDoc="0" locked="0" layoutInCell="1" allowOverlap="1" wp14:anchorId="7AE5F12B" wp14:editId="549669A8">
                  <wp:simplePos x="0" y="0"/>
                  <wp:positionH relativeFrom="margin">
                    <wp:posOffset>-95885</wp:posOffset>
                  </wp:positionH>
                  <wp:positionV relativeFrom="paragraph">
                    <wp:posOffset>-245745</wp:posOffset>
                  </wp:positionV>
                  <wp:extent cx="6019800"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6019800" cy="1229995"/>
                          </a:xfrm>
                          <a:prstGeom prst="rect">
                            <a:avLst/>
                          </a:prstGeom>
                          <a:noFill/>
                          <a:ln w="6350">
                            <a:noFill/>
                          </a:ln>
                        </wps:spPr>
                        <wps:txbx>
                          <w:txbxContent>
                            <w:p w14:paraId="79D92C5A" w14:textId="296032C4" w:rsidR="00D34D20" w:rsidRPr="00256928" w:rsidRDefault="00D34D20" w:rsidP="00D34D20">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r w:rsidR="00160630">
                                <w:rPr>
                                  <w:rFonts w:ascii="Helvetica" w:hAnsi="Helvetica"/>
                                  <w:sz w:val="20"/>
                                  <w:szCs w:val="20"/>
                                </w:rPr>
                                <w:t>________</w:t>
                              </w:r>
                            </w:p>
                            <w:p w14:paraId="36776589" w14:textId="77777777" w:rsidR="00160630" w:rsidRPr="00160630" w:rsidRDefault="00160630" w:rsidP="00D34D20">
                              <w:pPr>
                                <w:spacing w:line="276" w:lineRule="auto"/>
                                <w:jc w:val="both"/>
                                <w:rPr>
                                  <w:rFonts w:ascii="Verdana" w:hAnsi="Verdana"/>
                                  <w:sz w:val="4"/>
                                  <w:szCs w:val="4"/>
                                </w:rPr>
                              </w:pPr>
                            </w:p>
                            <w:p w14:paraId="3453229D" w14:textId="7B84F351"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 xml:space="preserve">Dirección: </w:t>
                              </w:r>
                              <w:r w:rsidR="00F8640E" w:rsidRPr="00AA1AA8">
                                <w:rPr>
                                  <w:rFonts w:ascii="Verdana" w:hAnsi="Verdana" w:cs="Arial"/>
                                  <w:bCs/>
                                  <w:sz w:val="20"/>
                                  <w:szCs w:val="20"/>
                                  <w:lang w:val="es-MX"/>
                                </w:rPr>
                                <w:t xml:space="preserve">Calle 7 No. 4 - </w:t>
                              </w:r>
                              <w:proofErr w:type="gramStart"/>
                              <w:r w:rsidR="00F8640E" w:rsidRPr="00AA1AA8">
                                <w:rPr>
                                  <w:rFonts w:ascii="Verdana" w:hAnsi="Verdana" w:cs="Arial"/>
                                  <w:bCs/>
                                  <w:sz w:val="20"/>
                                  <w:szCs w:val="20"/>
                                  <w:lang w:val="es-MX"/>
                                </w:rPr>
                                <w:t xml:space="preserve">49  </w:t>
                              </w:r>
                              <w:r w:rsidRPr="00284759">
                                <w:rPr>
                                  <w:rFonts w:ascii="Verdana" w:hAnsi="Verdana"/>
                                  <w:sz w:val="20"/>
                                  <w:szCs w:val="20"/>
                                </w:rPr>
                                <w:t>Bogotá</w:t>
                              </w:r>
                              <w:proofErr w:type="gramEnd"/>
                              <w:r w:rsidRPr="00284759">
                                <w:rPr>
                                  <w:rFonts w:ascii="Verdana" w:hAnsi="Verdana"/>
                                  <w:sz w:val="20"/>
                                  <w:szCs w:val="20"/>
                                </w:rPr>
                                <w:t xml:space="preserve"> D.C., Colombia</w:t>
                              </w:r>
                            </w:p>
                            <w:p w14:paraId="7463B94C" w14:textId="76A5C288"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Conmutador: (+57) 601 5</w:t>
                              </w:r>
                              <w:r w:rsidR="00F8640E">
                                <w:rPr>
                                  <w:rFonts w:ascii="Verdana" w:hAnsi="Verdana"/>
                                  <w:sz w:val="20"/>
                                  <w:szCs w:val="20"/>
                                </w:rPr>
                                <w:t>94</w:t>
                              </w:r>
                              <w:r w:rsidRPr="00284759">
                                <w:rPr>
                                  <w:rFonts w:ascii="Verdana" w:hAnsi="Verdana"/>
                                  <w:sz w:val="20"/>
                                  <w:szCs w:val="20"/>
                                </w:rPr>
                                <w:t xml:space="preserve"> </w:t>
                              </w:r>
                              <w:r w:rsidR="00F8640E">
                                <w:rPr>
                                  <w:rFonts w:ascii="Verdana" w:hAnsi="Verdana"/>
                                  <w:sz w:val="20"/>
                                  <w:szCs w:val="20"/>
                                </w:rPr>
                                <w:t>02</w:t>
                              </w:r>
                              <w:r w:rsidRPr="00284759">
                                <w:rPr>
                                  <w:rFonts w:ascii="Verdana" w:hAnsi="Verdana"/>
                                  <w:sz w:val="20"/>
                                  <w:szCs w:val="20"/>
                                </w:rPr>
                                <w:t xml:space="preserve">00 - 601 </w:t>
                              </w:r>
                              <w:r w:rsidR="00F8640E">
                                <w:rPr>
                                  <w:rFonts w:ascii="Verdana" w:hAnsi="Verdana"/>
                                  <w:sz w:val="20"/>
                                  <w:szCs w:val="20"/>
                                </w:rPr>
                                <w:t>594</w:t>
                              </w:r>
                              <w:r w:rsidRPr="00284759">
                                <w:rPr>
                                  <w:rFonts w:ascii="Verdana" w:hAnsi="Verdana"/>
                                  <w:sz w:val="20"/>
                                  <w:szCs w:val="20"/>
                                </w:rPr>
                                <w:t xml:space="preserve"> </w:t>
                              </w:r>
                              <w:r w:rsidR="00F8640E">
                                <w:rPr>
                                  <w:rFonts w:ascii="Verdana" w:hAnsi="Verdana"/>
                                  <w:sz w:val="20"/>
                                  <w:szCs w:val="20"/>
                                </w:rPr>
                                <w:t>0201</w:t>
                              </w:r>
                            </w:p>
                            <w:p w14:paraId="3F743D65" w14:textId="56361C4F" w:rsidR="00D34D20" w:rsidRPr="00284759" w:rsidRDefault="00F8640E" w:rsidP="00F8640E">
                              <w:pPr>
                                <w:spacing w:line="276" w:lineRule="auto"/>
                                <w:jc w:val="both"/>
                                <w:rPr>
                                  <w:rFonts w:ascii="Verdana" w:hAnsi="Verdana"/>
                                  <w:sz w:val="20"/>
                                  <w:szCs w:val="20"/>
                                </w:rPr>
                              </w:pPr>
                              <w:r w:rsidRPr="00F8640E">
                                <w:rPr>
                                  <w:rFonts w:ascii="Verdana" w:hAnsi="Verdana"/>
                                  <w:sz w:val="20"/>
                                  <w:szCs w:val="20"/>
                                </w:rPr>
                                <w:t>www.superfinanciera.gov.co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5F12B" id="_x0000_t202" coordsize="21600,21600" o:spt="202" path="m,l,21600r21600,l21600,xe">
                  <v:stroke joinstyle="miter"/>
                  <v:path gradientshapeok="t" o:connecttype="rect"/>
                </v:shapetype>
                <v:shape id="Cuadro de texto 1" o:spid="_x0000_s1026" type="#_x0000_t202" style="position:absolute;left:0;text-align:left;margin-left:-7.55pt;margin-top:-19.35pt;width:474pt;height:96.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" filled="f" stroked="f" strokeweight=".5pt">
                  <v:textbox>
                    <w:txbxContent>
                      <w:p w14:paraId="79D92C5A" w14:textId="296032C4" w:rsidR="00D34D20" w:rsidRPr="00256928" w:rsidRDefault="00D34D20" w:rsidP="00D34D20">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r w:rsidR="00160630">
                          <w:rPr>
                            <w:rFonts w:ascii="Helvetica" w:hAnsi="Helvetica"/>
                            <w:sz w:val="20"/>
                            <w:szCs w:val="20"/>
                          </w:rPr>
                          <w:t>________</w:t>
                        </w:r>
                      </w:p>
                      <w:p w14:paraId="36776589" w14:textId="77777777" w:rsidR="00160630" w:rsidRPr="00160630" w:rsidRDefault="00160630" w:rsidP="00D34D20">
                        <w:pPr>
                          <w:spacing w:line="276" w:lineRule="auto"/>
                          <w:jc w:val="both"/>
                          <w:rPr>
                            <w:rFonts w:ascii="Verdana" w:hAnsi="Verdana"/>
                            <w:sz w:val="4"/>
                            <w:szCs w:val="4"/>
                          </w:rPr>
                        </w:pPr>
                      </w:p>
                      <w:p w14:paraId="3453229D" w14:textId="7B84F351"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 xml:space="preserve">Dirección: </w:t>
                        </w:r>
                        <w:r w:rsidR="00F8640E" w:rsidRPr="00AA1AA8">
                          <w:rPr>
                            <w:rFonts w:ascii="Verdana" w:hAnsi="Verdana" w:cs="Arial"/>
                            <w:bCs/>
                            <w:sz w:val="20"/>
                            <w:szCs w:val="20"/>
                            <w:lang w:val="es-MX"/>
                          </w:rPr>
                          <w:t xml:space="preserve">Calle 7 No. 4 - </w:t>
                        </w:r>
                        <w:proofErr w:type="gramStart"/>
                        <w:r w:rsidR="00F8640E" w:rsidRPr="00AA1AA8">
                          <w:rPr>
                            <w:rFonts w:ascii="Verdana" w:hAnsi="Verdana" w:cs="Arial"/>
                            <w:bCs/>
                            <w:sz w:val="20"/>
                            <w:szCs w:val="20"/>
                            <w:lang w:val="es-MX"/>
                          </w:rPr>
                          <w:t xml:space="preserve">49  </w:t>
                        </w:r>
                        <w:r w:rsidRPr="00284759">
                          <w:rPr>
                            <w:rFonts w:ascii="Verdana" w:hAnsi="Verdana"/>
                            <w:sz w:val="20"/>
                            <w:szCs w:val="20"/>
                          </w:rPr>
                          <w:t>Bogotá</w:t>
                        </w:r>
                        <w:proofErr w:type="gramEnd"/>
                        <w:r w:rsidRPr="00284759">
                          <w:rPr>
                            <w:rFonts w:ascii="Verdana" w:hAnsi="Verdana"/>
                            <w:sz w:val="20"/>
                            <w:szCs w:val="20"/>
                          </w:rPr>
                          <w:t xml:space="preserve"> D.C., Colombia</w:t>
                        </w:r>
                      </w:p>
                      <w:p w14:paraId="7463B94C" w14:textId="76A5C288"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Conmutador: (+57) 601 5</w:t>
                        </w:r>
                        <w:r w:rsidR="00F8640E">
                          <w:rPr>
                            <w:rFonts w:ascii="Verdana" w:hAnsi="Verdana"/>
                            <w:sz w:val="20"/>
                            <w:szCs w:val="20"/>
                          </w:rPr>
                          <w:t>94</w:t>
                        </w:r>
                        <w:r w:rsidRPr="00284759">
                          <w:rPr>
                            <w:rFonts w:ascii="Verdana" w:hAnsi="Verdana"/>
                            <w:sz w:val="20"/>
                            <w:szCs w:val="20"/>
                          </w:rPr>
                          <w:t xml:space="preserve"> </w:t>
                        </w:r>
                        <w:r w:rsidR="00F8640E">
                          <w:rPr>
                            <w:rFonts w:ascii="Verdana" w:hAnsi="Verdana"/>
                            <w:sz w:val="20"/>
                            <w:szCs w:val="20"/>
                          </w:rPr>
                          <w:t>02</w:t>
                        </w:r>
                        <w:r w:rsidRPr="00284759">
                          <w:rPr>
                            <w:rFonts w:ascii="Verdana" w:hAnsi="Verdana"/>
                            <w:sz w:val="20"/>
                            <w:szCs w:val="20"/>
                          </w:rPr>
                          <w:t xml:space="preserve">00 - 601 </w:t>
                        </w:r>
                        <w:r w:rsidR="00F8640E">
                          <w:rPr>
                            <w:rFonts w:ascii="Verdana" w:hAnsi="Verdana"/>
                            <w:sz w:val="20"/>
                            <w:szCs w:val="20"/>
                          </w:rPr>
                          <w:t>594</w:t>
                        </w:r>
                        <w:r w:rsidRPr="00284759">
                          <w:rPr>
                            <w:rFonts w:ascii="Verdana" w:hAnsi="Verdana"/>
                            <w:sz w:val="20"/>
                            <w:szCs w:val="20"/>
                          </w:rPr>
                          <w:t xml:space="preserve"> </w:t>
                        </w:r>
                        <w:r w:rsidR="00F8640E">
                          <w:rPr>
                            <w:rFonts w:ascii="Verdana" w:hAnsi="Verdana"/>
                            <w:sz w:val="20"/>
                            <w:szCs w:val="20"/>
                          </w:rPr>
                          <w:t>0201</w:t>
                        </w:r>
                      </w:p>
                      <w:p w14:paraId="3F743D65" w14:textId="56361C4F" w:rsidR="00D34D20" w:rsidRPr="00284759" w:rsidRDefault="00F8640E" w:rsidP="00F8640E">
                        <w:pPr>
                          <w:spacing w:line="276" w:lineRule="auto"/>
                          <w:jc w:val="both"/>
                          <w:rPr>
                            <w:rFonts w:ascii="Verdana" w:hAnsi="Verdana"/>
                            <w:sz w:val="20"/>
                            <w:szCs w:val="20"/>
                          </w:rPr>
                        </w:pPr>
                        <w:r w:rsidRPr="00F8640E">
                          <w:rPr>
                            <w:rFonts w:ascii="Verdana" w:hAnsi="Verdana"/>
                            <w:sz w:val="20"/>
                            <w:szCs w:val="20"/>
                          </w:rPr>
                          <w:t>www.superfinanciera.gov.co</w:t>
                        </w:r>
                      </w:p>
                    </w:txbxContent>
                  </v:textbox>
                  <w10:wrap anchorx="margin"/>
                </v:shape>
              </w:pict>
            </mc:Fallback>
          </mc:AlternateContent>
        </w:r>
        <w:r w:rsidRPr="00160630">
          <w:rPr>
            <w:rFonts w:ascii="Verdana" w:hAnsi="Verdana"/>
            <w:lang w:val="es-ES"/>
          </w:rPr>
          <w:t xml:space="preserve">Página | </w:t>
        </w:r>
        <w:r w:rsidRPr="00160630">
          <w:rPr>
            <w:rFonts w:ascii="Verdana" w:hAnsi="Verdana"/>
          </w:rPr>
          <w:fldChar w:fldCharType="begin"/>
        </w:r>
        <w:r w:rsidRPr="00160630">
          <w:rPr>
            <w:rFonts w:ascii="Verdana" w:hAnsi="Verdana"/>
          </w:rPr>
          <w:instrText>PAGE   \* MERGEFORMAT</w:instrText>
        </w:r>
        <w:r w:rsidRPr="00160630">
          <w:rPr>
            <w:rFonts w:ascii="Verdana" w:hAnsi="Verdana"/>
          </w:rPr>
          <w:fldChar w:fldCharType="separate"/>
        </w:r>
        <w:r w:rsidR="00284759" w:rsidRPr="00160630">
          <w:rPr>
            <w:rFonts w:ascii="Verdana" w:hAnsi="Verdana"/>
            <w:noProof/>
            <w:lang w:val="es-ES"/>
          </w:rPr>
          <w:t>1</w:t>
        </w:r>
        <w:r w:rsidRPr="00160630">
          <w:rPr>
            <w:rFonts w:ascii="Verdana" w:hAnsi="Verdana"/>
          </w:rPr>
          <w:fldChar w:fldCharType="end"/>
        </w:r>
        <w:r w:rsidRPr="00160630">
          <w:rPr>
            <w:rFonts w:ascii="Verdana" w:hAnsi="Verdana"/>
            <w:lang w:val="es-ES"/>
          </w:rPr>
          <w:t xml:space="preserve"> </w:t>
        </w:r>
      </w:p>
    </w:sdtContent>
  </w:sdt>
  <w:p w14:paraId="409F4B9A" w14:textId="79830460" w:rsidR="00D34D20" w:rsidRPr="00D34D20" w:rsidRDefault="00D34D20"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5ACEC" w14:textId="77777777" w:rsidR="00304965" w:rsidRDefault="00304965" w:rsidP="00757B36">
      <w:r>
        <w:separator/>
      </w:r>
    </w:p>
  </w:footnote>
  <w:footnote w:type="continuationSeparator" w:id="0">
    <w:p w14:paraId="26028B33" w14:textId="77777777" w:rsidR="00304965" w:rsidRDefault="00304965" w:rsidP="00757B36">
      <w:r>
        <w:continuationSeparator/>
      </w:r>
    </w:p>
  </w:footnote>
  <w:footnote w:type="continuationNotice" w:id="1">
    <w:p w14:paraId="688BA014" w14:textId="77777777" w:rsidR="00304965" w:rsidRDefault="003049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CE25" w14:textId="5E00CE8F" w:rsidR="00757B36" w:rsidRDefault="00F21117" w:rsidP="00F21117">
    <w:pPr>
      <w:pStyle w:val="Encabezado"/>
      <w:jc w:val="center"/>
    </w:pPr>
    <w:r>
      <w:rPr>
        <w:noProof/>
      </w:rPr>
      <w:drawing>
        <wp:inline distT="0" distB="0" distL="0" distR="0" wp14:anchorId="60013756" wp14:editId="277F295D">
          <wp:extent cx="1912620" cy="838683"/>
          <wp:effectExtent l="0" t="0" r="0" b="0"/>
          <wp:docPr id="13380268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04347"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914044" cy="839307"/>
                  </a:xfrm>
                  <a:prstGeom prst="rect">
                    <a:avLst/>
                  </a:prstGeom>
                </pic:spPr>
              </pic:pic>
            </a:graphicData>
          </a:graphic>
        </wp:inline>
      </w:drawing>
    </w:r>
  </w:p>
  <w:p w14:paraId="372EA905" w14:textId="77777777" w:rsidR="00F21117" w:rsidRDefault="00F21117">
    <w:pPr>
      <w:pStyle w:val="Encabezado"/>
    </w:pPr>
  </w:p>
  <w:p w14:paraId="50C149E0" w14:textId="77777777" w:rsidR="00F21117" w:rsidRDefault="00F211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8B4991"/>
    <w:multiLevelType w:val="multilevel"/>
    <w:tmpl w:val="6D62ADF2"/>
    <w:lvl w:ilvl="0">
      <w:start w:val="1"/>
      <w:numFmt w:val="decimal"/>
      <w:lvlText w:val="%1."/>
      <w:lvlJc w:val="left"/>
      <w:pPr>
        <w:ind w:left="440" w:hanging="440"/>
      </w:pPr>
      <w:rPr>
        <w:rFonts w:hint="default"/>
      </w:rPr>
    </w:lvl>
    <w:lvl w:ilvl="1">
      <w:start w:val="1"/>
      <w:numFmt w:val="decimal"/>
      <w:lvlText w:val="%1.%2."/>
      <w:lvlJc w:val="left"/>
      <w:pPr>
        <w:ind w:left="720" w:hanging="720"/>
      </w:pPr>
      <w:rPr>
        <w:rFonts w:ascii="Verdana" w:hAnsi="Verdana"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61C0B8B"/>
    <w:multiLevelType w:val="multilevel"/>
    <w:tmpl w:val="12BAC2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83509A2"/>
    <w:multiLevelType w:val="multilevel"/>
    <w:tmpl w:val="79F6768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A742E2B"/>
    <w:multiLevelType w:val="multilevel"/>
    <w:tmpl w:val="AE24091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0C9E3E61"/>
    <w:multiLevelType w:val="multilevel"/>
    <w:tmpl w:val="C8F28EB4"/>
    <w:lvl w:ilvl="0">
      <w:start w:val="1"/>
      <w:numFmt w:val="decimal"/>
      <w:lvlText w:val="%1)"/>
      <w:lvlJc w:val="left"/>
      <w:pPr>
        <w:ind w:left="360" w:hanging="360"/>
      </w:pPr>
      <w:rPr>
        <w:rFonts w:hint="default"/>
      </w:rPr>
    </w:lvl>
    <w:lvl w:ilvl="1">
      <w:start w:val="1"/>
      <w:numFmt w:val="none"/>
      <w:lvlText w:val="10.1"/>
      <w:lvlJc w:val="left"/>
      <w:pPr>
        <w:ind w:left="720" w:hanging="360"/>
      </w:pPr>
      <w:rPr>
        <w:rFonts w:hint="default"/>
      </w:rPr>
    </w:lvl>
    <w:lvl w:ilvl="2">
      <w:start w:val="1"/>
      <w:numFmt w:val="decimal"/>
      <w:lvlText w:val="10.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991843"/>
    <w:multiLevelType w:val="multilevel"/>
    <w:tmpl w:val="1A6C197A"/>
    <w:lvl w:ilvl="0">
      <w:start w:val="7"/>
      <w:numFmt w:val="none"/>
      <w:lvlText w:val="13.2"/>
      <w:lvlJc w:val="left"/>
      <w:pPr>
        <w:ind w:left="480" w:hanging="480"/>
      </w:pPr>
      <w:rPr>
        <w:rFonts w:hint="default"/>
      </w:rPr>
    </w:lvl>
    <w:lvl w:ilvl="1">
      <w:start w:val="1"/>
      <w:numFmt w:val="none"/>
      <w:lvlText w:val="13.1."/>
      <w:lvlJc w:val="left"/>
      <w:pPr>
        <w:ind w:left="1428" w:hanging="360"/>
      </w:pPr>
      <w:rPr>
        <w:rFonts w:hint="default"/>
      </w:rPr>
    </w:lvl>
    <w:lvl w:ilvl="2">
      <w:start w:val="1"/>
      <w:numFmt w:val="decimal"/>
      <w:lvlText w:val="%1.%2.%3."/>
      <w:lvlJc w:val="left"/>
      <w:pPr>
        <w:ind w:left="3216" w:hanging="1080"/>
      </w:pPr>
      <w:rPr>
        <w:rFonts w:hint="default"/>
      </w:rPr>
    </w:lvl>
    <w:lvl w:ilvl="3">
      <w:start w:val="1"/>
      <w:numFmt w:val="decimal"/>
      <w:lvlText w:val="%1.%2.%3.%4."/>
      <w:lvlJc w:val="left"/>
      <w:pPr>
        <w:ind w:left="4644" w:hanging="1440"/>
      </w:pPr>
      <w:rPr>
        <w:rFonts w:hint="default"/>
      </w:rPr>
    </w:lvl>
    <w:lvl w:ilvl="4">
      <w:start w:val="1"/>
      <w:numFmt w:val="decimal"/>
      <w:lvlText w:val="%1.%2.%3.%4.%5."/>
      <w:lvlJc w:val="left"/>
      <w:pPr>
        <w:ind w:left="5712" w:hanging="1440"/>
      </w:pPr>
      <w:rPr>
        <w:rFonts w:hint="default"/>
      </w:rPr>
    </w:lvl>
    <w:lvl w:ilvl="5">
      <w:start w:val="1"/>
      <w:numFmt w:val="decimal"/>
      <w:lvlText w:val="%1.%2.%3.%4.%5.%6."/>
      <w:lvlJc w:val="left"/>
      <w:pPr>
        <w:ind w:left="7140" w:hanging="1800"/>
      </w:pPr>
      <w:rPr>
        <w:rFonts w:hint="default"/>
      </w:rPr>
    </w:lvl>
    <w:lvl w:ilvl="6">
      <w:start w:val="1"/>
      <w:numFmt w:val="decimal"/>
      <w:lvlText w:val="%1.%2.%3.%4.%5.%6.%7."/>
      <w:lvlJc w:val="left"/>
      <w:pPr>
        <w:ind w:left="8568" w:hanging="2160"/>
      </w:pPr>
      <w:rPr>
        <w:rFonts w:hint="default"/>
      </w:rPr>
    </w:lvl>
    <w:lvl w:ilvl="7">
      <w:start w:val="1"/>
      <w:numFmt w:val="decimal"/>
      <w:lvlText w:val="%1.%2.%3.%4.%5.%6.%7.%8."/>
      <w:lvlJc w:val="left"/>
      <w:pPr>
        <w:ind w:left="9996" w:hanging="2520"/>
      </w:pPr>
      <w:rPr>
        <w:rFonts w:hint="default"/>
      </w:rPr>
    </w:lvl>
    <w:lvl w:ilvl="8">
      <w:start w:val="1"/>
      <w:numFmt w:val="decimal"/>
      <w:lvlText w:val="%1.%2.%3.%4.%5.%6.%7.%8.%9."/>
      <w:lvlJc w:val="left"/>
      <w:pPr>
        <w:ind w:left="11424" w:hanging="2880"/>
      </w:pPr>
      <w:rPr>
        <w:rFonts w:hint="default"/>
      </w:rPr>
    </w:lvl>
  </w:abstractNum>
  <w:abstractNum w:abstractNumId="7" w15:restartNumberingAfterBreak="0">
    <w:nsid w:val="10681E6B"/>
    <w:multiLevelType w:val="multilevel"/>
    <w:tmpl w:val="413C295E"/>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50B6B2E"/>
    <w:multiLevelType w:val="hybridMultilevel"/>
    <w:tmpl w:val="2EEA35B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5290DA0"/>
    <w:multiLevelType w:val="multilevel"/>
    <w:tmpl w:val="74FA251A"/>
    <w:lvl w:ilvl="0">
      <w:start w:val="7"/>
      <w:numFmt w:val="none"/>
      <w:lvlText w:val="10.1"/>
      <w:lvlJc w:val="left"/>
      <w:pPr>
        <w:ind w:left="480" w:hanging="480"/>
      </w:pPr>
      <w:rPr>
        <w:rFonts w:hint="default"/>
      </w:rPr>
    </w:lvl>
    <w:lvl w:ilvl="1">
      <w:start w:val="1"/>
      <w:numFmt w:val="decimal"/>
      <w:lvlText w:val="11.%2."/>
      <w:lvlJc w:val="left"/>
      <w:pPr>
        <w:ind w:left="1428" w:hanging="360"/>
      </w:pPr>
      <w:rPr>
        <w:rFonts w:hint="default"/>
      </w:rPr>
    </w:lvl>
    <w:lvl w:ilvl="2">
      <w:start w:val="1"/>
      <w:numFmt w:val="decimal"/>
      <w:lvlText w:val="%1.%2.%3."/>
      <w:lvlJc w:val="left"/>
      <w:pPr>
        <w:ind w:left="3216" w:hanging="1080"/>
      </w:pPr>
      <w:rPr>
        <w:rFonts w:hint="default"/>
      </w:rPr>
    </w:lvl>
    <w:lvl w:ilvl="3">
      <w:start w:val="1"/>
      <w:numFmt w:val="decimal"/>
      <w:lvlText w:val="%1.%2.%3.%4."/>
      <w:lvlJc w:val="left"/>
      <w:pPr>
        <w:ind w:left="4644" w:hanging="1440"/>
      </w:pPr>
      <w:rPr>
        <w:rFonts w:hint="default"/>
      </w:rPr>
    </w:lvl>
    <w:lvl w:ilvl="4">
      <w:start w:val="1"/>
      <w:numFmt w:val="decimal"/>
      <w:lvlText w:val="%1.%2.%3.%4.%5."/>
      <w:lvlJc w:val="left"/>
      <w:pPr>
        <w:ind w:left="5712" w:hanging="1440"/>
      </w:pPr>
      <w:rPr>
        <w:rFonts w:hint="default"/>
      </w:rPr>
    </w:lvl>
    <w:lvl w:ilvl="5">
      <w:start w:val="1"/>
      <w:numFmt w:val="decimal"/>
      <w:lvlText w:val="%1.%2.%3.%4.%5.%6."/>
      <w:lvlJc w:val="left"/>
      <w:pPr>
        <w:ind w:left="7140" w:hanging="1800"/>
      </w:pPr>
      <w:rPr>
        <w:rFonts w:hint="default"/>
      </w:rPr>
    </w:lvl>
    <w:lvl w:ilvl="6">
      <w:start w:val="1"/>
      <w:numFmt w:val="decimal"/>
      <w:lvlText w:val="%1.%2.%3.%4.%5.%6.%7."/>
      <w:lvlJc w:val="left"/>
      <w:pPr>
        <w:ind w:left="8568" w:hanging="2160"/>
      </w:pPr>
      <w:rPr>
        <w:rFonts w:hint="default"/>
      </w:rPr>
    </w:lvl>
    <w:lvl w:ilvl="7">
      <w:start w:val="1"/>
      <w:numFmt w:val="decimal"/>
      <w:lvlText w:val="%1.%2.%3.%4.%5.%6.%7.%8."/>
      <w:lvlJc w:val="left"/>
      <w:pPr>
        <w:ind w:left="9996" w:hanging="2520"/>
      </w:pPr>
      <w:rPr>
        <w:rFonts w:hint="default"/>
      </w:rPr>
    </w:lvl>
    <w:lvl w:ilvl="8">
      <w:start w:val="1"/>
      <w:numFmt w:val="decimal"/>
      <w:lvlText w:val="%1.%2.%3.%4.%5.%6.%7.%8.%9."/>
      <w:lvlJc w:val="left"/>
      <w:pPr>
        <w:ind w:left="11424" w:hanging="2880"/>
      </w:pPr>
      <w:rPr>
        <w:rFonts w:hint="default"/>
      </w:rPr>
    </w:lvl>
  </w:abstractNum>
  <w:abstractNum w:abstractNumId="10" w15:restartNumberingAfterBreak="0">
    <w:nsid w:val="158A7B0B"/>
    <w:multiLevelType w:val="multilevel"/>
    <w:tmpl w:val="317019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8646DC4"/>
    <w:multiLevelType w:val="hybridMultilevel"/>
    <w:tmpl w:val="83302FC6"/>
    <w:lvl w:ilvl="0" w:tplc="9DB25E42">
      <w:start w:val="2"/>
      <w:numFmt w:val="lowerRoman"/>
      <w:lvlText w:val="%1."/>
      <w:lvlJc w:val="left"/>
      <w:pPr>
        <w:ind w:left="1080" w:hanging="72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9CB2C4C"/>
    <w:multiLevelType w:val="multilevel"/>
    <w:tmpl w:val="BC6E3AA2"/>
    <w:lvl w:ilvl="0">
      <w:start w:val="7"/>
      <w:numFmt w:val="none"/>
      <w:lvlText w:val="10.1"/>
      <w:lvlJc w:val="left"/>
      <w:pPr>
        <w:ind w:left="480" w:hanging="480"/>
      </w:pPr>
      <w:rPr>
        <w:rFonts w:hint="default"/>
      </w:rPr>
    </w:lvl>
    <w:lvl w:ilvl="1">
      <w:start w:val="1"/>
      <w:numFmt w:val="decimal"/>
      <w:lvlText w:val="10.%2"/>
      <w:lvlJc w:val="left"/>
      <w:pPr>
        <w:ind w:left="1428" w:hanging="360"/>
      </w:pPr>
      <w:rPr>
        <w:rFonts w:hint="default"/>
      </w:rPr>
    </w:lvl>
    <w:lvl w:ilvl="2">
      <w:start w:val="1"/>
      <w:numFmt w:val="decimal"/>
      <w:lvlText w:val="%1.%2.%3."/>
      <w:lvlJc w:val="left"/>
      <w:pPr>
        <w:ind w:left="3216" w:hanging="1080"/>
      </w:pPr>
      <w:rPr>
        <w:rFonts w:hint="default"/>
      </w:rPr>
    </w:lvl>
    <w:lvl w:ilvl="3">
      <w:start w:val="1"/>
      <w:numFmt w:val="decimal"/>
      <w:lvlText w:val="%1.%2.%3.%4."/>
      <w:lvlJc w:val="left"/>
      <w:pPr>
        <w:ind w:left="4644" w:hanging="1440"/>
      </w:pPr>
      <w:rPr>
        <w:rFonts w:hint="default"/>
      </w:rPr>
    </w:lvl>
    <w:lvl w:ilvl="4">
      <w:start w:val="1"/>
      <w:numFmt w:val="decimal"/>
      <w:lvlText w:val="%1.%2.%3.%4.%5."/>
      <w:lvlJc w:val="left"/>
      <w:pPr>
        <w:ind w:left="5712" w:hanging="1440"/>
      </w:pPr>
      <w:rPr>
        <w:rFonts w:hint="default"/>
      </w:rPr>
    </w:lvl>
    <w:lvl w:ilvl="5">
      <w:start w:val="1"/>
      <w:numFmt w:val="decimal"/>
      <w:lvlText w:val="%1.%2.%3.%4.%5.%6."/>
      <w:lvlJc w:val="left"/>
      <w:pPr>
        <w:ind w:left="7140" w:hanging="1800"/>
      </w:pPr>
      <w:rPr>
        <w:rFonts w:hint="default"/>
      </w:rPr>
    </w:lvl>
    <w:lvl w:ilvl="6">
      <w:start w:val="1"/>
      <w:numFmt w:val="decimal"/>
      <w:lvlText w:val="%1.%2.%3.%4.%5.%6.%7."/>
      <w:lvlJc w:val="left"/>
      <w:pPr>
        <w:ind w:left="8568" w:hanging="2160"/>
      </w:pPr>
      <w:rPr>
        <w:rFonts w:hint="default"/>
      </w:rPr>
    </w:lvl>
    <w:lvl w:ilvl="7">
      <w:start w:val="1"/>
      <w:numFmt w:val="decimal"/>
      <w:lvlText w:val="%1.%2.%3.%4.%5.%6.%7.%8."/>
      <w:lvlJc w:val="left"/>
      <w:pPr>
        <w:ind w:left="9996" w:hanging="2520"/>
      </w:pPr>
      <w:rPr>
        <w:rFonts w:hint="default"/>
      </w:rPr>
    </w:lvl>
    <w:lvl w:ilvl="8">
      <w:start w:val="1"/>
      <w:numFmt w:val="decimal"/>
      <w:lvlText w:val="%1.%2.%3.%4.%5.%6.%7.%8.%9."/>
      <w:lvlJc w:val="left"/>
      <w:pPr>
        <w:ind w:left="11424" w:hanging="2880"/>
      </w:pPr>
      <w:rPr>
        <w:rFonts w:hint="default"/>
      </w:rPr>
    </w:lvl>
  </w:abstractNum>
  <w:abstractNum w:abstractNumId="13" w15:restartNumberingAfterBreak="0">
    <w:nsid w:val="1B536BE5"/>
    <w:multiLevelType w:val="multilevel"/>
    <w:tmpl w:val="1E5C17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DF206C7"/>
    <w:multiLevelType w:val="hybridMultilevel"/>
    <w:tmpl w:val="A41E81BC"/>
    <w:lvl w:ilvl="0" w:tplc="FEF0FE84">
      <w:start w:val="1"/>
      <w:numFmt w:val="lowerLetter"/>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0D676EC"/>
    <w:multiLevelType w:val="multilevel"/>
    <w:tmpl w:val="1EC488BA"/>
    <w:lvl w:ilvl="0">
      <w:start w:val="7"/>
      <w:numFmt w:val="decimal"/>
      <w:lvlText w:val="%1."/>
      <w:lvlJc w:val="left"/>
      <w:pPr>
        <w:ind w:left="480" w:hanging="48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3216" w:hanging="1080"/>
      </w:pPr>
      <w:rPr>
        <w:rFonts w:hint="default"/>
      </w:rPr>
    </w:lvl>
    <w:lvl w:ilvl="3">
      <w:start w:val="1"/>
      <w:numFmt w:val="decimal"/>
      <w:lvlText w:val="%1.%2.%3.%4."/>
      <w:lvlJc w:val="left"/>
      <w:pPr>
        <w:ind w:left="4644" w:hanging="1440"/>
      </w:pPr>
      <w:rPr>
        <w:rFonts w:hint="default"/>
      </w:rPr>
    </w:lvl>
    <w:lvl w:ilvl="4">
      <w:start w:val="1"/>
      <w:numFmt w:val="decimal"/>
      <w:lvlText w:val="%1.%2.%3.%4.%5."/>
      <w:lvlJc w:val="left"/>
      <w:pPr>
        <w:ind w:left="5712" w:hanging="1440"/>
      </w:pPr>
      <w:rPr>
        <w:rFonts w:hint="default"/>
      </w:rPr>
    </w:lvl>
    <w:lvl w:ilvl="5">
      <w:start w:val="1"/>
      <w:numFmt w:val="decimal"/>
      <w:lvlText w:val="%1.%2.%3.%4.%5.%6."/>
      <w:lvlJc w:val="left"/>
      <w:pPr>
        <w:ind w:left="7140" w:hanging="1800"/>
      </w:pPr>
      <w:rPr>
        <w:rFonts w:hint="default"/>
      </w:rPr>
    </w:lvl>
    <w:lvl w:ilvl="6">
      <w:start w:val="1"/>
      <w:numFmt w:val="decimal"/>
      <w:lvlText w:val="%1.%2.%3.%4.%5.%6.%7."/>
      <w:lvlJc w:val="left"/>
      <w:pPr>
        <w:ind w:left="8568" w:hanging="2160"/>
      </w:pPr>
      <w:rPr>
        <w:rFonts w:hint="default"/>
      </w:rPr>
    </w:lvl>
    <w:lvl w:ilvl="7">
      <w:start w:val="1"/>
      <w:numFmt w:val="decimal"/>
      <w:lvlText w:val="%1.%2.%3.%4.%5.%6.%7.%8."/>
      <w:lvlJc w:val="left"/>
      <w:pPr>
        <w:ind w:left="9996" w:hanging="2520"/>
      </w:pPr>
      <w:rPr>
        <w:rFonts w:hint="default"/>
      </w:rPr>
    </w:lvl>
    <w:lvl w:ilvl="8">
      <w:start w:val="1"/>
      <w:numFmt w:val="decimal"/>
      <w:lvlText w:val="%1.%2.%3.%4.%5.%6.%7.%8.%9."/>
      <w:lvlJc w:val="left"/>
      <w:pPr>
        <w:ind w:left="11424" w:hanging="2880"/>
      </w:pPr>
      <w:rPr>
        <w:rFonts w:hint="default"/>
      </w:rPr>
    </w:lvl>
  </w:abstractNum>
  <w:abstractNum w:abstractNumId="16" w15:restartNumberingAfterBreak="0">
    <w:nsid w:val="23D90155"/>
    <w:multiLevelType w:val="hybridMultilevel"/>
    <w:tmpl w:val="CC36C87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026532B"/>
    <w:multiLevelType w:val="hybridMultilevel"/>
    <w:tmpl w:val="B4EAFB7E"/>
    <w:lvl w:ilvl="0" w:tplc="A98E25C0">
      <w:start w:val="2"/>
      <w:numFmt w:val="bullet"/>
      <w:lvlText w:val=""/>
      <w:lvlJc w:val="left"/>
      <w:pPr>
        <w:ind w:left="720" w:hanging="360"/>
      </w:pPr>
      <w:rPr>
        <w:rFonts w:ascii="Symbol" w:eastAsia="MS Mincho"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059026C"/>
    <w:multiLevelType w:val="hybridMultilevel"/>
    <w:tmpl w:val="3EEEAD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0AE4F06"/>
    <w:multiLevelType w:val="hybridMultilevel"/>
    <w:tmpl w:val="C34821B0"/>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325E7112"/>
    <w:multiLevelType w:val="hybridMultilevel"/>
    <w:tmpl w:val="1A6CF2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45A1E60"/>
    <w:multiLevelType w:val="hybridMultilevel"/>
    <w:tmpl w:val="DDC0CFB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76C76DF"/>
    <w:multiLevelType w:val="hybridMultilevel"/>
    <w:tmpl w:val="3FA2910A"/>
    <w:lvl w:ilvl="0" w:tplc="966C3B12">
      <w:start w:val="1"/>
      <w:numFmt w:val="decimal"/>
      <w:lvlText w:val="10.%1"/>
      <w:lvlJc w:val="left"/>
      <w:pPr>
        <w:ind w:left="1788"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F447EF"/>
    <w:multiLevelType w:val="hybridMultilevel"/>
    <w:tmpl w:val="C318FA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AE53217"/>
    <w:multiLevelType w:val="hybridMultilevel"/>
    <w:tmpl w:val="C2CCA8D4"/>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5" w15:restartNumberingAfterBreak="0">
    <w:nsid w:val="43C0721B"/>
    <w:multiLevelType w:val="hybridMultilevel"/>
    <w:tmpl w:val="9E989AC0"/>
    <w:lvl w:ilvl="0" w:tplc="0900AFBA">
      <w:start w:val="1"/>
      <w:numFmt w:val="decimal"/>
      <w:lvlText w:val="10.%1"/>
      <w:lvlJc w:val="left"/>
      <w:pPr>
        <w:ind w:left="2496"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411771C"/>
    <w:multiLevelType w:val="multilevel"/>
    <w:tmpl w:val="74FA251A"/>
    <w:lvl w:ilvl="0">
      <w:start w:val="7"/>
      <w:numFmt w:val="none"/>
      <w:lvlText w:val="10.1"/>
      <w:lvlJc w:val="left"/>
      <w:pPr>
        <w:ind w:left="480" w:hanging="480"/>
      </w:pPr>
      <w:rPr>
        <w:rFonts w:hint="default"/>
      </w:rPr>
    </w:lvl>
    <w:lvl w:ilvl="1">
      <w:start w:val="1"/>
      <w:numFmt w:val="decimal"/>
      <w:lvlText w:val="11.%2."/>
      <w:lvlJc w:val="left"/>
      <w:pPr>
        <w:ind w:left="1428" w:hanging="360"/>
      </w:pPr>
      <w:rPr>
        <w:rFonts w:hint="default"/>
      </w:rPr>
    </w:lvl>
    <w:lvl w:ilvl="2">
      <w:start w:val="1"/>
      <w:numFmt w:val="decimal"/>
      <w:lvlText w:val="%1.%2.%3."/>
      <w:lvlJc w:val="left"/>
      <w:pPr>
        <w:ind w:left="3216" w:hanging="1080"/>
      </w:pPr>
      <w:rPr>
        <w:rFonts w:hint="default"/>
      </w:rPr>
    </w:lvl>
    <w:lvl w:ilvl="3">
      <w:start w:val="1"/>
      <w:numFmt w:val="decimal"/>
      <w:lvlText w:val="%1.%2.%3.%4."/>
      <w:lvlJc w:val="left"/>
      <w:pPr>
        <w:ind w:left="4644" w:hanging="1440"/>
      </w:pPr>
      <w:rPr>
        <w:rFonts w:hint="default"/>
      </w:rPr>
    </w:lvl>
    <w:lvl w:ilvl="4">
      <w:start w:val="1"/>
      <w:numFmt w:val="decimal"/>
      <w:lvlText w:val="%1.%2.%3.%4.%5."/>
      <w:lvlJc w:val="left"/>
      <w:pPr>
        <w:ind w:left="5712" w:hanging="1440"/>
      </w:pPr>
      <w:rPr>
        <w:rFonts w:hint="default"/>
      </w:rPr>
    </w:lvl>
    <w:lvl w:ilvl="5">
      <w:start w:val="1"/>
      <w:numFmt w:val="decimal"/>
      <w:lvlText w:val="%1.%2.%3.%4.%5.%6."/>
      <w:lvlJc w:val="left"/>
      <w:pPr>
        <w:ind w:left="7140" w:hanging="1800"/>
      </w:pPr>
      <w:rPr>
        <w:rFonts w:hint="default"/>
      </w:rPr>
    </w:lvl>
    <w:lvl w:ilvl="6">
      <w:start w:val="1"/>
      <w:numFmt w:val="decimal"/>
      <w:lvlText w:val="%1.%2.%3.%4.%5.%6.%7."/>
      <w:lvlJc w:val="left"/>
      <w:pPr>
        <w:ind w:left="8568" w:hanging="2160"/>
      </w:pPr>
      <w:rPr>
        <w:rFonts w:hint="default"/>
      </w:rPr>
    </w:lvl>
    <w:lvl w:ilvl="7">
      <w:start w:val="1"/>
      <w:numFmt w:val="decimal"/>
      <w:lvlText w:val="%1.%2.%3.%4.%5.%6.%7.%8."/>
      <w:lvlJc w:val="left"/>
      <w:pPr>
        <w:ind w:left="9996" w:hanging="2520"/>
      </w:pPr>
      <w:rPr>
        <w:rFonts w:hint="default"/>
      </w:rPr>
    </w:lvl>
    <w:lvl w:ilvl="8">
      <w:start w:val="1"/>
      <w:numFmt w:val="decimal"/>
      <w:lvlText w:val="%1.%2.%3.%4.%5.%6.%7.%8.%9."/>
      <w:lvlJc w:val="left"/>
      <w:pPr>
        <w:ind w:left="11424" w:hanging="2880"/>
      </w:pPr>
      <w:rPr>
        <w:rFonts w:hint="default"/>
      </w:rPr>
    </w:lvl>
  </w:abstractNum>
  <w:abstractNum w:abstractNumId="27" w15:restartNumberingAfterBreak="0">
    <w:nsid w:val="4EC0233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98C2556"/>
    <w:multiLevelType w:val="multilevel"/>
    <w:tmpl w:val="00E21E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9F726F4"/>
    <w:multiLevelType w:val="multilevel"/>
    <w:tmpl w:val="0EB6BF0C"/>
    <w:lvl w:ilvl="0">
      <w:start w:val="10"/>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5EFC370E"/>
    <w:multiLevelType w:val="multilevel"/>
    <w:tmpl w:val="B4244BD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4EB55AF"/>
    <w:multiLevelType w:val="hybridMultilevel"/>
    <w:tmpl w:val="16283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65A561D"/>
    <w:multiLevelType w:val="hybridMultilevel"/>
    <w:tmpl w:val="D4929AB4"/>
    <w:lvl w:ilvl="0" w:tplc="5B8687C0">
      <w:start w:val="1"/>
      <w:numFmt w:val="lowerLetter"/>
      <w:lvlText w:val="%1."/>
      <w:lvlJc w:val="left"/>
      <w:pPr>
        <w:ind w:left="144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73E09D8"/>
    <w:multiLevelType w:val="multilevel"/>
    <w:tmpl w:val="C6706AEE"/>
    <w:lvl w:ilvl="0">
      <w:start w:val="8"/>
      <w:numFmt w:val="decimal"/>
      <w:lvlText w:val="%1."/>
      <w:lvlJc w:val="left"/>
      <w:pPr>
        <w:ind w:left="480" w:hanging="48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4" w15:restartNumberingAfterBreak="0">
    <w:nsid w:val="6BEC7A21"/>
    <w:multiLevelType w:val="multilevel"/>
    <w:tmpl w:val="00E6B890"/>
    <w:lvl w:ilvl="0">
      <w:start w:val="3"/>
      <w:numFmt w:val="lowerRoman"/>
      <w:lvlText w:val="%1."/>
      <w:lvlJc w:val="right"/>
      <w:pPr>
        <w:tabs>
          <w:tab w:val="num" w:pos="720"/>
        </w:tabs>
        <w:ind w:left="720" w:hanging="360"/>
      </w:pPr>
    </w:lvl>
    <w:lvl w:ilvl="1">
      <w:start w:val="13"/>
      <w:numFmt w:val="bullet"/>
      <w:lvlText w:val="-"/>
      <w:lvlJc w:val="left"/>
      <w:pPr>
        <w:ind w:left="1440" w:hanging="360"/>
      </w:pPr>
      <w:rPr>
        <w:rFonts w:ascii="Verdana" w:eastAsia="Times New Roman" w:hAnsi="Verdana" w:cs="Arial"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6CBA7421"/>
    <w:multiLevelType w:val="multilevel"/>
    <w:tmpl w:val="D362FBB8"/>
    <w:lvl w:ilvl="0">
      <w:start w:val="1"/>
      <w:numFmt w:val="decimal"/>
      <w:lvlText w:val="%1)"/>
      <w:lvlJc w:val="left"/>
      <w:pPr>
        <w:ind w:left="360" w:hanging="360"/>
      </w:pPr>
      <w:rPr>
        <w:rFonts w:hint="default"/>
      </w:rPr>
    </w:lvl>
    <w:lvl w:ilvl="1">
      <w:start w:val="1"/>
      <w:numFmt w:val="none"/>
      <w:lvlText w:val="10.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DD964A0"/>
    <w:multiLevelType w:val="hybridMultilevel"/>
    <w:tmpl w:val="05946A4E"/>
    <w:lvl w:ilvl="0" w:tplc="240A0019">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E6869BF"/>
    <w:multiLevelType w:val="multilevel"/>
    <w:tmpl w:val="BE542B98"/>
    <w:lvl w:ilvl="0">
      <w:start w:val="7"/>
      <w:numFmt w:val="none"/>
      <w:lvlText w:val="10.1"/>
      <w:lvlJc w:val="left"/>
      <w:pPr>
        <w:ind w:left="480" w:hanging="480"/>
      </w:pPr>
      <w:rPr>
        <w:rFonts w:hint="default"/>
      </w:rPr>
    </w:lvl>
    <w:lvl w:ilvl="1">
      <w:start w:val="1"/>
      <w:numFmt w:val="decimal"/>
      <w:lvlText w:val="%2."/>
      <w:lvlJc w:val="left"/>
      <w:pPr>
        <w:ind w:left="1428" w:hanging="360"/>
      </w:pPr>
      <w:rPr>
        <w:rFonts w:hint="default"/>
      </w:rPr>
    </w:lvl>
    <w:lvl w:ilvl="2">
      <w:start w:val="1"/>
      <w:numFmt w:val="decimal"/>
      <w:lvlText w:val="%1.%2.%3."/>
      <w:lvlJc w:val="left"/>
      <w:pPr>
        <w:ind w:left="3216" w:hanging="1080"/>
      </w:pPr>
      <w:rPr>
        <w:rFonts w:hint="default"/>
      </w:rPr>
    </w:lvl>
    <w:lvl w:ilvl="3">
      <w:start w:val="1"/>
      <w:numFmt w:val="decimal"/>
      <w:lvlText w:val="%1.%2.%3.%4."/>
      <w:lvlJc w:val="left"/>
      <w:pPr>
        <w:ind w:left="4644" w:hanging="1440"/>
      </w:pPr>
      <w:rPr>
        <w:rFonts w:hint="default"/>
      </w:rPr>
    </w:lvl>
    <w:lvl w:ilvl="4">
      <w:start w:val="1"/>
      <w:numFmt w:val="decimal"/>
      <w:lvlText w:val="%1.%2.%3.%4.%5."/>
      <w:lvlJc w:val="left"/>
      <w:pPr>
        <w:ind w:left="5712" w:hanging="1440"/>
      </w:pPr>
      <w:rPr>
        <w:rFonts w:hint="default"/>
      </w:rPr>
    </w:lvl>
    <w:lvl w:ilvl="5">
      <w:start w:val="1"/>
      <w:numFmt w:val="decimal"/>
      <w:lvlText w:val="%1.%2.%3.%4.%5.%6."/>
      <w:lvlJc w:val="left"/>
      <w:pPr>
        <w:ind w:left="7140" w:hanging="1800"/>
      </w:pPr>
      <w:rPr>
        <w:rFonts w:hint="default"/>
      </w:rPr>
    </w:lvl>
    <w:lvl w:ilvl="6">
      <w:start w:val="1"/>
      <w:numFmt w:val="decimal"/>
      <w:lvlText w:val="%1.%2.%3.%4.%5.%6.%7."/>
      <w:lvlJc w:val="left"/>
      <w:pPr>
        <w:ind w:left="8568" w:hanging="2160"/>
      </w:pPr>
      <w:rPr>
        <w:rFonts w:hint="default"/>
      </w:rPr>
    </w:lvl>
    <w:lvl w:ilvl="7">
      <w:start w:val="1"/>
      <w:numFmt w:val="decimal"/>
      <w:lvlText w:val="%1.%2.%3.%4.%5.%6.%7.%8."/>
      <w:lvlJc w:val="left"/>
      <w:pPr>
        <w:ind w:left="9996" w:hanging="2520"/>
      </w:pPr>
      <w:rPr>
        <w:rFonts w:hint="default"/>
      </w:rPr>
    </w:lvl>
    <w:lvl w:ilvl="8">
      <w:start w:val="1"/>
      <w:numFmt w:val="decimal"/>
      <w:lvlText w:val="%1.%2.%3.%4.%5.%6.%7.%8.%9."/>
      <w:lvlJc w:val="left"/>
      <w:pPr>
        <w:ind w:left="11424" w:hanging="2880"/>
      </w:pPr>
      <w:rPr>
        <w:rFonts w:hint="default"/>
      </w:rPr>
    </w:lvl>
  </w:abstractNum>
  <w:abstractNum w:abstractNumId="38" w15:restartNumberingAfterBreak="0">
    <w:nsid w:val="6E8A6247"/>
    <w:multiLevelType w:val="hybridMultilevel"/>
    <w:tmpl w:val="22B845AC"/>
    <w:lvl w:ilvl="0" w:tplc="240A0019">
      <w:start w:val="9"/>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FC05941"/>
    <w:multiLevelType w:val="multilevel"/>
    <w:tmpl w:val="1A6C197A"/>
    <w:lvl w:ilvl="0">
      <w:start w:val="7"/>
      <w:numFmt w:val="none"/>
      <w:lvlText w:val="13.2"/>
      <w:lvlJc w:val="left"/>
      <w:pPr>
        <w:ind w:left="480" w:hanging="480"/>
      </w:pPr>
      <w:rPr>
        <w:rFonts w:hint="default"/>
      </w:rPr>
    </w:lvl>
    <w:lvl w:ilvl="1">
      <w:start w:val="1"/>
      <w:numFmt w:val="none"/>
      <w:lvlText w:val="13.1."/>
      <w:lvlJc w:val="left"/>
      <w:pPr>
        <w:ind w:left="1428" w:hanging="360"/>
      </w:pPr>
      <w:rPr>
        <w:rFonts w:hint="default"/>
      </w:rPr>
    </w:lvl>
    <w:lvl w:ilvl="2">
      <w:start w:val="1"/>
      <w:numFmt w:val="decimal"/>
      <w:lvlText w:val="%1.%2.%3."/>
      <w:lvlJc w:val="left"/>
      <w:pPr>
        <w:ind w:left="3216" w:hanging="1080"/>
      </w:pPr>
      <w:rPr>
        <w:rFonts w:hint="default"/>
      </w:rPr>
    </w:lvl>
    <w:lvl w:ilvl="3">
      <w:start w:val="1"/>
      <w:numFmt w:val="decimal"/>
      <w:lvlText w:val="%1.%2.%3.%4."/>
      <w:lvlJc w:val="left"/>
      <w:pPr>
        <w:ind w:left="4644" w:hanging="1440"/>
      </w:pPr>
      <w:rPr>
        <w:rFonts w:hint="default"/>
      </w:rPr>
    </w:lvl>
    <w:lvl w:ilvl="4">
      <w:start w:val="1"/>
      <w:numFmt w:val="decimal"/>
      <w:lvlText w:val="%1.%2.%3.%4.%5."/>
      <w:lvlJc w:val="left"/>
      <w:pPr>
        <w:ind w:left="5712" w:hanging="1440"/>
      </w:pPr>
      <w:rPr>
        <w:rFonts w:hint="default"/>
      </w:rPr>
    </w:lvl>
    <w:lvl w:ilvl="5">
      <w:start w:val="1"/>
      <w:numFmt w:val="decimal"/>
      <w:lvlText w:val="%1.%2.%3.%4.%5.%6."/>
      <w:lvlJc w:val="left"/>
      <w:pPr>
        <w:ind w:left="7140" w:hanging="1800"/>
      </w:pPr>
      <w:rPr>
        <w:rFonts w:hint="default"/>
      </w:rPr>
    </w:lvl>
    <w:lvl w:ilvl="6">
      <w:start w:val="1"/>
      <w:numFmt w:val="decimal"/>
      <w:lvlText w:val="%1.%2.%3.%4.%5.%6.%7."/>
      <w:lvlJc w:val="left"/>
      <w:pPr>
        <w:ind w:left="8568" w:hanging="2160"/>
      </w:pPr>
      <w:rPr>
        <w:rFonts w:hint="default"/>
      </w:rPr>
    </w:lvl>
    <w:lvl w:ilvl="7">
      <w:start w:val="1"/>
      <w:numFmt w:val="decimal"/>
      <w:lvlText w:val="%1.%2.%3.%4.%5.%6.%7.%8."/>
      <w:lvlJc w:val="left"/>
      <w:pPr>
        <w:ind w:left="9996" w:hanging="2520"/>
      </w:pPr>
      <w:rPr>
        <w:rFonts w:hint="default"/>
      </w:rPr>
    </w:lvl>
    <w:lvl w:ilvl="8">
      <w:start w:val="1"/>
      <w:numFmt w:val="decimal"/>
      <w:lvlText w:val="%1.%2.%3.%4.%5.%6.%7.%8.%9."/>
      <w:lvlJc w:val="left"/>
      <w:pPr>
        <w:ind w:left="11424" w:hanging="2880"/>
      </w:pPr>
      <w:rPr>
        <w:rFonts w:hint="default"/>
      </w:rPr>
    </w:lvl>
  </w:abstractNum>
  <w:abstractNum w:abstractNumId="40" w15:restartNumberingAfterBreak="0">
    <w:nsid w:val="703164AD"/>
    <w:multiLevelType w:val="multilevel"/>
    <w:tmpl w:val="1EC488BA"/>
    <w:lvl w:ilvl="0">
      <w:start w:val="7"/>
      <w:numFmt w:val="decimal"/>
      <w:lvlText w:val="%1."/>
      <w:lvlJc w:val="left"/>
      <w:pPr>
        <w:ind w:left="480" w:hanging="48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3216" w:hanging="1080"/>
      </w:pPr>
      <w:rPr>
        <w:rFonts w:hint="default"/>
      </w:rPr>
    </w:lvl>
    <w:lvl w:ilvl="3">
      <w:start w:val="1"/>
      <w:numFmt w:val="decimal"/>
      <w:lvlText w:val="%1.%2.%3.%4."/>
      <w:lvlJc w:val="left"/>
      <w:pPr>
        <w:ind w:left="4644" w:hanging="1440"/>
      </w:pPr>
      <w:rPr>
        <w:rFonts w:hint="default"/>
      </w:rPr>
    </w:lvl>
    <w:lvl w:ilvl="4">
      <w:start w:val="1"/>
      <w:numFmt w:val="decimal"/>
      <w:lvlText w:val="%1.%2.%3.%4.%5."/>
      <w:lvlJc w:val="left"/>
      <w:pPr>
        <w:ind w:left="5712" w:hanging="1440"/>
      </w:pPr>
      <w:rPr>
        <w:rFonts w:hint="default"/>
      </w:rPr>
    </w:lvl>
    <w:lvl w:ilvl="5">
      <w:start w:val="1"/>
      <w:numFmt w:val="decimal"/>
      <w:lvlText w:val="%1.%2.%3.%4.%5.%6."/>
      <w:lvlJc w:val="left"/>
      <w:pPr>
        <w:ind w:left="7140" w:hanging="1800"/>
      </w:pPr>
      <w:rPr>
        <w:rFonts w:hint="default"/>
      </w:rPr>
    </w:lvl>
    <w:lvl w:ilvl="6">
      <w:start w:val="1"/>
      <w:numFmt w:val="decimal"/>
      <w:lvlText w:val="%1.%2.%3.%4.%5.%6.%7."/>
      <w:lvlJc w:val="left"/>
      <w:pPr>
        <w:ind w:left="8568" w:hanging="2160"/>
      </w:pPr>
      <w:rPr>
        <w:rFonts w:hint="default"/>
      </w:rPr>
    </w:lvl>
    <w:lvl w:ilvl="7">
      <w:start w:val="1"/>
      <w:numFmt w:val="decimal"/>
      <w:lvlText w:val="%1.%2.%3.%4.%5.%6.%7.%8."/>
      <w:lvlJc w:val="left"/>
      <w:pPr>
        <w:ind w:left="9996" w:hanging="2520"/>
      </w:pPr>
      <w:rPr>
        <w:rFonts w:hint="default"/>
      </w:rPr>
    </w:lvl>
    <w:lvl w:ilvl="8">
      <w:start w:val="1"/>
      <w:numFmt w:val="decimal"/>
      <w:lvlText w:val="%1.%2.%3.%4.%5.%6.%7.%8.%9."/>
      <w:lvlJc w:val="left"/>
      <w:pPr>
        <w:ind w:left="11424" w:hanging="2880"/>
      </w:pPr>
      <w:rPr>
        <w:rFonts w:hint="default"/>
      </w:rPr>
    </w:lvl>
  </w:abstractNum>
  <w:abstractNum w:abstractNumId="41" w15:restartNumberingAfterBreak="0">
    <w:nsid w:val="70FE1FE3"/>
    <w:multiLevelType w:val="multilevel"/>
    <w:tmpl w:val="E9F2A45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74720A65"/>
    <w:multiLevelType w:val="multilevel"/>
    <w:tmpl w:val="122A5368"/>
    <w:lvl w:ilvl="0">
      <w:start w:val="7"/>
      <w:numFmt w:val="none"/>
      <w:lvlText w:val="13.2"/>
      <w:lvlJc w:val="left"/>
      <w:pPr>
        <w:ind w:left="480" w:hanging="480"/>
      </w:pPr>
      <w:rPr>
        <w:rFonts w:hint="default"/>
      </w:rPr>
    </w:lvl>
    <w:lvl w:ilvl="1">
      <w:start w:val="1"/>
      <w:numFmt w:val="none"/>
      <w:lvlText w:val="13.1."/>
      <w:lvlJc w:val="left"/>
      <w:pPr>
        <w:ind w:left="1428" w:hanging="360"/>
      </w:pPr>
      <w:rPr>
        <w:rFonts w:hint="default"/>
      </w:rPr>
    </w:lvl>
    <w:lvl w:ilvl="2">
      <w:start w:val="1"/>
      <w:numFmt w:val="decimal"/>
      <w:lvlText w:val="%1.%2.%3."/>
      <w:lvlJc w:val="left"/>
      <w:pPr>
        <w:ind w:left="3216" w:hanging="1080"/>
      </w:pPr>
      <w:rPr>
        <w:rFonts w:hint="default"/>
      </w:rPr>
    </w:lvl>
    <w:lvl w:ilvl="3">
      <w:start w:val="1"/>
      <w:numFmt w:val="decimal"/>
      <w:lvlText w:val="%1.%2.%3.%4."/>
      <w:lvlJc w:val="left"/>
      <w:pPr>
        <w:ind w:left="4644" w:hanging="1440"/>
      </w:pPr>
      <w:rPr>
        <w:rFonts w:hint="default"/>
      </w:rPr>
    </w:lvl>
    <w:lvl w:ilvl="4">
      <w:start w:val="1"/>
      <w:numFmt w:val="decimal"/>
      <w:lvlText w:val="%1.%2.%3.%4.%5."/>
      <w:lvlJc w:val="left"/>
      <w:pPr>
        <w:ind w:left="5712" w:hanging="1440"/>
      </w:pPr>
      <w:rPr>
        <w:rFonts w:hint="default"/>
      </w:rPr>
    </w:lvl>
    <w:lvl w:ilvl="5">
      <w:start w:val="1"/>
      <w:numFmt w:val="decimal"/>
      <w:lvlText w:val="%1.%2.%3.%4.%5.%6."/>
      <w:lvlJc w:val="left"/>
      <w:pPr>
        <w:ind w:left="7140" w:hanging="1800"/>
      </w:pPr>
      <w:rPr>
        <w:rFonts w:hint="default"/>
      </w:rPr>
    </w:lvl>
    <w:lvl w:ilvl="6">
      <w:start w:val="1"/>
      <w:numFmt w:val="decimal"/>
      <w:lvlText w:val="%1.%2.%3.%4.%5.%6.%7."/>
      <w:lvlJc w:val="left"/>
      <w:pPr>
        <w:ind w:left="8568" w:hanging="2160"/>
      </w:pPr>
      <w:rPr>
        <w:rFonts w:hint="default"/>
      </w:rPr>
    </w:lvl>
    <w:lvl w:ilvl="7">
      <w:start w:val="1"/>
      <w:numFmt w:val="decimal"/>
      <w:lvlText w:val="%1.%2.%3.%4.%5.%6.%7.%8."/>
      <w:lvlJc w:val="left"/>
      <w:pPr>
        <w:ind w:left="9996" w:hanging="2520"/>
      </w:pPr>
      <w:rPr>
        <w:rFonts w:hint="default"/>
      </w:rPr>
    </w:lvl>
    <w:lvl w:ilvl="8">
      <w:start w:val="1"/>
      <w:numFmt w:val="decimal"/>
      <w:lvlText w:val="%1.%2.%3.%4.%5.%6.%7.%8.%9."/>
      <w:lvlJc w:val="left"/>
      <w:pPr>
        <w:ind w:left="11424" w:hanging="2880"/>
      </w:pPr>
      <w:rPr>
        <w:rFonts w:hint="default"/>
      </w:rPr>
    </w:lvl>
  </w:abstractNum>
  <w:abstractNum w:abstractNumId="43" w15:restartNumberingAfterBreak="0">
    <w:nsid w:val="772B774D"/>
    <w:multiLevelType w:val="multilevel"/>
    <w:tmpl w:val="3176FEC0"/>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71623107">
    <w:abstractNumId w:val="0"/>
  </w:num>
  <w:num w:numId="2" w16cid:durableId="1267955949">
    <w:abstractNumId w:val="43"/>
  </w:num>
  <w:num w:numId="3" w16cid:durableId="1702320300">
    <w:abstractNumId w:val="29"/>
  </w:num>
  <w:num w:numId="4" w16cid:durableId="712343061">
    <w:abstractNumId w:val="7"/>
  </w:num>
  <w:num w:numId="5" w16cid:durableId="625310660">
    <w:abstractNumId w:val="17"/>
  </w:num>
  <w:num w:numId="6" w16cid:durableId="1133980967">
    <w:abstractNumId w:val="1"/>
  </w:num>
  <w:num w:numId="7" w16cid:durableId="697463518">
    <w:abstractNumId w:val="21"/>
  </w:num>
  <w:num w:numId="8" w16cid:durableId="2109110767">
    <w:abstractNumId w:val="31"/>
  </w:num>
  <w:num w:numId="9" w16cid:durableId="332683293">
    <w:abstractNumId w:val="20"/>
  </w:num>
  <w:num w:numId="10" w16cid:durableId="1377385835">
    <w:abstractNumId w:val="36"/>
  </w:num>
  <w:num w:numId="11" w16cid:durableId="1429883627">
    <w:abstractNumId w:val="16"/>
  </w:num>
  <w:num w:numId="12" w16cid:durableId="1714695393">
    <w:abstractNumId w:val="14"/>
  </w:num>
  <w:num w:numId="13" w16cid:durableId="1262762444">
    <w:abstractNumId w:val="38"/>
  </w:num>
  <w:num w:numId="14" w16cid:durableId="1290236493">
    <w:abstractNumId w:val="11"/>
  </w:num>
  <w:num w:numId="15" w16cid:durableId="1075396555">
    <w:abstractNumId w:val="8"/>
  </w:num>
  <w:num w:numId="16" w16cid:durableId="1713074347">
    <w:abstractNumId w:val="19"/>
  </w:num>
  <w:num w:numId="17" w16cid:durableId="2121027798">
    <w:abstractNumId w:val="27"/>
  </w:num>
  <w:num w:numId="18" w16cid:durableId="1400592542">
    <w:abstractNumId w:val="23"/>
  </w:num>
  <w:num w:numId="19" w16cid:durableId="1648826053">
    <w:abstractNumId w:val="18"/>
  </w:num>
  <w:num w:numId="20" w16cid:durableId="272133866">
    <w:abstractNumId w:val="13"/>
  </w:num>
  <w:num w:numId="21" w16cid:durableId="117451211">
    <w:abstractNumId w:val="30"/>
  </w:num>
  <w:num w:numId="22" w16cid:durableId="243995669">
    <w:abstractNumId w:val="2"/>
  </w:num>
  <w:num w:numId="23" w16cid:durableId="372464746">
    <w:abstractNumId w:val="28"/>
  </w:num>
  <w:num w:numId="24" w16cid:durableId="521945041">
    <w:abstractNumId w:val="10"/>
  </w:num>
  <w:num w:numId="25" w16cid:durableId="1532258680">
    <w:abstractNumId w:val="3"/>
  </w:num>
  <w:num w:numId="26" w16cid:durableId="1742868009">
    <w:abstractNumId w:val="41"/>
  </w:num>
  <w:num w:numId="27" w16cid:durableId="181019700">
    <w:abstractNumId w:val="34"/>
  </w:num>
  <w:num w:numId="28" w16cid:durableId="1667241737">
    <w:abstractNumId w:val="4"/>
  </w:num>
  <w:num w:numId="29" w16cid:durableId="1582444026">
    <w:abstractNumId w:val="33"/>
  </w:num>
  <w:num w:numId="30" w16cid:durableId="818614197">
    <w:abstractNumId w:val="24"/>
  </w:num>
  <w:num w:numId="31" w16cid:durableId="1821653831">
    <w:abstractNumId w:val="40"/>
  </w:num>
  <w:num w:numId="32" w16cid:durableId="838272332">
    <w:abstractNumId w:val="35"/>
  </w:num>
  <w:num w:numId="33" w16cid:durableId="694886198">
    <w:abstractNumId w:val="5"/>
  </w:num>
  <w:num w:numId="34" w16cid:durableId="1444374903">
    <w:abstractNumId w:val="22"/>
  </w:num>
  <w:num w:numId="35" w16cid:durableId="257905971">
    <w:abstractNumId w:val="25"/>
  </w:num>
  <w:num w:numId="36" w16cid:durableId="868837775">
    <w:abstractNumId w:val="32"/>
  </w:num>
  <w:num w:numId="37" w16cid:durableId="290745532">
    <w:abstractNumId w:val="15"/>
  </w:num>
  <w:num w:numId="38" w16cid:durableId="77096605">
    <w:abstractNumId w:val="37"/>
  </w:num>
  <w:num w:numId="39" w16cid:durableId="1910844312">
    <w:abstractNumId w:val="12"/>
  </w:num>
  <w:num w:numId="40" w16cid:durableId="834801147">
    <w:abstractNumId w:val="9"/>
  </w:num>
  <w:num w:numId="41" w16cid:durableId="2015955566">
    <w:abstractNumId w:val="26"/>
  </w:num>
  <w:num w:numId="42" w16cid:durableId="1256287602">
    <w:abstractNumId w:val="6"/>
  </w:num>
  <w:num w:numId="43" w16cid:durableId="83503806">
    <w:abstractNumId w:val="39"/>
  </w:num>
  <w:num w:numId="44" w16cid:durableId="54965926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002E4"/>
    <w:rsid w:val="000010EA"/>
    <w:rsid w:val="00001475"/>
    <w:rsid w:val="0000192C"/>
    <w:rsid w:val="00002BF7"/>
    <w:rsid w:val="00002D6B"/>
    <w:rsid w:val="00003771"/>
    <w:rsid w:val="00003964"/>
    <w:rsid w:val="00004139"/>
    <w:rsid w:val="00004D3A"/>
    <w:rsid w:val="00004F7A"/>
    <w:rsid w:val="00006372"/>
    <w:rsid w:val="000065DE"/>
    <w:rsid w:val="000069AC"/>
    <w:rsid w:val="00007001"/>
    <w:rsid w:val="0000792E"/>
    <w:rsid w:val="000107D7"/>
    <w:rsid w:val="00011751"/>
    <w:rsid w:val="00011B80"/>
    <w:rsid w:val="00011F1C"/>
    <w:rsid w:val="00011F9D"/>
    <w:rsid w:val="0001225F"/>
    <w:rsid w:val="0001250A"/>
    <w:rsid w:val="00015CDF"/>
    <w:rsid w:val="00015F39"/>
    <w:rsid w:val="00015F9E"/>
    <w:rsid w:val="0001612A"/>
    <w:rsid w:val="000163F6"/>
    <w:rsid w:val="00016762"/>
    <w:rsid w:val="00017667"/>
    <w:rsid w:val="0001792D"/>
    <w:rsid w:val="00020484"/>
    <w:rsid w:val="0002084E"/>
    <w:rsid w:val="000226A6"/>
    <w:rsid w:val="00022E8D"/>
    <w:rsid w:val="00023450"/>
    <w:rsid w:val="000235EB"/>
    <w:rsid w:val="00023B43"/>
    <w:rsid w:val="00025011"/>
    <w:rsid w:val="00025908"/>
    <w:rsid w:val="000266E0"/>
    <w:rsid w:val="000278CB"/>
    <w:rsid w:val="00030B01"/>
    <w:rsid w:val="00030DFD"/>
    <w:rsid w:val="00030FFF"/>
    <w:rsid w:val="00031CB2"/>
    <w:rsid w:val="00031DCA"/>
    <w:rsid w:val="00032ACD"/>
    <w:rsid w:val="00032BB5"/>
    <w:rsid w:val="000330F3"/>
    <w:rsid w:val="00033A16"/>
    <w:rsid w:val="00033B3C"/>
    <w:rsid w:val="00033C03"/>
    <w:rsid w:val="00033E36"/>
    <w:rsid w:val="00033FCE"/>
    <w:rsid w:val="000352B1"/>
    <w:rsid w:val="000356F8"/>
    <w:rsid w:val="0003649E"/>
    <w:rsid w:val="0003670C"/>
    <w:rsid w:val="00036B21"/>
    <w:rsid w:val="00036BDD"/>
    <w:rsid w:val="00036CDC"/>
    <w:rsid w:val="000401D8"/>
    <w:rsid w:val="00040E54"/>
    <w:rsid w:val="00041324"/>
    <w:rsid w:val="0004291F"/>
    <w:rsid w:val="0004298D"/>
    <w:rsid w:val="0004321F"/>
    <w:rsid w:val="00045672"/>
    <w:rsid w:val="00045D21"/>
    <w:rsid w:val="0005076F"/>
    <w:rsid w:val="00050928"/>
    <w:rsid w:val="00050F8F"/>
    <w:rsid w:val="000512A5"/>
    <w:rsid w:val="00051B1E"/>
    <w:rsid w:val="00052407"/>
    <w:rsid w:val="000541AA"/>
    <w:rsid w:val="00054464"/>
    <w:rsid w:val="00054CC7"/>
    <w:rsid w:val="0005564F"/>
    <w:rsid w:val="00055AFC"/>
    <w:rsid w:val="0005626E"/>
    <w:rsid w:val="00056E4F"/>
    <w:rsid w:val="00056FCC"/>
    <w:rsid w:val="000579B4"/>
    <w:rsid w:val="000603A3"/>
    <w:rsid w:val="000607B9"/>
    <w:rsid w:val="00061BA8"/>
    <w:rsid w:val="000626CE"/>
    <w:rsid w:val="00063053"/>
    <w:rsid w:val="0006488D"/>
    <w:rsid w:val="00064A4F"/>
    <w:rsid w:val="00065E74"/>
    <w:rsid w:val="00066583"/>
    <w:rsid w:val="00066BEB"/>
    <w:rsid w:val="00066D83"/>
    <w:rsid w:val="00066D8D"/>
    <w:rsid w:val="0006710E"/>
    <w:rsid w:val="000700CD"/>
    <w:rsid w:val="0007076F"/>
    <w:rsid w:val="000708FA"/>
    <w:rsid w:val="00071BBB"/>
    <w:rsid w:val="0007273B"/>
    <w:rsid w:val="00073007"/>
    <w:rsid w:val="00073527"/>
    <w:rsid w:val="00073AB8"/>
    <w:rsid w:val="00074F88"/>
    <w:rsid w:val="000752CF"/>
    <w:rsid w:val="000753F0"/>
    <w:rsid w:val="000756E3"/>
    <w:rsid w:val="00075C0F"/>
    <w:rsid w:val="000764D0"/>
    <w:rsid w:val="00076741"/>
    <w:rsid w:val="00076DCC"/>
    <w:rsid w:val="00077952"/>
    <w:rsid w:val="000800B7"/>
    <w:rsid w:val="00081D42"/>
    <w:rsid w:val="00081FB0"/>
    <w:rsid w:val="00082241"/>
    <w:rsid w:val="000829D4"/>
    <w:rsid w:val="00082C72"/>
    <w:rsid w:val="0008338D"/>
    <w:rsid w:val="00083FF3"/>
    <w:rsid w:val="00084567"/>
    <w:rsid w:val="00084B8E"/>
    <w:rsid w:val="00085289"/>
    <w:rsid w:val="00085590"/>
    <w:rsid w:val="00085E9B"/>
    <w:rsid w:val="00086F88"/>
    <w:rsid w:val="0008719C"/>
    <w:rsid w:val="00090DBE"/>
    <w:rsid w:val="000916CA"/>
    <w:rsid w:val="000918CC"/>
    <w:rsid w:val="000919CF"/>
    <w:rsid w:val="00091C61"/>
    <w:rsid w:val="00092310"/>
    <w:rsid w:val="00092339"/>
    <w:rsid w:val="00092544"/>
    <w:rsid w:val="00092741"/>
    <w:rsid w:val="0009278F"/>
    <w:rsid w:val="000929EE"/>
    <w:rsid w:val="00092BB5"/>
    <w:rsid w:val="00092DEF"/>
    <w:rsid w:val="00093081"/>
    <w:rsid w:val="000932DF"/>
    <w:rsid w:val="0009355B"/>
    <w:rsid w:val="000953F4"/>
    <w:rsid w:val="00095EFA"/>
    <w:rsid w:val="0009650D"/>
    <w:rsid w:val="0009653D"/>
    <w:rsid w:val="0009761C"/>
    <w:rsid w:val="00097D69"/>
    <w:rsid w:val="000A02B5"/>
    <w:rsid w:val="000A040E"/>
    <w:rsid w:val="000A0F2F"/>
    <w:rsid w:val="000A1701"/>
    <w:rsid w:val="000A1980"/>
    <w:rsid w:val="000A1E72"/>
    <w:rsid w:val="000A2D79"/>
    <w:rsid w:val="000A2FDE"/>
    <w:rsid w:val="000A327C"/>
    <w:rsid w:val="000A37A2"/>
    <w:rsid w:val="000A3860"/>
    <w:rsid w:val="000A479D"/>
    <w:rsid w:val="000A5027"/>
    <w:rsid w:val="000A58A8"/>
    <w:rsid w:val="000A7A43"/>
    <w:rsid w:val="000A7AF7"/>
    <w:rsid w:val="000B00EB"/>
    <w:rsid w:val="000B078C"/>
    <w:rsid w:val="000B0807"/>
    <w:rsid w:val="000B188F"/>
    <w:rsid w:val="000B1A54"/>
    <w:rsid w:val="000B24B4"/>
    <w:rsid w:val="000B4803"/>
    <w:rsid w:val="000B4807"/>
    <w:rsid w:val="000B5142"/>
    <w:rsid w:val="000B55F8"/>
    <w:rsid w:val="000B5F6C"/>
    <w:rsid w:val="000B6639"/>
    <w:rsid w:val="000B6BF4"/>
    <w:rsid w:val="000B78B1"/>
    <w:rsid w:val="000B7A35"/>
    <w:rsid w:val="000B7D2B"/>
    <w:rsid w:val="000C0599"/>
    <w:rsid w:val="000C132E"/>
    <w:rsid w:val="000C1624"/>
    <w:rsid w:val="000C16E5"/>
    <w:rsid w:val="000C1D74"/>
    <w:rsid w:val="000C26BF"/>
    <w:rsid w:val="000C2AA4"/>
    <w:rsid w:val="000C2B12"/>
    <w:rsid w:val="000C2FA6"/>
    <w:rsid w:val="000C30E6"/>
    <w:rsid w:val="000C33E9"/>
    <w:rsid w:val="000C359C"/>
    <w:rsid w:val="000C3F46"/>
    <w:rsid w:val="000C447B"/>
    <w:rsid w:val="000C44B1"/>
    <w:rsid w:val="000C4E87"/>
    <w:rsid w:val="000C4F50"/>
    <w:rsid w:val="000C506A"/>
    <w:rsid w:val="000C5161"/>
    <w:rsid w:val="000C5251"/>
    <w:rsid w:val="000C5784"/>
    <w:rsid w:val="000C606D"/>
    <w:rsid w:val="000C642E"/>
    <w:rsid w:val="000C64C4"/>
    <w:rsid w:val="000C68DC"/>
    <w:rsid w:val="000C6A8D"/>
    <w:rsid w:val="000C6D9B"/>
    <w:rsid w:val="000C7060"/>
    <w:rsid w:val="000C7D1D"/>
    <w:rsid w:val="000D0120"/>
    <w:rsid w:val="000D0307"/>
    <w:rsid w:val="000D09D5"/>
    <w:rsid w:val="000D3004"/>
    <w:rsid w:val="000D38C6"/>
    <w:rsid w:val="000D3C67"/>
    <w:rsid w:val="000D4025"/>
    <w:rsid w:val="000D413B"/>
    <w:rsid w:val="000D4E9F"/>
    <w:rsid w:val="000D63B0"/>
    <w:rsid w:val="000D73B5"/>
    <w:rsid w:val="000D7956"/>
    <w:rsid w:val="000D7FF3"/>
    <w:rsid w:val="000E04CA"/>
    <w:rsid w:val="000E0B58"/>
    <w:rsid w:val="000E0B6E"/>
    <w:rsid w:val="000E1692"/>
    <w:rsid w:val="000E2B35"/>
    <w:rsid w:val="000E2E80"/>
    <w:rsid w:val="000E4B1D"/>
    <w:rsid w:val="000E4BEC"/>
    <w:rsid w:val="000E4DF9"/>
    <w:rsid w:val="000E52AD"/>
    <w:rsid w:val="000E5B43"/>
    <w:rsid w:val="000E6070"/>
    <w:rsid w:val="000E640C"/>
    <w:rsid w:val="000E6AF2"/>
    <w:rsid w:val="000E6EC5"/>
    <w:rsid w:val="000F1E15"/>
    <w:rsid w:val="000F2A89"/>
    <w:rsid w:val="000F3789"/>
    <w:rsid w:val="000F4D88"/>
    <w:rsid w:val="000F5DC2"/>
    <w:rsid w:val="000F61C6"/>
    <w:rsid w:val="000F68B6"/>
    <w:rsid w:val="000F69F3"/>
    <w:rsid w:val="000F7D59"/>
    <w:rsid w:val="000F7EFB"/>
    <w:rsid w:val="00100C35"/>
    <w:rsid w:val="00100CF8"/>
    <w:rsid w:val="00102C74"/>
    <w:rsid w:val="00102F28"/>
    <w:rsid w:val="00103049"/>
    <w:rsid w:val="0010310F"/>
    <w:rsid w:val="00103A86"/>
    <w:rsid w:val="00104820"/>
    <w:rsid w:val="00104C9A"/>
    <w:rsid w:val="0010772F"/>
    <w:rsid w:val="00107B23"/>
    <w:rsid w:val="00110081"/>
    <w:rsid w:val="00110333"/>
    <w:rsid w:val="001104C2"/>
    <w:rsid w:val="001119DC"/>
    <w:rsid w:val="00111C8B"/>
    <w:rsid w:val="001120C9"/>
    <w:rsid w:val="00112A84"/>
    <w:rsid w:val="00112B7E"/>
    <w:rsid w:val="001130E9"/>
    <w:rsid w:val="00116008"/>
    <w:rsid w:val="001168E6"/>
    <w:rsid w:val="0011732E"/>
    <w:rsid w:val="001174B3"/>
    <w:rsid w:val="00117756"/>
    <w:rsid w:val="001201F0"/>
    <w:rsid w:val="001222BD"/>
    <w:rsid w:val="00123709"/>
    <w:rsid w:val="00123A18"/>
    <w:rsid w:val="001242EE"/>
    <w:rsid w:val="00126AD7"/>
    <w:rsid w:val="0013011E"/>
    <w:rsid w:val="00130238"/>
    <w:rsid w:val="001305F4"/>
    <w:rsid w:val="00130640"/>
    <w:rsid w:val="00131458"/>
    <w:rsid w:val="00131620"/>
    <w:rsid w:val="0013177D"/>
    <w:rsid w:val="00132115"/>
    <w:rsid w:val="00132B5E"/>
    <w:rsid w:val="00132BE4"/>
    <w:rsid w:val="00133D74"/>
    <w:rsid w:val="001348AD"/>
    <w:rsid w:val="00135CCB"/>
    <w:rsid w:val="0013607A"/>
    <w:rsid w:val="001364FF"/>
    <w:rsid w:val="001365F6"/>
    <w:rsid w:val="00137CD6"/>
    <w:rsid w:val="00137F1E"/>
    <w:rsid w:val="001402D3"/>
    <w:rsid w:val="00140943"/>
    <w:rsid w:val="00141251"/>
    <w:rsid w:val="00141366"/>
    <w:rsid w:val="00141642"/>
    <w:rsid w:val="00141EC2"/>
    <w:rsid w:val="00143013"/>
    <w:rsid w:val="001438D2"/>
    <w:rsid w:val="0014396A"/>
    <w:rsid w:val="00143F31"/>
    <w:rsid w:val="0014474D"/>
    <w:rsid w:val="00145657"/>
    <w:rsid w:val="00145967"/>
    <w:rsid w:val="001468D0"/>
    <w:rsid w:val="00146BD6"/>
    <w:rsid w:val="0014737C"/>
    <w:rsid w:val="001478FE"/>
    <w:rsid w:val="00150075"/>
    <w:rsid w:val="0015059F"/>
    <w:rsid w:val="00151454"/>
    <w:rsid w:val="00151D0D"/>
    <w:rsid w:val="0015390F"/>
    <w:rsid w:val="00153CD4"/>
    <w:rsid w:val="00154797"/>
    <w:rsid w:val="00154BE4"/>
    <w:rsid w:val="0015512A"/>
    <w:rsid w:val="00156293"/>
    <w:rsid w:val="001562B5"/>
    <w:rsid w:val="001576EC"/>
    <w:rsid w:val="00157ED6"/>
    <w:rsid w:val="00160240"/>
    <w:rsid w:val="00160630"/>
    <w:rsid w:val="001621D5"/>
    <w:rsid w:val="001622E1"/>
    <w:rsid w:val="00162897"/>
    <w:rsid w:val="0016401D"/>
    <w:rsid w:val="00165C97"/>
    <w:rsid w:val="00166244"/>
    <w:rsid w:val="00166291"/>
    <w:rsid w:val="00167A0D"/>
    <w:rsid w:val="00167F75"/>
    <w:rsid w:val="0017024B"/>
    <w:rsid w:val="0017075B"/>
    <w:rsid w:val="00170CCA"/>
    <w:rsid w:val="0017121C"/>
    <w:rsid w:val="00171666"/>
    <w:rsid w:val="00172422"/>
    <w:rsid w:val="001725A1"/>
    <w:rsid w:val="0017331D"/>
    <w:rsid w:val="001734D4"/>
    <w:rsid w:val="0017383C"/>
    <w:rsid w:val="00173BF9"/>
    <w:rsid w:val="00173D74"/>
    <w:rsid w:val="001740F1"/>
    <w:rsid w:val="001741FA"/>
    <w:rsid w:val="001758E4"/>
    <w:rsid w:val="00175EE2"/>
    <w:rsid w:val="0017649C"/>
    <w:rsid w:val="00176AE4"/>
    <w:rsid w:val="00176FB3"/>
    <w:rsid w:val="00177336"/>
    <w:rsid w:val="00177552"/>
    <w:rsid w:val="001777BE"/>
    <w:rsid w:val="0018025C"/>
    <w:rsid w:val="001812CB"/>
    <w:rsid w:val="00181EE1"/>
    <w:rsid w:val="0018216D"/>
    <w:rsid w:val="001832C6"/>
    <w:rsid w:val="00184206"/>
    <w:rsid w:val="00184663"/>
    <w:rsid w:val="00184C03"/>
    <w:rsid w:val="001855B4"/>
    <w:rsid w:val="00185E9E"/>
    <w:rsid w:val="0018663B"/>
    <w:rsid w:val="00186D8C"/>
    <w:rsid w:val="00186DEA"/>
    <w:rsid w:val="001870F0"/>
    <w:rsid w:val="0018737C"/>
    <w:rsid w:val="0018791D"/>
    <w:rsid w:val="00187A3B"/>
    <w:rsid w:val="00187B1A"/>
    <w:rsid w:val="00187C91"/>
    <w:rsid w:val="00190546"/>
    <w:rsid w:val="001912D4"/>
    <w:rsid w:val="00191EDF"/>
    <w:rsid w:val="0019380D"/>
    <w:rsid w:val="00193CB1"/>
    <w:rsid w:val="001942C9"/>
    <w:rsid w:val="0019492F"/>
    <w:rsid w:val="00194AC8"/>
    <w:rsid w:val="00194BAE"/>
    <w:rsid w:val="0019502A"/>
    <w:rsid w:val="001964AC"/>
    <w:rsid w:val="001968D3"/>
    <w:rsid w:val="00197D6C"/>
    <w:rsid w:val="001A062C"/>
    <w:rsid w:val="001A070B"/>
    <w:rsid w:val="001A0987"/>
    <w:rsid w:val="001A0A37"/>
    <w:rsid w:val="001A108B"/>
    <w:rsid w:val="001A126F"/>
    <w:rsid w:val="001A1A2E"/>
    <w:rsid w:val="001A1C2D"/>
    <w:rsid w:val="001A26FB"/>
    <w:rsid w:val="001A29C9"/>
    <w:rsid w:val="001A3870"/>
    <w:rsid w:val="001A3E30"/>
    <w:rsid w:val="001A442F"/>
    <w:rsid w:val="001A4E48"/>
    <w:rsid w:val="001A543B"/>
    <w:rsid w:val="001A574E"/>
    <w:rsid w:val="001A5BBE"/>
    <w:rsid w:val="001A6BAE"/>
    <w:rsid w:val="001A7040"/>
    <w:rsid w:val="001A75A5"/>
    <w:rsid w:val="001A7648"/>
    <w:rsid w:val="001B0520"/>
    <w:rsid w:val="001B0876"/>
    <w:rsid w:val="001B0E59"/>
    <w:rsid w:val="001B1707"/>
    <w:rsid w:val="001B37D1"/>
    <w:rsid w:val="001B43D0"/>
    <w:rsid w:val="001B44D9"/>
    <w:rsid w:val="001B54D1"/>
    <w:rsid w:val="001B5EF5"/>
    <w:rsid w:val="001B63AC"/>
    <w:rsid w:val="001B64C6"/>
    <w:rsid w:val="001B6A1D"/>
    <w:rsid w:val="001B6BC1"/>
    <w:rsid w:val="001B7718"/>
    <w:rsid w:val="001C071E"/>
    <w:rsid w:val="001C0875"/>
    <w:rsid w:val="001C14F2"/>
    <w:rsid w:val="001C1BA7"/>
    <w:rsid w:val="001C231F"/>
    <w:rsid w:val="001C2908"/>
    <w:rsid w:val="001C2CC2"/>
    <w:rsid w:val="001C34DB"/>
    <w:rsid w:val="001C3A7F"/>
    <w:rsid w:val="001C4234"/>
    <w:rsid w:val="001C4903"/>
    <w:rsid w:val="001C4FB3"/>
    <w:rsid w:val="001C5005"/>
    <w:rsid w:val="001C5241"/>
    <w:rsid w:val="001C5862"/>
    <w:rsid w:val="001D028F"/>
    <w:rsid w:val="001D0847"/>
    <w:rsid w:val="001D0905"/>
    <w:rsid w:val="001D12A9"/>
    <w:rsid w:val="001D1A00"/>
    <w:rsid w:val="001D2494"/>
    <w:rsid w:val="001D2BA1"/>
    <w:rsid w:val="001D3193"/>
    <w:rsid w:val="001D35DA"/>
    <w:rsid w:val="001D4847"/>
    <w:rsid w:val="001D5653"/>
    <w:rsid w:val="001D586F"/>
    <w:rsid w:val="001E044C"/>
    <w:rsid w:val="001E0C22"/>
    <w:rsid w:val="001E16AD"/>
    <w:rsid w:val="001E1A4B"/>
    <w:rsid w:val="001E1D50"/>
    <w:rsid w:val="001E2C9B"/>
    <w:rsid w:val="001E312D"/>
    <w:rsid w:val="001E32B0"/>
    <w:rsid w:val="001E39DF"/>
    <w:rsid w:val="001E3DFA"/>
    <w:rsid w:val="001E4253"/>
    <w:rsid w:val="001E4379"/>
    <w:rsid w:val="001E43D0"/>
    <w:rsid w:val="001E4B86"/>
    <w:rsid w:val="001E510C"/>
    <w:rsid w:val="001E5CA9"/>
    <w:rsid w:val="001E68D1"/>
    <w:rsid w:val="001E6A99"/>
    <w:rsid w:val="001E6F90"/>
    <w:rsid w:val="001E761C"/>
    <w:rsid w:val="001E7A8A"/>
    <w:rsid w:val="001F08CA"/>
    <w:rsid w:val="001F20EC"/>
    <w:rsid w:val="001F212C"/>
    <w:rsid w:val="001F2590"/>
    <w:rsid w:val="001F2FEA"/>
    <w:rsid w:val="001F31EB"/>
    <w:rsid w:val="001F3430"/>
    <w:rsid w:val="001F3A47"/>
    <w:rsid w:val="001F44D1"/>
    <w:rsid w:val="001F471E"/>
    <w:rsid w:val="001F6FF2"/>
    <w:rsid w:val="001F72C4"/>
    <w:rsid w:val="002003F1"/>
    <w:rsid w:val="002007C3"/>
    <w:rsid w:val="00201FB4"/>
    <w:rsid w:val="00201FBD"/>
    <w:rsid w:val="0020218B"/>
    <w:rsid w:val="00202717"/>
    <w:rsid w:val="00202A64"/>
    <w:rsid w:val="00203E70"/>
    <w:rsid w:val="0020535E"/>
    <w:rsid w:val="00205A7A"/>
    <w:rsid w:val="00206981"/>
    <w:rsid w:val="00207C40"/>
    <w:rsid w:val="00210238"/>
    <w:rsid w:val="002103F4"/>
    <w:rsid w:val="002106D3"/>
    <w:rsid w:val="00210C7B"/>
    <w:rsid w:val="002119DB"/>
    <w:rsid w:val="002119E8"/>
    <w:rsid w:val="00212C1E"/>
    <w:rsid w:val="00212CCE"/>
    <w:rsid w:val="002138EA"/>
    <w:rsid w:val="00213F68"/>
    <w:rsid w:val="00214260"/>
    <w:rsid w:val="002149D0"/>
    <w:rsid w:val="00214AA4"/>
    <w:rsid w:val="00214C02"/>
    <w:rsid w:val="00215F24"/>
    <w:rsid w:val="00216BF5"/>
    <w:rsid w:val="00220A20"/>
    <w:rsid w:val="00221B3B"/>
    <w:rsid w:val="00222014"/>
    <w:rsid w:val="002224AE"/>
    <w:rsid w:val="002226AC"/>
    <w:rsid w:val="00222803"/>
    <w:rsid w:val="0022308A"/>
    <w:rsid w:val="00223A14"/>
    <w:rsid w:val="00223BDA"/>
    <w:rsid w:val="00224B8F"/>
    <w:rsid w:val="00225C4E"/>
    <w:rsid w:val="002277B6"/>
    <w:rsid w:val="00227A55"/>
    <w:rsid w:val="00230173"/>
    <w:rsid w:val="00230EBF"/>
    <w:rsid w:val="002317E7"/>
    <w:rsid w:val="002318D5"/>
    <w:rsid w:val="002324AB"/>
    <w:rsid w:val="00232DCA"/>
    <w:rsid w:val="00233C80"/>
    <w:rsid w:val="00233FD6"/>
    <w:rsid w:val="002344AB"/>
    <w:rsid w:val="00235613"/>
    <w:rsid w:val="00235A90"/>
    <w:rsid w:val="00236A9F"/>
    <w:rsid w:val="0023705E"/>
    <w:rsid w:val="00237CD7"/>
    <w:rsid w:val="00240F08"/>
    <w:rsid w:val="002410B1"/>
    <w:rsid w:val="0024261E"/>
    <w:rsid w:val="0024275C"/>
    <w:rsid w:val="00242C0A"/>
    <w:rsid w:val="002434FC"/>
    <w:rsid w:val="00243821"/>
    <w:rsid w:val="00243D7E"/>
    <w:rsid w:val="00244195"/>
    <w:rsid w:val="002445A8"/>
    <w:rsid w:val="00244DD5"/>
    <w:rsid w:val="00245067"/>
    <w:rsid w:val="002459C1"/>
    <w:rsid w:val="00246327"/>
    <w:rsid w:val="00246730"/>
    <w:rsid w:val="00246F57"/>
    <w:rsid w:val="00247258"/>
    <w:rsid w:val="002477FD"/>
    <w:rsid w:val="00250942"/>
    <w:rsid w:val="00250D8E"/>
    <w:rsid w:val="0025113D"/>
    <w:rsid w:val="0025135A"/>
    <w:rsid w:val="0025153E"/>
    <w:rsid w:val="0025176D"/>
    <w:rsid w:val="0025232E"/>
    <w:rsid w:val="00252641"/>
    <w:rsid w:val="00252FCD"/>
    <w:rsid w:val="002534E7"/>
    <w:rsid w:val="002545E8"/>
    <w:rsid w:val="00254A5F"/>
    <w:rsid w:val="00254F1A"/>
    <w:rsid w:val="00255542"/>
    <w:rsid w:val="00255B37"/>
    <w:rsid w:val="00255E9B"/>
    <w:rsid w:val="00255FF5"/>
    <w:rsid w:val="0025667A"/>
    <w:rsid w:val="00256928"/>
    <w:rsid w:val="00256FDA"/>
    <w:rsid w:val="00260A49"/>
    <w:rsid w:val="00261E9C"/>
    <w:rsid w:val="00262584"/>
    <w:rsid w:val="0026374D"/>
    <w:rsid w:val="002646EA"/>
    <w:rsid w:val="00264843"/>
    <w:rsid w:val="00264B7C"/>
    <w:rsid w:val="00264D12"/>
    <w:rsid w:val="00265E46"/>
    <w:rsid w:val="0026613A"/>
    <w:rsid w:val="0026621F"/>
    <w:rsid w:val="002664E8"/>
    <w:rsid w:val="002675C4"/>
    <w:rsid w:val="00270E4E"/>
    <w:rsid w:val="0027104C"/>
    <w:rsid w:val="00271566"/>
    <w:rsid w:val="00271803"/>
    <w:rsid w:val="00272652"/>
    <w:rsid w:val="00272746"/>
    <w:rsid w:val="00272B39"/>
    <w:rsid w:val="0027493D"/>
    <w:rsid w:val="00275A18"/>
    <w:rsid w:val="00276355"/>
    <w:rsid w:val="00276406"/>
    <w:rsid w:val="00276969"/>
    <w:rsid w:val="00276CF8"/>
    <w:rsid w:val="002771D7"/>
    <w:rsid w:val="002779FE"/>
    <w:rsid w:val="00281518"/>
    <w:rsid w:val="00281B85"/>
    <w:rsid w:val="00282098"/>
    <w:rsid w:val="00282323"/>
    <w:rsid w:val="0028247F"/>
    <w:rsid w:val="002826DE"/>
    <w:rsid w:val="00282B29"/>
    <w:rsid w:val="00282EA8"/>
    <w:rsid w:val="00283054"/>
    <w:rsid w:val="00283472"/>
    <w:rsid w:val="002834AD"/>
    <w:rsid w:val="0028359C"/>
    <w:rsid w:val="00284134"/>
    <w:rsid w:val="002842FB"/>
    <w:rsid w:val="00284759"/>
    <w:rsid w:val="00284DC9"/>
    <w:rsid w:val="00284ECE"/>
    <w:rsid w:val="002853AB"/>
    <w:rsid w:val="00285624"/>
    <w:rsid w:val="00286AA1"/>
    <w:rsid w:val="00286F34"/>
    <w:rsid w:val="002879E7"/>
    <w:rsid w:val="002909DF"/>
    <w:rsid w:val="00290BE0"/>
    <w:rsid w:val="00291975"/>
    <w:rsid w:val="00291A96"/>
    <w:rsid w:val="00291C15"/>
    <w:rsid w:val="00292127"/>
    <w:rsid w:val="00292C6B"/>
    <w:rsid w:val="0029324B"/>
    <w:rsid w:val="0029337F"/>
    <w:rsid w:val="00293985"/>
    <w:rsid w:val="002946C9"/>
    <w:rsid w:val="002961BE"/>
    <w:rsid w:val="00296A61"/>
    <w:rsid w:val="002A08D5"/>
    <w:rsid w:val="002A205A"/>
    <w:rsid w:val="002A241B"/>
    <w:rsid w:val="002A291D"/>
    <w:rsid w:val="002A2B9D"/>
    <w:rsid w:val="002A3E5D"/>
    <w:rsid w:val="002A41AC"/>
    <w:rsid w:val="002A4361"/>
    <w:rsid w:val="002A54D4"/>
    <w:rsid w:val="002A610E"/>
    <w:rsid w:val="002A6275"/>
    <w:rsid w:val="002A7311"/>
    <w:rsid w:val="002A7D07"/>
    <w:rsid w:val="002B02A5"/>
    <w:rsid w:val="002B0A8A"/>
    <w:rsid w:val="002B0F00"/>
    <w:rsid w:val="002B1E56"/>
    <w:rsid w:val="002B32DA"/>
    <w:rsid w:val="002B34D5"/>
    <w:rsid w:val="002B4CEE"/>
    <w:rsid w:val="002B521C"/>
    <w:rsid w:val="002B5851"/>
    <w:rsid w:val="002B69EE"/>
    <w:rsid w:val="002B6D80"/>
    <w:rsid w:val="002B73E3"/>
    <w:rsid w:val="002B76F4"/>
    <w:rsid w:val="002C0886"/>
    <w:rsid w:val="002C1884"/>
    <w:rsid w:val="002C2177"/>
    <w:rsid w:val="002C2B0B"/>
    <w:rsid w:val="002C2F8A"/>
    <w:rsid w:val="002C348F"/>
    <w:rsid w:val="002C3ABB"/>
    <w:rsid w:val="002C3EEF"/>
    <w:rsid w:val="002C4846"/>
    <w:rsid w:val="002C4F17"/>
    <w:rsid w:val="002C5A0B"/>
    <w:rsid w:val="002C5F2A"/>
    <w:rsid w:val="002C6211"/>
    <w:rsid w:val="002C63C6"/>
    <w:rsid w:val="002C6514"/>
    <w:rsid w:val="002C77A4"/>
    <w:rsid w:val="002C7B06"/>
    <w:rsid w:val="002D1378"/>
    <w:rsid w:val="002D166C"/>
    <w:rsid w:val="002D1A87"/>
    <w:rsid w:val="002D1D93"/>
    <w:rsid w:val="002D1F63"/>
    <w:rsid w:val="002D209E"/>
    <w:rsid w:val="002D24AB"/>
    <w:rsid w:val="002D2619"/>
    <w:rsid w:val="002D3830"/>
    <w:rsid w:val="002D3E54"/>
    <w:rsid w:val="002D3EB2"/>
    <w:rsid w:val="002D4803"/>
    <w:rsid w:val="002D4B88"/>
    <w:rsid w:val="002D58A2"/>
    <w:rsid w:val="002D6E14"/>
    <w:rsid w:val="002D7B71"/>
    <w:rsid w:val="002D7EFD"/>
    <w:rsid w:val="002E0641"/>
    <w:rsid w:val="002E0914"/>
    <w:rsid w:val="002E0AE7"/>
    <w:rsid w:val="002E0AFF"/>
    <w:rsid w:val="002E0E03"/>
    <w:rsid w:val="002E0F03"/>
    <w:rsid w:val="002E222D"/>
    <w:rsid w:val="002E2497"/>
    <w:rsid w:val="002E2684"/>
    <w:rsid w:val="002E34CA"/>
    <w:rsid w:val="002E421F"/>
    <w:rsid w:val="002E4816"/>
    <w:rsid w:val="002E4C5E"/>
    <w:rsid w:val="002E4DED"/>
    <w:rsid w:val="002E5015"/>
    <w:rsid w:val="002E5573"/>
    <w:rsid w:val="002E564E"/>
    <w:rsid w:val="002E57E2"/>
    <w:rsid w:val="002E59B2"/>
    <w:rsid w:val="002E644A"/>
    <w:rsid w:val="002E7489"/>
    <w:rsid w:val="002E7593"/>
    <w:rsid w:val="002F0840"/>
    <w:rsid w:val="002F24DC"/>
    <w:rsid w:val="002F2C23"/>
    <w:rsid w:val="002F2F21"/>
    <w:rsid w:val="002F3106"/>
    <w:rsid w:val="002F3156"/>
    <w:rsid w:val="002F38D4"/>
    <w:rsid w:val="002F3CB1"/>
    <w:rsid w:val="002F43F6"/>
    <w:rsid w:val="002F4B32"/>
    <w:rsid w:val="002F5B68"/>
    <w:rsid w:val="002F61B3"/>
    <w:rsid w:val="002F7D1A"/>
    <w:rsid w:val="00301061"/>
    <w:rsid w:val="003018C8"/>
    <w:rsid w:val="003020F6"/>
    <w:rsid w:val="00302F81"/>
    <w:rsid w:val="003036CA"/>
    <w:rsid w:val="0030371C"/>
    <w:rsid w:val="00303DC8"/>
    <w:rsid w:val="0030489C"/>
    <w:rsid w:val="00304965"/>
    <w:rsid w:val="0030580A"/>
    <w:rsid w:val="00307CD5"/>
    <w:rsid w:val="00310A73"/>
    <w:rsid w:val="00310D95"/>
    <w:rsid w:val="00310F2C"/>
    <w:rsid w:val="00313562"/>
    <w:rsid w:val="00314644"/>
    <w:rsid w:val="00315359"/>
    <w:rsid w:val="00316707"/>
    <w:rsid w:val="003167C0"/>
    <w:rsid w:val="00317549"/>
    <w:rsid w:val="003175B1"/>
    <w:rsid w:val="00317A11"/>
    <w:rsid w:val="00317AB6"/>
    <w:rsid w:val="00317BE4"/>
    <w:rsid w:val="00317FC0"/>
    <w:rsid w:val="00320A05"/>
    <w:rsid w:val="00320ECB"/>
    <w:rsid w:val="003213A6"/>
    <w:rsid w:val="0032180E"/>
    <w:rsid w:val="003224F4"/>
    <w:rsid w:val="00322F85"/>
    <w:rsid w:val="003232E4"/>
    <w:rsid w:val="003234F4"/>
    <w:rsid w:val="00323BD6"/>
    <w:rsid w:val="003268EE"/>
    <w:rsid w:val="00327894"/>
    <w:rsid w:val="0033082F"/>
    <w:rsid w:val="00330B5A"/>
    <w:rsid w:val="00330C29"/>
    <w:rsid w:val="00330E82"/>
    <w:rsid w:val="00330F3F"/>
    <w:rsid w:val="0033215E"/>
    <w:rsid w:val="003333B4"/>
    <w:rsid w:val="00333621"/>
    <w:rsid w:val="00334E99"/>
    <w:rsid w:val="00336FE2"/>
    <w:rsid w:val="003378A0"/>
    <w:rsid w:val="0034028D"/>
    <w:rsid w:val="00340383"/>
    <w:rsid w:val="00341CF5"/>
    <w:rsid w:val="003422DF"/>
    <w:rsid w:val="00344A02"/>
    <w:rsid w:val="00344E12"/>
    <w:rsid w:val="00345C03"/>
    <w:rsid w:val="00345D08"/>
    <w:rsid w:val="00346516"/>
    <w:rsid w:val="00347270"/>
    <w:rsid w:val="00347781"/>
    <w:rsid w:val="00347AA8"/>
    <w:rsid w:val="0035064D"/>
    <w:rsid w:val="00350A2A"/>
    <w:rsid w:val="003547E1"/>
    <w:rsid w:val="00356136"/>
    <w:rsid w:val="003572D7"/>
    <w:rsid w:val="00357EB3"/>
    <w:rsid w:val="003608EF"/>
    <w:rsid w:val="00360ABD"/>
    <w:rsid w:val="00362825"/>
    <w:rsid w:val="00363491"/>
    <w:rsid w:val="00363FBB"/>
    <w:rsid w:val="00364430"/>
    <w:rsid w:val="00364B73"/>
    <w:rsid w:val="00364C12"/>
    <w:rsid w:val="0036599F"/>
    <w:rsid w:val="0036643E"/>
    <w:rsid w:val="003665E9"/>
    <w:rsid w:val="0036708C"/>
    <w:rsid w:val="0036770A"/>
    <w:rsid w:val="00367B3E"/>
    <w:rsid w:val="00370487"/>
    <w:rsid w:val="00370C67"/>
    <w:rsid w:val="003710B2"/>
    <w:rsid w:val="00372183"/>
    <w:rsid w:val="0037274F"/>
    <w:rsid w:val="00373281"/>
    <w:rsid w:val="00373BB6"/>
    <w:rsid w:val="00373F4E"/>
    <w:rsid w:val="00374328"/>
    <w:rsid w:val="0037543D"/>
    <w:rsid w:val="00376380"/>
    <w:rsid w:val="00376558"/>
    <w:rsid w:val="00376673"/>
    <w:rsid w:val="003769DA"/>
    <w:rsid w:val="00376B83"/>
    <w:rsid w:val="00376F76"/>
    <w:rsid w:val="00377739"/>
    <w:rsid w:val="003777F0"/>
    <w:rsid w:val="0037787A"/>
    <w:rsid w:val="00380039"/>
    <w:rsid w:val="003804E8"/>
    <w:rsid w:val="0038193B"/>
    <w:rsid w:val="00381F0D"/>
    <w:rsid w:val="00383B0E"/>
    <w:rsid w:val="00386F6E"/>
    <w:rsid w:val="00387010"/>
    <w:rsid w:val="00387AD3"/>
    <w:rsid w:val="00387E7F"/>
    <w:rsid w:val="00390033"/>
    <w:rsid w:val="0039087D"/>
    <w:rsid w:val="003908AF"/>
    <w:rsid w:val="00390E90"/>
    <w:rsid w:val="00391681"/>
    <w:rsid w:val="003916CA"/>
    <w:rsid w:val="00391C54"/>
    <w:rsid w:val="00392783"/>
    <w:rsid w:val="00392C5A"/>
    <w:rsid w:val="00394070"/>
    <w:rsid w:val="0039423A"/>
    <w:rsid w:val="00395403"/>
    <w:rsid w:val="00395628"/>
    <w:rsid w:val="00396D79"/>
    <w:rsid w:val="00397A56"/>
    <w:rsid w:val="003A0467"/>
    <w:rsid w:val="003A0C00"/>
    <w:rsid w:val="003A0C36"/>
    <w:rsid w:val="003A1F66"/>
    <w:rsid w:val="003A2580"/>
    <w:rsid w:val="003A2B21"/>
    <w:rsid w:val="003A2D83"/>
    <w:rsid w:val="003A2EAC"/>
    <w:rsid w:val="003A30D7"/>
    <w:rsid w:val="003A3AB5"/>
    <w:rsid w:val="003A42C2"/>
    <w:rsid w:val="003A57E8"/>
    <w:rsid w:val="003A640A"/>
    <w:rsid w:val="003A6BA0"/>
    <w:rsid w:val="003A703E"/>
    <w:rsid w:val="003A756A"/>
    <w:rsid w:val="003A78FA"/>
    <w:rsid w:val="003B02C3"/>
    <w:rsid w:val="003B09D0"/>
    <w:rsid w:val="003B0CC3"/>
    <w:rsid w:val="003B1523"/>
    <w:rsid w:val="003B244B"/>
    <w:rsid w:val="003B294F"/>
    <w:rsid w:val="003B3AA6"/>
    <w:rsid w:val="003B3EAF"/>
    <w:rsid w:val="003B4529"/>
    <w:rsid w:val="003B46C8"/>
    <w:rsid w:val="003B49B5"/>
    <w:rsid w:val="003B5744"/>
    <w:rsid w:val="003B5E94"/>
    <w:rsid w:val="003B7420"/>
    <w:rsid w:val="003B75D2"/>
    <w:rsid w:val="003B77E7"/>
    <w:rsid w:val="003C0903"/>
    <w:rsid w:val="003C14E8"/>
    <w:rsid w:val="003C217C"/>
    <w:rsid w:val="003C226E"/>
    <w:rsid w:val="003C2831"/>
    <w:rsid w:val="003C2D9A"/>
    <w:rsid w:val="003C2FA0"/>
    <w:rsid w:val="003C3A2A"/>
    <w:rsid w:val="003C3E38"/>
    <w:rsid w:val="003C4770"/>
    <w:rsid w:val="003C4AA2"/>
    <w:rsid w:val="003C5243"/>
    <w:rsid w:val="003C5310"/>
    <w:rsid w:val="003C587C"/>
    <w:rsid w:val="003C5A27"/>
    <w:rsid w:val="003C5E1B"/>
    <w:rsid w:val="003C6035"/>
    <w:rsid w:val="003C6084"/>
    <w:rsid w:val="003C660D"/>
    <w:rsid w:val="003C668B"/>
    <w:rsid w:val="003C69F6"/>
    <w:rsid w:val="003C6E5C"/>
    <w:rsid w:val="003C712C"/>
    <w:rsid w:val="003C735D"/>
    <w:rsid w:val="003C76B3"/>
    <w:rsid w:val="003C7CC8"/>
    <w:rsid w:val="003D0CD4"/>
    <w:rsid w:val="003D188A"/>
    <w:rsid w:val="003D1DB2"/>
    <w:rsid w:val="003D3F4E"/>
    <w:rsid w:val="003D522C"/>
    <w:rsid w:val="003D54A3"/>
    <w:rsid w:val="003D56C8"/>
    <w:rsid w:val="003D7BDB"/>
    <w:rsid w:val="003D7E1A"/>
    <w:rsid w:val="003E13A2"/>
    <w:rsid w:val="003E2525"/>
    <w:rsid w:val="003E2773"/>
    <w:rsid w:val="003E285A"/>
    <w:rsid w:val="003E35DF"/>
    <w:rsid w:val="003E4ACC"/>
    <w:rsid w:val="003E4B0A"/>
    <w:rsid w:val="003E5EBF"/>
    <w:rsid w:val="003E6A47"/>
    <w:rsid w:val="003E782D"/>
    <w:rsid w:val="003F06BA"/>
    <w:rsid w:val="003F10AD"/>
    <w:rsid w:val="003F187D"/>
    <w:rsid w:val="003F205F"/>
    <w:rsid w:val="003F26E5"/>
    <w:rsid w:val="003F33EE"/>
    <w:rsid w:val="003F375E"/>
    <w:rsid w:val="003F3EDB"/>
    <w:rsid w:val="003F4161"/>
    <w:rsid w:val="003F49BB"/>
    <w:rsid w:val="003F551B"/>
    <w:rsid w:val="003F5F7A"/>
    <w:rsid w:val="003F637F"/>
    <w:rsid w:val="003F6618"/>
    <w:rsid w:val="003F72DA"/>
    <w:rsid w:val="003F7386"/>
    <w:rsid w:val="003F7400"/>
    <w:rsid w:val="00400E7D"/>
    <w:rsid w:val="00400FD7"/>
    <w:rsid w:val="004023BC"/>
    <w:rsid w:val="004023CF"/>
    <w:rsid w:val="0040274C"/>
    <w:rsid w:val="004031B3"/>
    <w:rsid w:val="00403875"/>
    <w:rsid w:val="0040456B"/>
    <w:rsid w:val="00404875"/>
    <w:rsid w:val="0040496C"/>
    <w:rsid w:val="0040530E"/>
    <w:rsid w:val="004068E8"/>
    <w:rsid w:val="00407B33"/>
    <w:rsid w:val="0041157B"/>
    <w:rsid w:val="004118B1"/>
    <w:rsid w:val="00411CC3"/>
    <w:rsid w:val="00411DB6"/>
    <w:rsid w:val="00412190"/>
    <w:rsid w:val="00412249"/>
    <w:rsid w:val="004138C7"/>
    <w:rsid w:val="004146FD"/>
    <w:rsid w:val="0041498E"/>
    <w:rsid w:val="00414C9C"/>
    <w:rsid w:val="00414CB3"/>
    <w:rsid w:val="00415305"/>
    <w:rsid w:val="00415912"/>
    <w:rsid w:val="00415C91"/>
    <w:rsid w:val="00415CE3"/>
    <w:rsid w:val="00416031"/>
    <w:rsid w:val="0041639D"/>
    <w:rsid w:val="004163F7"/>
    <w:rsid w:val="00416D5E"/>
    <w:rsid w:val="00416D8E"/>
    <w:rsid w:val="00417862"/>
    <w:rsid w:val="00417DA1"/>
    <w:rsid w:val="00417F7A"/>
    <w:rsid w:val="00420091"/>
    <w:rsid w:val="00421453"/>
    <w:rsid w:val="004221DB"/>
    <w:rsid w:val="004233D4"/>
    <w:rsid w:val="004235D4"/>
    <w:rsid w:val="004238BD"/>
    <w:rsid w:val="00423EBC"/>
    <w:rsid w:val="00425771"/>
    <w:rsid w:val="00426795"/>
    <w:rsid w:val="00426CC4"/>
    <w:rsid w:val="00427901"/>
    <w:rsid w:val="00427A3F"/>
    <w:rsid w:val="00427E5C"/>
    <w:rsid w:val="004306D0"/>
    <w:rsid w:val="00430BB5"/>
    <w:rsid w:val="00430CF7"/>
    <w:rsid w:val="004313F8"/>
    <w:rsid w:val="004319F7"/>
    <w:rsid w:val="00431B54"/>
    <w:rsid w:val="00431DB9"/>
    <w:rsid w:val="00432114"/>
    <w:rsid w:val="00432997"/>
    <w:rsid w:val="00433C72"/>
    <w:rsid w:val="00433FE5"/>
    <w:rsid w:val="004343A4"/>
    <w:rsid w:val="004347EE"/>
    <w:rsid w:val="00435DB5"/>
    <w:rsid w:val="00436E05"/>
    <w:rsid w:val="00437781"/>
    <w:rsid w:val="00437AC4"/>
    <w:rsid w:val="00440356"/>
    <w:rsid w:val="00440C05"/>
    <w:rsid w:val="0044105E"/>
    <w:rsid w:val="00441360"/>
    <w:rsid w:val="00441AAE"/>
    <w:rsid w:val="004421A1"/>
    <w:rsid w:val="00443CFF"/>
    <w:rsid w:val="00444F06"/>
    <w:rsid w:val="00445881"/>
    <w:rsid w:val="00445B42"/>
    <w:rsid w:val="00445D35"/>
    <w:rsid w:val="00445FF8"/>
    <w:rsid w:val="004462C2"/>
    <w:rsid w:val="004463BA"/>
    <w:rsid w:val="004469F9"/>
    <w:rsid w:val="00447F1D"/>
    <w:rsid w:val="00451810"/>
    <w:rsid w:val="00452472"/>
    <w:rsid w:val="00452742"/>
    <w:rsid w:val="00452D86"/>
    <w:rsid w:val="00453F06"/>
    <w:rsid w:val="00453F45"/>
    <w:rsid w:val="0045405C"/>
    <w:rsid w:val="00454B6F"/>
    <w:rsid w:val="00454C01"/>
    <w:rsid w:val="00455413"/>
    <w:rsid w:val="004567C2"/>
    <w:rsid w:val="004568D4"/>
    <w:rsid w:val="00456AEC"/>
    <w:rsid w:val="00456F2D"/>
    <w:rsid w:val="00457882"/>
    <w:rsid w:val="0045795B"/>
    <w:rsid w:val="00457A03"/>
    <w:rsid w:val="00457C89"/>
    <w:rsid w:val="00461242"/>
    <w:rsid w:val="004618E7"/>
    <w:rsid w:val="004637F4"/>
    <w:rsid w:val="00464735"/>
    <w:rsid w:val="00465F5D"/>
    <w:rsid w:val="00466BCC"/>
    <w:rsid w:val="00466F75"/>
    <w:rsid w:val="004678F7"/>
    <w:rsid w:val="004708E5"/>
    <w:rsid w:val="00470BED"/>
    <w:rsid w:val="00471011"/>
    <w:rsid w:val="00472695"/>
    <w:rsid w:val="00472C3A"/>
    <w:rsid w:val="00473B90"/>
    <w:rsid w:val="00473DE2"/>
    <w:rsid w:val="00473ED3"/>
    <w:rsid w:val="0047573C"/>
    <w:rsid w:val="00475C5E"/>
    <w:rsid w:val="0047758C"/>
    <w:rsid w:val="00477AB6"/>
    <w:rsid w:val="00477C5C"/>
    <w:rsid w:val="0048095C"/>
    <w:rsid w:val="00480FC2"/>
    <w:rsid w:val="00481157"/>
    <w:rsid w:val="004811D1"/>
    <w:rsid w:val="004812F5"/>
    <w:rsid w:val="00481A6B"/>
    <w:rsid w:val="00481DF5"/>
    <w:rsid w:val="0048293D"/>
    <w:rsid w:val="004837A2"/>
    <w:rsid w:val="00483981"/>
    <w:rsid w:val="00483DE5"/>
    <w:rsid w:val="00486429"/>
    <w:rsid w:val="0048736B"/>
    <w:rsid w:val="00490548"/>
    <w:rsid w:val="00490C60"/>
    <w:rsid w:val="0049135E"/>
    <w:rsid w:val="0049137A"/>
    <w:rsid w:val="0049143D"/>
    <w:rsid w:val="004922D6"/>
    <w:rsid w:val="004925C4"/>
    <w:rsid w:val="00492821"/>
    <w:rsid w:val="004932DE"/>
    <w:rsid w:val="0049332C"/>
    <w:rsid w:val="0049380B"/>
    <w:rsid w:val="00493C6E"/>
    <w:rsid w:val="00493D0A"/>
    <w:rsid w:val="00494CF3"/>
    <w:rsid w:val="00495254"/>
    <w:rsid w:val="0049526D"/>
    <w:rsid w:val="004979A7"/>
    <w:rsid w:val="00497C41"/>
    <w:rsid w:val="004A0B87"/>
    <w:rsid w:val="004A1F7B"/>
    <w:rsid w:val="004A2011"/>
    <w:rsid w:val="004A3D7C"/>
    <w:rsid w:val="004A435A"/>
    <w:rsid w:val="004A4B6F"/>
    <w:rsid w:val="004A4FD1"/>
    <w:rsid w:val="004A6755"/>
    <w:rsid w:val="004A7A83"/>
    <w:rsid w:val="004A7C74"/>
    <w:rsid w:val="004B01BC"/>
    <w:rsid w:val="004B0288"/>
    <w:rsid w:val="004B3864"/>
    <w:rsid w:val="004B4260"/>
    <w:rsid w:val="004B43C6"/>
    <w:rsid w:val="004B48E2"/>
    <w:rsid w:val="004B4AE5"/>
    <w:rsid w:val="004B4C70"/>
    <w:rsid w:val="004B5686"/>
    <w:rsid w:val="004B66C7"/>
    <w:rsid w:val="004B678E"/>
    <w:rsid w:val="004B68A5"/>
    <w:rsid w:val="004B7872"/>
    <w:rsid w:val="004B7F2C"/>
    <w:rsid w:val="004C01EF"/>
    <w:rsid w:val="004C03D7"/>
    <w:rsid w:val="004C1427"/>
    <w:rsid w:val="004C216A"/>
    <w:rsid w:val="004C2394"/>
    <w:rsid w:val="004C2AC6"/>
    <w:rsid w:val="004C2CB0"/>
    <w:rsid w:val="004C33F1"/>
    <w:rsid w:val="004C3417"/>
    <w:rsid w:val="004C366A"/>
    <w:rsid w:val="004C367B"/>
    <w:rsid w:val="004C3C6A"/>
    <w:rsid w:val="004C3D9B"/>
    <w:rsid w:val="004C4DD4"/>
    <w:rsid w:val="004C525D"/>
    <w:rsid w:val="004C5344"/>
    <w:rsid w:val="004C5572"/>
    <w:rsid w:val="004C5831"/>
    <w:rsid w:val="004C5B09"/>
    <w:rsid w:val="004C66F5"/>
    <w:rsid w:val="004D0920"/>
    <w:rsid w:val="004D196D"/>
    <w:rsid w:val="004D1E8E"/>
    <w:rsid w:val="004D27B6"/>
    <w:rsid w:val="004D33F5"/>
    <w:rsid w:val="004D33F6"/>
    <w:rsid w:val="004D3CB6"/>
    <w:rsid w:val="004D4151"/>
    <w:rsid w:val="004D4331"/>
    <w:rsid w:val="004D51F4"/>
    <w:rsid w:val="004D56EC"/>
    <w:rsid w:val="004D57AC"/>
    <w:rsid w:val="004D5ACA"/>
    <w:rsid w:val="004D5DC9"/>
    <w:rsid w:val="004D5FBB"/>
    <w:rsid w:val="004D60A5"/>
    <w:rsid w:val="004D6815"/>
    <w:rsid w:val="004D6A43"/>
    <w:rsid w:val="004D6FAD"/>
    <w:rsid w:val="004E0529"/>
    <w:rsid w:val="004E0A11"/>
    <w:rsid w:val="004E16B4"/>
    <w:rsid w:val="004E1C6C"/>
    <w:rsid w:val="004E1D4E"/>
    <w:rsid w:val="004E1F33"/>
    <w:rsid w:val="004E2234"/>
    <w:rsid w:val="004E2B3B"/>
    <w:rsid w:val="004E2BD9"/>
    <w:rsid w:val="004E2D50"/>
    <w:rsid w:val="004E3217"/>
    <w:rsid w:val="004E4C3B"/>
    <w:rsid w:val="004E4D86"/>
    <w:rsid w:val="004E5365"/>
    <w:rsid w:val="004E560D"/>
    <w:rsid w:val="004E5DE8"/>
    <w:rsid w:val="004E7A14"/>
    <w:rsid w:val="004E7F50"/>
    <w:rsid w:val="004F1772"/>
    <w:rsid w:val="004F2396"/>
    <w:rsid w:val="004F2A20"/>
    <w:rsid w:val="004F4182"/>
    <w:rsid w:val="004F42C2"/>
    <w:rsid w:val="004F5288"/>
    <w:rsid w:val="004F53C3"/>
    <w:rsid w:val="004F556F"/>
    <w:rsid w:val="004F606E"/>
    <w:rsid w:val="004F6398"/>
    <w:rsid w:val="004F6410"/>
    <w:rsid w:val="004F648C"/>
    <w:rsid w:val="004F6E63"/>
    <w:rsid w:val="005002F3"/>
    <w:rsid w:val="0050074E"/>
    <w:rsid w:val="00500B2C"/>
    <w:rsid w:val="00501968"/>
    <w:rsid w:val="00502D39"/>
    <w:rsid w:val="00502FB6"/>
    <w:rsid w:val="00503126"/>
    <w:rsid w:val="00504C7D"/>
    <w:rsid w:val="00505EC0"/>
    <w:rsid w:val="00510937"/>
    <w:rsid w:val="00510B01"/>
    <w:rsid w:val="00510CE3"/>
    <w:rsid w:val="00510E24"/>
    <w:rsid w:val="00510E9C"/>
    <w:rsid w:val="00511609"/>
    <w:rsid w:val="00512C14"/>
    <w:rsid w:val="005131D2"/>
    <w:rsid w:val="0051405B"/>
    <w:rsid w:val="00514AB1"/>
    <w:rsid w:val="00514C20"/>
    <w:rsid w:val="00514F51"/>
    <w:rsid w:val="00515848"/>
    <w:rsid w:val="005169C2"/>
    <w:rsid w:val="005169E4"/>
    <w:rsid w:val="00516A61"/>
    <w:rsid w:val="00516E8F"/>
    <w:rsid w:val="005203D5"/>
    <w:rsid w:val="00521AAA"/>
    <w:rsid w:val="00521BDB"/>
    <w:rsid w:val="0052224F"/>
    <w:rsid w:val="005222D4"/>
    <w:rsid w:val="00522E97"/>
    <w:rsid w:val="00523098"/>
    <w:rsid w:val="00523434"/>
    <w:rsid w:val="00523DDC"/>
    <w:rsid w:val="00525D2F"/>
    <w:rsid w:val="005266D1"/>
    <w:rsid w:val="00527546"/>
    <w:rsid w:val="00527698"/>
    <w:rsid w:val="00527D8A"/>
    <w:rsid w:val="005306A7"/>
    <w:rsid w:val="0053128F"/>
    <w:rsid w:val="005315A1"/>
    <w:rsid w:val="00531BD8"/>
    <w:rsid w:val="00531E9B"/>
    <w:rsid w:val="00532571"/>
    <w:rsid w:val="00533031"/>
    <w:rsid w:val="005330A3"/>
    <w:rsid w:val="00534C22"/>
    <w:rsid w:val="00535028"/>
    <w:rsid w:val="00535485"/>
    <w:rsid w:val="005379E2"/>
    <w:rsid w:val="005408B1"/>
    <w:rsid w:val="00540E10"/>
    <w:rsid w:val="00540F11"/>
    <w:rsid w:val="00541199"/>
    <w:rsid w:val="00541BD2"/>
    <w:rsid w:val="005424E3"/>
    <w:rsid w:val="00542D60"/>
    <w:rsid w:val="00543D53"/>
    <w:rsid w:val="00543F6B"/>
    <w:rsid w:val="005443EF"/>
    <w:rsid w:val="0054496A"/>
    <w:rsid w:val="005449C1"/>
    <w:rsid w:val="005456AF"/>
    <w:rsid w:val="00546BFA"/>
    <w:rsid w:val="00546C6D"/>
    <w:rsid w:val="00546F5D"/>
    <w:rsid w:val="005470A8"/>
    <w:rsid w:val="00547141"/>
    <w:rsid w:val="005479AE"/>
    <w:rsid w:val="00547EED"/>
    <w:rsid w:val="00550C0D"/>
    <w:rsid w:val="0055317A"/>
    <w:rsid w:val="00553A06"/>
    <w:rsid w:val="00553D81"/>
    <w:rsid w:val="005540BD"/>
    <w:rsid w:val="005541C2"/>
    <w:rsid w:val="00554ACE"/>
    <w:rsid w:val="00554D5C"/>
    <w:rsid w:val="005553C8"/>
    <w:rsid w:val="00555F45"/>
    <w:rsid w:val="005563D0"/>
    <w:rsid w:val="00556C02"/>
    <w:rsid w:val="00557447"/>
    <w:rsid w:val="00557B5B"/>
    <w:rsid w:val="00560C36"/>
    <w:rsid w:val="0056238E"/>
    <w:rsid w:val="005626D9"/>
    <w:rsid w:val="00562828"/>
    <w:rsid w:val="00563219"/>
    <w:rsid w:val="00563FE5"/>
    <w:rsid w:val="00564F86"/>
    <w:rsid w:val="00565293"/>
    <w:rsid w:val="0056537B"/>
    <w:rsid w:val="00566152"/>
    <w:rsid w:val="005661A9"/>
    <w:rsid w:val="00566221"/>
    <w:rsid w:val="005668B8"/>
    <w:rsid w:val="00566A74"/>
    <w:rsid w:val="00566E81"/>
    <w:rsid w:val="00567432"/>
    <w:rsid w:val="00567864"/>
    <w:rsid w:val="00567DEB"/>
    <w:rsid w:val="00570CFE"/>
    <w:rsid w:val="00572168"/>
    <w:rsid w:val="005724D7"/>
    <w:rsid w:val="00572B93"/>
    <w:rsid w:val="005737D8"/>
    <w:rsid w:val="005743BD"/>
    <w:rsid w:val="00575085"/>
    <w:rsid w:val="00576D4A"/>
    <w:rsid w:val="005777A0"/>
    <w:rsid w:val="005810AF"/>
    <w:rsid w:val="00581538"/>
    <w:rsid w:val="00581EA9"/>
    <w:rsid w:val="00581F37"/>
    <w:rsid w:val="00582E0B"/>
    <w:rsid w:val="00583023"/>
    <w:rsid w:val="005830B2"/>
    <w:rsid w:val="005834C3"/>
    <w:rsid w:val="0058381D"/>
    <w:rsid w:val="005845F3"/>
    <w:rsid w:val="0058636C"/>
    <w:rsid w:val="0058692B"/>
    <w:rsid w:val="005869D4"/>
    <w:rsid w:val="00590D0F"/>
    <w:rsid w:val="0059229E"/>
    <w:rsid w:val="0059357F"/>
    <w:rsid w:val="00593682"/>
    <w:rsid w:val="00593AA1"/>
    <w:rsid w:val="005941B2"/>
    <w:rsid w:val="00594825"/>
    <w:rsid w:val="005956D5"/>
    <w:rsid w:val="00595C68"/>
    <w:rsid w:val="00596F42"/>
    <w:rsid w:val="0059706A"/>
    <w:rsid w:val="0059745D"/>
    <w:rsid w:val="005979AA"/>
    <w:rsid w:val="00597FF8"/>
    <w:rsid w:val="005A09E8"/>
    <w:rsid w:val="005A0C9C"/>
    <w:rsid w:val="005A0E82"/>
    <w:rsid w:val="005A1160"/>
    <w:rsid w:val="005A2AAD"/>
    <w:rsid w:val="005A3262"/>
    <w:rsid w:val="005A36FD"/>
    <w:rsid w:val="005A3CA7"/>
    <w:rsid w:val="005A404A"/>
    <w:rsid w:val="005A44FB"/>
    <w:rsid w:val="005A4DD0"/>
    <w:rsid w:val="005A5133"/>
    <w:rsid w:val="005A5238"/>
    <w:rsid w:val="005A5337"/>
    <w:rsid w:val="005A65A4"/>
    <w:rsid w:val="005A7696"/>
    <w:rsid w:val="005A7709"/>
    <w:rsid w:val="005A77F3"/>
    <w:rsid w:val="005A7DDA"/>
    <w:rsid w:val="005B0331"/>
    <w:rsid w:val="005B0748"/>
    <w:rsid w:val="005B0A08"/>
    <w:rsid w:val="005B1642"/>
    <w:rsid w:val="005B2880"/>
    <w:rsid w:val="005B2EC5"/>
    <w:rsid w:val="005B3708"/>
    <w:rsid w:val="005B40F6"/>
    <w:rsid w:val="005B4CDA"/>
    <w:rsid w:val="005B5867"/>
    <w:rsid w:val="005B617F"/>
    <w:rsid w:val="005B6DA3"/>
    <w:rsid w:val="005B764D"/>
    <w:rsid w:val="005B79D7"/>
    <w:rsid w:val="005C05BF"/>
    <w:rsid w:val="005C05E8"/>
    <w:rsid w:val="005C0B75"/>
    <w:rsid w:val="005C0DCF"/>
    <w:rsid w:val="005C19BE"/>
    <w:rsid w:val="005C2FAF"/>
    <w:rsid w:val="005C336C"/>
    <w:rsid w:val="005C3D79"/>
    <w:rsid w:val="005C3F8D"/>
    <w:rsid w:val="005C414F"/>
    <w:rsid w:val="005C4AA3"/>
    <w:rsid w:val="005C6214"/>
    <w:rsid w:val="005C63A9"/>
    <w:rsid w:val="005C6747"/>
    <w:rsid w:val="005C6B81"/>
    <w:rsid w:val="005C6C95"/>
    <w:rsid w:val="005C6D16"/>
    <w:rsid w:val="005C722B"/>
    <w:rsid w:val="005C75C7"/>
    <w:rsid w:val="005C7F1A"/>
    <w:rsid w:val="005D0056"/>
    <w:rsid w:val="005D0BD3"/>
    <w:rsid w:val="005D1334"/>
    <w:rsid w:val="005D2042"/>
    <w:rsid w:val="005D386A"/>
    <w:rsid w:val="005D39D5"/>
    <w:rsid w:val="005D5399"/>
    <w:rsid w:val="005D5496"/>
    <w:rsid w:val="005D5650"/>
    <w:rsid w:val="005D56DC"/>
    <w:rsid w:val="005D5C8C"/>
    <w:rsid w:val="005D6307"/>
    <w:rsid w:val="005D6313"/>
    <w:rsid w:val="005D7E1B"/>
    <w:rsid w:val="005E029B"/>
    <w:rsid w:val="005E093D"/>
    <w:rsid w:val="005E1998"/>
    <w:rsid w:val="005E201A"/>
    <w:rsid w:val="005E274F"/>
    <w:rsid w:val="005E342A"/>
    <w:rsid w:val="005E369E"/>
    <w:rsid w:val="005E487D"/>
    <w:rsid w:val="005E5460"/>
    <w:rsid w:val="005E58D4"/>
    <w:rsid w:val="005E5DFD"/>
    <w:rsid w:val="005E609A"/>
    <w:rsid w:val="005E6E58"/>
    <w:rsid w:val="005E70C5"/>
    <w:rsid w:val="005E7C4C"/>
    <w:rsid w:val="005E7DA5"/>
    <w:rsid w:val="005E7DCD"/>
    <w:rsid w:val="005F0076"/>
    <w:rsid w:val="005F0408"/>
    <w:rsid w:val="005F04EA"/>
    <w:rsid w:val="005F0866"/>
    <w:rsid w:val="005F0CB5"/>
    <w:rsid w:val="005F18DB"/>
    <w:rsid w:val="005F1F68"/>
    <w:rsid w:val="005F3090"/>
    <w:rsid w:val="005F3292"/>
    <w:rsid w:val="005F383E"/>
    <w:rsid w:val="005F40C3"/>
    <w:rsid w:val="005F45C2"/>
    <w:rsid w:val="005F47BC"/>
    <w:rsid w:val="005F656A"/>
    <w:rsid w:val="005F68E8"/>
    <w:rsid w:val="005F7068"/>
    <w:rsid w:val="005F7957"/>
    <w:rsid w:val="00600F2F"/>
    <w:rsid w:val="0060150F"/>
    <w:rsid w:val="00601705"/>
    <w:rsid w:val="00601A1C"/>
    <w:rsid w:val="00602192"/>
    <w:rsid w:val="006021E4"/>
    <w:rsid w:val="0060236F"/>
    <w:rsid w:val="00602D5E"/>
    <w:rsid w:val="006033A4"/>
    <w:rsid w:val="006033D2"/>
    <w:rsid w:val="006039C4"/>
    <w:rsid w:val="00604032"/>
    <w:rsid w:val="00604695"/>
    <w:rsid w:val="0060642D"/>
    <w:rsid w:val="0060666E"/>
    <w:rsid w:val="00606DA9"/>
    <w:rsid w:val="006072FF"/>
    <w:rsid w:val="00607DF4"/>
    <w:rsid w:val="0061001A"/>
    <w:rsid w:val="0061084F"/>
    <w:rsid w:val="006119CD"/>
    <w:rsid w:val="00611F1F"/>
    <w:rsid w:val="0061218F"/>
    <w:rsid w:val="00612332"/>
    <w:rsid w:val="00613EE9"/>
    <w:rsid w:val="0061426D"/>
    <w:rsid w:val="006151C5"/>
    <w:rsid w:val="00615AC5"/>
    <w:rsid w:val="00616643"/>
    <w:rsid w:val="00616C8A"/>
    <w:rsid w:val="006174DF"/>
    <w:rsid w:val="00617535"/>
    <w:rsid w:val="006176C4"/>
    <w:rsid w:val="00617AA3"/>
    <w:rsid w:val="006206D5"/>
    <w:rsid w:val="00620A3D"/>
    <w:rsid w:val="00620D9A"/>
    <w:rsid w:val="00621080"/>
    <w:rsid w:val="006228E6"/>
    <w:rsid w:val="00622D7D"/>
    <w:rsid w:val="00622D80"/>
    <w:rsid w:val="0062352A"/>
    <w:rsid w:val="00623C54"/>
    <w:rsid w:val="006243F9"/>
    <w:rsid w:val="006245F1"/>
    <w:rsid w:val="006254E9"/>
    <w:rsid w:val="0062580F"/>
    <w:rsid w:val="00626A00"/>
    <w:rsid w:val="00626F0F"/>
    <w:rsid w:val="00627E00"/>
    <w:rsid w:val="00627FD0"/>
    <w:rsid w:val="00630622"/>
    <w:rsid w:val="006310EF"/>
    <w:rsid w:val="0063155D"/>
    <w:rsid w:val="00631624"/>
    <w:rsid w:val="006320B3"/>
    <w:rsid w:val="006327B4"/>
    <w:rsid w:val="00632D42"/>
    <w:rsid w:val="006330AB"/>
    <w:rsid w:val="00633E23"/>
    <w:rsid w:val="00634641"/>
    <w:rsid w:val="00634A1E"/>
    <w:rsid w:val="00634BAE"/>
    <w:rsid w:val="00634EC6"/>
    <w:rsid w:val="0063510E"/>
    <w:rsid w:val="00635582"/>
    <w:rsid w:val="0063672E"/>
    <w:rsid w:val="00636A27"/>
    <w:rsid w:val="00636DE2"/>
    <w:rsid w:val="00636EC1"/>
    <w:rsid w:val="006370D5"/>
    <w:rsid w:val="0063741D"/>
    <w:rsid w:val="00640210"/>
    <w:rsid w:val="00640FA3"/>
    <w:rsid w:val="00641D5F"/>
    <w:rsid w:val="00642B0A"/>
    <w:rsid w:val="00642E91"/>
    <w:rsid w:val="00643581"/>
    <w:rsid w:val="00643DC0"/>
    <w:rsid w:val="00644BD7"/>
    <w:rsid w:val="00644C04"/>
    <w:rsid w:val="006450A5"/>
    <w:rsid w:val="00645160"/>
    <w:rsid w:val="006459A9"/>
    <w:rsid w:val="00645B31"/>
    <w:rsid w:val="00645E75"/>
    <w:rsid w:val="0064666F"/>
    <w:rsid w:val="006467AC"/>
    <w:rsid w:val="00646DBD"/>
    <w:rsid w:val="00647C0B"/>
    <w:rsid w:val="00650DDD"/>
    <w:rsid w:val="00652603"/>
    <w:rsid w:val="0065376B"/>
    <w:rsid w:val="0065400C"/>
    <w:rsid w:val="006542ED"/>
    <w:rsid w:val="00654C30"/>
    <w:rsid w:val="00654FBE"/>
    <w:rsid w:val="00655506"/>
    <w:rsid w:val="006563C2"/>
    <w:rsid w:val="0065650A"/>
    <w:rsid w:val="0065658C"/>
    <w:rsid w:val="00656D0C"/>
    <w:rsid w:val="006571FA"/>
    <w:rsid w:val="006600C3"/>
    <w:rsid w:val="006607E8"/>
    <w:rsid w:val="006609A8"/>
    <w:rsid w:val="00660BD9"/>
    <w:rsid w:val="00660D12"/>
    <w:rsid w:val="00661480"/>
    <w:rsid w:val="006619B9"/>
    <w:rsid w:val="00661A43"/>
    <w:rsid w:val="006630A3"/>
    <w:rsid w:val="00664724"/>
    <w:rsid w:val="006650FB"/>
    <w:rsid w:val="00665711"/>
    <w:rsid w:val="00665C0D"/>
    <w:rsid w:val="00667D0F"/>
    <w:rsid w:val="00670C80"/>
    <w:rsid w:val="00671036"/>
    <w:rsid w:val="00671151"/>
    <w:rsid w:val="0067121A"/>
    <w:rsid w:val="0067139F"/>
    <w:rsid w:val="006723E1"/>
    <w:rsid w:val="00672B90"/>
    <w:rsid w:val="00673344"/>
    <w:rsid w:val="006758F9"/>
    <w:rsid w:val="00675978"/>
    <w:rsid w:val="006761CE"/>
    <w:rsid w:val="00676C64"/>
    <w:rsid w:val="00677027"/>
    <w:rsid w:val="0067752C"/>
    <w:rsid w:val="006801DD"/>
    <w:rsid w:val="006804BE"/>
    <w:rsid w:val="00680C55"/>
    <w:rsid w:val="00681D83"/>
    <w:rsid w:val="00681DFC"/>
    <w:rsid w:val="006822A9"/>
    <w:rsid w:val="00682407"/>
    <w:rsid w:val="00682F63"/>
    <w:rsid w:val="00682F73"/>
    <w:rsid w:val="006831C0"/>
    <w:rsid w:val="0068387D"/>
    <w:rsid w:val="00683B8F"/>
    <w:rsid w:val="0068436B"/>
    <w:rsid w:val="006844DB"/>
    <w:rsid w:val="00684FA7"/>
    <w:rsid w:val="00685A20"/>
    <w:rsid w:val="00685E09"/>
    <w:rsid w:val="006862FC"/>
    <w:rsid w:val="006863B5"/>
    <w:rsid w:val="0068643D"/>
    <w:rsid w:val="006864D0"/>
    <w:rsid w:val="0068654E"/>
    <w:rsid w:val="006873D1"/>
    <w:rsid w:val="006875BD"/>
    <w:rsid w:val="00690F48"/>
    <w:rsid w:val="0069102D"/>
    <w:rsid w:val="00691D9A"/>
    <w:rsid w:val="006925CC"/>
    <w:rsid w:val="00692810"/>
    <w:rsid w:val="006931BE"/>
    <w:rsid w:val="006944B4"/>
    <w:rsid w:val="00694BF1"/>
    <w:rsid w:val="0069527F"/>
    <w:rsid w:val="00695666"/>
    <w:rsid w:val="006958D5"/>
    <w:rsid w:val="00695997"/>
    <w:rsid w:val="00696656"/>
    <w:rsid w:val="00696C6A"/>
    <w:rsid w:val="00697006"/>
    <w:rsid w:val="00697459"/>
    <w:rsid w:val="00697FA0"/>
    <w:rsid w:val="006A0993"/>
    <w:rsid w:val="006A183E"/>
    <w:rsid w:val="006A2899"/>
    <w:rsid w:val="006A2A2D"/>
    <w:rsid w:val="006A2E27"/>
    <w:rsid w:val="006A33E7"/>
    <w:rsid w:val="006A3A5D"/>
    <w:rsid w:val="006A3DA9"/>
    <w:rsid w:val="006A3F9F"/>
    <w:rsid w:val="006A4605"/>
    <w:rsid w:val="006A47DA"/>
    <w:rsid w:val="006A5648"/>
    <w:rsid w:val="006A62B6"/>
    <w:rsid w:val="006A682D"/>
    <w:rsid w:val="006A717F"/>
    <w:rsid w:val="006A73B9"/>
    <w:rsid w:val="006A78EC"/>
    <w:rsid w:val="006A7F51"/>
    <w:rsid w:val="006B0043"/>
    <w:rsid w:val="006B0573"/>
    <w:rsid w:val="006B07E7"/>
    <w:rsid w:val="006B0C3F"/>
    <w:rsid w:val="006B20E9"/>
    <w:rsid w:val="006B2691"/>
    <w:rsid w:val="006B2BAF"/>
    <w:rsid w:val="006B4431"/>
    <w:rsid w:val="006B4580"/>
    <w:rsid w:val="006B58E4"/>
    <w:rsid w:val="006B5B2E"/>
    <w:rsid w:val="006B62CA"/>
    <w:rsid w:val="006B691D"/>
    <w:rsid w:val="006B699F"/>
    <w:rsid w:val="006B6EE0"/>
    <w:rsid w:val="006B71F7"/>
    <w:rsid w:val="006B755F"/>
    <w:rsid w:val="006B7E27"/>
    <w:rsid w:val="006C1E99"/>
    <w:rsid w:val="006C1FF2"/>
    <w:rsid w:val="006C233C"/>
    <w:rsid w:val="006C27BC"/>
    <w:rsid w:val="006C3EB6"/>
    <w:rsid w:val="006C4D1A"/>
    <w:rsid w:val="006C600C"/>
    <w:rsid w:val="006C658F"/>
    <w:rsid w:val="006C67D3"/>
    <w:rsid w:val="006C6D55"/>
    <w:rsid w:val="006C773E"/>
    <w:rsid w:val="006D030B"/>
    <w:rsid w:val="006D0509"/>
    <w:rsid w:val="006D26D1"/>
    <w:rsid w:val="006D276B"/>
    <w:rsid w:val="006D34EB"/>
    <w:rsid w:val="006D42B4"/>
    <w:rsid w:val="006D566F"/>
    <w:rsid w:val="006D5FD6"/>
    <w:rsid w:val="006D66BA"/>
    <w:rsid w:val="006D67D0"/>
    <w:rsid w:val="006D6C85"/>
    <w:rsid w:val="006D7688"/>
    <w:rsid w:val="006D7D5A"/>
    <w:rsid w:val="006E00BC"/>
    <w:rsid w:val="006E090B"/>
    <w:rsid w:val="006E0EED"/>
    <w:rsid w:val="006E25A5"/>
    <w:rsid w:val="006E2EE9"/>
    <w:rsid w:val="006E359E"/>
    <w:rsid w:val="006E3698"/>
    <w:rsid w:val="006E482B"/>
    <w:rsid w:val="006E50B2"/>
    <w:rsid w:val="006E56B3"/>
    <w:rsid w:val="006E5F36"/>
    <w:rsid w:val="006E663B"/>
    <w:rsid w:val="006E667B"/>
    <w:rsid w:val="006E6D14"/>
    <w:rsid w:val="006E6ECE"/>
    <w:rsid w:val="006E7E8F"/>
    <w:rsid w:val="006E7F72"/>
    <w:rsid w:val="006F0491"/>
    <w:rsid w:val="006F10A8"/>
    <w:rsid w:val="006F1672"/>
    <w:rsid w:val="006F17AA"/>
    <w:rsid w:val="006F1DBE"/>
    <w:rsid w:val="006F3AB7"/>
    <w:rsid w:val="006F44CC"/>
    <w:rsid w:val="006F5178"/>
    <w:rsid w:val="006F5453"/>
    <w:rsid w:val="006F5B60"/>
    <w:rsid w:val="006F6620"/>
    <w:rsid w:val="006F7322"/>
    <w:rsid w:val="00700B56"/>
    <w:rsid w:val="007010DE"/>
    <w:rsid w:val="007026D6"/>
    <w:rsid w:val="007036C3"/>
    <w:rsid w:val="00703EBB"/>
    <w:rsid w:val="007048DC"/>
    <w:rsid w:val="00704DB2"/>
    <w:rsid w:val="007054C8"/>
    <w:rsid w:val="00705C0C"/>
    <w:rsid w:val="00705F73"/>
    <w:rsid w:val="00706738"/>
    <w:rsid w:val="00707757"/>
    <w:rsid w:val="007100F6"/>
    <w:rsid w:val="00710F18"/>
    <w:rsid w:val="00711A90"/>
    <w:rsid w:val="00712C11"/>
    <w:rsid w:val="007134EE"/>
    <w:rsid w:val="00713604"/>
    <w:rsid w:val="007136F2"/>
    <w:rsid w:val="00714C33"/>
    <w:rsid w:val="00714ECA"/>
    <w:rsid w:val="007156A7"/>
    <w:rsid w:val="007158D0"/>
    <w:rsid w:val="0071640A"/>
    <w:rsid w:val="00717307"/>
    <w:rsid w:val="00720F89"/>
    <w:rsid w:val="0072102E"/>
    <w:rsid w:val="00723884"/>
    <w:rsid w:val="00723F98"/>
    <w:rsid w:val="00724205"/>
    <w:rsid w:val="0072429E"/>
    <w:rsid w:val="00724A1A"/>
    <w:rsid w:val="00724B8D"/>
    <w:rsid w:val="0072555F"/>
    <w:rsid w:val="007259D9"/>
    <w:rsid w:val="00726AAA"/>
    <w:rsid w:val="007311DB"/>
    <w:rsid w:val="00731631"/>
    <w:rsid w:val="0073197F"/>
    <w:rsid w:val="00731F5D"/>
    <w:rsid w:val="0073272B"/>
    <w:rsid w:val="00732FF5"/>
    <w:rsid w:val="0073377F"/>
    <w:rsid w:val="007338BC"/>
    <w:rsid w:val="00734491"/>
    <w:rsid w:val="00735A4C"/>
    <w:rsid w:val="00735EB8"/>
    <w:rsid w:val="00736137"/>
    <w:rsid w:val="007364FB"/>
    <w:rsid w:val="0073688F"/>
    <w:rsid w:val="00736CBA"/>
    <w:rsid w:val="0074055C"/>
    <w:rsid w:val="00741316"/>
    <w:rsid w:val="00742528"/>
    <w:rsid w:val="00744773"/>
    <w:rsid w:val="0074478E"/>
    <w:rsid w:val="00744D39"/>
    <w:rsid w:val="0074505B"/>
    <w:rsid w:val="00745618"/>
    <w:rsid w:val="00746C76"/>
    <w:rsid w:val="00746CC2"/>
    <w:rsid w:val="00746D64"/>
    <w:rsid w:val="007471A2"/>
    <w:rsid w:val="00747EB9"/>
    <w:rsid w:val="007500EB"/>
    <w:rsid w:val="00751481"/>
    <w:rsid w:val="00753492"/>
    <w:rsid w:val="007544D9"/>
    <w:rsid w:val="00756137"/>
    <w:rsid w:val="00756179"/>
    <w:rsid w:val="00757668"/>
    <w:rsid w:val="007576E5"/>
    <w:rsid w:val="00757B36"/>
    <w:rsid w:val="00760634"/>
    <w:rsid w:val="007607BF"/>
    <w:rsid w:val="007614CA"/>
    <w:rsid w:val="00761E24"/>
    <w:rsid w:val="00761E31"/>
    <w:rsid w:val="00761F20"/>
    <w:rsid w:val="00762562"/>
    <w:rsid w:val="00762A81"/>
    <w:rsid w:val="00762AE7"/>
    <w:rsid w:val="00763321"/>
    <w:rsid w:val="00763D1E"/>
    <w:rsid w:val="00764656"/>
    <w:rsid w:val="007647E6"/>
    <w:rsid w:val="00764BE9"/>
    <w:rsid w:val="00765750"/>
    <w:rsid w:val="00765ED8"/>
    <w:rsid w:val="00765EEE"/>
    <w:rsid w:val="00765F14"/>
    <w:rsid w:val="00766440"/>
    <w:rsid w:val="00766F2C"/>
    <w:rsid w:val="00770C54"/>
    <w:rsid w:val="00770CC3"/>
    <w:rsid w:val="00771244"/>
    <w:rsid w:val="00771D90"/>
    <w:rsid w:val="007727AD"/>
    <w:rsid w:val="0077304E"/>
    <w:rsid w:val="0077368A"/>
    <w:rsid w:val="00773A28"/>
    <w:rsid w:val="00773BA9"/>
    <w:rsid w:val="00773DC0"/>
    <w:rsid w:val="00774E25"/>
    <w:rsid w:val="00775967"/>
    <w:rsid w:val="00775BEC"/>
    <w:rsid w:val="00775EAA"/>
    <w:rsid w:val="007765A3"/>
    <w:rsid w:val="0077694D"/>
    <w:rsid w:val="00777523"/>
    <w:rsid w:val="007804C9"/>
    <w:rsid w:val="007833AD"/>
    <w:rsid w:val="00783B77"/>
    <w:rsid w:val="00784C5E"/>
    <w:rsid w:val="00784E2B"/>
    <w:rsid w:val="007859A5"/>
    <w:rsid w:val="00785A30"/>
    <w:rsid w:val="00785DBC"/>
    <w:rsid w:val="00786178"/>
    <w:rsid w:val="00786626"/>
    <w:rsid w:val="007872A8"/>
    <w:rsid w:val="00787931"/>
    <w:rsid w:val="00790ACF"/>
    <w:rsid w:val="0079208E"/>
    <w:rsid w:val="00792B6E"/>
    <w:rsid w:val="007930F4"/>
    <w:rsid w:val="007938B6"/>
    <w:rsid w:val="00793DA6"/>
    <w:rsid w:val="0079433B"/>
    <w:rsid w:val="0079445A"/>
    <w:rsid w:val="00794A5E"/>
    <w:rsid w:val="00795F24"/>
    <w:rsid w:val="007963D5"/>
    <w:rsid w:val="0079690D"/>
    <w:rsid w:val="00796B04"/>
    <w:rsid w:val="00797050"/>
    <w:rsid w:val="00797269"/>
    <w:rsid w:val="0079743A"/>
    <w:rsid w:val="0079749F"/>
    <w:rsid w:val="0079754F"/>
    <w:rsid w:val="007976F9"/>
    <w:rsid w:val="00797D4F"/>
    <w:rsid w:val="00797D5C"/>
    <w:rsid w:val="00797F03"/>
    <w:rsid w:val="00797F67"/>
    <w:rsid w:val="007A01C9"/>
    <w:rsid w:val="007A099E"/>
    <w:rsid w:val="007A17C7"/>
    <w:rsid w:val="007A2961"/>
    <w:rsid w:val="007A2EBF"/>
    <w:rsid w:val="007A2F72"/>
    <w:rsid w:val="007A38B2"/>
    <w:rsid w:val="007A3DC2"/>
    <w:rsid w:val="007A4197"/>
    <w:rsid w:val="007A42D4"/>
    <w:rsid w:val="007A4626"/>
    <w:rsid w:val="007A47AC"/>
    <w:rsid w:val="007A4B31"/>
    <w:rsid w:val="007A50BD"/>
    <w:rsid w:val="007A5981"/>
    <w:rsid w:val="007A5D54"/>
    <w:rsid w:val="007A5DA7"/>
    <w:rsid w:val="007A6AFD"/>
    <w:rsid w:val="007A6D2A"/>
    <w:rsid w:val="007A6DD7"/>
    <w:rsid w:val="007A74F9"/>
    <w:rsid w:val="007A7D31"/>
    <w:rsid w:val="007B0059"/>
    <w:rsid w:val="007B05D5"/>
    <w:rsid w:val="007B1B31"/>
    <w:rsid w:val="007B34E3"/>
    <w:rsid w:val="007B5BA7"/>
    <w:rsid w:val="007B60EF"/>
    <w:rsid w:val="007C090F"/>
    <w:rsid w:val="007C0F14"/>
    <w:rsid w:val="007C141E"/>
    <w:rsid w:val="007C1798"/>
    <w:rsid w:val="007C1A06"/>
    <w:rsid w:val="007C2B4D"/>
    <w:rsid w:val="007C3516"/>
    <w:rsid w:val="007C371A"/>
    <w:rsid w:val="007C37CC"/>
    <w:rsid w:val="007C3953"/>
    <w:rsid w:val="007C4AD7"/>
    <w:rsid w:val="007C5095"/>
    <w:rsid w:val="007C5532"/>
    <w:rsid w:val="007C553A"/>
    <w:rsid w:val="007C735D"/>
    <w:rsid w:val="007C7851"/>
    <w:rsid w:val="007C7AEB"/>
    <w:rsid w:val="007D0164"/>
    <w:rsid w:val="007D0B68"/>
    <w:rsid w:val="007D1993"/>
    <w:rsid w:val="007D2CD3"/>
    <w:rsid w:val="007D2DFD"/>
    <w:rsid w:val="007D3138"/>
    <w:rsid w:val="007D367A"/>
    <w:rsid w:val="007D3B09"/>
    <w:rsid w:val="007D3DD1"/>
    <w:rsid w:val="007D3F16"/>
    <w:rsid w:val="007D476E"/>
    <w:rsid w:val="007D544D"/>
    <w:rsid w:val="007D5E2F"/>
    <w:rsid w:val="007D7376"/>
    <w:rsid w:val="007E007A"/>
    <w:rsid w:val="007E0C27"/>
    <w:rsid w:val="007E12B2"/>
    <w:rsid w:val="007E1909"/>
    <w:rsid w:val="007E221D"/>
    <w:rsid w:val="007E28BF"/>
    <w:rsid w:val="007E2AE7"/>
    <w:rsid w:val="007E2B3A"/>
    <w:rsid w:val="007E307E"/>
    <w:rsid w:val="007E39C0"/>
    <w:rsid w:val="007E473F"/>
    <w:rsid w:val="007E5D86"/>
    <w:rsid w:val="007E65BE"/>
    <w:rsid w:val="007E6F87"/>
    <w:rsid w:val="007E7317"/>
    <w:rsid w:val="007E7602"/>
    <w:rsid w:val="007F1851"/>
    <w:rsid w:val="007F1B73"/>
    <w:rsid w:val="007F2109"/>
    <w:rsid w:val="007F212D"/>
    <w:rsid w:val="007F2A23"/>
    <w:rsid w:val="007F2D50"/>
    <w:rsid w:val="007F2E83"/>
    <w:rsid w:val="007F33FD"/>
    <w:rsid w:val="007F4104"/>
    <w:rsid w:val="007F533B"/>
    <w:rsid w:val="007F571F"/>
    <w:rsid w:val="007F5833"/>
    <w:rsid w:val="007F5E90"/>
    <w:rsid w:val="007F639B"/>
    <w:rsid w:val="007F684F"/>
    <w:rsid w:val="007F6AB0"/>
    <w:rsid w:val="007F6B7F"/>
    <w:rsid w:val="007F715D"/>
    <w:rsid w:val="007F73B2"/>
    <w:rsid w:val="007F7798"/>
    <w:rsid w:val="008000F7"/>
    <w:rsid w:val="00800804"/>
    <w:rsid w:val="00800977"/>
    <w:rsid w:val="00800A7E"/>
    <w:rsid w:val="00800FD7"/>
    <w:rsid w:val="008017A3"/>
    <w:rsid w:val="008020DB"/>
    <w:rsid w:val="00802A29"/>
    <w:rsid w:val="00802D10"/>
    <w:rsid w:val="0080311B"/>
    <w:rsid w:val="00803949"/>
    <w:rsid w:val="008045D2"/>
    <w:rsid w:val="00804D93"/>
    <w:rsid w:val="008050CF"/>
    <w:rsid w:val="008068E1"/>
    <w:rsid w:val="00806C72"/>
    <w:rsid w:val="008070C3"/>
    <w:rsid w:val="008071B2"/>
    <w:rsid w:val="00810747"/>
    <w:rsid w:val="008107AE"/>
    <w:rsid w:val="0081184A"/>
    <w:rsid w:val="00811A3D"/>
    <w:rsid w:val="00812B1F"/>
    <w:rsid w:val="008130B2"/>
    <w:rsid w:val="00813940"/>
    <w:rsid w:val="0081411A"/>
    <w:rsid w:val="008147E4"/>
    <w:rsid w:val="008152A5"/>
    <w:rsid w:val="00817C92"/>
    <w:rsid w:val="00817F2C"/>
    <w:rsid w:val="00817FD7"/>
    <w:rsid w:val="00820058"/>
    <w:rsid w:val="00820F6C"/>
    <w:rsid w:val="00821046"/>
    <w:rsid w:val="00821A1D"/>
    <w:rsid w:val="0082230B"/>
    <w:rsid w:val="0082264D"/>
    <w:rsid w:val="008227D4"/>
    <w:rsid w:val="008228B3"/>
    <w:rsid w:val="00822A31"/>
    <w:rsid w:val="00823C43"/>
    <w:rsid w:val="008260F3"/>
    <w:rsid w:val="00826CDD"/>
    <w:rsid w:val="008301A4"/>
    <w:rsid w:val="00832A0C"/>
    <w:rsid w:val="008336F3"/>
    <w:rsid w:val="00834A90"/>
    <w:rsid w:val="00834FDF"/>
    <w:rsid w:val="00835F17"/>
    <w:rsid w:val="0083741F"/>
    <w:rsid w:val="008375F8"/>
    <w:rsid w:val="00837D70"/>
    <w:rsid w:val="008403F6"/>
    <w:rsid w:val="00840586"/>
    <w:rsid w:val="00840B14"/>
    <w:rsid w:val="0084119A"/>
    <w:rsid w:val="00841D45"/>
    <w:rsid w:val="00842CDD"/>
    <w:rsid w:val="0084302D"/>
    <w:rsid w:val="0084356A"/>
    <w:rsid w:val="00843F7D"/>
    <w:rsid w:val="008444B4"/>
    <w:rsid w:val="00844720"/>
    <w:rsid w:val="0084494F"/>
    <w:rsid w:val="0084530A"/>
    <w:rsid w:val="00845850"/>
    <w:rsid w:val="00845E42"/>
    <w:rsid w:val="0084626C"/>
    <w:rsid w:val="00847763"/>
    <w:rsid w:val="00847F67"/>
    <w:rsid w:val="0085076E"/>
    <w:rsid w:val="00850780"/>
    <w:rsid w:val="00851124"/>
    <w:rsid w:val="0085187A"/>
    <w:rsid w:val="00852892"/>
    <w:rsid w:val="008541FF"/>
    <w:rsid w:val="0085450C"/>
    <w:rsid w:val="00855936"/>
    <w:rsid w:val="00855AFF"/>
    <w:rsid w:val="00856900"/>
    <w:rsid w:val="008569BF"/>
    <w:rsid w:val="00856AA0"/>
    <w:rsid w:val="00857950"/>
    <w:rsid w:val="00857D85"/>
    <w:rsid w:val="008607D5"/>
    <w:rsid w:val="00860CD6"/>
    <w:rsid w:val="0086152F"/>
    <w:rsid w:val="00862D6B"/>
    <w:rsid w:val="00863007"/>
    <w:rsid w:val="00863837"/>
    <w:rsid w:val="0086390F"/>
    <w:rsid w:val="0086428D"/>
    <w:rsid w:val="0086430E"/>
    <w:rsid w:val="00864491"/>
    <w:rsid w:val="00864925"/>
    <w:rsid w:val="00864B16"/>
    <w:rsid w:val="00865407"/>
    <w:rsid w:val="00865436"/>
    <w:rsid w:val="008662E6"/>
    <w:rsid w:val="0086647E"/>
    <w:rsid w:val="00866509"/>
    <w:rsid w:val="00866A2B"/>
    <w:rsid w:val="00866AC1"/>
    <w:rsid w:val="00867313"/>
    <w:rsid w:val="008673B8"/>
    <w:rsid w:val="008675AE"/>
    <w:rsid w:val="008676E2"/>
    <w:rsid w:val="00867884"/>
    <w:rsid w:val="008679CF"/>
    <w:rsid w:val="00867AEE"/>
    <w:rsid w:val="00867B86"/>
    <w:rsid w:val="00867C97"/>
    <w:rsid w:val="00867F5F"/>
    <w:rsid w:val="008717AA"/>
    <w:rsid w:val="008742C6"/>
    <w:rsid w:val="00875431"/>
    <w:rsid w:val="00875540"/>
    <w:rsid w:val="0087659D"/>
    <w:rsid w:val="008765B0"/>
    <w:rsid w:val="0087705A"/>
    <w:rsid w:val="008805CF"/>
    <w:rsid w:val="0088078F"/>
    <w:rsid w:val="0088156D"/>
    <w:rsid w:val="008816A3"/>
    <w:rsid w:val="00882031"/>
    <w:rsid w:val="008823F6"/>
    <w:rsid w:val="008840C1"/>
    <w:rsid w:val="008846A6"/>
    <w:rsid w:val="00884D53"/>
    <w:rsid w:val="00885167"/>
    <w:rsid w:val="00885F69"/>
    <w:rsid w:val="0088682C"/>
    <w:rsid w:val="00886F14"/>
    <w:rsid w:val="0088730F"/>
    <w:rsid w:val="00890593"/>
    <w:rsid w:val="00890AEF"/>
    <w:rsid w:val="0089132F"/>
    <w:rsid w:val="008919D3"/>
    <w:rsid w:val="0089257D"/>
    <w:rsid w:val="00892872"/>
    <w:rsid w:val="0089298C"/>
    <w:rsid w:val="00893B24"/>
    <w:rsid w:val="008943EE"/>
    <w:rsid w:val="00894F83"/>
    <w:rsid w:val="008955C1"/>
    <w:rsid w:val="0089625E"/>
    <w:rsid w:val="00896CE0"/>
    <w:rsid w:val="00896EF9"/>
    <w:rsid w:val="008970B8"/>
    <w:rsid w:val="00897B40"/>
    <w:rsid w:val="008A0C5F"/>
    <w:rsid w:val="008A1A8A"/>
    <w:rsid w:val="008A245B"/>
    <w:rsid w:val="008A2510"/>
    <w:rsid w:val="008A2A2F"/>
    <w:rsid w:val="008A2B5D"/>
    <w:rsid w:val="008A372F"/>
    <w:rsid w:val="008A3E80"/>
    <w:rsid w:val="008A4482"/>
    <w:rsid w:val="008A47DE"/>
    <w:rsid w:val="008A4D22"/>
    <w:rsid w:val="008A514E"/>
    <w:rsid w:val="008A57D9"/>
    <w:rsid w:val="008A5B9B"/>
    <w:rsid w:val="008A6B3F"/>
    <w:rsid w:val="008A6FE0"/>
    <w:rsid w:val="008B12E8"/>
    <w:rsid w:val="008B1E5D"/>
    <w:rsid w:val="008B2F6B"/>
    <w:rsid w:val="008B6695"/>
    <w:rsid w:val="008B66D6"/>
    <w:rsid w:val="008B66FE"/>
    <w:rsid w:val="008B791F"/>
    <w:rsid w:val="008C000A"/>
    <w:rsid w:val="008C0B8E"/>
    <w:rsid w:val="008C1969"/>
    <w:rsid w:val="008C1E1D"/>
    <w:rsid w:val="008C25C8"/>
    <w:rsid w:val="008C2C44"/>
    <w:rsid w:val="008C37E2"/>
    <w:rsid w:val="008C45CC"/>
    <w:rsid w:val="008C4B64"/>
    <w:rsid w:val="008C5B12"/>
    <w:rsid w:val="008C6308"/>
    <w:rsid w:val="008C63BE"/>
    <w:rsid w:val="008C64C7"/>
    <w:rsid w:val="008C69E1"/>
    <w:rsid w:val="008C761C"/>
    <w:rsid w:val="008C7DED"/>
    <w:rsid w:val="008D1E4D"/>
    <w:rsid w:val="008D2F34"/>
    <w:rsid w:val="008D38B5"/>
    <w:rsid w:val="008D3926"/>
    <w:rsid w:val="008D3F8A"/>
    <w:rsid w:val="008D423F"/>
    <w:rsid w:val="008D49C6"/>
    <w:rsid w:val="008D5300"/>
    <w:rsid w:val="008D59B4"/>
    <w:rsid w:val="008D5ED2"/>
    <w:rsid w:val="008D609C"/>
    <w:rsid w:val="008D6A60"/>
    <w:rsid w:val="008D7EC8"/>
    <w:rsid w:val="008E0CDA"/>
    <w:rsid w:val="008E0F8A"/>
    <w:rsid w:val="008E2546"/>
    <w:rsid w:val="008E44F0"/>
    <w:rsid w:val="008E550F"/>
    <w:rsid w:val="008E59E5"/>
    <w:rsid w:val="008E5C46"/>
    <w:rsid w:val="008E60CA"/>
    <w:rsid w:val="008E7A65"/>
    <w:rsid w:val="008E7AF1"/>
    <w:rsid w:val="008F0D79"/>
    <w:rsid w:val="008F0D96"/>
    <w:rsid w:val="008F0E04"/>
    <w:rsid w:val="008F0E2D"/>
    <w:rsid w:val="008F1A84"/>
    <w:rsid w:val="008F2A96"/>
    <w:rsid w:val="008F2FC1"/>
    <w:rsid w:val="008F3190"/>
    <w:rsid w:val="008F3432"/>
    <w:rsid w:val="008F3BE6"/>
    <w:rsid w:val="008F4D57"/>
    <w:rsid w:val="008F5035"/>
    <w:rsid w:val="008F507C"/>
    <w:rsid w:val="008F53DF"/>
    <w:rsid w:val="008F57AF"/>
    <w:rsid w:val="008F59D0"/>
    <w:rsid w:val="008F5DD3"/>
    <w:rsid w:val="008F70C5"/>
    <w:rsid w:val="008F71C3"/>
    <w:rsid w:val="008F7D51"/>
    <w:rsid w:val="0090068F"/>
    <w:rsid w:val="009006E6"/>
    <w:rsid w:val="00900BD4"/>
    <w:rsid w:val="009014B1"/>
    <w:rsid w:val="0090215D"/>
    <w:rsid w:val="009026BE"/>
    <w:rsid w:val="00903668"/>
    <w:rsid w:val="00903D18"/>
    <w:rsid w:val="009043E2"/>
    <w:rsid w:val="0090451D"/>
    <w:rsid w:val="009058AE"/>
    <w:rsid w:val="00905CBC"/>
    <w:rsid w:val="00907554"/>
    <w:rsid w:val="009106A5"/>
    <w:rsid w:val="00911176"/>
    <w:rsid w:val="0091186F"/>
    <w:rsid w:val="00911AD2"/>
    <w:rsid w:val="00912322"/>
    <w:rsid w:val="00912F34"/>
    <w:rsid w:val="00914872"/>
    <w:rsid w:val="00914CC6"/>
    <w:rsid w:val="0091539E"/>
    <w:rsid w:val="0091542A"/>
    <w:rsid w:val="0091558D"/>
    <w:rsid w:val="009162B2"/>
    <w:rsid w:val="00916A3B"/>
    <w:rsid w:val="00916BB1"/>
    <w:rsid w:val="00920434"/>
    <w:rsid w:val="00921CC9"/>
    <w:rsid w:val="00921F95"/>
    <w:rsid w:val="00923028"/>
    <w:rsid w:val="009236AB"/>
    <w:rsid w:val="00924CAE"/>
    <w:rsid w:val="009302BA"/>
    <w:rsid w:val="009315F8"/>
    <w:rsid w:val="009318E9"/>
    <w:rsid w:val="00931BF3"/>
    <w:rsid w:val="00932410"/>
    <w:rsid w:val="00933144"/>
    <w:rsid w:val="00933B08"/>
    <w:rsid w:val="00933D11"/>
    <w:rsid w:val="009347C3"/>
    <w:rsid w:val="00934F99"/>
    <w:rsid w:val="009352EE"/>
    <w:rsid w:val="0093547F"/>
    <w:rsid w:val="009361D8"/>
    <w:rsid w:val="00936EA6"/>
    <w:rsid w:val="00937B39"/>
    <w:rsid w:val="00940AEC"/>
    <w:rsid w:val="00940C6D"/>
    <w:rsid w:val="009416F9"/>
    <w:rsid w:val="00941890"/>
    <w:rsid w:val="009422DA"/>
    <w:rsid w:val="0094344B"/>
    <w:rsid w:val="00943657"/>
    <w:rsid w:val="00943D92"/>
    <w:rsid w:val="0094418C"/>
    <w:rsid w:val="00944CCA"/>
    <w:rsid w:val="00944D22"/>
    <w:rsid w:val="009450F4"/>
    <w:rsid w:val="009465E1"/>
    <w:rsid w:val="009469D4"/>
    <w:rsid w:val="00946C48"/>
    <w:rsid w:val="009475E5"/>
    <w:rsid w:val="00947D4D"/>
    <w:rsid w:val="0095072A"/>
    <w:rsid w:val="00950AC6"/>
    <w:rsid w:val="00950E4D"/>
    <w:rsid w:val="009520DF"/>
    <w:rsid w:val="009525EF"/>
    <w:rsid w:val="009545D6"/>
    <w:rsid w:val="009548BA"/>
    <w:rsid w:val="00954F62"/>
    <w:rsid w:val="00954F90"/>
    <w:rsid w:val="00955AAA"/>
    <w:rsid w:val="00956819"/>
    <w:rsid w:val="00956C67"/>
    <w:rsid w:val="00956C73"/>
    <w:rsid w:val="00960C9C"/>
    <w:rsid w:val="00960D55"/>
    <w:rsid w:val="00960E0E"/>
    <w:rsid w:val="00961AD5"/>
    <w:rsid w:val="00961BF6"/>
    <w:rsid w:val="00963183"/>
    <w:rsid w:val="00964305"/>
    <w:rsid w:val="0096444F"/>
    <w:rsid w:val="0096498D"/>
    <w:rsid w:val="00964D2F"/>
    <w:rsid w:val="00965855"/>
    <w:rsid w:val="00966A6E"/>
    <w:rsid w:val="0097009D"/>
    <w:rsid w:val="0097057E"/>
    <w:rsid w:val="00971BE4"/>
    <w:rsid w:val="00971F33"/>
    <w:rsid w:val="009730AD"/>
    <w:rsid w:val="00973149"/>
    <w:rsid w:val="00973957"/>
    <w:rsid w:val="00973B87"/>
    <w:rsid w:val="00974074"/>
    <w:rsid w:val="00974388"/>
    <w:rsid w:val="009748FB"/>
    <w:rsid w:val="009753CF"/>
    <w:rsid w:val="00976542"/>
    <w:rsid w:val="009776E3"/>
    <w:rsid w:val="009802F3"/>
    <w:rsid w:val="009807BE"/>
    <w:rsid w:val="0098092B"/>
    <w:rsid w:val="00981563"/>
    <w:rsid w:val="0098160F"/>
    <w:rsid w:val="00981851"/>
    <w:rsid w:val="00981B31"/>
    <w:rsid w:val="00981E08"/>
    <w:rsid w:val="009820E6"/>
    <w:rsid w:val="009825DC"/>
    <w:rsid w:val="00982AC6"/>
    <w:rsid w:val="00982AE4"/>
    <w:rsid w:val="00982EE3"/>
    <w:rsid w:val="00983118"/>
    <w:rsid w:val="009838E4"/>
    <w:rsid w:val="00984661"/>
    <w:rsid w:val="009849B6"/>
    <w:rsid w:val="00985274"/>
    <w:rsid w:val="0098614E"/>
    <w:rsid w:val="0098667D"/>
    <w:rsid w:val="00986710"/>
    <w:rsid w:val="00986C70"/>
    <w:rsid w:val="0098709C"/>
    <w:rsid w:val="00987AA9"/>
    <w:rsid w:val="0099031E"/>
    <w:rsid w:val="00990623"/>
    <w:rsid w:val="0099140D"/>
    <w:rsid w:val="00991C99"/>
    <w:rsid w:val="009927F0"/>
    <w:rsid w:val="00993063"/>
    <w:rsid w:val="00993173"/>
    <w:rsid w:val="0099331C"/>
    <w:rsid w:val="009934D0"/>
    <w:rsid w:val="00994794"/>
    <w:rsid w:val="00994D8F"/>
    <w:rsid w:val="00994FD2"/>
    <w:rsid w:val="0099697F"/>
    <w:rsid w:val="00996C76"/>
    <w:rsid w:val="00996EBD"/>
    <w:rsid w:val="009972FE"/>
    <w:rsid w:val="009976EB"/>
    <w:rsid w:val="009A01D3"/>
    <w:rsid w:val="009A0E8B"/>
    <w:rsid w:val="009A141D"/>
    <w:rsid w:val="009A2197"/>
    <w:rsid w:val="009A2F0E"/>
    <w:rsid w:val="009A330E"/>
    <w:rsid w:val="009A397B"/>
    <w:rsid w:val="009A44D0"/>
    <w:rsid w:val="009A46A8"/>
    <w:rsid w:val="009A4EA9"/>
    <w:rsid w:val="009A649F"/>
    <w:rsid w:val="009A7AA9"/>
    <w:rsid w:val="009A7D65"/>
    <w:rsid w:val="009A7E57"/>
    <w:rsid w:val="009B1697"/>
    <w:rsid w:val="009B2084"/>
    <w:rsid w:val="009B2A80"/>
    <w:rsid w:val="009B2E85"/>
    <w:rsid w:val="009B3615"/>
    <w:rsid w:val="009B42FC"/>
    <w:rsid w:val="009B5C37"/>
    <w:rsid w:val="009B79D3"/>
    <w:rsid w:val="009B7B2A"/>
    <w:rsid w:val="009C00C8"/>
    <w:rsid w:val="009C0362"/>
    <w:rsid w:val="009C1028"/>
    <w:rsid w:val="009C15F3"/>
    <w:rsid w:val="009C17E1"/>
    <w:rsid w:val="009C1A1A"/>
    <w:rsid w:val="009C3223"/>
    <w:rsid w:val="009C3497"/>
    <w:rsid w:val="009C4104"/>
    <w:rsid w:val="009C5118"/>
    <w:rsid w:val="009C64BA"/>
    <w:rsid w:val="009C6815"/>
    <w:rsid w:val="009C6DD4"/>
    <w:rsid w:val="009C78DB"/>
    <w:rsid w:val="009D05B9"/>
    <w:rsid w:val="009D0C48"/>
    <w:rsid w:val="009D13CC"/>
    <w:rsid w:val="009D166B"/>
    <w:rsid w:val="009D1B1C"/>
    <w:rsid w:val="009D21EB"/>
    <w:rsid w:val="009D244E"/>
    <w:rsid w:val="009D255C"/>
    <w:rsid w:val="009D2C90"/>
    <w:rsid w:val="009D2D5B"/>
    <w:rsid w:val="009D317C"/>
    <w:rsid w:val="009D36ED"/>
    <w:rsid w:val="009D3714"/>
    <w:rsid w:val="009D4136"/>
    <w:rsid w:val="009D44FC"/>
    <w:rsid w:val="009D48C0"/>
    <w:rsid w:val="009D496D"/>
    <w:rsid w:val="009D4DE4"/>
    <w:rsid w:val="009D637D"/>
    <w:rsid w:val="009D63C7"/>
    <w:rsid w:val="009D6955"/>
    <w:rsid w:val="009E02AF"/>
    <w:rsid w:val="009E055D"/>
    <w:rsid w:val="009E0B33"/>
    <w:rsid w:val="009E25C9"/>
    <w:rsid w:val="009E420E"/>
    <w:rsid w:val="009E4381"/>
    <w:rsid w:val="009E4665"/>
    <w:rsid w:val="009E4E5A"/>
    <w:rsid w:val="009E4F2C"/>
    <w:rsid w:val="009E53A4"/>
    <w:rsid w:val="009E55A2"/>
    <w:rsid w:val="009E697E"/>
    <w:rsid w:val="009E77B3"/>
    <w:rsid w:val="009E7DD7"/>
    <w:rsid w:val="009F037B"/>
    <w:rsid w:val="009F0651"/>
    <w:rsid w:val="009F1C64"/>
    <w:rsid w:val="009F284E"/>
    <w:rsid w:val="009F294D"/>
    <w:rsid w:val="009F299C"/>
    <w:rsid w:val="009F2D6B"/>
    <w:rsid w:val="009F3123"/>
    <w:rsid w:val="009F40C5"/>
    <w:rsid w:val="009F6025"/>
    <w:rsid w:val="009F60FF"/>
    <w:rsid w:val="009F6318"/>
    <w:rsid w:val="009F6978"/>
    <w:rsid w:val="009F6C1D"/>
    <w:rsid w:val="009F70A2"/>
    <w:rsid w:val="009F7603"/>
    <w:rsid w:val="00A01060"/>
    <w:rsid w:val="00A01820"/>
    <w:rsid w:val="00A01BE5"/>
    <w:rsid w:val="00A032FC"/>
    <w:rsid w:val="00A0344F"/>
    <w:rsid w:val="00A03813"/>
    <w:rsid w:val="00A0392C"/>
    <w:rsid w:val="00A0466F"/>
    <w:rsid w:val="00A05076"/>
    <w:rsid w:val="00A050F0"/>
    <w:rsid w:val="00A05267"/>
    <w:rsid w:val="00A059BE"/>
    <w:rsid w:val="00A05CEA"/>
    <w:rsid w:val="00A05FE8"/>
    <w:rsid w:val="00A06A0B"/>
    <w:rsid w:val="00A0746B"/>
    <w:rsid w:val="00A1007E"/>
    <w:rsid w:val="00A10EE2"/>
    <w:rsid w:val="00A124AD"/>
    <w:rsid w:val="00A12E71"/>
    <w:rsid w:val="00A1318C"/>
    <w:rsid w:val="00A13471"/>
    <w:rsid w:val="00A1381E"/>
    <w:rsid w:val="00A13BC8"/>
    <w:rsid w:val="00A14316"/>
    <w:rsid w:val="00A14EA3"/>
    <w:rsid w:val="00A1649C"/>
    <w:rsid w:val="00A16885"/>
    <w:rsid w:val="00A1707D"/>
    <w:rsid w:val="00A17118"/>
    <w:rsid w:val="00A17601"/>
    <w:rsid w:val="00A20486"/>
    <w:rsid w:val="00A20899"/>
    <w:rsid w:val="00A216B2"/>
    <w:rsid w:val="00A22AF0"/>
    <w:rsid w:val="00A238E9"/>
    <w:rsid w:val="00A23E6F"/>
    <w:rsid w:val="00A240EF"/>
    <w:rsid w:val="00A246F6"/>
    <w:rsid w:val="00A25BCA"/>
    <w:rsid w:val="00A25F9A"/>
    <w:rsid w:val="00A26106"/>
    <w:rsid w:val="00A263B6"/>
    <w:rsid w:val="00A26407"/>
    <w:rsid w:val="00A26636"/>
    <w:rsid w:val="00A27E9F"/>
    <w:rsid w:val="00A27F8F"/>
    <w:rsid w:val="00A3046D"/>
    <w:rsid w:val="00A313AE"/>
    <w:rsid w:val="00A31833"/>
    <w:rsid w:val="00A31D2D"/>
    <w:rsid w:val="00A32D2E"/>
    <w:rsid w:val="00A33F45"/>
    <w:rsid w:val="00A35109"/>
    <w:rsid w:val="00A35228"/>
    <w:rsid w:val="00A3567C"/>
    <w:rsid w:val="00A359D4"/>
    <w:rsid w:val="00A36618"/>
    <w:rsid w:val="00A40B08"/>
    <w:rsid w:val="00A423FD"/>
    <w:rsid w:val="00A424B2"/>
    <w:rsid w:val="00A4334E"/>
    <w:rsid w:val="00A439D8"/>
    <w:rsid w:val="00A43BF0"/>
    <w:rsid w:val="00A44511"/>
    <w:rsid w:val="00A44550"/>
    <w:rsid w:val="00A445EB"/>
    <w:rsid w:val="00A44DF8"/>
    <w:rsid w:val="00A44EB7"/>
    <w:rsid w:val="00A45623"/>
    <w:rsid w:val="00A45B32"/>
    <w:rsid w:val="00A45F09"/>
    <w:rsid w:val="00A461E1"/>
    <w:rsid w:val="00A502E9"/>
    <w:rsid w:val="00A504F8"/>
    <w:rsid w:val="00A50C6B"/>
    <w:rsid w:val="00A515DC"/>
    <w:rsid w:val="00A51A83"/>
    <w:rsid w:val="00A529F3"/>
    <w:rsid w:val="00A5462D"/>
    <w:rsid w:val="00A54809"/>
    <w:rsid w:val="00A549AE"/>
    <w:rsid w:val="00A55F53"/>
    <w:rsid w:val="00A561AE"/>
    <w:rsid w:val="00A603C3"/>
    <w:rsid w:val="00A60E1E"/>
    <w:rsid w:val="00A61462"/>
    <w:rsid w:val="00A61762"/>
    <w:rsid w:val="00A620EF"/>
    <w:rsid w:val="00A62285"/>
    <w:rsid w:val="00A62DF2"/>
    <w:rsid w:val="00A632E9"/>
    <w:rsid w:val="00A64259"/>
    <w:rsid w:val="00A64333"/>
    <w:rsid w:val="00A65488"/>
    <w:rsid w:val="00A65FC8"/>
    <w:rsid w:val="00A6607C"/>
    <w:rsid w:val="00A661B4"/>
    <w:rsid w:val="00A67032"/>
    <w:rsid w:val="00A673CD"/>
    <w:rsid w:val="00A676C1"/>
    <w:rsid w:val="00A67CE7"/>
    <w:rsid w:val="00A70D09"/>
    <w:rsid w:val="00A71112"/>
    <w:rsid w:val="00A723A0"/>
    <w:rsid w:val="00A73ED1"/>
    <w:rsid w:val="00A74348"/>
    <w:rsid w:val="00A74A1D"/>
    <w:rsid w:val="00A74B44"/>
    <w:rsid w:val="00A74C5B"/>
    <w:rsid w:val="00A74CAC"/>
    <w:rsid w:val="00A75A0A"/>
    <w:rsid w:val="00A76192"/>
    <w:rsid w:val="00A76710"/>
    <w:rsid w:val="00A77774"/>
    <w:rsid w:val="00A777B7"/>
    <w:rsid w:val="00A8031C"/>
    <w:rsid w:val="00A805B8"/>
    <w:rsid w:val="00A809A4"/>
    <w:rsid w:val="00A817EC"/>
    <w:rsid w:val="00A8206F"/>
    <w:rsid w:val="00A844BA"/>
    <w:rsid w:val="00A849C9"/>
    <w:rsid w:val="00A84D28"/>
    <w:rsid w:val="00A85A5F"/>
    <w:rsid w:val="00A872A6"/>
    <w:rsid w:val="00A87376"/>
    <w:rsid w:val="00A87E03"/>
    <w:rsid w:val="00A9187F"/>
    <w:rsid w:val="00A918EC"/>
    <w:rsid w:val="00A92D41"/>
    <w:rsid w:val="00A95B28"/>
    <w:rsid w:val="00A960A7"/>
    <w:rsid w:val="00A974BC"/>
    <w:rsid w:val="00A974F5"/>
    <w:rsid w:val="00A97829"/>
    <w:rsid w:val="00AA0012"/>
    <w:rsid w:val="00AA278D"/>
    <w:rsid w:val="00AA297B"/>
    <w:rsid w:val="00AA2990"/>
    <w:rsid w:val="00AA3B77"/>
    <w:rsid w:val="00AA45E5"/>
    <w:rsid w:val="00AA5195"/>
    <w:rsid w:val="00AA54E1"/>
    <w:rsid w:val="00AA57B9"/>
    <w:rsid w:val="00AA5D06"/>
    <w:rsid w:val="00AA5ED0"/>
    <w:rsid w:val="00AA5EEA"/>
    <w:rsid w:val="00AA6C67"/>
    <w:rsid w:val="00AA706F"/>
    <w:rsid w:val="00AB0107"/>
    <w:rsid w:val="00AB08A0"/>
    <w:rsid w:val="00AB0DDB"/>
    <w:rsid w:val="00AB0FEF"/>
    <w:rsid w:val="00AB1070"/>
    <w:rsid w:val="00AB1729"/>
    <w:rsid w:val="00AB1CE4"/>
    <w:rsid w:val="00AB1EE4"/>
    <w:rsid w:val="00AB31B8"/>
    <w:rsid w:val="00AB346E"/>
    <w:rsid w:val="00AB3F40"/>
    <w:rsid w:val="00AB42DC"/>
    <w:rsid w:val="00AB4B92"/>
    <w:rsid w:val="00AB5E83"/>
    <w:rsid w:val="00AB5F63"/>
    <w:rsid w:val="00AB64F6"/>
    <w:rsid w:val="00AB733E"/>
    <w:rsid w:val="00AB7A71"/>
    <w:rsid w:val="00AB7AE7"/>
    <w:rsid w:val="00AC052F"/>
    <w:rsid w:val="00AC0B28"/>
    <w:rsid w:val="00AC0B4C"/>
    <w:rsid w:val="00AC0CED"/>
    <w:rsid w:val="00AC1791"/>
    <w:rsid w:val="00AC190A"/>
    <w:rsid w:val="00AC1989"/>
    <w:rsid w:val="00AC1AF3"/>
    <w:rsid w:val="00AC1EEC"/>
    <w:rsid w:val="00AC31FD"/>
    <w:rsid w:val="00AC350F"/>
    <w:rsid w:val="00AC5747"/>
    <w:rsid w:val="00AC77C6"/>
    <w:rsid w:val="00AC7FDE"/>
    <w:rsid w:val="00AD01BE"/>
    <w:rsid w:val="00AD15C6"/>
    <w:rsid w:val="00AD1B78"/>
    <w:rsid w:val="00AD1EFD"/>
    <w:rsid w:val="00AD217B"/>
    <w:rsid w:val="00AD2B50"/>
    <w:rsid w:val="00AD3E91"/>
    <w:rsid w:val="00AD4730"/>
    <w:rsid w:val="00AD4AC1"/>
    <w:rsid w:val="00AD564A"/>
    <w:rsid w:val="00AD58F9"/>
    <w:rsid w:val="00AD5AC5"/>
    <w:rsid w:val="00AD6107"/>
    <w:rsid w:val="00AD647B"/>
    <w:rsid w:val="00AD6810"/>
    <w:rsid w:val="00AD7631"/>
    <w:rsid w:val="00AD78D9"/>
    <w:rsid w:val="00AE04FA"/>
    <w:rsid w:val="00AE1B9E"/>
    <w:rsid w:val="00AE1BC8"/>
    <w:rsid w:val="00AE2148"/>
    <w:rsid w:val="00AE244D"/>
    <w:rsid w:val="00AE2E43"/>
    <w:rsid w:val="00AE47CD"/>
    <w:rsid w:val="00AE5C61"/>
    <w:rsid w:val="00AE5D2C"/>
    <w:rsid w:val="00AE6212"/>
    <w:rsid w:val="00AE68FC"/>
    <w:rsid w:val="00AE75AD"/>
    <w:rsid w:val="00AE7631"/>
    <w:rsid w:val="00AE7E85"/>
    <w:rsid w:val="00AF02BD"/>
    <w:rsid w:val="00AF0944"/>
    <w:rsid w:val="00AF1572"/>
    <w:rsid w:val="00AF2133"/>
    <w:rsid w:val="00AF28BD"/>
    <w:rsid w:val="00AF2F96"/>
    <w:rsid w:val="00AF3191"/>
    <w:rsid w:val="00AF326D"/>
    <w:rsid w:val="00AF410F"/>
    <w:rsid w:val="00AF5F61"/>
    <w:rsid w:val="00AF64E0"/>
    <w:rsid w:val="00AF6557"/>
    <w:rsid w:val="00AF667C"/>
    <w:rsid w:val="00AF677E"/>
    <w:rsid w:val="00AF690B"/>
    <w:rsid w:val="00AF75A3"/>
    <w:rsid w:val="00B014D9"/>
    <w:rsid w:val="00B0154B"/>
    <w:rsid w:val="00B01CCD"/>
    <w:rsid w:val="00B0214F"/>
    <w:rsid w:val="00B021A7"/>
    <w:rsid w:val="00B02230"/>
    <w:rsid w:val="00B032FF"/>
    <w:rsid w:val="00B0395C"/>
    <w:rsid w:val="00B0431E"/>
    <w:rsid w:val="00B04C66"/>
    <w:rsid w:val="00B05F1B"/>
    <w:rsid w:val="00B062F2"/>
    <w:rsid w:val="00B06381"/>
    <w:rsid w:val="00B06F0B"/>
    <w:rsid w:val="00B0720C"/>
    <w:rsid w:val="00B07212"/>
    <w:rsid w:val="00B073DE"/>
    <w:rsid w:val="00B07A6D"/>
    <w:rsid w:val="00B07B69"/>
    <w:rsid w:val="00B107E7"/>
    <w:rsid w:val="00B10C46"/>
    <w:rsid w:val="00B10FDE"/>
    <w:rsid w:val="00B13801"/>
    <w:rsid w:val="00B1447A"/>
    <w:rsid w:val="00B146F2"/>
    <w:rsid w:val="00B148E4"/>
    <w:rsid w:val="00B14959"/>
    <w:rsid w:val="00B1587D"/>
    <w:rsid w:val="00B16018"/>
    <w:rsid w:val="00B16368"/>
    <w:rsid w:val="00B167AF"/>
    <w:rsid w:val="00B17299"/>
    <w:rsid w:val="00B209FA"/>
    <w:rsid w:val="00B20A74"/>
    <w:rsid w:val="00B20DC7"/>
    <w:rsid w:val="00B20ED6"/>
    <w:rsid w:val="00B21D8E"/>
    <w:rsid w:val="00B21EC2"/>
    <w:rsid w:val="00B2219D"/>
    <w:rsid w:val="00B22433"/>
    <w:rsid w:val="00B22918"/>
    <w:rsid w:val="00B22ACE"/>
    <w:rsid w:val="00B22E0F"/>
    <w:rsid w:val="00B22EED"/>
    <w:rsid w:val="00B23039"/>
    <w:rsid w:val="00B2349D"/>
    <w:rsid w:val="00B24929"/>
    <w:rsid w:val="00B25348"/>
    <w:rsid w:val="00B2542E"/>
    <w:rsid w:val="00B258FF"/>
    <w:rsid w:val="00B26111"/>
    <w:rsid w:val="00B27057"/>
    <w:rsid w:val="00B27277"/>
    <w:rsid w:val="00B2773A"/>
    <w:rsid w:val="00B27F53"/>
    <w:rsid w:val="00B30679"/>
    <w:rsid w:val="00B310EB"/>
    <w:rsid w:val="00B31235"/>
    <w:rsid w:val="00B3284F"/>
    <w:rsid w:val="00B32F6C"/>
    <w:rsid w:val="00B3368B"/>
    <w:rsid w:val="00B3627C"/>
    <w:rsid w:val="00B3666A"/>
    <w:rsid w:val="00B36AEC"/>
    <w:rsid w:val="00B372E4"/>
    <w:rsid w:val="00B40262"/>
    <w:rsid w:val="00B411D4"/>
    <w:rsid w:val="00B41C53"/>
    <w:rsid w:val="00B42EE9"/>
    <w:rsid w:val="00B4422C"/>
    <w:rsid w:val="00B4530E"/>
    <w:rsid w:val="00B47476"/>
    <w:rsid w:val="00B47C59"/>
    <w:rsid w:val="00B50452"/>
    <w:rsid w:val="00B50E02"/>
    <w:rsid w:val="00B5121E"/>
    <w:rsid w:val="00B512C1"/>
    <w:rsid w:val="00B51EFF"/>
    <w:rsid w:val="00B52CD3"/>
    <w:rsid w:val="00B53818"/>
    <w:rsid w:val="00B53FFA"/>
    <w:rsid w:val="00B54612"/>
    <w:rsid w:val="00B54A72"/>
    <w:rsid w:val="00B54E9E"/>
    <w:rsid w:val="00B55A35"/>
    <w:rsid w:val="00B57E5C"/>
    <w:rsid w:val="00B60AC5"/>
    <w:rsid w:val="00B61090"/>
    <w:rsid w:val="00B6266C"/>
    <w:rsid w:val="00B62933"/>
    <w:rsid w:val="00B62D96"/>
    <w:rsid w:val="00B63666"/>
    <w:rsid w:val="00B64AA0"/>
    <w:rsid w:val="00B66380"/>
    <w:rsid w:val="00B66388"/>
    <w:rsid w:val="00B672A7"/>
    <w:rsid w:val="00B67667"/>
    <w:rsid w:val="00B67BC7"/>
    <w:rsid w:val="00B7072F"/>
    <w:rsid w:val="00B71C86"/>
    <w:rsid w:val="00B72D7A"/>
    <w:rsid w:val="00B72F28"/>
    <w:rsid w:val="00B73DDB"/>
    <w:rsid w:val="00B74434"/>
    <w:rsid w:val="00B75B59"/>
    <w:rsid w:val="00B76D30"/>
    <w:rsid w:val="00B77143"/>
    <w:rsid w:val="00B77B3D"/>
    <w:rsid w:val="00B801BA"/>
    <w:rsid w:val="00B807C4"/>
    <w:rsid w:val="00B80973"/>
    <w:rsid w:val="00B810BA"/>
    <w:rsid w:val="00B81117"/>
    <w:rsid w:val="00B81A18"/>
    <w:rsid w:val="00B81A7E"/>
    <w:rsid w:val="00B828E9"/>
    <w:rsid w:val="00B82ABB"/>
    <w:rsid w:val="00B83A8D"/>
    <w:rsid w:val="00B83E70"/>
    <w:rsid w:val="00B842A1"/>
    <w:rsid w:val="00B8439D"/>
    <w:rsid w:val="00B84A83"/>
    <w:rsid w:val="00B862D4"/>
    <w:rsid w:val="00B86B83"/>
    <w:rsid w:val="00B907A7"/>
    <w:rsid w:val="00B90FF7"/>
    <w:rsid w:val="00B9121C"/>
    <w:rsid w:val="00B919EA"/>
    <w:rsid w:val="00B9208B"/>
    <w:rsid w:val="00B92680"/>
    <w:rsid w:val="00B93706"/>
    <w:rsid w:val="00B947CB"/>
    <w:rsid w:val="00B94A4F"/>
    <w:rsid w:val="00B95C65"/>
    <w:rsid w:val="00B95FD2"/>
    <w:rsid w:val="00B961EA"/>
    <w:rsid w:val="00B9644B"/>
    <w:rsid w:val="00B966C7"/>
    <w:rsid w:val="00B96A19"/>
    <w:rsid w:val="00B977D2"/>
    <w:rsid w:val="00B97D14"/>
    <w:rsid w:val="00BA0115"/>
    <w:rsid w:val="00BA08E4"/>
    <w:rsid w:val="00BA0CAA"/>
    <w:rsid w:val="00BA0CB7"/>
    <w:rsid w:val="00BA0CF0"/>
    <w:rsid w:val="00BA1000"/>
    <w:rsid w:val="00BA2824"/>
    <w:rsid w:val="00BA2A9D"/>
    <w:rsid w:val="00BA3419"/>
    <w:rsid w:val="00BA3740"/>
    <w:rsid w:val="00BA3876"/>
    <w:rsid w:val="00BA496B"/>
    <w:rsid w:val="00BA5552"/>
    <w:rsid w:val="00BA56C7"/>
    <w:rsid w:val="00BA5C59"/>
    <w:rsid w:val="00BA6814"/>
    <w:rsid w:val="00BB02F8"/>
    <w:rsid w:val="00BB0618"/>
    <w:rsid w:val="00BB2749"/>
    <w:rsid w:val="00BB27CA"/>
    <w:rsid w:val="00BB3147"/>
    <w:rsid w:val="00BB3972"/>
    <w:rsid w:val="00BB4CBF"/>
    <w:rsid w:val="00BB6E74"/>
    <w:rsid w:val="00BB6F58"/>
    <w:rsid w:val="00BB7DEF"/>
    <w:rsid w:val="00BC04E3"/>
    <w:rsid w:val="00BC0620"/>
    <w:rsid w:val="00BC1294"/>
    <w:rsid w:val="00BC1429"/>
    <w:rsid w:val="00BC1AB3"/>
    <w:rsid w:val="00BC1CB4"/>
    <w:rsid w:val="00BC3355"/>
    <w:rsid w:val="00BC3481"/>
    <w:rsid w:val="00BC3502"/>
    <w:rsid w:val="00BC350A"/>
    <w:rsid w:val="00BC3522"/>
    <w:rsid w:val="00BC41B0"/>
    <w:rsid w:val="00BC4230"/>
    <w:rsid w:val="00BC477D"/>
    <w:rsid w:val="00BC477F"/>
    <w:rsid w:val="00BC5C63"/>
    <w:rsid w:val="00BC5D78"/>
    <w:rsid w:val="00BC62B1"/>
    <w:rsid w:val="00BC652B"/>
    <w:rsid w:val="00BD1432"/>
    <w:rsid w:val="00BD1AD1"/>
    <w:rsid w:val="00BD204D"/>
    <w:rsid w:val="00BD2340"/>
    <w:rsid w:val="00BD276E"/>
    <w:rsid w:val="00BD32C5"/>
    <w:rsid w:val="00BD3CDB"/>
    <w:rsid w:val="00BD5163"/>
    <w:rsid w:val="00BD5A8C"/>
    <w:rsid w:val="00BD71BA"/>
    <w:rsid w:val="00BD78E9"/>
    <w:rsid w:val="00BD7952"/>
    <w:rsid w:val="00BD7D1F"/>
    <w:rsid w:val="00BE0EC6"/>
    <w:rsid w:val="00BE231E"/>
    <w:rsid w:val="00BE2369"/>
    <w:rsid w:val="00BE3445"/>
    <w:rsid w:val="00BE3AB6"/>
    <w:rsid w:val="00BE432E"/>
    <w:rsid w:val="00BE4B7C"/>
    <w:rsid w:val="00BE4FDA"/>
    <w:rsid w:val="00BE5114"/>
    <w:rsid w:val="00BE582A"/>
    <w:rsid w:val="00BE5959"/>
    <w:rsid w:val="00BE5FD8"/>
    <w:rsid w:val="00BE70D2"/>
    <w:rsid w:val="00BE7670"/>
    <w:rsid w:val="00BE769E"/>
    <w:rsid w:val="00BE78A8"/>
    <w:rsid w:val="00BF1670"/>
    <w:rsid w:val="00BF2130"/>
    <w:rsid w:val="00BF2AFF"/>
    <w:rsid w:val="00BF53CE"/>
    <w:rsid w:val="00BF617D"/>
    <w:rsid w:val="00BF671B"/>
    <w:rsid w:val="00BF6950"/>
    <w:rsid w:val="00BF7170"/>
    <w:rsid w:val="00BF7551"/>
    <w:rsid w:val="00BF7C32"/>
    <w:rsid w:val="00BF7DEE"/>
    <w:rsid w:val="00C00313"/>
    <w:rsid w:val="00C0070B"/>
    <w:rsid w:val="00C018B0"/>
    <w:rsid w:val="00C01ED4"/>
    <w:rsid w:val="00C0285E"/>
    <w:rsid w:val="00C03547"/>
    <w:rsid w:val="00C050F4"/>
    <w:rsid w:val="00C05BBF"/>
    <w:rsid w:val="00C06B90"/>
    <w:rsid w:val="00C06D8C"/>
    <w:rsid w:val="00C071E4"/>
    <w:rsid w:val="00C07C63"/>
    <w:rsid w:val="00C07D7D"/>
    <w:rsid w:val="00C07D80"/>
    <w:rsid w:val="00C10144"/>
    <w:rsid w:val="00C108A2"/>
    <w:rsid w:val="00C1101C"/>
    <w:rsid w:val="00C13F8E"/>
    <w:rsid w:val="00C13FC7"/>
    <w:rsid w:val="00C1442B"/>
    <w:rsid w:val="00C1467C"/>
    <w:rsid w:val="00C14AFF"/>
    <w:rsid w:val="00C1594D"/>
    <w:rsid w:val="00C15973"/>
    <w:rsid w:val="00C16990"/>
    <w:rsid w:val="00C17332"/>
    <w:rsid w:val="00C17855"/>
    <w:rsid w:val="00C178DC"/>
    <w:rsid w:val="00C17A8E"/>
    <w:rsid w:val="00C2035C"/>
    <w:rsid w:val="00C2089D"/>
    <w:rsid w:val="00C21317"/>
    <w:rsid w:val="00C21C2B"/>
    <w:rsid w:val="00C2293F"/>
    <w:rsid w:val="00C22FFB"/>
    <w:rsid w:val="00C2370D"/>
    <w:rsid w:val="00C2389E"/>
    <w:rsid w:val="00C23E9B"/>
    <w:rsid w:val="00C23EDB"/>
    <w:rsid w:val="00C246AC"/>
    <w:rsid w:val="00C24902"/>
    <w:rsid w:val="00C254B3"/>
    <w:rsid w:val="00C269F5"/>
    <w:rsid w:val="00C26DB4"/>
    <w:rsid w:val="00C27D5D"/>
    <w:rsid w:val="00C307F5"/>
    <w:rsid w:val="00C30DCB"/>
    <w:rsid w:val="00C33E05"/>
    <w:rsid w:val="00C34317"/>
    <w:rsid w:val="00C35DE7"/>
    <w:rsid w:val="00C3605D"/>
    <w:rsid w:val="00C36118"/>
    <w:rsid w:val="00C36E22"/>
    <w:rsid w:val="00C3757C"/>
    <w:rsid w:val="00C37FF0"/>
    <w:rsid w:val="00C40568"/>
    <w:rsid w:val="00C41096"/>
    <w:rsid w:val="00C420BA"/>
    <w:rsid w:val="00C42BED"/>
    <w:rsid w:val="00C43FCD"/>
    <w:rsid w:val="00C43FD7"/>
    <w:rsid w:val="00C45793"/>
    <w:rsid w:val="00C4597E"/>
    <w:rsid w:val="00C45BA3"/>
    <w:rsid w:val="00C45D14"/>
    <w:rsid w:val="00C46194"/>
    <w:rsid w:val="00C46558"/>
    <w:rsid w:val="00C46636"/>
    <w:rsid w:val="00C4663D"/>
    <w:rsid w:val="00C46989"/>
    <w:rsid w:val="00C46B4F"/>
    <w:rsid w:val="00C47240"/>
    <w:rsid w:val="00C501F1"/>
    <w:rsid w:val="00C506EE"/>
    <w:rsid w:val="00C5093F"/>
    <w:rsid w:val="00C51719"/>
    <w:rsid w:val="00C51936"/>
    <w:rsid w:val="00C5275A"/>
    <w:rsid w:val="00C53D44"/>
    <w:rsid w:val="00C53EED"/>
    <w:rsid w:val="00C54186"/>
    <w:rsid w:val="00C54448"/>
    <w:rsid w:val="00C54BF4"/>
    <w:rsid w:val="00C55C55"/>
    <w:rsid w:val="00C55DF7"/>
    <w:rsid w:val="00C56C17"/>
    <w:rsid w:val="00C57CE2"/>
    <w:rsid w:val="00C60829"/>
    <w:rsid w:val="00C60A38"/>
    <w:rsid w:val="00C618B7"/>
    <w:rsid w:val="00C61FAE"/>
    <w:rsid w:val="00C63252"/>
    <w:rsid w:val="00C63FC6"/>
    <w:rsid w:val="00C6448A"/>
    <w:rsid w:val="00C64B91"/>
    <w:rsid w:val="00C64C19"/>
    <w:rsid w:val="00C6605C"/>
    <w:rsid w:val="00C66581"/>
    <w:rsid w:val="00C6688B"/>
    <w:rsid w:val="00C67214"/>
    <w:rsid w:val="00C6763F"/>
    <w:rsid w:val="00C679EE"/>
    <w:rsid w:val="00C67D63"/>
    <w:rsid w:val="00C67FED"/>
    <w:rsid w:val="00C71ADC"/>
    <w:rsid w:val="00C71D62"/>
    <w:rsid w:val="00C71FC0"/>
    <w:rsid w:val="00C726C5"/>
    <w:rsid w:val="00C733B2"/>
    <w:rsid w:val="00C74919"/>
    <w:rsid w:val="00C75AA8"/>
    <w:rsid w:val="00C75B1F"/>
    <w:rsid w:val="00C761C9"/>
    <w:rsid w:val="00C762D7"/>
    <w:rsid w:val="00C76594"/>
    <w:rsid w:val="00C7676C"/>
    <w:rsid w:val="00C770A8"/>
    <w:rsid w:val="00C7729F"/>
    <w:rsid w:val="00C7782B"/>
    <w:rsid w:val="00C8017A"/>
    <w:rsid w:val="00C80391"/>
    <w:rsid w:val="00C806ED"/>
    <w:rsid w:val="00C80CE8"/>
    <w:rsid w:val="00C81B53"/>
    <w:rsid w:val="00C81C22"/>
    <w:rsid w:val="00C81FEB"/>
    <w:rsid w:val="00C821F8"/>
    <w:rsid w:val="00C8252F"/>
    <w:rsid w:val="00C82FEA"/>
    <w:rsid w:val="00C8320C"/>
    <w:rsid w:val="00C83755"/>
    <w:rsid w:val="00C84091"/>
    <w:rsid w:val="00C84452"/>
    <w:rsid w:val="00C85B3C"/>
    <w:rsid w:val="00C85EAA"/>
    <w:rsid w:val="00C86D3E"/>
    <w:rsid w:val="00C87495"/>
    <w:rsid w:val="00C87A27"/>
    <w:rsid w:val="00C87BD2"/>
    <w:rsid w:val="00C90B49"/>
    <w:rsid w:val="00C91502"/>
    <w:rsid w:val="00C91C36"/>
    <w:rsid w:val="00C91DA6"/>
    <w:rsid w:val="00C932F4"/>
    <w:rsid w:val="00C934F0"/>
    <w:rsid w:val="00C93B5B"/>
    <w:rsid w:val="00C942F3"/>
    <w:rsid w:val="00C94545"/>
    <w:rsid w:val="00C94BDD"/>
    <w:rsid w:val="00C95304"/>
    <w:rsid w:val="00C95617"/>
    <w:rsid w:val="00C9569F"/>
    <w:rsid w:val="00C966AB"/>
    <w:rsid w:val="00C96817"/>
    <w:rsid w:val="00C9795C"/>
    <w:rsid w:val="00C97E62"/>
    <w:rsid w:val="00CA03A0"/>
    <w:rsid w:val="00CA07F1"/>
    <w:rsid w:val="00CA0ABA"/>
    <w:rsid w:val="00CA0DC3"/>
    <w:rsid w:val="00CA1D91"/>
    <w:rsid w:val="00CA32B4"/>
    <w:rsid w:val="00CA35D6"/>
    <w:rsid w:val="00CA3C60"/>
    <w:rsid w:val="00CA3DFC"/>
    <w:rsid w:val="00CA3FAA"/>
    <w:rsid w:val="00CA4176"/>
    <w:rsid w:val="00CA4E8F"/>
    <w:rsid w:val="00CA54C9"/>
    <w:rsid w:val="00CA56C5"/>
    <w:rsid w:val="00CA6070"/>
    <w:rsid w:val="00CB1B17"/>
    <w:rsid w:val="00CB2E8A"/>
    <w:rsid w:val="00CB30B4"/>
    <w:rsid w:val="00CB3915"/>
    <w:rsid w:val="00CB3C56"/>
    <w:rsid w:val="00CB40AC"/>
    <w:rsid w:val="00CB4DD5"/>
    <w:rsid w:val="00CB4F64"/>
    <w:rsid w:val="00CB686B"/>
    <w:rsid w:val="00CB6F5C"/>
    <w:rsid w:val="00CB7F5E"/>
    <w:rsid w:val="00CC0ABF"/>
    <w:rsid w:val="00CC17ED"/>
    <w:rsid w:val="00CC1C30"/>
    <w:rsid w:val="00CC2F8E"/>
    <w:rsid w:val="00CC3131"/>
    <w:rsid w:val="00CC358A"/>
    <w:rsid w:val="00CC3EAA"/>
    <w:rsid w:val="00CC4DC4"/>
    <w:rsid w:val="00CC5870"/>
    <w:rsid w:val="00CC5DB1"/>
    <w:rsid w:val="00CC5E0D"/>
    <w:rsid w:val="00CC609F"/>
    <w:rsid w:val="00CC61E0"/>
    <w:rsid w:val="00CC782B"/>
    <w:rsid w:val="00CC7D8B"/>
    <w:rsid w:val="00CD0397"/>
    <w:rsid w:val="00CD0ED4"/>
    <w:rsid w:val="00CD13C3"/>
    <w:rsid w:val="00CD1A9A"/>
    <w:rsid w:val="00CD1D67"/>
    <w:rsid w:val="00CD239A"/>
    <w:rsid w:val="00CD2C53"/>
    <w:rsid w:val="00CD2D70"/>
    <w:rsid w:val="00CD3823"/>
    <w:rsid w:val="00CD4F31"/>
    <w:rsid w:val="00CD53AD"/>
    <w:rsid w:val="00CD5724"/>
    <w:rsid w:val="00CD5D66"/>
    <w:rsid w:val="00CD63AF"/>
    <w:rsid w:val="00CD7BC8"/>
    <w:rsid w:val="00CD7C70"/>
    <w:rsid w:val="00CE094A"/>
    <w:rsid w:val="00CE09EB"/>
    <w:rsid w:val="00CE0B7E"/>
    <w:rsid w:val="00CE10FA"/>
    <w:rsid w:val="00CE1F05"/>
    <w:rsid w:val="00CE2741"/>
    <w:rsid w:val="00CE2F32"/>
    <w:rsid w:val="00CE4027"/>
    <w:rsid w:val="00CE43FB"/>
    <w:rsid w:val="00CE443C"/>
    <w:rsid w:val="00CE45B1"/>
    <w:rsid w:val="00CE4F77"/>
    <w:rsid w:val="00CE5CA7"/>
    <w:rsid w:val="00CE6493"/>
    <w:rsid w:val="00CE64AB"/>
    <w:rsid w:val="00CE6785"/>
    <w:rsid w:val="00CE73BD"/>
    <w:rsid w:val="00CE7512"/>
    <w:rsid w:val="00CE7853"/>
    <w:rsid w:val="00CF144A"/>
    <w:rsid w:val="00CF1649"/>
    <w:rsid w:val="00CF1AC3"/>
    <w:rsid w:val="00CF1ACC"/>
    <w:rsid w:val="00CF21C5"/>
    <w:rsid w:val="00CF2219"/>
    <w:rsid w:val="00CF2587"/>
    <w:rsid w:val="00CF27E7"/>
    <w:rsid w:val="00CF28E3"/>
    <w:rsid w:val="00CF2C20"/>
    <w:rsid w:val="00CF3015"/>
    <w:rsid w:val="00CF305E"/>
    <w:rsid w:val="00CF3194"/>
    <w:rsid w:val="00CF4ABD"/>
    <w:rsid w:val="00CF5DA5"/>
    <w:rsid w:val="00CF6A7D"/>
    <w:rsid w:val="00CF6BE7"/>
    <w:rsid w:val="00CF6F45"/>
    <w:rsid w:val="00CF7121"/>
    <w:rsid w:val="00CF7422"/>
    <w:rsid w:val="00CF7CCF"/>
    <w:rsid w:val="00CF7F95"/>
    <w:rsid w:val="00D000B4"/>
    <w:rsid w:val="00D00647"/>
    <w:rsid w:val="00D00B6A"/>
    <w:rsid w:val="00D00BE4"/>
    <w:rsid w:val="00D00E13"/>
    <w:rsid w:val="00D01022"/>
    <w:rsid w:val="00D0379B"/>
    <w:rsid w:val="00D04417"/>
    <w:rsid w:val="00D05BE4"/>
    <w:rsid w:val="00D05E35"/>
    <w:rsid w:val="00D05EFD"/>
    <w:rsid w:val="00D0666E"/>
    <w:rsid w:val="00D067CA"/>
    <w:rsid w:val="00D06A1A"/>
    <w:rsid w:val="00D076D5"/>
    <w:rsid w:val="00D078BB"/>
    <w:rsid w:val="00D07C52"/>
    <w:rsid w:val="00D109A3"/>
    <w:rsid w:val="00D115C0"/>
    <w:rsid w:val="00D115E8"/>
    <w:rsid w:val="00D115EE"/>
    <w:rsid w:val="00D11A8C"/>
    <w:rsid w:val="00D11B1F"/>
    <w:rsid w:val="00D11B36"/>
    <w:rsid w:val="00D11F98"/>
    <w:rsid w:val="00D126EE"/>
    <w:rsid w:val="00D12DE3"/>
    <w:rsid w:val="00D13370"/>
    <w:rsid w:val="00D14A79"/>
    <w:rsid w:val="00D1519A"/>
    <w:rsid w:val="00D15475"/>
    <w:rsid w:val="00D15733"/>
    <w:rsid w:val="00D15BBB"/>
    <w:rsid w:val="00D1613B"/>
    <w:rsid w:val="00D1685B"/>
    <w:rsid w:val="00D1694E"/>
    <w:rsid w:val="00D17950"/>
    <w:rsid w:val="00D2047D"/>
    <w:rsid w:val="00D21062"/>
    <w:rsid w:val="00D212DC"/>
    <w:rsid w:val="00D21DB6"/>
    <w:rsid w:val="00D22B03"/>
    <w:rsid w:val="00D23425"/>
    <w:rsid w:val="00D234CC"/>
    <w:rsid w:val="00D236C7"/>
    <w:rsid w:val="00D23C20"/>
    <w:rsid w:val="00D242BB"/>
    <w:rsid w:val="00D2431B"/>
    <w:rsid w:val="00D243CB"/>
    <w:rsid w:val="00D25080"/>
    <w:rsid w:val="00D2519E"/>
    <w:rsid w:val="00D2532D"/>
    <w:rsid w:val="00D25740"/>
    <w:rsid w:val="00D25C16"/>
    <w:rsid w:val="00D3025F"/>
    <w:rsid w:val="00D30E8C"/>
    <w:rsid w:val="00D31039"/>
    <w:rsid w:val="00D31213"/>
    <w:rsid w:val="00D322F5"/>
    <w:rsid w:val="00D3262D"/>
    <w:rsid w:val="00D32672"/>
    <w:rsid w:val="00D326CF"/>
    <w:rsid w:val="00D33579"/>
    <w:rsid w:val="00D336F3"/>
    <w:rsid w:val="00D342B4"/>
    <w:rsid w:val="00D34D20"/>
    <w:rsid w:val="00D37252"/>
    <w:rsid w:val="00D40437"/>
    <w:rsid w:val="00D41AF4"/>
    <w:rsid w:val="00D41E1D"/>
    <w:rsid w:val="00D42800"/>
    <w:rsid w:val="00D43C86"/>
    <w:rsid w:val="00D43CAB"/>
    <w:rsid w:val="00D43F9C"/>
    <w:rsid w:val="00D45D30"/>
    <w:rsid w:val="00D45D4E"/>
    <w:rsid w:val="00D45F4C"/>
    <w:rsid w:val="00D45FF2"/>
    <w:rsid w:val="00D4626A"/>
    <w:rsid w:val="00D46748"/>
    <w:rsid w:val="00D50755"/>
    <w:rsid w:val="00D51136"/>
    <w:rsid w:val="00D51B24"/>
    <w:rsid w:val="00D521DE"/>
    <w:rsid w:val="00D524C3"/>
    <w:rsid w:val="00D52557"/>
    <w:rsid w:val="00D527A2"/>
    <w:rsid w:val="00D53336"/>
    <w:rsid w:val="00D533F2"/>
    <w:rsid w:val="00D53F3E"/>
    <w:rsid w:val="00D54098"/>
    <w:rsid w:val="00D541A0"/>
    <w:rsid w:val="00D541F7"/>
    <w:rsid w:val="00D54860"/>
    <w:rsid w:val="00D55775"/>
    <w:rsid w:val="00D558BF"/>
    <w:rsid w:val="00D55B31"/>
    <w:rsid w:val="00D56619"/>
    <w:rsid w:val="00D5754E"/>
    <w:rsid w:val="00D57907"/>
    <w:rsid w:val="00D57FB6"/>
    <w:rsid w:val="00D60DF1"/>
    <w:rsid w:val="00D6105F"/>
    <w:rsid w:val="00D62566"/>
    <w:rsid w:val="00D62B6B"/>
    <w:rsid w:val="00D62CB7"/>
    <w:rsid w:val="00D64046"/>
    <w:rsid w:val="00D645DA"/>
    <w:rsid w:val="00D651FD"/>
    <w:rsid w:val="00D655A4"/>
    <w:rsid w:val="00D65DDE"/>
    <w:rsid w:val="00D66699"/>
    <w:rsid w:val="00D667DE"/>
    <w:rsid w:val="00D66A27"/>
    <w:rsid w:val="00D67075"/>
    <w:rsid w:val="00D678B4"/>
    <w:rsid w:val="00D67B61"/>
    <w:rsid w:val="00D67FE9"/>
    <w:rsid w:val="00D705A1"/>
    <w:rsid w:val="00D7099C"/>
    <w:rsid w:val="00D70AD7"/>
    <w:rsid w:val="00D70B9D"/>
    <w:rsid w:val="00D72440"/>
    <w:rsid w:val="00D73BEC"/>
    <w:rsid w:val="00D741DA"/>
    <w:rsid w:val="00D74B30"/>
    <w:rsid w:val="00D74F8C"/>
    <w:rsid w:val="00D75055"/>
    <w:rsid w:val="00D757D2"/>
    <w:rsid w:val="00D75A7C"/>
    <w:rsid w:val="00D76CFA"/>
    <w:rsid w:val="00D806EF"/>
    <w:rsid w:val="00D8097E"/>
    <w:rsid w:val="00D80D93"/>
    <w:rsid w:val="00D8139B"/>
    <w:rsid w:val="00D81BEE"/>
    <w:rsid w:val="00D81D81"/>
    <w:rsid w:val="00D82DF1"/>
    <w:rsid w:val="00D8347F"/>
    <w:rsid w:val="00D84D62"/>
    <w:rsid w:val="00D85966"/>
    <w:rsid w:val="00D8625C"/>
    <w:rsid w:val="00D86A32"/>
    <w:rsid w:val="00D86AD0"/>
    <w:rsid w:val="00D86B72"/>
    <w:rsid w:val="00D86B81"/>
    <w:rsid w:val="00D87BE4"/>
    <w:rsid w:val="00D90016"/>
    <w:rsid w:val="00D9138C"/>
    <w:rsid w:val="00D91E68"/>
    <w:rsid w:val="00D92162"/>
    <w:rsid w:val="00D9218C"/>
    <w:rsid w:val="00D9349B"/>
    <w:rsid w:val="00D938CA"/>
    <w:rsid w:val="00D93E1F"/>
    <w:rsid w:val="00D95805"/>
    <w:rsid w:val="00D9657B"/>
    <w:rsid w:val="00D96E0F"/>
    <w:rsid w:val="00D975A2"/>
    <w:rsid w:val="00DA042E"/>
    <w:rsid w:val="00DA0488"/>
    <w:rsid w:val="00DA05C7"/>
    <w:rsid w:val="00DA1432"/>
    <w:rsid w:val="00DA1988"/>
    <w:rsid w:val="00DA1A9F"/>
    <w:rsid w:val="00DA24D8"/>
    <w:rsid w:val="00DA2500"/>
    <w:rsid w:val="00DA2544"/>
    <w:rsid w:val="00DA300A"/>
    <w:rsid w:val="00DA3317"/>
    <w:rsid w:val="00DA332F"/>
    <w:rsid w:val="00DA3A0F"/>
    <w:rsid w:val="00DA3CD5"/>
    <w:rsid w:val="00DA3F8B"/>
    <w:rsid w:val="00DA4C25"/>
    <w:rsid w:val="00DA4C30"/>
    <w:rsid w:val="00DA4F5E"/>
    <w:rsid w:val="00DA5187"/>
    <w:rsid w:val="00DA5231"/>
    <w:rsid w:val="00DA524F"/>
    <w:rsid w:val="00DA529E"/>
    <w:rsid w:val="00DA532F"/>
    <w:rsid w:val="00DA549D"/>
    <w:rsid w:val="00DA59BE"/>
    <w:rsid w:val="00DA5B41"/>
    <w:rsid w:val="00DA5FAC"/>
    <w:rsid w:val="00DA615F"/>
    <w:rsid w:val="00DA64FB"/>
    <w:rsid w:val="00DA705E"/>
    <w:rsid w:val="00DB06A3"/>
    <w:rsid w:val="00DB1244"/>
    <w:rsid w:val="00DB1408"/>
    <w:rsid w:val="00DB26F7"/>
    <w:rsid w:val="00DB2AD8"/>
    <w:rsid w:val="00DB2DC6"/>
    <w:rsid w:val="00DB33F2"/>
    <w:rsid w:val="00DB345D"/>
    <w:rsid w:val="00DB553E"/>
    <w:rsid w:val="00DB7127"/>
    <w:rsid w:val="00DB7C37"/>
    <w:rsid w:val="00DC0C71"/>
    <w:rsid w:val="00DC0EEA"/>
    <w:rsid w:val="00DC139C"/>
    <w:rsid w:val="00DC18EE"/>
    <w:rsid w:val="00DC1E89"/>
    <w:rsid w:val="00DC24CA"/>
    <w:rsid w:val="00DC2B42"/>
    <w:rsid w:val="00DC2CC8"/>
    <w:rsid w:val="00DC2D6D"/>
    <w:rsid w:val="00DC37B0"/>
    <w:rsid w:val="00DC3876"/>
    <w:rsid w:val="00DC3B4B"/>
    <w:rsid w:val="00DC3FDB"/>
    <w:rsid w:val="00DC4853"/>
    <w:rsid w:val="00DC49CC"/>
    <w:rsid w:val="00DC50A5"/>
    <w:rsid w:val="00DC51D3"/>
    <w:rsid w:val="00DC5458"/>
    <w:rsid w:val="00DC54E3"/>
    <w:rsid w:val="00DC6556"/>
    <w:rsid w:val="00DC69A0"/>
    <w:rsid w:val="00DC776A"/>
    <w:rsid w:val="00DC783D"/>
    <w:rsid w:val="00DD01DC"/>
    <w:rsid w:val="00DD0234"/>
    <w:rsid w:val="00DD0294"/>
    <w:rsid w:val="00DD1C53"/>
    <w:rsid w:val="00DD27D4"/>
    <w:rsid w:val="00DD35E5"/>
    <w:rsid w:val="00DD3B73"/>
    <w:rsid w:val="00DD3F75"/>
    <w:rsid w:val="00DD422D"/>
    <w:rsid w:val="00DD4ABC"/>
    <w:rsid w:val="00DD6390"/>
    <w:rsid w:val="00DD6A70"/>
    <w:rsid w:val="00DD734A"/>
    <w:rsid w:val="00DE065C"/>
    <w:rsid w:val="00DE130D"/>
    <w:rsid w:val="00DE33F9"/>
    <w:rsid w:val="00DE419F"/>
    <w:rsid w:val="00DE41F5"/>
    <w:rsid w:val="00DE478A"/>
    <w:rsid w:val="00DE49CA"/>
    <w:rsid w:val="00DE5DDF"/>
    <w:rsid w:val="00DE6A2B"/>
    <w:rsid w:val="00DE6B34"/>
    <w:rsid w:val="00DE7D2F"/>
    <w:rsid w:val="00DF05E4"/>
    <w:rsid w:val="00DF08F4"/>
    <w:rsid w:val="00DF1784"/>
    <w:rsid w:val="00DF2205"/>
    <w:rsid w:val="00DF225E"/>
    <w:rsid w:val="00DF25CF"/>
    <w:rsid w:val="00DF26E7"/>
    <w:rsid w:val="00DF307A"/>
    <w:rsid w:val="00DF5165"/>
    <w:rsid w:val="00DF6517"/>
    <w:rsid w:val="00DF6592"/>
    <w:rsid w:val="00DF6BF2"/>
    <w:rsid w:val="00DF76E1"/>
    <w:rsid w:val="00E0008C"/>
    <w:rsid w:val="00E00534"/>
    <w:rsid w:val="00E00707"/>
    <w:rsid w:val="00E01918"/>
    <w:rsid w:val="00E01A05"/>
    <w:rsid w:val="00E01E04"/>
    <w:rsid w:val="00E022B5"/>
    <w:rsid w:val="00E02AAB"/>
    <w:rsid w:val="00E03A48"/>
    <w:rsid w:val="00E03AA8"/>
    <w:rsid w:val="00E03BA2"/>
    <w:rsid w:val="00E03FBC"/>
    <w:rsid w:val="00E045B5"/>
    <w:rsid w:val="00E04D48"/>
    <w:rsid w:val="00E059B7"/>
    <w:rsid w:val="00E07774"/>
    <w:rsid w:val="00E077E2"/>
    <w:rsid w:val="00E11040"/>
    <w:rsid w:val="00E11CA9"/>
    <w:rsid w:val="00E121F0"/>
    <w:rsid w:val="00E12AAF"/>
    <w:rsid w:val="00E1371C"/>
    <w:rsid w:val="00E13F34"/>
    <w:rsid w:val="00E14692"/>
    <w:rsid w:val="00E1590B"/>
    <w:rsid w:val="00E15C5D"/>
    <w:rsid w:val="00E16213"/>
    <w:rsid w:val="00E166BB"/>
    <w:rsid w:val="00E17365"/>
    <w:rsid w:val="00E17ACE"/>
    <w:rsid w:val="00E200B4"/>
    <w:rsid w:val="00E20282"/>
    <w:rsid w:val="00E20A0C"/>
    <w:rsid w:val="00E20F72"/>
    <w:rsid w:val="00E2122F"/>
    <w:rsid w:val="00E21D5B"/>
    <w:rsid w:val="00E22693"/>
    <w:rsid w:val="00E226D7"/>
    <w:rsid w:val="00E23138"/>
    <w:rsid w:val="00E23EA6"/>
    <w:rsid w:val="00E23EE5"/>
    <w:rsid w:val="00E24985"/>
    <w:rsid w:val="00E25415"/>
    <w:rsid w:val="00E26299"/>
    <w:rsid w:val="00E2754B"/>
    <w:rsid w:val="00E27840"/>
    <w:rsid w:val="00E304ED"/>
    <w:rsid w:val="00E3079A"/>
    <w:rsid w:val="00E30993"/>
    <w:rsid w:val="00E30CA7"/>
    <w:rsid w:val="00E30FA7"/>
    <w:rsid w:val="00E313BD"/>
    <w:rsid w:val="00E31600"/>
    <w:rsid w:val="00E3163B"/>
    <w:rsid w:val="00E318D8"/>
    <w:rsid w:val="00E33670"/>
    <w:rsid w:val="00E33772"/>
    <w:rsid w:val="00E35067"/>
    <w:rsid w:val="00E3515F"/>
    <w:rsid w:val="00E352CE"/>
    <w:rsid w:val="00E3562D"/>
    <w:rsid w:val="00E35656"/>
    <w:rsid w:val="00E36019"/>
    <w:rsid w:val="00E3672C"/>
    <w:rsid w:val="00E36B74"/>
    <w:rsid w:val="00E37924"/>
    <w:rsid w:val="00E400E7"/>
    <w:rsid w:val="00E40788"/>
    <w:rsid w:val="00E41132"/>
    <w:rsid w:val="00E41E89"/>
    <w:rsid w:val="00E42A9F"/>
    <w:rsid w:val="00E4320A"/>
    <w:rsid w:val="00E4333B"/>
    <w:rsid w:val="00E43C4A"/>
    <w:rsid w:val="00E448CF"/>
    <w:rsid w:val="00E46350"/>
    <w:rsid w:val="00E47B73"/>
    <w:rsid w:val="00E50A77"/>
    <w:rsid w:val="00E50B9E"/>
    <w:rsid w:val="00E5148E"/>
    <w:rsid w:val="00E547DC"/>
    <w:rsid w:val="00E54BDD"/>
    <w:rsid w:val="00E54FE5"/>
    <w:rsid w:val="00E55A27"/>
    <w:rsid w:val="00E55E41"/>
    <w:rsid w:val="00E568EF"/>
    <w:rsid w:val="00E56CE5"/>
    <w:rsid w:val="00E57168"/>
    <w:rsid w:val="00E57197"/>
    <w:rsid w:val="00E604D2"/>
    <w:rsid w:val="00E60583"/>
    <w:rsid w:val="00E60EB8"/>
    <w:rsid w:val="00E612BC"/>
    <w:rsid w:val="00E62080"/>
    <w:rsid w:val="00E629EC"/>
    <w:rsid w:val="00E62AD6"/>
    <w:rsid w:val="00E62BE6"/>
    <w:rsid w:val="00E63A7A"/>
    <w:rsid w:val="00E63FE8"/>
    <w:rsid w:val="00E6405E"/>
    <w:rsid w:val="00E643C2"/>
    <w:rsid w:val="00E64BF9"/>
    <w:rsid w:val="00E65087"/>
    <w:rsid w:val="00E6633D"/>
    <w:rsid w:val="00E66D76"/>
    <w:rsid w:val="00E67949"/>
    <w:rsid w:val="00E67A7D"/>
    <w:rsid w:val="00E67EEA"/>
    <w:rsid w:val="00E712DE"/>
    <w:rsid w:val="00E72404"/>
    <w:rsid w:val="00E7251F"/>
    <w:rsid w:val="00E72EAE"/>
    <w:rsid w:val="00E730DE"/>
    <w:rsid w:val="00E7335A"/>
    <w:rsid w:val="00E740F7"/>
    <w:rsid w:val="00E74264"/>
    <w:rsid w:val="00E745DD"/>
    <w:rsid w:val="00E74985"/>
    <w:rsid w:val="00E74F62"/>
    <w:rsid w:val="00E75BB8"/>
    <w:rsid w:val="00E7648C"/>
    <w:rsid w:val="00E76A7C"/>
    <w:rsid w:val="00E7788B"/>
    <w:rsid w:val="00E77EA2"/>
    <w:rsid w:val="00E82A7C"/>
    <w:rsid w:val="00E82CCA"/>
    <w:rsid w:val="00E83440"/>
    <w:rsid w:val="00E83598"/>
    <w:rsid w:val="00E83859"/>
    <w:rsid w:val="00E84A17"/>
    <w:rsid w:val="00E84C9A"/>
    <w:rsid w:val="00E851D4"/>
    <w:rsid w:val="00E858E0"/>
    <w:rsid w:val="00E868F1"/>
    <w:rsid w:val="00E86C06"/>
    <w:rsid w:val="00E86E3E"/>
    <w:rsid w:val="00E87677"/>
    <w:rsid w:val="00E87AE3"/>
    <w:rsid w:val="00E9056A"/>
    <w:rsid w:val="00E908CD"/>
    <w:rsid w:val="00E90AD5"/>
    <w:rsid w:val="00E90B1A"/>
    <w:rsid w:val="00E90D05"/>
    <w:rsid w:val="00E92A55"/>
    <w:rsid w:val="00E94305"/>
    <w:rsid w:val="00E947DA"/>
    <w:rsid w:val="00E94A72"/>
    <w:rsid w:val="00E96025"/>
    <w:rsid w:val="00E963C3"/>
    <w:rsid w:val="00E967F9"/>
    <w:rsid w:val="00E974B7"/>
    <w:rsid w:val="00E975C3"/>
    <w:rsid w:val="00E97DE0"/>
    <w:rsid w:val="00EA04A9"/>
    <w:rsid w:val="00EA153E"/>
    <w:rsid w:val="00EA164E"/>
    <w:rsid w:val="00EA1932"/>
    <w:rsid w:val="00EA1D48"/>
    <w:rsid w:val="00EA2429"/>
    <w:rsid w:val="00EA34A8"/>
    <w:rsid w:val="00EA3626"/>
    <w:rsid w:val="00EA3ABD"/>
    <w:rsid w:val="00EA3B07"/>
    <w:rsid w:val="00EA5A46"/>
    <w:rsid w:val="00EB06FF"/>
    <w:rsid w:val="00EB084E"/>
    <w:rsid w:val="00EB1803"/>
    <w:rsid w:val="00EB231A"/>
    <w:rsid w:val="00EB287A"/>
    <w:rsid w:val="00EB311E"/>
    <w:rsid w:val="00EB3309"/>
    <w:rsid w:val="00EB3413"/>
    <w:rsid w:val="00EB3D47"/>
    <w:rsid w:val="00EB4274"/>
    <w:rsid w:val="00EB46AF"/>
    <w:rsid w:val="00EB4823"/>
    <w:rsid w:val="00EB494C"/>
    <w:rsid w:val="00EB5FB7"/>
    <w:rsid w:val="00EB6049"/>
    <w:rsid w:val="00EB6301"/>
    <w:rsid w:val="00EB7080"/>
    <w:rsid w:val="00EB7485"/>
    <w:rsid w:val="00EC148C"/>
    <w:rsid w:val="00EC1A54"/>
    <w:rsid w:val="00EC2104"/>
    <w:rsid w:val="00EC33B4"/>
    <w:rsid w:val="00EC39C8"/>
    <w:rsid w:val="00EC441B"/>
    <w:rsid w:val="00EC45FE"/>
    <w:rsid w:val="00EC4982"/>
    <w:rsid w:val="00EC4C17"/>
    <w:rsid w:val="00EC4D6E"/>
    <w:rsid w:val="00EC55D4"/>
    <w:rsid w:val="00EC5A11"/>
    <w:rsid w:val="00EC5D4D"/>
    <w:rsid w:val="00EC5EA2"/>
    <w:rsid w:val="00EC7BDB"/>
    <w:rsid w:val="00EC7FD1"/>
    <w:rsid w:val="00ED0750"/>
    <w:rsid w:val="00ED0D80"/>
    <w:rsid w:val="00ED15C6"/>
    <w:rsid w:val="00ED180E"/>
    <w:rsid w:val="00ED18A9"/>
    <w:rsid w:val="00ED1F6B"/>
    <w:rsid w:val="00ED2070"/>
    <w:rsid w:val="00ED27D7"/>
    <w:rsid w:val="00ED2AD7"/>
    <w:rsid w:val="00ED3275"/>
    <w:rsid w:val="00ED3586"/>
    <w:rsid w:val="00ED35FB"/>
    <w:rsid w:val="00ED3C87"/>
    <w:rsid w:val="00ED3E23"/>
    <w:rsid w:val="00ED4533"/>
    <w:rsid w:val="00ED531E"/>
    <w:rsid w:val="00ED5A53"/>
    <w:rsid w:val="00ED6D85"/>
    <w:rsid w:val="00ED788B"/>
    <w:rsid w:val="00ED797D"/>
    <w:rsid w:val="00EE01D3"/>
    <w:rsid w:val="00EE0EAB"/>
    <w:rsid w:val="00EE236B"/>
    <w:rsid w:val="00EE2852"/>
    <w:rsid w:val="00EE29A2"/>
    <w:rsid w:val="00EE2F20"/>
    <w:rsid w:val="00EE3DC5"/>
    <w:rsid w:val="00EE4185"/>
    <w:rsid w:val="00EE43B3"/>
    <w:rsid w:val="00EE540B"/>
    <w:rsid w:val="00EE6671"/>
    <w:rsid w:val="00EE698A"/>
    <w:rsid w:val="00EE6A01"/>
    <w:rsid w:val="00EE6D74"/>
    <w:rsid w:val="00EF0191"/>
    <w:rsid w:val="00EF1239"/>
    <w:rsid w:val="00EF1510"/>
    <w:rsid w:val="00EF21FC"/>
    <w:rsid w:val="00EF2E28"/>
    <w:rsid w:val="00EF4026"/>
    <w:rsid w:val="00EF57AF"/>
    <w:rsid w:val="00EF5C49"/>
    <w:rsid w:val="00EF6758"/>
    <w:rsid w:val="00EF6E2A"/>
    <w:rsid w:val="00EF7113"/>
    <w:rsid w:val="00F00848"/>
    <w:rsid w:val="00F01287"/>
    <w:rsid w:val="00F0171F"/>
    <w:rsid w:val="00F017E4"/>
    <w:rsid w:val="00F01AF6"/>
    <w:rsid w:val="00F01B4A"/>
    <w:rsid w:val="00F01DC0"/>
    <w:rsid w:val="00F0299D"/>
    <w:rsid w:val="00F02ADA"/>
    <w:rsid w:val="00F02F30"/>
    <w:rsid w:val="00F036D8"/>
    <w:rsid w:val="00F036E8"/>
    <w:rsid w:val="00F0403E"/>
    <w:rsid w:val="00F043AF"/>
    <w:rsid w:val="00F05FE4"/>
    <w:rsid w:val="00F0635C"/>
    <w:rsid w:val="00F0645D"/>
    <w:rsid w:val="00F06BF0"/>
    <w:rsid w:val="00F07476"/>
    <w:rsid w:val="00F075E4"/>
    <w:rsid w:val="00F07FE6"/>
    <w:rsid w:val="00F07FF2"/>
    <w:rsid w:val="00F12D9F"/>
    <w:rsid w:val="00F12EC0"/>
    <w:rsid w:val="00F1381B"/>
    <w:rsid w:val="00F1391C"/>
    <w:rsid w:val="00F1429E"/>
    <w:rsid w:val="00F153F7"/>
    <w:rsid w:val="00F16073"/>
    <w:rsid w:val="00F16A1F"/>
    <w:rsid w:val="00F17A21"/>
    <w:rsid w:val="00F17AE1"/>
    <w:rsid w:val="00F17C3C"/>
    <w:rsid w:val="00F17C77"/>
    <w:rsid w:val="00F20052"/>
    <w:rsid w:val="00F20360"/>
    <w:rsid w:val="00F20438"/>
    <w:rsid w:val="00F207BD"/>
    <w:rsid w:val="00F21117"/>
    <w:rsid w:val="00F21459"/>
    <w:rsid w:val="00F216E5"/>
    <w:rsid w:val="00F218F0"/>
    <w:rsid w:val="00F2290B"/>
    <w:rsid w:val="00F22F99"/>
    <w:rsid w:val="00F23748"/>
    <w:rsid w:val="00F23A80"/>
    <w:rsid w:val="00F23F1D"/>
    <w:rsid w:val="00F23FEA"/>
    <w:rsid w:val="00F245A0"/>
    <w:rsid w:val="00F24C7E"/>
    <w:rsid w:val="00F24DFB"/>
    <w:rsid w:val="00F25473"/>
    <w:rsid w:val="00F25CBA"/>
    <w:rsid w:val="00F25CF3"/>
    <w:rsid w:val="00F26240"/>
    <w:rsid w:val="00F2711B"/>
    <w:rsid w:val="00F30334"/>
    <w:rsid w:val="00F31D06"/>
    <w:rsid w:val="00F333DA"/>
    <w:rsid w:val="00F34243"/>
    <w:rsid w:val="00F344B3"/>
    <w:rsid w:val="00F366E5"/>
    <w:rsid w:val="00F402D5"/>
    <w:rsid w:val="00F40DFC"/>
    <w:rsid w:val="00F41316"/>
    <w:rsid w:val="00F4174E"/>
    <w:rsid w:val="00F4190E"/>
    <w:rsid w:val="00F4357E"/>
    <w:rsid w:val="00F442A0"/>
    <w:rsid w:val="00F444EF"/>
    <w:rsid w:val="00F44BED"/>
    <w:rsid w:val="00F44C03"/>
    <w:rsid w:val="00F45342"/>
    <w:rsid w:val="00F456C1"/>
    <w:rsid w:val="00F45C96"/>
    <w:rsid w:val="00F46161"/>
    <w:rsid w:val="00F461DE"/>
    <w:rsid w:val="00F46765"/>
    <w:rsid w:val="00F472AA"/>
    <w:rsid w:val="00F474BE"/>
    <w:rsid w:val="00F476D3"/>
    <w:rsid w:val="00F5017B"/>
    <w:rsid w:val="00F5075A"/>
    <w:rsid w:val="00F5105A"/>
    <w:rsid w:val="00F51105"/>
    <w:rsid w:val="00F51451"/>
    <w:rsid w:val="00F52216"/>
    <w:rsid w:val="00F5221A"/>
    <w:rsid w:val="00F53029"/>
    <w:rsid w:val="00F53482"/>
    <w:rsid w:val="00F551FF"/>
    <w:rsid w:val="00F56A2A"/>
    <w:rsid w:val="00F5748C"/>
    <w:rsid w:val="00F5755C"/>
    <w:rsid w:val="00F57B6D"/>
    <w:rsid w:val="00F57FF7"/>
    <w:rsid w:val="00F60BB6"/>
    <w:rsid w:val="00F6110E"/>
    <w:rsid w:val="00F61383"/>
    <w:rsid w:val="00F6194A"/>
    <w:rsid w:val="00F624F4"/>
    <w:rsid w:val="00F6256B"/>
    <w:rsid w:val="00F626D2"/>
    <w:rsid w:val="00F62A67"/>
    <w:rsid w:val="00F63067"/>
    <w:rsid w:val="00F63F34"/>
    <w:rsid w:val="00F63F3C"/>
    <w:rsid w:val="00F640B6"/>
    <w:rsid w:val="00F64B4C"/>
    <w:rsid w:val="00F65C15"/>
    <w:rsid w:val="00F66C1B"/>
    <w:rsid w:val="00F705FB"/>
    <w:rsid w:val="00F708DF"/>
    <w:rsid w:val="00F70A04"/>
    <w:rsid w:val="00F70BF7"/>
    <w:rsid w:val="00F711B4"/>
    <w:rsid w:val="00F71A86"/>
    <w:rsid w:val="00F71BB2"/>
    <w:rsid w:val="00F71E4B"/>
    <w:rsid w:val="00F71FF8"/>
    <w:rsid w:val="00F7257A"/>
    <w:rsid w:val="00F73100"/>
    <w:rsid w:val="00F73111"/>
    <w:rsid w:val="00F740A1"/>
    <w:rsid w:val="00F7449E"/>
    <w:rsid w:val="00F74647"/>
    <w:rsid w:val="00F74DE7"/>
    <w:rsid w:val="00F755D2"/>
    <w:rsid w:val="00F75A85"/>
    <w:rsid w:val="00F76519"/>
    <w:rsid w:val="00F76879"/>
    <w:rsid w:val="00F76DD4"/>
    <w:rsid w:val="00F76DD7"/>
    <w:rsid w:val="00F76E0E"/>
    <w:rsid w:val="00F76E78"/>
    <w:rsid w:val="00F772A7"/>
    <w:rsid w:val="00F776B8"/>
    <w:rsid w:val="00F808A2"/>
    <w:rsid w:val="00F80CA9"/>
    <w:rsid w:val="00F81898"/>
    <w:rsid w:val="00F81B75"/>
    <w:rsid w:val="00F81C4F"/>
    <w:rsid w:val="00F81C9A"/>
    <w:rsid w:val="00F8221C"/>
    <w:rsid w:val="00F82453"/>
    <w:rsid w:val="00F827A8"/>
    <w:rsid w:val="00F82A26"/>
    <w:rsid w:val="00F82F9E"/>
    <w:rsid w:val="00F84033"/>
    <w:rsid w:val="00F843B1"/>
    <w:rsid w:val="00F84533"/>
    <w:rsid w:val="00F84AFF"/>
    <w:rsid w:val="00F84E59"/>
    <w:rsid w:val="00F8569E"/>
    <w:rsid w:val="00F857C3"/>
    <w:rsid w:val="00F8640E"/>
    <w:rsid w:val="00F870E5"/>
    <w:rsid w:val="00F871F6"/>
    <w:rsid w:val="00F904EA"/>
    <w:rsid w:val="00F90D88"/>
    <w:rsid w:val="00F91C9B"/>
    <w:rsid w:val="00F91CEB"/>
    <w:rsid w:val="00F9222B"/>
    <w:rsid w:val="00F924D0"/>
    <w:rsid w:val="00F92603"/>
    <w:rsid w:val="00F92683"/>
    <w:rsid w:val="00F93BEA"/>
    <w:rsid w:val="00F94454"/>
    <w:rsid w:val="00F95181"/>
    <w:rsid w:val="00F9528F"/>
    <w:rsid w:val="00F9705A"/>
    <w:rsid w:val="00F9799E"/>
    <w:rsid w:val="00FA0449"/>
    <w:rsid w:val="00FA08F0"/>
    <w:rsid w:val="00FA11C5"/>
    <w:rsid w:val="00FA1B17"/>
    <w:rsid w:val="00FA236D"/>
    <w:rsid w:val="00FA30CF"/>
    <w:rsid w:val="00FA3CF0"/>
    <w:rsid w:val="00FA4220"/>
    <w:rsid w:val="00FA42A0"/>
    <w:rsid w:val="00FA53D0"/>
    <w:rsid w:val="00FA760A"/>
    <w:rsid w:val="00FA7A35"/>
    <w:rsid w:val="00FA7B14"/>
    <w:rsid w:val="00FA7EEB"/>
    <w:rsid w:val="00FB0BAF"/>
    <w:rsid w:val="00FB1661"/>
    <w:rsid w:val="00FB202B"/>
    <w:rsid w:val="00FB21BF"/>
    <w:rsid w:val="00FB252A"/>
    <w:rsid w:val="00FB27D0"/>
    <w:rsid w:val="00FB28EF"/>
    <w:rsid w:val="00FB2E3C"/>
    <w:rsid w:val="00FB3F7D"/>
    <w:rsid w:val="00FB495A"/>
    <w:rsid w:val="00FB4A36"/>
    <w:rsid w:val="00FB5156"/>
    <w:rsid w:val="00FB5B5B"/>
    <w:rsid w:val="00FB5E74"/>
    <w:rsid w:val="00FB65BE"/>
    <w:rsid w:val="00FB68AA"/>
    <w:rsid w:val="00FB702C"/>
    <w:rsid w:val="00FB7032"/>
    <w:rsid w:val="00FC067D"/>
    <w:rsid w:val="00FC17EE"/>
    <w:rsid w:val="00FC1921"/>
    <w:rsid w:val="00FC1E47"/>
    <w:rsid w:val="00FC239E"/>
    <w:rsid w:val="00FC264B"/>
    <w:rsid w:val="00FC294B"/>
    <w:rsid w:val="00FC30D7"/>
    <w:rsid w:val="00FC3704"/>
    <w:rsid w:val="00FC3CA7"/>
    <w:rsid w:val="00FC3EB2"/>
    <w:rsid w:val="00FC5837"/>
    <w:rsid w:val="00FC7589"/>
    <w:rsid w:val="00FC776E"/>
    <w:rsid w:val="00FD016F"/>
    <w:rsid w:val="00FD0242"/>
    <w:rsid w:val="00FD0EB7"/>
    <w:rsid w:val="00FD2556"/>
    <w:rsid w:val="00FD269A"/>
    <w:rsid w:val="00FD2C37"/>
    <w:rsid w:val="00FD446E"/>
    <w:rsid w:val="00FD4BDF"/>
    <w:rsid w:val="00FD5353"/>
    <w:rsid w:val="00FD6C1F"/>
    <w:rsid w:val="00FD7A9B"/>
    <w:rsid w:val="00FD7BB2"/>
    <w:rsid w:val="00FE16EE"/>
    <w:rsid w:val="00FE1B47"/>
    <w:rsid w:val="00FE1E19"/>
    <w:rsid w:val="00FE2857"/>
    <w:rsid w:val="00FE2EB9"/>
    <w:rsid w:val="00FE3423"/>
    <w:rsid w:val="00FE374B"/>
    <w:rsid w:val="00FE3B80"/>
    <w:rsid w:val="00FE42D5"/>
    <w:rsid w:val="00FE4BA7"/>
    <w:rsid w:val="00FE58F8"/>
    <w:rsid w:val="00FE64C3"/>
    <w:rsid w:val="00FE742E"/>
    <w:rsid w:val="00FE752A"/>
    <w:rsid w:val="00FF05E8"/>
    <w:rsid w:val="00FF1434"/>
    <w:rsid w:val="00FF20E5"/>
    <w:rsid w:val="00FF211D"/>
    <w:rsid w:val="00FF3BBF"/>
    <w:rsid w:val="00FF3F62"/>
    <w:rsid w:val="00FF4966"/>
    <w:rsid w:val="00FF4CD3"/>
    <w:rsid w:val="00FF5D7F"/>
    <w:rsid w:val="00FF5E55"/>
    <w:rsid w:val="00FF6275"/>
    <w:rsid w:val="00FF6546"/>
    <w:rsid w:val="00FF6C3C"/>
    <w:rsid w:val="00FF716C"/>
    <w:rsid w:val="016221F0"/>
    <w:rsid w:val="01A3BECA"/>
    <w:rsid w:val="01B315C2"/>
    <w:rsid w:val="02B4272D"/>
    <w:rsid w:val="02C5B61A"/>
    <w:rsid w:val="03C04EA2"/>
    <w:rsid w:val="058C3A82"/>
    <w:rsid w:val="0623F5D0"/>
    <w:rsid w:val="06FF982C"/>
    <w:rsid w:val="07C23D2F"/>
    <w:rsid w:val="083194E6"/>
    <w:rsid w:val="098E32BB"/>
    <w:rsid w:val="09FB9408"/>
    <w:rsid w:val="09FE6AFA"/>
    <w:rsid w:val="0B6EA3E8"/>
    <w:rsid w:val="0BCEBDA8"/>
    <w:rsid w:val="0BEA10F1"/>
    <w:rsid w:val="0C095D8D"/>
    <w:rsid w:val="0D647D5D"/>
    <w:rsid w:val="0FB5226C"/>
    <w:rsid w:val="0FB535A5"/>
    <w:rsid w:val="0FFE1D37"/>
    <w:rsid w:val="10063EF1"/>
    <w:rsid w:val="1009DAA3"/>
    <w:rsid w:val="111214ED"/>
    <w:rsid w:val="11646797"/>
    <w:rsid w:val="121A77BA"/>
    <w:rsid w:val="129CECB5"/>
    <w:rsid w:val="13A6FCB5"/>
    <w:rsid w:val="150A5849"/>
    <w:rsid w:val="1510B737"/>
    <w:rsid w:val="154591DA"/>
    <w:rsid w:val="170124D0"/>
    <w:rsid w:val="1783B169"/>
    <w:rsid w:val="18A46A2C"/>
    <w:rsid w:val="19243342"/>
    <w:rsid w:val="1A381307"/>
    <w:rsid w:val="1DF8448A"/>
    <w:rsid w:val="1E3048EF"/>
    <w:rsid w:val="1EBF59D6"/>
    <w:rsid w:val="1F8635CA"/>
    <w:rsid w:val="21A780A3"/>
    <w:rsid w:val="21DF135F"/>
    <w:rsid w:val="223A9798"/>
    <w:rsid w:val="22674731"/>
    <w:rsid w:val="22D30D8E"/>
    <w:rsid w:val="24B93483"/>
    <w:rsid w:val="266D9965"/>
    <w:rsid w:val="26987364"/>
    <w:rsid w:val="272263E7"/>
    <w:rsid w:val="27B03333"/>
    <w:rsid w:val="27CC7CEF"/>
    <w:rsid w:val="2930A077"/>
    <w:rsid w:val="29CA39B2"/>
    <w:rsid w:val="2A492A28"/>
    <w:rsid w:val="2A78B710"/>
    <w:rsid w:val="2ADF7AA7"/>
    <w:rsid w:val="2C2031D8"/>
    <w:rsid w:val="2C988DD7"/>
    <w:rsid w:val="2D545651"/>
    <w:rsid w:val="2D8AEAC3"/>
    <w:rsid w:val="30EA06C7"/>
    <w:rsid w:val="31358C91"/>
    <w:rsid w:val="31597FF1"/>
    <w:rsid w:val="3213DDBC"/>
    <w:rsid w:val="326916A9"/>
    <w:rsid w:val="339B0EC2"/>
    <w:rsid w:val="33D354EB"/>
    <w:rsid w:val="33E316D9"/>
    <w:rsid w:val="34466DB9"/>
    <w:rsid w:val="36076FC3"/>
    <w:rsid w:val="37A9FDBF"/>
    <w:rsid w:val="37FAFCBD"/>
    <w:rsid w:val="3854B9A4"/>
    <w:rsid w:val="388121CC"/>
    <w:rsid w:val="3897937B"/>
    <w:rsid w:val="3A795DB2"/>
    <w:rsid w:val="3B27F981"/>
    <w:rsid w:val="3CEA85AB"/>
    <w:rsid w:val="3EADBC60"/>
    <w:rsid w:val="3FFA6C3A"/>
    <w:rsid w:val="40E8224D"/>
    <w:rsid w:val="41025C46"/>
    <w:rsid w:val="41431518"/>
    <w:rsid w:val="42315F01"/>
    <w:rsid w:val="43A07C33"/>
    <w:rsid w:val="43CA26B2"/>
    <w:rsid w:val="43F4B01B"/>
    <w:rsid w:val="45C300FC"/>
    <w:rsid w:val="477D36A9"/>
    <w:rsid w:val="47D6690B"/>
    <w:rsid w:val="48601EFC"/>
    <w:rsid w:val="491424BC"/>
    <w:rsid w:val="494088BF"/>
    <w:rsid w:val="4A05692C"/>
    <w:rsid w:val="4A601F6D"/>
    <w:rsid w:val="4B0A187E"/>
    <w:rsid w:val="4C447C2E"/>
    <w:rsid w:val="4CDB378C"/>
    <w:rsid w:val="4DDB29B7"/>
    <w:rsid w:val="4E1E76D1"/>
    <w:rsid w:val="4EAF973D"/>
    <w:rsid w:val="4F554749"/>
    <w:rsid w:val="4FB5B254"/>
    <w:rsid w:val="502537CF"/>
    <w:rsid w:val="50603CC1"/>
    <w:rsid w:val="50B03CC4"/>
    <w:rsid w:val="5181EE94"/>
    <w:rsid w:val="52E4F4F1"/>
    <w:rsid w:val="54554D35"/>
    <w:rsid w:val="54DD3199"/>
    <w:rsid w:val="58A828D7"/>
    <w:rsid w:val="58FCCCB3"/>
    <w:rsid w:val="591D8A14"/>
    <w:rsid w:val="5A3A2A47"/>
    <w:rsid w:val="5AAF8184"/>
    <w:rsid w:val="5AD9B41C"/>
    <w:rsid w:val="5DC5EDAE"/>
    <w:rsid w:val="5E16B301"/>
    <w:rsid w:val="5F9584B9"/>
    <w:rsid w:val="5F990ED2"/>
    <w:rsid w:val="602559A3"/>
    <w:rsid w:val="60CAAB3E"/>
    <w:rsid w:val="63A5AE55"/>
    <w:rsid w:val="63C39B57"/>
    <w:rsid w:val="642F476B"/>
    <w:rsid w:val="6664D009"/>
    <w:rsid w:val="67864576"/>
    <w:rsid w:val="68D0F859"/>
    <w:rsid w:val="694C04BF"/>
    <w:rsid w:val="6A2B49D2"/>
    <w:rsid w:val="6A392D46"/>
    <w:rsid w:val="6AACF099"/>
    <w:rsid w:val="6AB0AD7B"/>
    <w:rsid w:val="6B2984BF"/>
    <w:rsid w:val="6C80594A"/>
    <w:rsid w:val="6CD6072A"/>
    <w:rsid w:val="6D0F4903"/>
    <w:rsid w:val="6F479537"/>
    <w:rsid w:val="6F5F34BF"/>
    <w:rsid w:val="701E7466"/>
    <w:rsid w:val="709816F8"/>
    <w:rsid w:val="710B17C8"/>
    <w:rsid w:val="71571C7D"/>
    <w:rsid w:val="719DB6DD"/>
    <w:rsid w:val="72399EDC"/>
    <w:rsid w:val="73B3A9EB"/>
    <w:rsid w:val="73B8B081"/>
    <w:rsid w:val="73C59BCD"/>
    <w:rsid w:val="7501C76F"/>
    <w:rsid w:val="75F8A114"/>
    <w:rsid w:val="76439499"/>
    <w:rsid w:val="767460AC"/>
    <w:rsid w:val="77C3D542"/>
    <w:rsid w:val="787227ED"/>
    <w:rsid w:val="79B6C339"/>
    <w:rsid w:val="79DAEFCC"/>
    <w:rsid w:val="7A08FD3E"/>
    <w:rsid w:val="7A8E28D5"/>
    <w:rsid w:val="7E42A15E"/>
    <w:rsid w:val="7E64FB19"/>
    <w:rsid w:val="7EB953A4"/>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C3247E3-EF1F-470D-BC90-9BF40343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A2F"/>
    <w:pPr>
      <w:spacing w:after="0" w:line="240" w:lineRule="auto"/>
    </w:pPr>
    <w:rPr>
      <w:rFonts w:ascii="Times New Roman" w:eastAsia="Times New Roman" w:hAnsi="Times New Roman" w:cs="Times New Roman"/>
      <w:kern w:val="0"/>
      <w:sz w:val="24"/>
      <w:szCs w:val="24"/>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57B36"/>
    <w:pPr>
      <w:tabs>
        <w:tab w:val="center" w:pos="4419"/>
        <w:tab w:val="right" w:pos="8838"/>
      </w:tabs>
    </w:pPr>
    <w:rPr>
      <w:rFonts w:asciiTheme="minorHAnsi" w:eastAsiaTheme="minorHAnsi" w:hAnsiTheme="minorHAnsi" w:cstheme="minorBidi"/>
      <w:kern w:val="2"/>
      <w:sz w:val="22"/>
      <w:szCs w:val="22"/>
      <w:lang w:eastAsia="en-US"/>
      <w14:ligatures w14:val="standardContextual"/>
    </w:rPr>
  </w:style>
  <w:style w:type="character" w:customStyle="1" w:styleId="EncabezadoCar">
    <w:name w:val="Encabezado Car"/>
    <w:basedOn w:val="Fuentedeprrafopredeter"/>
    <w:link w:val="Encabezado"/>
    <w:rsid w:val="00757B36"/>
  </w:style>
  <w:style w:type="paragraph" w:styleId="Piedepgina">
    <w:name w:val="footer"/>
    <w:basedOn w:val="Normal"/>
    <w:link w:val="PiedepginaCar"/>
    <w:unhideWhenUsed/>
    <w:rsid w:val="00757B36"/>
    <w:pPr>
      <w:tabs>
        <w:tab w:val="center" w:pos="4419"/>
        <w:tab w:val="right" w:pos="8838"/>
      </w:tabs>
    </w:pPr>
    <w:rPr>
      <w:rFonts w:asciiTheme="minorHAnsi" w:eastAsiaTheme="minorHAnsi" w:hAnsiTheme="minorHAnsi" w:cstheme="minorBidi"/>
      <w:kern w:val="2"/>
      <w:sz w:val="22"/>
      <w:szCs w:val="22"/>
      <w:lang w:eastAsia="en-US"/>
      <w14:ligatures w14:val="standardContextual"/>
    </w:rPr>
  </w:style>
  <w:style w:type="character" w:customStyle="1" w:styleId="PiedepginaCar">
    <w:name w:val="Pie de página Car"/>
    <w:basedOn w:val="Fuentedeprrafopredeter"/>
    <w:link w:val="Piedepgina"/>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basedOn w:val="Normal"/>
    <w:uiPriority w:val="34"/>
    <w:qFormat/>
    <w:rsid w:val="00757B3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table" w:styleId="Tablaconcuadrcula">
    <w:name w:val="Table Grid"/>
    <w:basedOn w:val="Tablanormal"/>
    <w:uiPriority w:val="39"/>
    <w:rsid w:val="008F0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F8640E"/>
    <w:pPr>
      <w:jc w:val="both"/>
    </w:pPr>
    <w:rPr>
      <w:rFonts w:ascii="Arial" w:hAnsi="Arial"/>
      <w:b/>
      <w:sz w:val="22"/>
      <w:szCs w:val="20"/>
    </w:rPr>
  </w:style>
  <w:style w:type="character" w:customStyle="1" w:styleId="Textoindependiente3Car">
    <w:name w:val="Texto independiente 3 Car"/>
    <w:basedOn w:val="Fuentedeprrafopredeter"/>
    <w:link w:val="Textoindependiente3"/>
    <w:rsid w:val="00F8640E"/>
    <w:rPr>
      <w:rFonts w:ascii="Arial" w:eastAsia="Times New Roman" w:hAnsi="Arial" w:cs="Times New Roman"/>
      <w:b/>
      <w:kern w:val="0"/>
      <w:szCs w:val="20"/>
      <w:lang w:val="es-ES" w:eastAsia="es-ES"/>
      <w14:ligatures w14:val="none"/>
    </w:rPr>
  </w:style>
  <w:style w:type="paragraph" w:styleId="Textoindependiente">
    <w:name w:val="Body Text"/>
    <w:basedOn w:val="Normal"/>
    <w:link w:val="TextoindependienteCar"/>
    <w:uiPriority w:val="99"/>
    <w:semiHidden/>
    <w:unhideWhenUsed/>
    <w:rsid w:val="00E13F34"/>
    <w:pPr>
      <w:spacing w:after="120"/>
    </w:pPr>
  </w:style>
  <w:style w:type="character" w:customStyle="1" w:styleId="TextoindependienteCar">
    <w:name w:val="Texto independiente Car"/>
    <w:basedOn w:val="Fuentedeprrafopredeter"/>
    <w:link w:val="Textoindependiente"/>
    <w:uiPriority w:val="99"/>
    <w:semiHidden/>
    <w:rsid w:val="00E13F34"/>
    <w:rPr>
      <w:rFonts w:ascii="Times New Roman" w:eastAsia="MS Mincho" w:hAnsi="Times New Roman" w:cs="Times New Roman"/>
      <w:kern w:val="0"/>
      <w:sz w:val="24"/>
      <w:szCs w:val="24"/>
      <w:lang w:val="es-ES" w:eastAsia="es-ES"/>
      <w14:ligatures w14:val="none"/>
    </w:rPr>
  </w:style>
  <w:style w:type="paragraph" w:styleId="Revisin">
    <w:name w:val="Revision"/>
    <w:hidden/>
    <w:uiPriority w:val="99"/>
    <w:semiHidden/>
    <w:rsid w:val="005A1160"/>
    <w:pPr>
      <w:spacing w:after="0" w:line="240" w:lineRule="auto"/>
    </w:pPr>
    <w:rPr>
      <w:rFonts w:ascii="Times New Roman" w:eastAsia="MS Mincho" w:hAnsi="Times New Roman" w:cs="Times New Roman"/>
      <w:kern w:val="0"/>
      <w:sz w:val="24"/>
      <w:szCs w:val="24"/>
      <w:lang w:val="es-ES" w:eastAsia="es-ES"/>
      <w14:ligatures w14:val="none"/>
    </w:rPr>
  </w:style>
  <w:style w:type="character" w:styleId="Textodelmarcadordeposicin">
    <w:name w:val="Placeholder Text"/>
    <w:basedOn w:val="Fuentedeprrafopredeter"/>
    <w:uiPriority w:val="99"/>
    <w:semiHidden/>
    <w:rsid w:val="00B02230"/>
    <w:rPr>
      <w:color w:val="666666"/>
    </w:rPr>
  </w:style>
  <w:style w:type="character" w:styleId="Refdecomentario">
    <w:name w:val="annotation reference"/>
    <w:basedOn w:val="Fuentedeprrafopredeter"/>
    <w:uiPriority w:val="99"/>
    <w:semiHidden/>
    <w:unhideWhenUsed/>
    <w:rsid w:val="003B77E7"/>
    <w:rPr>
      <w:sz w:val="16"/>
      <w:szCs w:val="16"/>
    </w:rPr>
  </w:style>
  <w:style w:type="paragraph" w:styleId="Textocomentario">
    <w:name w:val="annotation text"/>
    <w:basedOn w:val="Normal"/>
    <w:link w:val="TextocomentarioCar"/>
    <w:uiPriority w:val="99"/>
    <w:unhideWhenUsed/>
    <w:rsid w:val="003B77E7"/>
    <w:rPr>
      <w:sz w:val="20"/>
      <w:szCs w:val="20"/>
    </w:rPr>
  </w:style>
  <w:style w:type="character" w:customStyle="1" w:styleId="TextocomentarioCar">
    <w:name w:val="Texto comentario Car"/>
    <w:basedOn w:val="Fuentedeprrafopredeter"/>
    <w:link w:val="Textocomentario"/>
    <w:uiPriority w:val="99"/>
    <w:rsid w:val="003B77E7"/>
    <w:rPr>
      <w:rFonts w:ascii="Times New Roman" w:eastAsia="MS Mincho" w:hAnsi="Times New Roman" w:cs="Times New Roman"/>
      <w:kern w:val="0"/>
      <w:sz w:val="20"/>
      <w:szCs w:val="20"/>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3B77E7"/>
    <w:rPr>
      <w:b/>
      <w:bCs/>
    </w:rPr>
  </w:style>
  <w:style w:type="character" w:customStyle="1" w:styleId="AsuntodelcomentarioCar">
    <w:name w:val="Asunto del comentario Car"/>
    <w:basedOn w:val="TextocomentarioCar"/>
    <w:link w:val="Asuntodelcomentario"/>
    <w:uiPriority w:val="99"/>
    <w:semiHidden/>
    <w:rsid w:val="003B77E7"/>
    <w:rPr>
      <w:rFonts w:ascii="Times New Roman" w:eastAsia="MS Mincho" w:hAnsi="Times New Roman" w:cs="Times New Roman"/>
      <w:b/>
      <w:bCs/>
      <w:kern w:val="0"/>
      <w:sz w:val="20"/>
      <w:szCs w:val="20"/>
      <w:lang w:val="es-ES" w:eastAsia="es-ES"/>
      <w14:ligatures w14:val="none"/>
    </w:rPr>
  </w:style>
  <w:style w:type="character" w:styleId="Mencinsinresolver">
    <w:name w:val="Unresolved Mention"/>
    <w:basedOn w:val="Fuentedeprrafopredeter"/>
    <w:uiPriority w:val="99"/>
    <w:semiHidden/>
    <w:unhideWhenUsed/>
    <w:rsid w:val="00964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2797">
      <w:bodyDiv w:val="1"/>
      <w:marLeft w:val="0"/>
      <w:marRight w:val="0"/>
      <w:marTop w:val="0"/>
      <w:marBottom w:val="0"/>
      <w:divBdr>
        <w:top w:val="none" w:sz="0" w:space="0" w:color="auto"/>
        <w:left w:val="none" w:sz="0" w:space="0" w:color="auto"/>
        <w:bottom w:val="none" w:sz="0" w:space="0" w:color="auto"/>
        <w:right w:val="none" w:sz="0" w:space="0" w:color="auto"/>
      </w:divBdr>
    </w:div>
    <w:div w:id="58359551">
      <w:bodyDiv w:val="1"/>
      <w:marLeft w:val="0"/>
      <w:marRight w:val="0"/>
      <w:marTop w:val="0"/>
      <w:marBottom w:val="0"/>
      <w:divBdr>
        <w:top w:val="none" w:sz="0" w:space="0" w:color="auto"/>
        <w:left w:val="none" w:sz="0" w:space="0" w:color="auto"/>
        <w:bottom w:val="none" w:sz="0" w:space="0" w:color="auto"/>
        <w:right w:val="none" w:sz="0" w:space="0" w:color="auto"/>
      </w:divBdr>
    </w:div>
    <w:div w:id="75984693">
      <w:bodyDiv w:val="1"/>
      <w:marLeft w:val="0"/>
      <w:marRight w:val="0"/>
      <w:marTop w:val="0"/>
      <w:marBottom w:val="0"/>
      <w:divBdr>
        <w:top w:val="none" w:sz="0" w:space="0" w:color="auto"/>
        <w:left w:val="none" w:sz="0" w:space="0" w:color="auto"/>
        <w:bottom w:val="none" w:sz="0" w:space="0" w:color="auto"/>
        <w:right w:val="none" w:sz="0" w:space="0" w:color="auto"/>
      </w:divBdr>
    </w:div>
    <w:div w:id="119492499">
      <w:bodyDiv w:val="1"/>
      <w:marLeft w:val="0"/>
      <w:marRight w:val="0"/>
      <w:marTop w:val="0"/>
      <w:marBottom w:val="0"/>
      <w:divBdr>
        <w:top w:val="none" w:sz="0" w:space="0" w:color="auto"/>
        <w:left w:val="none" w:sz="0" w:space="0" w:color="auto"/>
        <w:bottom w:val="none" w:sz="0" w:space="0" w:color="auto"/>
        <w:right w:val="none" w:sz="0" w:space="0" w:color="auto"/>
      </w:divBdr>
    </w:div>
    <w:div w:id="166747501">
      <w:bodyDiv w:val="1"/>
      <w:marLeft w:val="0"/>
      <w:marRight w:val="0"/>
      <w:marTop w:val="0"/>
      <w:marBottom w:val="0"/>
      <w:divBdr>
        <w:top w:val="none" w:sz="0" w:space="0" w:color="auto"/>
        <w:left w:val="none" w:sz="0" w:space="0" w:color="auto"/>
        <w:bottom w:val="none" w:sz="0" w:space="0" w:color="auto"/>
        <w:right w:val="none" w:sz="0" w:space="0" w:color="auto"/>
      </w:divBdr>
    </w:div>
    <w:div w:id="175313032">
      <w:bodyDiv w:val="1"/>
      <w:marLeft w:val="0"/>
      <w:marRight w:val="0"/>
      <w:marTop w:val="0"/>
      <w:marBottom w:val="0"/>
      <w:divBdr>
        <w:top w:val="none" w:sz="0" w:space="0" w:color="auto"/>
        <w:left w:val="none" w:sz="0" w:space="0" w:color="auto"/>
        <w:bottom w:val="none" w:sz="0" w:space="0" w:color="auto"/>
        <w:right w:val="none" w:sz="0" w:space="0" w:color="auto"/>
      </w:divBdr>
    </w:div>
    <w:div w:id="181675685">
      <w:bodyDiv w:val="1"/>
      <w:marLeft w:val="0"/>
      <w:marRight w:val="0"/>
      <w:marTop w:val="0"/>
      <w:marBottom w:val="0"/>
      <w:divBdr>
        <w:top w:val="none" w:sz="0" w:space="0" w:color="auto"/>
        <w:left w:val="none" w:sz="0" w:space="0" w:color="auto"/>
        <w:bottom w:val="none" w:sz="0" w:space="0" w:color="auto"/>
        <w:right w:val="none" w:sz="0" w:space="0" w:color="auto"/>
      </w:divBdr>
    </w:div>
    <w:div w:id="196241213">
      <w:bodyDiv w:val="1"/>
      <w:marLeft w:val="0"/>
      <w:marRight w:val="0"/>
      <w:marTop w:val="0"/>
      <w:marBottom w:val="0"/>
      <w:divBdr>
        <w:top w:val="none" w:sz="0" w:space="0" w:color="auto"/>
        <w:left w:val="none" w:sz="0" w:space="0" w:color="auto"/>
        <w:bottom w:val="none" w:sz="0" w:space="0" w:color="auto"/>
        <w:right w:val="none" w:sz="0" w:space="0" w:color="auto"/>
      </w:divBdr>
    </w:div>
    <w:div w:id="215897023">
      <w:bodyDiv w:val="1"/>
      <w:marLeft w:val="0"/>
      <w:marRight w:val="0"/>
      <w:marTop w:val="0"/>
      <w:marBottom w:val="0"/>
      <w:divBdr>
        <w:top w:val="none" w:sz="0" w:space="0" w:color="auto"/>
        <w:left w:val="none" w:sz="0" w:space="0" w:color="auto"/>
        <w:bottom w:val="none" w:sz="0" w:space="0" w:color="auto"/>
        <w:right w:val="none" w:sz="0" w:space="0" w:color="auto"/>
      </w:divBdr>
    </w:div>
    <w:div w:id="218173589">
      <w:bodyDiv w:val="1"/>
      <w:marLeft w:val="0"/>
      <w:marRight w:val="0"/>
      <w:marTop w:val="0"/>
      <w:marBottom w:val="0"/>
      <w:divBdr>
        <w:top w:val="none" w:sz="0" w:space="0" w:color="auto"/>
        <w:left w:val="none" w:sz="0" w:space="0" w:color="auto"/>
        <w:bottom w:val="none" w:sz="0" w:space="0" w:color="auto"/>
        <w:right w:val="none" w:sz="0" w:space="0" w:color="auto"/>
      </w:divBdr>
    </w:div>
    <w:div w:id="219053761">
      <w:bodyDiv w:val="1"/>
      <w:marLeft w:val="0"/>
      <w:marRight w:val="0"/>
      <w:marTop w:val="0"/>
      <w:marBottom w:val="0"/>
      <w:divBdr>
        <w:top w:val="none" w:sz="0" w:space="0" w:color="auto"/>
        <w:left w:val="none" w:sz="0" w:space="0" w:color="auto"/>
        <w:bottom w:val="none" w:sz="0" w:space="0" w:color="auto"/>
        <w:right w:val="none" w:sz="0" w:space="0" w:color="auto"/>
      </w:divBdr>
    </w:div>
    <w:div w:id="329526126">
      <w:bodyDiv w:val="1"/>
      <w:marLeft w:val="0"/>
      <w:marRight w:val="0"/>
      <w:marTop w:val="0"/>
      <w:marBottom w:val="0"/>
      <w:divBdr>
        <w:top w:val="none" w:sz="0" w:space="0" w:color="auto"/>
        <w:left w:val="none" w:sz="0" w:space="0" w:color="auto"/>
        <w:bottom w:val="none" w:sz="0" w:space="0" w:color="auto"/>
        <w:right w:val="none" w:sz="0" w:space="0" w:color="auto"/>
      </w:divBdr>
    </w:div>
    <w:div w:id="337389142">
      <w:bodyDiv w:val="1"/>
      <w:marLeft w:val="0"/>
      <w:marRight w:val="0"/>
      <w:marTop w:val="0"/>
      <w:marBottom w:val="0"/>
      <w:divBdr>
        <w:top w:val="none" w:sz="0" w:space="0" w:color="auto"/>
        <w:left w:val="none" w:sz="0" w:space="0" w:color="auto"/>
        <w:bottom w:val="none" w:sz="0" w:space="0" w:color="auto"/>
        <w:right w:val="none" w:sz="0" w:space="0" w:color="auto"/>
      </w:divBdr>
    </w:div>
    <w:div w:id="416026824">
      <w:bodyDiv w:val="1"/>
      <w:marLeft w:val="0"/>
      <w:marRight w:val="0"/>
      <w:marTop w:val="0"/>
      <w:marBottom w:val="0"/>
      <w:divBdr>
        <w:top w:val="none" w:sz="0" w:space="0" w:color="auto"/>
        <w:left w:val="none" w:sz="0" w:space="0" w:color="auto"/>
        <w:bottom w:val="none" w:sz="0" w:space="0" w:color="auto"/>
        <w:right w:val="none" w:sz="0" w:space="0" w:color="auto"/>
      </w:divBdr>
    </w:div>
    <w:div w:id="453788908">
      <w:bodyDiv w:val="1"/>
      <w:marLeft w:val="0"/>
      <w:marRight w:val="0"/>
      <w:marTop w:val="0"/>
      <w:marBottom w:val="0"/>
      <w:divBdr>
        <w:top w:val="none" w:sz="0" w:space="0" w:color="auto"/>
        <w:left w:val="none" w:sz="0" w:space="0" w:color="auto"/>
        <w:bottom w:val="none" w:sz="0" w:space="0" w:color="auto"/>
        <w:right w:val="none" w:sz="0" w:space="0" w:color="auto"/>
      </w:divBdr>
    </w:div>
    <w:div w:id="484469009">
      <w:bodyDiv w:val="1"/>
      <w:marLeft w:val="0"/>
      <w:marRight w:val="0"/>
      <w:marTop w:val="0"/>
      <w:marBottom w:val="0"/>
      <w:divBdr>
        <w:top w:val="none" w:sz="0" w:space="0" w:color="auto"/>
        <w:left w:val="none" w:sz="0" w:space="0" w:color="auto"/>
        <w:bottom w:val="none" w:sz="0" w:space="0" w:color="auto"/>
        <w:right w:val="none" w:sz="0" w:space="0" w:color="auto"/>
      </w:divBdr>
    </w:div>
    <w:div w:id="519315394">
      <w:bodyDiv w:val="1"/>
      <w:marLeft w:val="0"/>
      <w:marRight w:val="0"/>
      <w:marTop w:val="0"/>
      <w:marBottom w:val="0"/>
      <w:divBdr>
        <w:top w:val="none" w:sz="0" w:space="0" w:color="auto"/>
        <w:left w:val="none" w:sz="0" w:space="0" w:color="auto"/>
        <w:bottom w:val="none" w:sz="0" w:space="0" w:color="auto"/>
        <w:right w:val="none" w:sz="0" w:space="0" w:color="auto"/>
      </w:divBdr>
    </w:div>
    <w:div w:id="529345769">
      <w:bodyDiv w:val="1"/>
      <w:marLeft w:val="0"/>
      <w:marRight w:val="0"/>
      <w:marTop w:val="0"/>
      <w:marBottom w:val="0"/>
      <w:divBdr>
        <w:top w:val="none" w:sz="0" w:space="0" w:color="auto"/>
        <w:left w:val="none" w:sz="0" w:space="0" w:color="auto"/>
        <w:bottom w:val="none" w:sz="0" w:space="0" w:color="auto"/>
        <w:right w:val="none" w:sz="0" w:space="0" w:color="auto"/>
      </w:divBdr>
    </w:div>
    <w:div w:id="550196270">
      <w:bodyDiv w:val="1"/>
      <w:marLeft w:val="0"/>
      <w:marRight w:val="0"/>
      <w:marTop w:val="0"/>
      <w:marBottom w:val="0"/>
      <w:divBdr>
        <w:top w:val="none" w:sz="0" w:space="0" w:color="auto"/>
        <w:left w:val="none" w:sz="0" w:space="0" w:color="auto"/>
        <w:bottom w:val="none" w:sz="0" w:space="0" w:color="auto"/>
        <w:right w:val="none" w:sz="0" w:space="0" w:color="auto"/>
      </w:divBdr>
    </w:div>
    <w:div w:id="572160395">
      <w:bodyDiv w:val="1"/>
      <w:marLeft w:val="0"/>
      <w:marRight w:val="0"/>
      <w:marTop w:val="0"/>
      <w:marBottom w:val="0"/>
      <w:divBdr>
        <w:top w:val="none" w:sz="0" w:space="0" w:color="auto"/>
        <w:left w:val="none" w:sz="0" w:space="0" w:color="auto"/>
        <w:bottom w:val="none" w:sz="0" w:space="0" w:color="auto"/>
        <w:right w:val="none" w:sz="0" w:space="0" w:color="auto"/>
      </w:divBdr>
    </w:div>
    <w:div w:id="575408115">
      <w:bodyDiv w:val="1"/>
      <w:marLeft w:val="0"/>
      <w:marRight w:val="0"/>
      <w:marTop w:val="0"/>
      <w:marBottom w:val="0"/>
      <w:divBdr>
        <w:top w:val="none" w:sz="0" w:space="0" w:color="auto"/>
        <w:left w:val="none" w:sz="0" w:space="0" w:color="auto"/>
        <w:bottom w:val="none" w:sz="0" w:space="0" w:color="auto"/>
        <w:right w:val="none" w:sz="0" w:space="0" w:color="auto"/>
      </w:divBdr>
    </w:div>
    <w:div w:id="592593629">
      <w:bodyDiv w:val="1"/>
      <w:marLeft w:val="0"/>
      <w:marRight w:val="0"/>
      <w:marTop w:val="0"/>
      <w:marBottom w:val="0"/>
      <w:divBdr>
        <w:top w:val="none" w:sz="0" w:space="0" w:color="auto"/>
        <w:left w:val="none" w:sz="0" w:space="0" w:color="auto"/>
        <w:bottom w:val="none" w:sz="0" w:space="0" w:color="auto"/>
        <w:right w:val="none" w:sz="0" w:space="0" w:color="auto"/>
      </w:divBdr>
    </w:div>
    <w:div w:id="617420306">
      <w:bodyDiv w:val="1"/>
      <w:marLeft w:val="0"/>
      <w:marRight w:val="0"/>
      <w:marTop w:val="0"/>
      <w:marBottom w:val="0"/>
      <w:divBdr>
        <w:top w:val="none" w:sz="0" w:space="0" w:color="auto"/>
        <w:left w:val="none" w:sz="0" w:space="0" w:color="auto"/>
        <w:bottom w:val="none" w:sz="0" w:space="0" w:color="auto"/>
        <w:right w:val="none" w:sz="0" w:space="0" w:color="auto"/>
      </w:divBdr>
    </w:div>
    <w:div w:id="618682119">
      <w:bodyDiv w:val="1"/>
      <w:marLeft w:val="0"/>
      <w:marRight w:val="0"/>
      <w:marTop w:val="0"/>
      <w:marBottom w:val="0"/>
      <w:divBdr>
        <w:top w:val="none" w:sz="0" w:space="0" w:color="auto"/>
        <w:left w:val="none" w:sz="0" w:space="0" w:color="auto"/>
        <w:bottom w:val="none" w:sz="0" w:space="0" w:color="auto"/>
        <w:right w:val="none" w:sz="0" w:space="0" w:color="auto"/>
      </w:divBdr>
    </w:div>
    <w:div w:id="626400988">
      <w:bodyDiv w:val="1"/>
      <w:marLeft w:val="0"/>
      <w:marRight w:val="0"/>
      <w:marTop w:val="0"/>
      <w:marBottom w:val="0"/>
      <w:divBdr>
        <w:top w:val="none" w:sz="0" w:space="0" w:color="auto"/>
        <w:left w:val="none" w:sz="0" w:space="0" w:color="auto"/>
        <w:bottom w:val="none" w:sz="0" w:space="0" w:color="auto"/>
        <w:right w:val="none" w:sz="0" w:space="0" w:color="auto"/>
      </w:divBdr>
    </w:div>
    <w:div w:id="649093800">
      <w:bodyDiv w:val="1"/>
      <w:marLeft w:val="0"/>
      <w:marRight w:val="0"/>
      <w:marTop w:val="0"/>
      <w:marBottom w:val="0"/>
      <w:divBdr>
        <w:top w:val="none" w:sz="0" w:space="0" w:color="auto"/>
        <w:left w:val="none" w:sz="0" w:space="0" w:color="auto"/>
        <w:bottom w:val="none" w:sz="0" w:space="0" w:color="auto"/>
        <w:right w:val="none" w:sz="0" w:space="0" w:color="auto"/>
      </w:divBdr>
    </w:div>
    <w:div w:id="651955301">
      <w:bodyDiv w:val="1"/>
      <w:marLeft w:val="0"/>
      <w:marRight w:val="0"/>
      <w:marTop w:val="0"/>
      <w:marBottom w:val="0"/>
      <w:divBdr>
        <w:top w:val="none" w:sz="0" w:space="0" w:color="auto"/>
        <w:left w:val="none" w:sz="0" w:space="0" w:color="auto"/>
        <w:bottom w:val="none" w:sz="0" w:space="0" w:color="auto"/>
        <w:right w:val="none" w:sz="0" w:space="0" w:color="auto"/>
      </w:divBdr>
    </w:div>
    <w:div w:id="718558141">
      <w:bodyDiv w:val="1"/>
      <w:marLeft w:val="0"/>
      <w:marRight w:val="0"/>
      <w:marTop w:val="0"/>
      <w:marBottom w:val="0"/>
      <w:divBdr>
        <w:top w:val="none" w:sz="0" w:space="0" w:color="auto"/>
        <w:left w:val="none" w:sz="0" w:space="0" w:color="auto"/>
        <w:bottom w:val="none" w:sz="0" w:space="0" w:color="auto"/>
        <w:right w:val="none" w:sz="0" w:space="0" w:color="auto"/>
      </w:divBdr>
    </w:div>
    <w:div w:id="730884659">
      <w:bodyDiv w:val="1"/>
      <w:marLeft w:val="0"/>
      <w:marRight w:val="0"/>
      <w:marTop w:val="0"/>
      <w:marBottom w:val="0"/>
      <w:divBdr>
        <w:top w:val="none" w:sz="0" w:space="0" w:color="auto"/>
        <w:left w:val="none" w:sz="0" w:space="0" w:color="auto"/>
        <w:bottom w:val="none" w:sz="0" w:space="0" w:color="auto"/>
        <w:right w:val="none" w:sz="0" w:space="0" w:color="auto"/>
      </w:divBdr>
    </w:div>
    <w:div w:id="766313976">
      <w:bodyDiv w:val="1"/>
      <w:marLeft w:val="0"/>
      <w:marRight w:val="0"/>
      <w:marTop w:val="0"/>
      <w:marBottom w:val="0"/>
      <w:divBdr>
        <w:top w:val="none" w:sz="0" w:space="0" w:color="auto"/>
        <w:left w:val="none" w:sz="0" w:space="0" w:color="auto"/>
        <w:bottom w:val="none" w:sz="0" w:space="0" w:color="auto"/>
        <w:right w:val="none" w:sz="0" w:space="0" w:color="auto"/>
      </w:divBdr>
    </w:div>
    <w:div w:id="814494078">
      <w:bodyDiv w:val="1"/>
      <w:marLeft w:val="0"/>
      <w:marRight w:val="0"/>
      <w:marTop w:val="0"/>
      <w:marBottom w:val="0"/>
      <w:divBdr>
        <w:top w:val="none" w:sz="0" w:space="0" w:color="auto"/>
        <w:left w:val="none" w:sz="0" w:space="0" w:color="auto"/>
        <w:bottom w:val="none" w:sz="0" w:space="0" w:color="auto"/>
        <w:right w:val="none" w:sz="0" w:space="0" w:color="auto"/>
      </w:divBdr>
    </w:div>
    <w:div w:id="824204063">
      <w:bodyDiv w:val="1"/>
      <w:marLeft w:val="0"/>
      <w:marRight w:val="0"/>
      <w:marTop w:val="0"/>
      <w:marBottom w:val="0"/>
      <w:divBdr>
        <w:top w:val="none" w:sz="0" w:space="0" w:color="auto"/>
        <w:left w:val="none" w:sz="0" w:space="0" w:color="auto"/>
        <w:bottom w:val="none" w:sz="0" w:space="0" w:color="auto"/>
        <w:right w:val="none" w:sz="0" w:space="0" w:color="auto"/>
      </w:divBdr>
    </w:div>
    <w:div w:id="896279642">
      <w:bodyDiv w:val="1"/>
      <w:marLeft w:val="0"/>
      <w:marRight w:val="0"/>
      <w:marTop w:val="0"/>
      <w:marBottom w:val="0"/>
      <w:divBdr>
        <w:top w:val="none" w:sz="0" w:space="0" w:color="auto"/>
        <w:left w:val="none" w:sz="0" w:space="0" w:color="auto"/>
        <w:bottom w:val="none" w:sz="0" w:space="0" w:color="auto"/>
        <w:right w:val="none" w:sz="0" w:space="0" w:color="auto"/>
      </w:divBdr>
    </w:div>
    <w:div w:id="910650949">
      <w:bodyDiv w:val="1"/>
      <w:marLeft w:val="0"/>
      <w:marRight w:val="0"/>
      <w:marTop w:val="0"/>
      <w:marBottom w:val="0"/>
      <w:divBdr>
        <w:top w:val="none" w:sz="0" w:space="0" w:color="auto"/>
        <w:left w:val="none" w:sz="0" w:space="0" w:color="auto"/>
        <w:bottom w:val="none" w:sz="0" w:space="0" w:color="auto"/>
        <w:right w:val="none" w:sz="0" w:space="0" w:color="auto"/>
      </w:divBdr>
    </w:div>
    <w:div w:id="948394257">
      <w:bodyDiv w:val="1"/>
      <w:marLeft w:val="0"/>
      <w:marRight w:val="0"/>
      <w:marTop w:val="0"/>
      <w:marBottom w:val="0"/>
      <w:divBdr>
        <w:top w:val="none" w:sz="0" w:space="0" w:color="auto"/>
        <w:left w:val="none" w:sz="0" w:space="0" w:color="auto"/>
        <w:bottom w:val="none" w:sz="0" w:space="0" w:color="auto"/>
        <w:right w:val="none" w:sz="0" w:space="0" w:color="auto"/>
      </w:divBdr>
    </w:div>
    <w:div w:id="956257038">
      <w:bodyDiv w:val="1"/>
      <w:marLeft w:val="0"/>
      <w:marRight w:val="0"/>
      <w:marTop w:val="0"/>
      <w:marBottom w:val="0"/>
      <w:divBdr>
        <w:top w:val="none" w:sz="0" w:space="0" w:color="auto"/>
        <w:left w:val="none" w:sz="0" w:space="0" w:color="auto"/>
        <w:bottom w:val="none" w:sz="0" w:space="0" w:color="auto"/>
        <w:right w:val="none" w:sz="0" w:space="0" w:color="auto"/>
      </w:divBdr>
    </w:div>
    <w:div w:id="956717641">
      <w:bodyDiv w:val="1"/>
      <w:marLeft w:val="0"/>
      <w:marRight w:val="0"/>
      <w:marTop w:val="0"/>
      <w:marBottom w:val="0"/>
      <w:divBdr>
        <w:top w:val="none" w:sz="0" w:space="0" w:color="auto"/>
        <w:left w:val="none" w:sz="0" w:space="0" w:color="auto"/>
        <w:bottom w:val="none" w:sz="0" w:space="0" w:color="auto"/>
        <w:right w:val="none" w:sz="0" w:space="0" w:color="auto"/>
      </w:divBdr>
    </w:div>
    <w:div w:id="959800193">
      <w:bodyDiv w:val="1"/>
      <w:marLeft w:val="0"/>
      <w:marRight w:val="0"/>
      <w:marTop w:val="0"/>
      <w:marBottom w:val="0"/>
      <w:divBdr>
        <w:top w:val="none" w:sz="0" w:space="0" w:color="auto"/>
        <w:left w:val="none" w:sz="0" w:space="0" w:color="auto"/>
        <w:bottom w:val="none" w:sz="0" w:space="0" w:color="auto"/>
        <w:right w:val="none" w:sz="0" w:space="0" w:color="auto"/>
      </w:divBdr>
    </w:div>
    <w:div w:id="994912066">
      <w:bodyDiv w:val="1"/>
      <w:marLeft w:val="0"/>
      <w:marRight w:val="0"/>
      <w:marTop w:val="0"/>
      <w:marBottom w:val="0"/>
      <w:divBdr>
        <w:top w:val="none" w:sz="0" w:space="0" w:color="auto"/>
        <w:left w:val="none" w:sz="0" w:space="0" w:color="auto"/>
        <w:bottom w:val="none" w:sz="0" w:space="0" w:color="auto"/>
        <w:right w:val="none" w:sz="0" w:space="0" w:color="auto"/>
      </w:divBdr>
    </w:div>
    <w:div w:id="1014650387">
      <w:bodyDiv w:val="1"/>
      <w:marLeft w:val="0"/>
      <w:marRight w:val="0"/>
      <w:marTop w:val="0"/>
      <w:marBottom w:val="0"/>
      <w:divBdr>
        <w:top w:val="none" w:sz="0" w:space="0" w:color="auto"/>
        <w:left w:val="none" w:sz="0" w:space="0" w:color="auto"/>
        <w:bottom w:val="none" w:sz="0" w:space="0" w:color="auto"/>
        <w:right w:val="none" w:sz="0" w:space="0" w:color="auto"/>
      </w:divBdr>
    </w:div>
    <w:div w:id="1019889832">
      <w:bodyDiv w:val="1"/>
      <w:marLeft w:val="0"/>
      <w:marRight w:val="0"/>
      <w:marTop w:val="0"/>
      <w:marBottom w:val="0"/>
      <w:divBdr>
        <w:top w:val="none" w:sz="0" w:space="0" w:color="auto"/>
        <w:left w:val="none" w:sz="0" w:space="0" w:color="auto"/>
        <w:bottom w:val="none" w:sz="0" w:space="0" w:color="auto"/>
        <w:right w:val="none" w:sz="0" w:space="0" w:color="auto"/>
      </w:divBdr>
    </w:div>
    <w:div w:id="1038167479">
      <w:bodyDiv w:val="1"/>
      <w:marLeft w:val="0"/>
      <w:marRight w:val="0"/>
      <w:marTop w:val="0"/>
      <w:marBottom w:val="0"/>
      <w:divBdr>
        <w:top w:val="none" w:sz="0" w:space="0" w:color="auto"/>
        <w:left w:val="none" w:sz="0" w:space="0" w:color="auto"/>
        <w:bottom w:val="none" w:sz="0" w:space="0" w:color="auto"/>
        <w:right w:val="none" w:sz="0" w:space="0" w:color="auto"/>
      </w:divBdr>
    </w:div>
    <w:div w:id="1076632016">
      <w:bodyDiv w:val="1"/>
      <w:marLeft w:val="0"/>
      <w:marRight w:val="0"/>
      <w:marTop w:val="0"/>
      <w:marBottom w:val="0"/>
      <w:divBdr>
        <w:top w:val="none" w:sz="0" w:space="0" w:color="auto"/>
        <w:left w:val="none" w:sz="0" w:space="0" w:color="auto"/>
        <w:bottom w:val="none" w:sz="0" w:space="0" w:color="auto"/>
        <w:right w:val="none" w:sz="0" w:space="0" w:color="auto"/>
      </w:divBdr>
    </w:div>
    <w:div w:id="1120682169">
      <w:bodyDiv w:val="1"/>
      <w:marLeft w:val="0"/>
      <w:marRight w:val="0"/>
      <w:marTop w:val="0"/>
      <w:marBottom w:val="0"/>
      <w:divBdr>
        <w:top w:val="none" w:sz="0" w:space="0" w:color="auto"/>
        <w:left w:val="none" w:sz="0" w:space="0" w:color="auto"/>
        <w:bottom w:val="none" w:sz="0" w:space="0" w:color="auto"/>
        <w:right w:val="none" w:sz="0" w:space="0" w:color="auto"/>
      </w:divBdr>
    </w:div>
    <w:div w:id="1123889705">
      <w:bodyDiv w:val="1"/>
      <w:marLeft w:val="0"/>
      <w:marRight w:val="0"/>
      <w:marTop w:val="0"/>
      <w:marBottom w:val="0"/>
      <w:divBdr>
        <w:top w:val="none" w:sz="0" w:space="0" w:color="auto"/>
        <w:left w:val="none" w:sz="0" w:space="0" w:color="auto"/>
        <w:bottom w:val="none" w:sz="0" w:space="0" w:color="auto"/>
        <w:right w:val="none" w:sz="0" w:space="0" w:color="auto"/>
      </w:divBdr>
    </w:div>
    <w:div w:id="1148133545">
      <w:bodyDiv w:val="1"/>
      <w:marLeft w:val="0"/>
      <w:marRight w:val="0"/>
      <w:marTop w:val="0"/>
      <w:marBottom w:val="0"/>
      <w:divBdr>
        <w:top w:val="none" w:sz="0" w:space="0" w:color="auto"/>
        <w:left w:val="none" w:sz="0" w:space="0" w:color="auto"/>
        <w:bottom w:val="none" w:sz="0" w:space="0" w:color="auto"/>
        <w:right w:val="none" w:sz="0" w:space="0" w:color="auto"/>
      </w:divBdr>
    </w:div>
    <w:div w:id="1209342418">
      <w:bodyDiv w:val="1"/>
      <w:marLeft w:val="0"/>
      <w:marRight w:val="0"/>
      <w:marTop w:val="0"/>
      <w:marBottom w:val="0"/>
      <w:divBdr>
        <w:top w:val="none" w:sz="0" w:space="0" w:color="auto"/>
        <w:left w:val="none" w:sz="0" w:space="0" w:color="auto"/>
        <w:bottom w:val="none" w:sz="0" w:space="0" w:color="auto"/>
        <w:right w:val="none" w:sz="0" w:space="0" w:color="auto"/>
      </w:divBdr>
    </w:div>
    <w:div w:id="1215849730">
      <w:bodyDiv w:val="1"/>
      <w:marLeft w:val="0"/>
      <w:marRight w:val="0"/>
      <w:marTop w:val="0"/>
      <w:marBottom w:val="0"/>
      <w:divBdr>
        <w:top w:val="none" w:sz="0" w:space="0" w:color="auto"/>
        <w:left w:val="none" w:sz="0" w:space="0" w:color="auto"/>
        <w:bottom w:val="none" w:sz="0" w:space="0" w:color="auto"/>
        <w:right w:val="none" w:sz="0" w:space="0" w:color="auto"/>
      </w:divBdr>
    </w:div>
    <w:div w:id="1258520014">
      <w:bodyDiv w:val="1"/>
      <w:marLeft w:val="0"/>
      <w:marRight w:val="0"/>
      <w:marTop w:val="0"/>
      <w:marBottom w:val="0"/>
      <w:divBdr>
        <w:top w:val="none" w:sz="0" w:space="0" w:color="auto"/>
        <w:left w:val="none" w:sz="0" w:space="0" w:color="auto"/>
        <w:bottom w:val="none" w:sz="0" w:space="0" w:color="auto"/>
        <w:right w:val="none" w:sz="0" w:space="0" w:color="auto"/>
      </w:divBdr>
    </w:div>
    <w:div w:id="1258560036">
      <w:bodyDiv w:val="1"/>
      <w:marLeft w:val="0"/>
      <w:marRight w:val="0"/>
      <w:marTop w:val="0"/>
      <w:marBottom w:val="0"/>
      <w:divBdr>
        <w:top w:val="none" w:sz="0" w:space="0" w:color="auto"/>
        <w:left w:val="none" w:sz="0" w:space="0" w:color="auto"/>
        <w:bottom w:val="none" w:sz="0" w:space="0" w:color="auto"/>
        <w:right w:val="none" w:sz="0" w:space="0" w:color="auto"/>
      </w:divBdr>
    </w:div>
    <w:div w:id="1394156694">
      <w:bodyDiv w:val="1"/>
      <w:marLeft w:val="0"/>
      <w:marRight w:val="0"/>
      <w:marTop w:val="0"/>
      <w:marBottom w:val="0"/>
      <w:divBdr>
        <w:top w:val="none" w:sz="0" w:space="0" w:color="auto"/>
        <w:left w:val="none" w:sz="0" w:space="0" w:color="auto"/>
        <w:bottom w:val="none" w:sz="0" w:space="0" w:color="auto"/>
        <w:right w:val="none" w:sz="0" w:space="0" w:color="auto"/>
      </w:divBdr>
    </w:div>
    <w:div w:id="1454593671">
      <w:bodyDiv w:val="1"/>
      <w:marLeft w:val="0"/>
      <w:marRight w:val="0"/>
      <w:marTop w:val="0"/>
      <w:marBottom w:val="0"/>
      <w:divBdr>
        <w:top w:val="none" w:sz="0" w:space="0" w:color="auto"/>
        <w:left w:val="none" w:sz="0" w:space="0" w:color="auto"/>
        <w:bottom w:val="none" w:sz="0" w:space="0" w:color="auto"/>
        <w:right w:val="none" w:sz="0" w:space="0" w:color="auto"/>
      </w:divBdr>
    </w:div>
    <w:div w:id="1543908555">
      <w:bodyDiv w:val="1"/>
      <w:marLeft w:val="0"/>
      <w:marRight w:val="0"/>
      <w:marTop w:val="0"/>
      <w:marBottom w:val="0"/>
      <w:divBdr>
        <w:top w:val="none" w:sz="0" w:space="0" w:color="auto"/>
        <w:left w:val="none" w:sz="0" w:space="0" w:color="auto"/>
        <w:bottom w:val="none" w:sz="0" w:space="0" w:color="auto"/>
        <w:right w:val="none" w:sz="0" w:space="0" w:color="auto"/>
      </w:divBdr>
    </w:div>
    <w:div w:id="1662275443">
      <w:bodyDiv w:val="1"/>
      <w:marLeft w:val="0"/>
      <w:marRight w:val="0"/>
      <w:marTop w:val="0"/>
      <w:marBottom w:val="0"/>
      <w:divBdr>
        <w:top w:val="none" w:sz="0" w:space="0" w:color="auto"/>
        <w:left w:val="none" w:sz="0" w:space="0" w:color="auto"/>
        <w:bottom w:val="none" w:sz="0" w:space="0" w:color="auto"/>
        <w:right w:val="none" w:sz="0" w:space="0" w:color="auto"/>
      </w:divBdr>
    </w:div>
    <w:div w:id="1663120440">
      <w:bodyDiv w:val="1"/>
      <w:marLeft w:val="0"/>
      <w:marRight w:val="0"/>
      <w:marTop w:val="0"/>
      <w:marBottom w:val="0"/>
      <w:divBdr>
        <w:top w:val="none" w:sz="0" w:space="0" w:color="auto"/>
        <w:left w:val="none" w:sz="0" w:space="0" w:color="auto"/>
        <w:bottom w:val="none" w:sz="0" w:space="0" w:color="auto"/>
        <w:right w:val="none" w:sz="0" w:space="0" w:color="auto"/>
      </w:divBdr>
    </w:div>
    <w:div w:id="1762212182">
      <w:bodyDiv w:val="1"/>
      <w:marLeft w:val="0"/>
      <w:marRight w:val="0"/>
      <w:marTop w:val="0"/>
      <w:marBottom w:val="0"/>
      <w:divBdr>
        <w:top w:val="none" w:sz="0" w:space="0" w:color="auto"/>
        <w:left w:val="none" w:sz="0" w:space="0" w:color="auto"/>
        <w:bottom w:val="none" w:sz="0" w:space="0" w:color="auto"/>
        <w:right w:val="none" w:sz="0" w:space="0" w:color="auto"/>
      </w:divBdr>
    </w:div>
    <w:div w:id="1828353869">
      <w:bodyDiv w:val="1"/>
      <w:marLeft w:val="0"/>
      <w:marRight w:val="0"/>
      <w:marTop w:val="0"/>
      <w:marBottom w:val="0"/>
      <w:divBdr>
        <w:top w:val="none" w:sz="0" w:space="0" w:color="auto"/>
        <w:left w:val="none" w:sz="0" w:space="0" w:color="auto"/>
        <w:bottom w:val="none" w:sz="0" w:space="0" w:color="auto"/>
        <w:right w:val="none" w:sz="0" w:space="0" w:color="auto"/>
      </w:divBdr>
    </w:div>
    <w:div w:id="1850176112">
      <w:bodyDiv w:val="1"/>
      <w:marLeft w:val="0"/>
      <w:marRight w:val="0"/>
      <w:marTop w:val="0"/>
      <w:marBottom w:val="0"/>
      <w:divBdr>
        <w:top w:val="none" w:sz="0" w:space="0" w:color="auto"/>
        <w:left w:val="none" w:sz="0" w:space="0" w:color="auto"/>
        <w:bottom w:val="none" w:sz="0" w:space="0" w:color="auto"/>
        <w:right w:val="none" w:sz="0" w:space="0" w:color="auto"/>
      </w:divBdr>
    </w:div>
    <w:div w:id="1854026453">
      <w:bodyDiv w:val="1"/>
      <w:marLeft w:val="0"/>
      <w:marRight w:val="0"/>
      <w:marTop w:val="0"/>
      <w:marBottom w:val="0"/>
      <w:divBdr>
        <w:top w:val="none" w:sz="0" w:space="0" w:color="auto"/>
        <w:left w:val="none" w:sz="0" w:space="0" w:color="auto"/>
        <w:bottom w:val="none" w:sz="0" w:space="0" w:color="auto"/>
        <w:right w:val="none" w:sz="0" w:space="0" w:color="auto"/>
      </w:divBdr>
    </w:div>
    <w:div w:id="1886791606">
      <w:bodyDiv w:val="1"/>
      <w:marLeft w:val="0"/>
      <w:marRight w:val="0"/>
      <w:marTop w:val="0"/>
      <w:marBottom w:val="0"/>
      <w:divBdr>
        <w:top w:val="none" w:sz="0" w:space="0" w:color="auto"/>
        <w:left w:val="none" w:sz="0" w:space="0" w:color="auto"/>
        <w:bottom w:val="none" w:sz="0" w:space="0" w:color="auto"/>
        <w:right w:val="none" w:sz="0" w:space="0" w:color="auto"/>
      </w:divBdr>
    </w:div>
    <w:div w:id="1926528502">
      <w:bodyDiv w:val="1"/>
      <w:marLeft w:val="0"/>
      <w:marRight w:val="0"/>
      <w:marTop w:val="0"/>
      <w:marBottom w:val="0"/>
      <w:divBdr>
        <w:top w:val="none" w:sz="0" w:space="0" w:color="auto"/>
        <w:left w:val="none" w:sz="0" w:space="0" w:color="auto"/>
        <w:bottom w:val="none" w:sz="0" w:space="0" w:color="auto"/>
        <w:right w:val="none" w:sz="0" w:space="0" w:color="auto"/>
      </w:divBdr>
    </w:div>
    <w:div w:id="1927954257">
      <w:bodyDiv w:val="1"/>
      <w:marLeft w:val="0"/>
      <w:marRight w:val="0"/>
      <w:marTop w:val="0"/>
      <w:marBottom w:val="0"/>
      <w:divBdr>
        <w:top w:val="none" w:sz="0" w:space="0" w:color="auto"/>
        <w:left w:val="none" w:sz="0" w:space="0" w:color="auto"/>
        <w:bottom w:val="none" w:sz="0" w:space="0" w:color="auto"/>
        <w:right w:val="none" w:sz="0" w:space="0" w:color="auto"/>
      </w:divBdr>
    </w:div>
    <w:div w:id="2041512131">
      <w:bodyDiv w:val="1"/>
      <w:marLeft w:val="0"/>
      <w:marRight w:val="0"/>
      <w:marTop w:val="0"/>
      <w:marBottom w:val="0"/>
      <w:divBdr>
        <w:top w:val="none" w:sz="0" w:space="0" w:color="auto"/>
        <w:left w:val="none" w:sz="0" w:space="0" w:color="auto"/>
        <w:bottom w:val="none" w:sz="0" w:space="0" w:color="auto"/>
        <w:right w:val="none" w:sz="0" w:space="0" w:color="auto"/>
      </w:divBdr>
    </w:div>
    <w:div w:id="2073186980">
      <w:bodyDiv w:val="1"/>
      <w:marLeft w:val="0"/>
      <w:marRight w:val="0"/>
      <w:marTop w:val="0"/>
      <w:marBottom w:val="0"/>
      <w:divBdr>
        <w:top w:val="none" w:sz="0" w:space="0" w:color="auto"/>
        <w:left w:val="none" w:sz="0" w:space="0" w:color="auto"/>
        <w:bottom w:val="none" w:sz="0" w:space="0" w:color="auto"/>
        <w:right w:val="none" w:sz="0" w:space="0" w:color="auto"/>
      </w:divBdr>
    </w:div>
    <w:div w:id="210037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rmativa@superfinanciera.gov.c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E9AF2439FA7E4E988314C44DB5AA59" ma:contentTypeVersion="4" ma:contentTypeDescription="Create a new document." ma:contentTypeScope="" ma:versionID="e4ca84b3526efdc74876c522bd5d3891">
  <xsd:schema xmlns:xsd="http://www.w3.org/2001/XMLSchema" xmlns:xs="http://www.w3.org/2001/XMLSchema" xmlns:p="http://schemas.microsoft.com/office/2006/metadata/properties" xmlns:ns2="95a0a79e-7ff5-48b1-9982-9626409a05d1" targetNamespace="http://schemas.microsoft.com/office/2006/metadata/properties" ma:root="true" ma:fieldsID="f5dc7ee70215a85e5a0633e22a201fe4" ns2:_="">
    <xsd:import namespace="95a0a79e-7ff5-48b1-9982-9626409a05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0a79e-7ff5-48b1-9982-9626409a0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FECED-C89D-4D58-9EA1-17AF7E912C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D4273C-3247-4797-9E5F-78C1C25CD9F4}">
  <ds:schemaRefs>
    <ds:schemaRef ds:uri="http://schemas.openxmlformats.org/officeDocument/2006/bibliography"/>
  </ds:schemaRefs>
</ds:datastoreItem>
</file>

<file path=customXml/itemProps3.xml><?xml version="1.0" encoding="utf-8"?>
<ds:datastoreItem xmlns:ds="http://schemas.openxmlformats.org/officeDocument/2006/customXml" ds:itemID="{E309F3A2-8484-40F5-B6A9-29F7369D7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0a79e-7ff5-48b1-9982-9626409a05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6DFC0B-CEA2-4553-8277-E0E9053F7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5068</Words>
  <Characters>25989</Characters>
  <Application>Microsoft Office Word</Application>
  <DocSecurity>0</DocSecurity>
  <Lines>636</Lines>
  <Paragraphs>102</Paragraphs>
  <ScaleCrop>false</ScaleCrop>
  <Company/>
  <LinksUpToDate>false</LinksUpToDate>
  <CharactersWithSpaces>31003</CharactersWithSpaces>
  <SharedDoc>false</SharedDoc>
  <HLinks>
    <vt:vector size="6" baseType="variant">
      <vt:variant>
        <vt:i4>8060936</vt:i4>
      </vt:variant>
      <vt:variant>
        <vt:i4>0</vt:i4>
      </vt:variant>
      <vt:variant>
        <vt:i4>0</vt:i4>
      </vt:variant>
      <vt:variant>
        <vt:i4>5</vt:i4>
      </vt:variant>
      <vt:variant>
        <vt:lpwstr>mailto:normativa@superfinanciera.gov.co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Superintendencia Financiera </cp:lastModifiedBy>
  <cp:revision>3</cp:revision>
  <cp:lastPrinted>2024-10-01T04:58:00Z</cp:lastPrinted>
  <dcterms:created xsi:type="dcterms:W3CDTF">2026-03-10T22:12:00Z</dcterms:created>
  <dcterms:modified xsi:type="dcterms:W3CDTF">2026-03-10T22:18:00Z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0x01010008E9AF2439FA7E4E988314C44DB5AA59</vt:lpwstr>
  </property>
  <property fmtid="{D5CDD505-2E9C-101B-9397-08002B2CF9AE}" pid="3" name="Order">
    <vt:r8>17300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