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0ED56" w14:textId="242FB900" w:rsidR="009B10DD" w:rsidRPr="0000300D" w:rsidRDefault="002D7E77" w:rsidP="009A3C98">
      <w:pPr>
        <w:pStyle w:val="Normalarial"/>
        <w:rPr>
          <w:rFonts w:cs="Arial"/>
          <w:b/>
          <w:bCs/>
          <w:sz w:val="22"/>
          <w:szCs w:val="22"/>
          <w:lang w:val="pt-PT"/>
        </w:rPr>
      </w:pPr>
      <w:r w:rsidRPr="0000300D">
        <w:rPr>
          <w:rFonts w:cs="Arial"/>
          <w:b/>
          <w:bCs/>
          <w:sz w:val="22"/>
          <w:szCs w:val="22"/>
          <w:lang w:val="pt-PT"/>
        </w:rPr>
        <w:t>DIA_S-MES_S-ANHO_S</w:t>
      </w:r>
    </w:p>
    <w:p w14:paraId="436A443A" w14:textId="77777777" w:rsidR="00FC1512" w:rsidRPr="0000300D" w:rsidRDefault="00FC1512" w:rsidP="009A3C98">
      <w:pPr>
        <w:pStyle w:val="Normalarial"/>
        <w:rPr>
          <w:rFonts w:cs="Arial"/>
          <w:b/>
          <w:spacing w:val="30"/>
          <w:position w:val="6"/>
          <w:sz w:val="22"/>
          <w:szCs w:val="22"/>
          <w:lang w:val="pt-PT"/>
        </w:rPr>
      </w:pPr>
    </w:p>
    <w:p w14:paraId="448330FF" w14:textId="29FB3EBA" w:rsidR="00BE718C" w:rsidRPr="0000300D" w:rsidRDefault="003461B2" w:rsidP="009A3C98">
      <w:pPr>
        <w:pStyle w:val="Normalarial"/>
        <w:jc w:val="both"/>
        <w:rPr>
          <w:rFonts w:cs="Arial"/>
          <w:sz w:val="22"/>
          <w:szCs w:val="22"/>
        </w:rPr>
      </w:pPr>
      <w:r w:rsidRPr="0000300D">
        <w:rPr>
          <w:rFonts w:cs="Arial"/>
          <w:b/>
          <w:sz w:val="22"/>
          <w:szCs w:val="22"/>
        </w:rPr>
        <w:t>PARA:</w:t>
      </w:r>
      <w:r w:rsidRPr="0000300D">
        <w:rPr>
          <w:rFonts w:cs="Arial"/>
          <w:sz w:val="22"/>
          <w:szCs w:val="22"/>
        </w:rPr>
        <w:t xml:space="preserve"> </w:t>
      </w:r>
      <w:r w:rsidR="00BE718C" w:rsidRPr="00551D53">
        <w:rPr>
          <w:rFonts w:cs="Arial"/>
          <w:sz w:val="22"/>
          <w:szCs w:val="22"/>
          <w:highlight w:val="yellow"/>
        </w:rPr>
        <w:t>ENTIDADES PROMOTORAS DE SALUD DE LOS REGÍMENES</w:t>
      </w:r>
      <w:r w:rsidR="00BE718C" w:rsidRPr="0000300D">
        <w:rPr>
          <w:rFonts w:cs="Arial"/>
          <w:sz w:val="22"/>
          <w:szCs w:val="22"/>
        </w:rPr>
        <w:t xml:space="preserve"> CONTRIBUTIVO Y SUBSIDIADO,</w:t>
      </w:r>
      <w:r w:rsidR="00F33B87" w:rsidRPr="0000300D">
        <w:rPr>
          <w:rFonts w:cs="Arial"/>
          <w:sz w:val="22"/>
          <w:szCs w:val="22"/>
        </w:rPr>
        <w:t xml:space="preserve"> </w:t>
      </w:r>
      <w:r w:rsidR="003B4B9D" w:rsidRPr="0000300D">
        <w:rPr>
          <w:rFonts w:cs="Arial"/>
          <w:sz w:val="22"/>
          <w:szCs w:val="22"/>
        </w:rPr>
        <w:t>INCLUIDAS LAS EPSI</w:t>
      </w:r>
      <w:r w:rsidR="00C63B7B" w:rsidRPr="0000300D">
        <w:rPr>
          <w:rFonts w:cs="Arial"/>
          <w:sz w:val="22"/>
          <w:szCs w:val="22"/>
        </w:rPr>
        <w:t>,</w:t>
      </w:r>
      <w:r w:rsidR="00BE718C" w:rsidRPr="0000300D">
        <w:rPr>
          <w:rFonts w:cs="Arial"/>
          <w:sz w:val="22"/>
          <w:szCs w:val="22"/>
        </w:rPr>
        <w:t xml:space="preserve"> ENTIDADES ADAPTADAS DE SALUD, ENTIDADES PERTENECIENTES A LOS REGÍMENES ESPECIAL Y DE EXCEPCIÓN,</w:t>
      </w:r>
      <w:r w:rsidR="003B4B9D" w:rsidRPr="0000300D">
        <w:rPr>
          <w:rFonts w:cs="Arial"/>
          <w:sz w:val="22"/>
          <w:szCs w:val="22"/>
        </w:rPr>
        <w:t xml:space="preserve"> </w:t>
      </w:r>
      <w:r w:rsidR="001E5F3F" w:rsidRPr="00551D53">
        <w:rPr>
          <w:rFonts w:cs="Arial"/>
          <w:sz w:val="22"/>
          <w:szCs w:val="22"/>
          <w:highlight w:val="yellow"/>
        </w:rPr>
        <w:t>EMPRESAS ADMINISTRADORAS DE PLANES VOLUNTARIOS DE SALUD</w:t>
      </w:r>
      <w:r w:rsidR="001E5F3F" w:rsidRPr="0000300D">
        <w:rPr>
          <w:rFonts w:cs="Arial"/>
          <w:sz w:val="22"/>
          <w:szCs w:val="22"/>
        </w:rPr>
        <w:t xml:space="preserve">, FONDO NACIONAL DE SALUD DE LAS PERSONAS PRIVADAS DE LA LIBERTAD, </w:t>
      </w:r>
      <w:r w:rsidR="00BE718C" w:rsidRPr="0000300D">
        <w:rPr>
          <w:rFonts w:cs="Arial"/>
          <w:sz w:val="22"/>
          <w:szCs w:val="22"/>
        </w:rPr>
        <w:t>ENTIDADES TERRITORIALES</w:t>
      </w:r>
      <w:r w:rsidR="00E36549" w:rsidRPr="0000300D">
        <w:rPr>
          <w:rFonts w:cs="Arial"/>
          <w:sz w:val="22"/>
          <w:szCs w:val="22"/>
        </w:rPr>
        <w:t>,</w:t>
      </w:r>
      <w:r w:rsidR="00BE718C" w:rsidRPr="0000300D">
        <w:rPr>
          <w:rFonts w:cs="Arial"/>
          <w:sz w:val="22"/>
          <w:szCs w:val="22"/>
        </w:rPr>
        <w:t xml:space="preserve"> </w:t>
      </w:r>
      <w:r w:rsidR="00BE718C" w:rsidRPr="00551D53">
        <w:rPr>
          <w:rFonts w:cs="Arial"/>
          <w:sz w:val="22"/>
          <w:szCs w:val="22"/>
          <w:highlight w:val="yellow"/>
        </w:rPr>
        <w:t>INSTITUCIONES PRESTADORAS DE SERVICIO</w:t>
      </w:r>
      <w:r w:rsidR="00453A69" w:rsidRPr="00551D53">
        <w:rPr>
          <w:rFonts w:cs="Arial"/>
          <w:sz w:val="22"/>
          <w:szCs w:val="22"/>
          <w:highlight w:val="yellow"/>
        </w:rPr>
        <w:t>S</w:t>
      </w:r>
      <w:r w:rsidR="00BE718C" w:rsidRPr="00551D53">
        <w:rPr>
          <w:rFonts w:cs="Arial"/>
          <w:sz w:val="22"/>
          <w:szCs w:val="22"/>
          <w:highlight w:val="yellow"/>
        </w:rPr>
        <w:t xml:space="preserve"> DE SALU</w:t>
      </w:r>
      <w:r w:rsidR="00E36549" w:rsidRPr="00551D53">
        <w:rPr>
          <w:rFonts w:cs="Arial"/>
          <w:sz w:val="22"/>
          <w:szCs w:val="22"/>
          <w:highlight w:val="yellow"/>
        </w:rPr>
        <w:t>D Y GESTORES FARMACEUTICOS.</w:t>
      </w:r>
    </w:p>
    <w:p w14:paraId="4717F680" w14:textId="77777777" w:rsidR="00254CF7" w:rsidRPr="0000300D" w:rsidRDefault="00254CF7" w:rsidP="009A3C98">
      <w:pPr>
        <w:pStyle w:val="Normalarial"/>
        <w:jc w:val="both"/>
        <w:rPr>
          <w:rFonts w:cs="Arial"/>
          <w:b/>
          <w:sz w:val="22"/>
          <w:szCs w:val="22"/>
        </w:rPr>
      </w:pPr>
    </w:p>
    <w:p w14:paraId="485B117F" w14:textId="5E3AFB87" w:rsidR="003461B2" w:rsidRPr="0000300D" w:rsidRDefault="003461B2" w:rsidP="009A3C98">
      <w:pPr>
        <w:pStyle w:val="Normalarial"/>
        <w:jc w:val="both"/>
        <w:rPr>
          <w:rFonts w:cs="Arial"/>
          <w:sz w:val="22"/>
          <w:szCs w:val="22"/>
        </w:rPr>
      </w:pPr>
      <w:r w:rsidRPr="0000300D">
        <w:rPr>
          <w:rFonts w:cs="Arial"/>
          <w:b/>
          <w:sz w:val="22"/>
          <w:szCs w:val="22"/>
        </w:rPr>
        <w:t>DE:</w:t>
      </w:r>
      <w:r w:rsidRPr="0000300D">
        <w:rPr>
          <w:rFonts w:cs="Arial"/>
          <w:sz w:val="22"/>
          <w:szCs w:val="22"/>
        </w:rPr>
        <w:t xml:space="preserve"> </w:t>
      </w:r>
      <w:r w:rsidR="002C6E85" w:rsidRPr="0000300D">
        <w:rPr>
          <w:rFonts w:cs="Arial"/>
          <w:sz w:val="22"/>
          <w:szCs w:val="22"/>
        </w:rPr>
        <w:t>SUPERINTENDENCIA NACIONAL DE SALUD</w:t>
      </w:r>
      <w:r w:rsidR="007E43D2" w:rsidRPr="0000300D">
        <w:rPr>
          <w:rFonts w:cs="Arial"/>
          <w:sz w:val="22"/>
          <w:szCs w:val="22"/>
        </w:rPr>
        <w:t>.</w:t>
      </w:r>
    </w:p>
    <w:p w14:paraId="4133021C" w14:textId="77777777" w:rsidR="00254CF7" w:rsidRPr="0000300D" w:rsidRDefault="00254CF7" w:rsidP="009A3C98">
      <w:pPr>
        <w:pStyle w:val="Normalarial"/>
        <w:jc w:val="both"/>
        <w:rPr>
          <w:rFonts w:cs="Arial"/>
          <w:sz w:val="22"/>
          <w:szCs w:val="22"/>
        </w:rPr>
      </w:pPr>
    </w:p>
    <w:p w14:paraId="598F2293" w14:textId="6EBA7587" w:rsidR="00BE718C" w:rsidRPr="0000300D" w:rsidRDefault="003461B2" w:rsidP="00BE718C">
      <w:pPr>
        <w:pStyle w:val="Normalarial"/>
        <w:jc w:val="both"/>
        <w:rPr>
          <w:rFonts w:cs="Arial"/>
          <w:sz w:val="22"/>
          <w:szCs w:val="22"/>
          <w:lang w:val="es-CO"/>
        </w:rPr>
      </w:pPr>
      <w:r w:rsidRPr="0000300D">
        <w:rPr>
          <w:rFonts w:cs="Arial"/>
          <w:b/>
          <w:sz w:val="22"/>
          <w:szCs w:val="22"/>
        </w:rPr>
        <w:t>ASUNTO:</w:t>
      </w:r>
      <w:r w:rsidRPr="0000300D">
        <w:rPr>
          <w:rFonts w:cs="Arial"/>
          <w:sz w:val="22"/>
          <w:szCs w:val="22"/>
        </w:rPr>
        <w:t xml:space="preserve"> </w:t>
      </w:r>
      <w:r w:rsidR="00242DFB" w:rsidRPr="0000300D">
        <w:rPr>
          <w:rFonts w:cs="Arial"/>
          <w:sz w:val="22"/>
          <w:szCs w:val="22"/>
        </w:rPr>
        <w:t xml:space="preserve">INSTRUCCIONES PARA </w:t>
      </w:r>
      <w:r w:rsidR="00E16367" w:rsidRPr="0000300D">
        <w:rPr>
          <w:rFonts w:cs="Arial"/>
          <w:sz w:val="22"/>
          <w:szCs w:val="22"/>
        </w:rPr>
        <w:t xml:space="preserve">GARANTIZAR LA PROTECCIÓN DE LA </w:t>
      </w:r>
      <w:r w:rsidR="00242DFB" w:rsidRPr="0000300D">
        <w:rPr>
          <w:rFonts w:cs="Arial"/>
          <w:sz w:val="22"/>
          <w:szCs w:val="22"/>
        </w:rPr>
        <w:t xml:space="preserve">SALUD </w:t>
      </w:r>
      <w:r w:rsidR="002A409C" w:rsidRPr="0000300D">
        <w:rPr>
          <w:rFonts w:cs="Arial"/>
          <w:bCs/>
          <w:sz w:val="22"/>
          <w:szCs w:val="22"/>
        </w:rPr>
        <w:t xml:space="preserve">PARA NIÑOS, NIÑAS Y ADOLESCENTES </w:t>
      </w:r>
      <w:r w:rsidR="0000300D" w:rsidRPr="0000300D">
        <w:rPr>
          <w:rFonts w:cs="Arial"/>
          <w:bCs/>
          <w:sz w:val="22"/>
          <w:szCs w:val="22"/>
        </w:rPr>
        <w:t>CON RIESGO VITAL</w:t>
      </w:r>
      <w:r w:rsidR="002A409C" w:rsidRPr="0000300D">
        <w:rPr>
          <w:rFonts w:cs="Arial"/>
          <w:sz w:val="22"/>
          <w:szCs w:val="22"/>
        </w:rPr>
        <w:t>.</w:t>
      </w:r>
    </w:p>
    <w:p w14:paraId="68BB1F02" w14:textId="632E5790" w:rsidR="003461B2" w:rsidRPr="0000300D" w:rsidRDefault="003461B2" w:rsidP="009A3C98">
      <w:pPr>
        <w:pStyle w:val="Normalarial"/>
        <w:jc w:val="both"/>
        <w:rPr>
          <w:rFonts w:cs="Arial"/>
          <w:sz w:val="22"/>
          <w:szCs w:val="22"/>
        </w:rPr>
      </w:pPr>
    </w:p>
    <w:p w14:paraId="6DA182D0" w14:textId="68DE7D28" w:rsidR="003461B2" w:rsidRPr="0000300D" w:rsidRDefault="003461B2" w:rsidP="009A3C98">
      <w:pPr>
        <w:pStyle w:val="Normalarial"/>
        <w:jc w:val="both"/>
        <w:rPr>
          <w:rFonts w:cs="Arial"/>
          <w:b/>
          <w:sz w:val="22"/>
          <w:szCs w:val="22"/>
          <w:lang w:val="pt-PT"/>
        </w:rPr>
      </w:pPr>
      <w:r w:rsidRPr="0000300D">
        <w:rPr>
          <w:rFonts w:cs="Arial"/>
          <w:b/>
          <w:sz w:val="22"/>
          <w:szCs w:val="22"/>
          <w:lang w:val="pt-PT"/>
        </w:rPr>
        <w:t>FECHA:</w:t>
      </w:r>
      <w:r w:rsidR="006D4F0D" w:rsidRPr="0000300D">
        <w:rPr>
          <w:rFonts w:cs="Arial"/>
          <w:b/>
          <w:sz w:val="22"/>
          <w:szCs w:val="22"/>
          <w:lang w:val="pt-PT"/>
        </w:rPr>
        <w:t xml:space="preserve"> </w:t>
      </w:r>
      <w:r w:rsidR="002D7E77" w:rsidRPr="0000300D">
        <w:rPr>
          <w:rFonts w:cs="Arial"/>
          <w:b/>
          <w:bCs/>
          <w:sz w:val="22"/>
          <w:szCs w:val="22"/>
          <w:lang w:val="pt-PT"/>
        </w:rPr>
        <w:t>DIA_S-MES_S-ANHO_S</w:t>
      </w:r>
    </w:p>
    <w:p w14:paraId="682465C3" w14:textId="77777777" w:rsidR="003461B2" w:rsidRPr="0000300D" w:rsidRDefault="003461B2" w:rsidP="009A3C98">
      <w:pPr>
        <w:pStyle w:val="Normalarial"/>
        <w:jc w:val="both"/>
        <w:rPr>
          <w:rFonts w:cs="Arial"/>
          <w:sz w:val="22"/>
          <w:szCs w:val="22"/>
          <w:lang w:val="pt-PT"/>
        </w:rPr>
      </w:pPr>
    </w:p>
    <w:p w14:paraId="5760E1F3" w14:textId="77777777" w:rsidR="003461B2" w:rsidRPr="0000300D" w:rsidRDefault="003461B2" w:rsidP="009A3C98">
      <w:pPr>
        <w:pStyle w:val="Normalarial"/>
        <w:jc w:val="both"/>
        <w:rPr>
          <w:rFonts w:cs="Arial"/>
          <w:sz w:val="22"/>
          <w:szCs w:val="22"/>
          <w:lang w:val="pt-PT"/>
        </w:rPr>
      </w:pPr>
    </w:p>
    <w:p w14:paraId="3AC907A3" w14:textId="461F23EA" w:rsidR="00D55D16" w:rsidRPr="0000300D" w:rsidRDefault="00BE718C" w:rsidP="009A3C98">
      <w:pPr>
        <w:pStyle w:val="Normalarial"/>
        <w:jc w:val="both"/>
        <w:rPr>
          <w:rFonts w:cs="Arial"/>
          <w:sz w:val="22"/>
          <w:szCs w:val="22"/>
        </w:rPr>
      </w:pPr>
      <w:r w:rsidRPr="0000300D">
        <w:rPr>
          <w:rFonts w:cs="Arial"/>
          <w:b/>
          <w:bCs/>
          <w:sz w:val="22"/>
          <w:szCs w:val="22"/>
        </w:rPr>
        <w:t>I.</w:t>
      </w:r>
      <w:r w:rsidRPr="0000300D">
        <w:rPr>
          <w:rFonts w:cs="Arial"/>
          <w:sz w:val="22"/>
          <w:szCs w:val="22"/>
        </w:rPr>
        <w:t> </w:t>
      </w:r>
      <w:r w:rsidRPr="0000300D">
        <w:rPr>
          <w:rFonts w:cs="Arial"/>
          <w:b/>
          <w:bCs/>
          <w:sz w:val="22"/>
          <w:szCs w:val="22"/>
        </w:rPr>
        <w:t>ANTECEDENTES</w:t>
      </w:r>
    </w:p>
    <w:p w14:paraId="4D36C252" w14:textId="77777777" w:rsidR="005753FE" w:rsidRPr="0000300D" w:rsidRDefault="005753FE" w:rsidP="009A3C98">
      <w:pPr>
        <w:pStyle w:val="Normalarial"/>
        <w:jc w:val="both"/>
        <w:rPr>
          <w:rFonts w:cs="Arial"/>
          <w:sz w:val="22"/>
          <w:szCs w:val="22"/>
        </w:rPr>
      </w:pPr>
    </w:p>
    <w:p w14:paraId="604B21B7" w14:textId="77777777" w:rsidR="00B02F47" w:rsidRPr="0000300D" w:rsidRDefault="00B02F47" w:rsidP="00B02F47">
      <w:pPr>
        <w:pStyle w:val="Normalarial"/>
        <w:jc w:val="both"/>
        <w:rPr>
          <w:rFonts w:cs="Arial"/>
          <w:sz w:val="22"/>
          <w:szCs w:val="22"/>
        </w:rPr>
      </w:pPr>
      <w:r w:rsidRPr="0000300D">
        <w:rPr>
          <w:rFonts w:cs="Arial"/>
          <w:sz w:val="22"/>
          <w:szCs w:val="22"/>
        </w:rPr>
        <w:t xml:space="preserve">La Constitución Política consagra en el artículo 44 el principio de prevalencia de los derechos de los niños, niñas y adolescentes, elevándolos a un rango superior y ordenando que sus derechos fundamentales primen sobre los derechos de los demás integrantes de la sociedad. </w:t>
      </w:r>
    </w:p>
    <w:p w14:paraId="5C2A622A" w14:textId="77777777" w:rsidR="00E35C07" w:rsidRPr="0000300D" w:rsidRDefault="00E35C07" w:rsidP="00B02F47">
      <w:pPr>
        <w:pStyle w:val="Normalarial"/>
        <w:jc w:val="both"/>
        <w:rPr>
          <w:rFonts w:cs="Arial"/>
          <w:sz w:val="22"/>
          <w:szCs w:val="22"/>
        </w:rPr>
      </w:pPr>
    </w:p>
    <w:p w14:paraId="0E29B380" w14:textId="750144AB" w:rsidR="00E35C07" w:rsidRPr="0000300D" w:rsidRDefault="00E35C07" w:rsidP="00E35C07">
      <w:pPr>
        <w:pStyle w:val="Normalarial"/>
        <w:jc w:val="both"/>
        <w:rPr>
          <w:rFonts w:cs="Arial"/>
          <w:sz w:val="22"/>
          <w:szCs w:val="22"/>
        </w:rPr>
      </w:pPr>
      <w:r w:rsidRPr="0000300D">
        <w:rPr>
          <w:rFonts w:cs="Arial"/>
          <w:sz w:val="22"/>
          <w:szCs w:val="22"/>
        </w:rPr>
        <w:t xml:space="preserve">La Superintendencia Nacional de Salud en ejercicio de las funciones de </w:t>
      </w:r>
      <w:r w:rsidR="00C53C1A" w:rsidRPr="0000300D">
        <w:rPr>
          <w:rFonts w:cs="Arial"/>
          <w:sz w:val="22"/>
          <w:szCs w:val="22"/>
        </w:rPr>
        <w:t>Inspección</w:t>
      </w:r>
      <w:r w:rsidRPr="0000300D">
        <w:rPr>
          <w:rFonts w:cs="Arial"/>
          <w:sz w:val="22"/>
          <w:szCs w:val="22"/>
        </w:rPr>
        <w:t xml:space="preserve">, </w:t>
      </w:r>
      <w:r w:rsidR="00C53C1A" w:rsidRPr="0000300D">
        <w:rPr>
          <w:rFonts w:cs="Arial"/>
          <w:sz w:val="22"/>
          <w:szCs w:val="22"/>
        </w:rPr>
        <w:t xml:space="preserve">Vigilancia </w:t>
      </w:r>
      <w:r w:rsidRPr="0000300D">
        <w:rPr>
          <w:rFonts w:cs="Arial"/>
          <w:sz w:val="22"/>
          <w:szCs w:val="22"/>
        </w:rPr>
        <w:t xml:space="preserve">y </w:t>
      </w:r>
      <w:r w:rsidR="00C53C1A" w:rsidRPr="0000300D">
        <w:rPr>
          <w:rFonts w:cs="Arial"/>
          <w:sz w:val="22"/>
          <w:szCs w:val="22"/>
        </w:rPr>
        <w:t xml:space="preserve">Control </w:t>
      </w:r>
      <w:r w:rsidRPr="0000300D">
        <w:rPr>
          <w:rFonts w:cs="Arial"/>
          <w:sz w:val="22"/>
          <w:szCs w:val="22"/>
        </w:rPr>
        <w:t>expidió la Circular Externa </w:t>
      </w:r>
      <w:r w:rsidR="00702D5A" w:rsidRPr="0000300D">
        <w:rPr>
          <w:rFonts w:cs="Arial"/>
          <w:sz w:val="22"/>
          <w:szCs w:val="22"/>
        </w:rPr>
        <w:t>0</w:t>
      </w:r>
      <w:hyperlink r:id="rId13" w:history="1">
        <w:r w:rsidRPr="0000300D">
          <w:rPr>
            <w:rFonts w:cs="Arial"/>
            <w:sz w:val="22"/>
            <w:szCs w:val="22"/>
          </w:rPr>
          <w:t>47</w:t>
        </w:r>
      </w:hyperlink>
      <w:r w:rsidRPr="0000300D">
        <w:rPr>
          <w:rFonts w:cs="Arial"/>
          <w:sz w:val="22"/>
          <w:szCs w:val="22"/>
        </w:rPr>
        <w:t xml:space="preserve"> de 2007- Circular Única, mediante la cual se establecieron y unificaron las instrucciones generales y obligaciones de reporte de información para las entidades vigiladas por esta. </w:t>
      </w:r>
    </w:p>
    <w:p w14:paraId="7CFBF63B" w14:textId="77777777" w:rsidR="00B02F47" w:rsidRPr="0000300D" w:rsidRDefault="00B02F47" w:rsidP="009A3C98">
      <w:pPr>
        <w:pStyle w:val="Normalarial"/>
        <w:jc w:val="both"/>
        <w:rPr>
          <w:rFonts w:cs="Arial"/>
          <w:sz w:val="22"/>
          <w:szCs w:val="22"/>
        </w:rPr>
      </w:pPr>
    </w:p>
    <w:p w14:paraId="38EEA535" w14:textId="72AC26E7" w:rsidR="00E35C07" w:rsidRPr="0000300D" w:rsidRDefault="00E35C07" w:rsidP="00E35C07">
      <w:pPr>
        <w:pStyle w:val="Normalarial"/>
        <w:jc w:val="both"/>
        <w:rPr>
          <w:rFonts w:cs="Arial"/>
          <w:sz w:val="22"/>
          <w:szCs w:val="22"/>
        </w:rPr>
      </w:pPr>
      <w:r w:rsidRPr="0000300D">
        <w:rPr>
          <w:rFonts w:cs="Arial"/>
          <w:sz w:val="22"/>
          <w:szCs w:val="22"/>
        </w:rPr>
        <w:t xml:space="preserve">El artículo 20 de la Ley 1437 de 2011, establece que las autoridades deberán otorgar atención prioritaria a las peticiones orientadas al reconocimiento o protección de derechos fundamentales cuando su resolución resulte necesaria para evitar la ocurrencia de un perjuicio irremediable. De igual forma, cuando exista peligro inminente para la vida o la integridad personal por razones de salud, para lo cual le corresponde adoptar de manera inmediata las medidas urgentes necesarias para conjurar dicho riesgo. </w:t>
      </w:r>
    </w:p>
    <w:p w14:paraId="49907B1E" w14:textId="77777777" w:rsidR="008B7659" w:rsidRPr="0000300D" w:rsidRDefault="008B7659" w:rsidP="00E35C07">
      <w:pPr>
        <w:pStyle w:val="Normalarial"/>
        <w:jc w:val="both"/>
        <w:rPr>
          <w:rFonts w:cs="Arial"/>
          <w:sz w:val="22"/>
          <w:szCs w:val="22"/>
        </w:rPr>
      </w:pPr>
    </w:p>
    <w:p w14:paraId="358F11CA" w14:textId="77777777" w:rsidR="008B7659" w:rsidRPr="0000300D" w:rsidRDefault="008B7659" w:rsidP="008B7659">
      <w:pPr>
        <w:pStyle w:val="Normalarial"/>
        <w:jc w:val="both"/>
        <w:rPr>
          <w:rFonts w:cs="Arial"/>
          <w:sz w:val="22"/>
          <w:szCs w:val="22"/>
        </w:rPr>
      </w:pPr>
      <w:r w:rsidRPr="0000300D">
        <w:rPr>
          <w:rFonts w:cs="Arial"/>
          <w:sz w:val="22"/>
          <w:szCs w:val="22"/>
        </w:rPr>
        <w:t>La Ley Estatutaria 1751 de 2015 en los artículos 2 y 11 reconoce la salud como un derecho fundamental autónomo y establece que los niños, niñas y adolescentes son sujetos de especial protección, por lo que deben gozar de atención prioritaria por parte del Estado y, consecuentemente, la misma norma en el literal f) del artículo 6 consagra el principio de prevalencia de derechos, que obliga a la adopción de medidas específicas para garantizar su atención integral conforme a los ciclos vitales, y dispone, además, que la prestación de servicios de salud a esta población no podrá ser objeto de restricciones administrativas o económicas, promoviendo la implementación de rutas de atención intersectoriales e interdisciplinarias que aseguren su bienestar.</w:t>
      </w:r>
    </w:p>
    <w:p w14:paraId="46D00650" w14:textId="77777777" w:rsidR="008B7659" w:rsidRPr="0000300D" w:rsidRDefault="008B7659" w:rsidP="00E35C07">
      <w:pPr>
        <w:pStyle w:val="Normalarial"/>
        <w:jc w:val="both"/>
        <w:rPr>
          <w:rFonts w:cs="Arial"/>
          <w:sz w:val="22"/>
          <w:szCs w:val="22"/>
        </w:rPr>
      </w:pPr>
    </w:p>
    <w:p w14:paraId="09604F70" w14:textId="50686642" w:rsidR="00254CF7" w:rsidRPr="0000300D" w:rsidRDefault="00254CF7" w:rsidP="00254CF7">
      <w:pPr>
        <w:pStyle w:val="Normalarial"/>
        <w:jc w:val="both"/>
        <w:rPr>
          <w:rFonts w:cs="Arial"/>
          <w:sz w:val="22"/>
          <w:szCs w:val="22"/>
          <w:lang w:val="es-CO"/>
        </w:rPr>
      </w:pPr>
      <w:r w:rsidRPr="0000300D">
        <w:rPr>
          <w:rFonts w:cs="Arial"/>
          <w:sz w:val="22"/>
          <w:szCs w:val="22"/>
          <w:lang w:val="es-CO"/>
        </w:rPr>
        <w:t>A través de la Circular Externa 8 de 2018, se establecieron modificaciones a la Circular Externa 47 de 2007, actualizando las condiciones, procedimientos y obligaciones para la autorización, habilitación, operación, control y reporte de información de las entidades del sistema de salud, así como las reglas de atención al usuario y gestión de PQRD</w:t>
      </w:r>
      <w:r w:rsidR="00E50F5B" w:rsidRPr="0000300D">
        <w:rPr>
          <w:rFonts w:cs="Arial"/>
          <w:sz w:val="22"/>
          <w:szCs w:val="22"/>
          <w:lang w:val="es-CO"/>
        </w:rPr>
        <w:t>.</w:t>
      </w:r>
    </w:p>
    <w:p w14:paraId="19D87D0F" w14:textId="77777777" w:rsidR="00BB39C6" w:rsidRPr="0000300D" w:rsidRDefault="00BB39C6" w:rsidP="009A3C98">
      <w:pPr>
        <w:pStyle w:val="Normalarial"/>
        <w:jc w:val="both"/>
        <w:rPr>
          <w:rFonts w:cs="Arial"/>
          <w:sz w:val="22"/>
          <w:szCs w:val="22"/>
          <w:lang w:val="es-CO"/>
        </w:rPr>
      </w:pPr>
    </w:p>
    <w:p w14:paraId="48C98FEA" w14:textId="01C18DFE" w:rsidR="005753FE" w:rsidRPr="0000300D" w:rsidRDefault="00C60F4B" w:rsidP="009A3C98">
      <w:pPr>
        <w:pStyle w:val="Normalarial"/>
        <w:jc w:val="both"/>
        <w:rPr>
          <w:rFonts w:cs="Arial"/>
          <w:sz w:val="22"/>
          <w:szCs w:val="22"/>
        </w:rPr>
      </w:pPr>
      <w:r w:rsidRPr="0000300D">
        <w:rPr>
          <w:rFonts w:cs="Arial"/>
          <w:sz w:val="22"/>
          <w:szCs w:val="22"/>
        </w:rPr>
        <w:t xml:space="preserve">Posteriormente, mediante </w:t>
      </w:r>
      <w:r w:rsidR="00986425" w:rsidRPr="0000300D">
        <w:rPr>
          <w:rFonts w:cs="Arial"/>
          <w:sz w:val="22"/>
          <w:szCs w:val="22"/>
        </w:rPr>
        <w:t xml:space="preserve">la </w:t>
      </w:r>
      <w:r w:rsidR="00254CF7" w:rsidRPr="0000300D">
        <w:rPr>
          <w:rFonts w:cs="Arial"/>
          <w:sz w:val="22"/>
          <w:szCs w:val="22"/>
        </w:rPr>
        <w:t xml:space="preserve">Circular Externa 2023151000000010-5 de 2023 </w:t>
      </w:r>
      <w:r w:rsidR="008B7659" w:rsidRPr="0000300D">
        <w:rPr>
          <w:rFonts w:cs="Arial"/>
          <w:sz w:val="22"/>
          <w:szCs w:val="22"/>
        </w:rPr>
        <w:t xml:space="preserve">se </w:t>
      </w:r>
      <w:r w:rsidR="00254CF7" w:rsidRPr="0000300D">
        <w:rPr>
          <w:rFonts w:cs="Arial"/>
          <w:sz w:val="22"/>
          <w:szCs w:val="22"/>
        </w:rPr>
        <w:t xml:space="preserve">modificó el numeral 3.3 y los </w:t>
      </w:r>
      <w:proofErr w:type="spellStart"/>
      <w:r w:rsidR="00254CF7" w:rsidRPr="0000300D">
        <w:rPr>
          <w:rFonts w:cs="Arial"/>
          <w:sz w:val="22"/>
          <w:szCs w:val="22"/>
        </w:rPr>
        <w:t>subnumerales</w:t>
      </w:r>
      <w:proofErr w:type="spellEnd"/>
      <w:r w:rsidR="00254CF7" w:rsidRPr="0000300D">
        <w:rPr>
          <w:rFonts w:cs="Arial"/>
          <w:sz w:val="22"/>
          <w:szCs w:val="22"/>
        </w:rPr>
        <w:t xml:space="preserve"> 3.3.1, 3.3.2 y 3.3.3 del literal B de la Circular Externa 8 de 2018, que a su vez modificó el Título VII de la Circular Externa </w:t>
      </w:r>
      <w:r w:rsidR="00D23EF5" w:rsidRPr="0000300D">
        <w:rPr>
          <w:rFonts w:cs="Arial"/>
          <w:sz w:val="22"/>
          <w:szCs w:val="22"/>
        </w:rPr>
        <w:t>0</w:t>
      </w:r>
      <w:r w:rsidR="00254CF7" w:rsidRPr="0000300D">
        <w:rPr>
          <w:rFonts w:cs="Arial"/>
          <w:sz w:val="22"/>
          <w:szCs w:val="22"/>
        </w:rPr>
        <w:t>47 de 2007, actualizando las definiciones de petición, queja y reclamo e incorporando su clasificación por niveles de riesgo</w:t>
      </w:r>
      <w:r w:rsidR="00EA431B" w:rsidRPr="0000300D">
        <w:rPr>
          <w:rFonts w:cs="Arial"/>
          <w:sz w:val="22"/>
          <w:szCs w:val="22"/>
        </w:rPr>
        <w:t xml:space="preserve"> (</w:t>
      </w:r>
      <w:r w:rsidR="00241E7C" w:rsidRPr="0000300D">
        <w:rPr>
          <w:rFonts w:cs="Arial"/>
          <w:sz w:val="22"/>
          <w:szCs w:val="22"/>
        </w:rPr>
        <w:t>simple, priorizado y vital)</w:t>
      </w:r>
      <w:r w:rsidR="00254CF7" w:rsidRPr="0000300D">
        <w:rPr>
          <w:rFonts w:cs="Arial"/>
          <w:sz w:val="22"/>
          <w:szCs w:val="22"/>
        </w:rPr>
        <w:t>, así como el trámite, los términos de respuesta y los mecanismos de reporte de las PQR</w:t>
      </w:r>
      <w:r w:rsidR="007334BD" w:rsidRPr="0000300D">
        <w:rPr>
          <w:rFonts w:cs="Arial"/>
          <w:sz w:val="22"/>
          <w:szCs w:val="22"/>
        </w:rPr>
        <w:t>D</w:t>
      </w:r>
      <w:r w:rsidR="00254CF7" w:rsidRPr="0000300D">
        <w:rPr>
          <w:rFonts w:cs="Arial"/>
          <w:sz w:val="22"/>
          <w:szCs w:val="22"/>
        </w:rPr>
        <w:t>; asimismo, sustituy</w:t>
      </w:r>
      <w:r w:rsidR="00E3245B" w:rsidRPr="0000300D">
        <w:rPr>
          <w:rFonts w:cs="Arial"/>
          <w:sz w:val="22"/>
          <w:szCs w:val="22"/>
        </w:rPr>
        <w:t>ó</w:t>
      </w:r>
      <w:r w:rsidR="00254CF7" w:rsidRPr="0000300D">
        <w:rPr>
          <w:rFonts w:cs="Arial"/>
          <w:sz w:val="22"/>
          <w:szCs w:val="22"/>
        </w:rPr>
        <w:t xml:space="preserve"> los anexos técnicos GT005 y GT006 para el reporte del </w:t>
      </w:r>
      <w:r w:rsidR="00254CF7" w:rsidRPr="0000300D">
        <w:rPr>
          <w:rFonts w:cs="Arial"/>
          <w:sz w:val="22"/>
          <w:szCs w:val="22"/>
        </w:rPr>
        <w:lastRenderedPageBreak/>
        <w:t>inventario y las respuestas de los reclamos en salud, ajustando su estructura, contenido y periodicidad.</w:t>
      </w:r>
      <w:r w:rsidR="00D52F16" w:rsidRPr="0000300D">
        <w:rPr>
          <w:rFonts w:cs="Arial"/>
          <w:sz w:val="22"/>
          <w:szCs w:val="22"/>
        </w:rPr>
        <w:t xml:space="preserve"> </w:t>
      </w:r>
      <w:r w:rsidR="009C1542" w:rsidRPr="0000300D">
        <w:rPr>
          <w:rFonts w:cs="Arial"/>
          <w:sz w:val="22"/>
          <w:szCs w:val="22"/>
        </w:rPr>
        <w:t>Esta norma</w:t>
      </w:r>
      <w:r w:rsidR="00AD14ED" w:rsidRPr="0000300D">
        <w:rPr>
          <w:rFonts w:cs="Arial"/>
          <w:sz w:val="22"/>
          <w:szCs w:val="22"/>
        </w:rPr>
        <w:t xml:space="preserve"> define la responsabilidad de las EAPB e IPS fren</w:t>
      </w:r>
      <w:r w:rsidR="003414DA" w:rsidRPr="0000300D">
        <w:rPr>
          <w:rFonts w:cs="Arial"/>
          <w:sz w:val="22"/>
          <w:szCs w:val="22"/>
        </w:rPr>
        <w:t>t</w:t>
      </w:r>
      <w:r w:rsidR="00AD14ED" w:rsidRPr="0000300D">
        <w:rPr>
          <w:rFonts w:cs="Arial"/>
          <w:sz w:val="22"/>
          <w:szCs w:val="22"/>
        </w:rPr>
        <w:t>e a</w:t>
      </w:r>
      <w:r w:rsidR="003414DA" w:rsidRPr="0000300D">
        <w:rPr>
          <w:rFonts w:cs="Arial"/>
          <w:sz w:val="22"/>
          <w:szCs w:val="22"/>
        </w:rPr>
        <w:t>l trámite de la PQR y</w:t>
      </w:r>
      <w:r w:rsidR="00AD14ED" w:rsidRPr="0000300D">
        <w:rPr>
          <w:rFonts w:cs="Arial"/>
          <w:sz w:val="22"/>
          <w:szCs w:val="22"/>
        </w:rPr>
        <w:t xml:space="preserve"> los términos para resolver</w:t>
      </w:r>
      <w:r w:rsidR="003414DA" w:rsidRPr="0000300D">
        <w:rPr>
          <w:rFonts w:cs="Arial"/>
          <w:sz w:val="22"/>
          <w:szCs w:val="22"/>
        </w:rPr>
        <w:t xml:space="preserve"> estos. </w:t>
      </w:r>
    </w:p>
    <w:p w14:paraId="35EB8DBE" w14:textId="77777777" w:rsidR="003414DA" w:rsidRPr="0000300D" w:rsidRDefault="003414DA" w:rsidP="009A3C98">
      <w:pPr>
        <w:pStyle w:val="Normalarial"/>
        <w:jc w:val="both"/>
        <w:rPr>
          <w:rFonts w:cs="Arial"/>
          <w:sz w:val="22"/>
          <w:szCs w:val="22"/>
        </w:rPr>
      </w:pPr>
    </w:p>
    <w:p w14:paraId="7253DAE2" w14:textId="654723E6" w:rsidR="003414DA" w:rsidRPr="0000300D" w:rsidRDefault="004469F9" w:rsidP="009A3C98">
      <w:pPr>
        <w:pStyle w:val="Normalarial"/>
        <w:jc w:val="both"/>
        <w:rPr>
          <w:rFonts w:cs="Arial"/>
          <w:sz w:val="22"/>
          <w:szCs w:val="22"/>
        </w:rPr>
      </w:pPr>
      <w:r w:rsidRPr="0000300D">
        <w:rPr>
          <w:rFonts w:cs="Arial"/>
          <w:sz w:val="22"/>
          <w:szCs w:val="22"/>
        </w:rPr>
        <w:t>La Ley 1955 de 2019, en su artículo 243, incluyó a los Gestores Farmacéuticos, como nuevos actores del Sistema General de Seguridad Social en Salud, modificando el artículo 155 de la Ley 100 de 1993.</w:t>
      </w:r>
    </w:p>
    <w:p w14:paraId="4913AC10" w14:textId="77777777" w:rsidR="00210FFF" w:rsidRPr="0000300D" w:rsidRDefault="00210FFF" w:rsidP="0043126B">
      <w:pPr>
        <w:pStyle w:val="Normalarial"/>
        <w:jc w:val="both"/>
        <w:rPr>
          <w:rFonts w:cs="Arial"/>
          <w:sz w:val="22"/>
          <w:szCs w:val="22"/>
        </w:rPr>
      </w:pPr>
    </w:p>
    <w:p w14:paraId="5ECF0635" w14:textId="4A816B4C" w:rsidR="008D7171" w:rsidRPr="0000300D" w:rsidRDefault="008D7171" w:rsidP="0043126B">
      <w:pPr>
        <w:pStyle w:val="Normalarial"/>
        <w:jc w:val="both"/>
        <w:rPr>
          <w:rFonts w:cs="Arial"/>
          <w:sz w:val="22"/>
          <w:szCs w:val="22"/>
        </w:rPr>
      </w:pPr>
      <w:r w:rsidRPr="0000300D">
        <w:rPr>
          <w:rFonts w:cs="Arial"/>
          <w:sz w:val="22"/>
          <w:szCs w:val="22"/>
        </w:rPr>
        <w:t>La Superintendencia Nacional de Salud, de conformidad con las facultades constitucionales y legales conferidas en la</w:t>
      </w:r>
      <w:r w:rsidR="00370718" w:rsidRPr="0000300D">
        <w:rPr>
          <w:rFonts w:cs="Arial"/>
          <w:sz w:val="22"/>
          <w:szCs w:val="22"/>
        </w:rPr>
        <w:t xml:space="preserve"> </w:t>
      </w:r>
      <w:r w:rsidR="00FB73A6" w:rsidRPr="0000300D">
        <w:rPr>
          <w:rFonts w:cs="Arial"/>
          <w:sz w:val="22"/>
          <w:szCs w:val="22"/>
        </w:rPr>
        <w:t xml:space="preserve">Ley </w:t>
      </w:r>
      <w:r w:rsidRPr="0000300D">
        <w:rPr>
          <w:rFonts w:cs="Arial"/>
          <w:sz w:val="22"/>
          <w:szCs w:val="22"/>
        </w:rPr>
        <w:t xml:space="preserve">100 de 1993, 1122 de 2007 y 1438 de 2011, ejerce las funciones de </w:t>
      </w:r>
      <w:r w:rsidR="00FB73A6" w:rsidRPr="0000300D">
        <w:rPr>
          <w:rFonts w:cs="Arial"/>
          <w:sz w:val="22"/>
          <w:szCs w:val="22"/>
        </w:rPr>
        <w:t>Inspección</w:t>
      </w:r>
      <w:r w:rsidRPr="0000300D">
        <w:rPr>
          <w:rFonts w:cs="Arial"/>
          <w:sz w:val="22"/>
          <w:szCs w:val="22"/>
        </w:rPr>
        <w:t xml:space="preserve">, </w:t>
      </w:r>
      <w:r w:rsidR="00FB73A6" w:rsidRPr="0000300D">
        <w:rPr>
          <w:rFonts w:cs="Arial"/>
          <w:sz w:val="22"/>
          <w:szCs w:val="22"/>
        </w:rPr>
        <w:t xml:space="preserve">Vigilancia </w:t>
      </w:r>
      <w:r w:rsidRPr="0000300D">
        <w:rPr>
          <w:rFonts w:cs="Arial"/>
          <w:sz w:val="22"/>
          <w:szCs w:val="22"/>
        </w:rPr>
        <w:t xml:space="preserve">y </w:t>
      </w:r>
      <w:r w:rsidR="00FB73A6" w:rsidRPr="0000300D">
        <w:rPr>
          <w:rFonts w:cs="Arial"/>
          <w:sz w:val="22"/>
          <w:szCs w:val="22"/>
        </w:rPr>
        <w:t xml:space="preserve">Control </w:t>
      </w:r>
      <w:r w:rsidRPr="0000300D">
        <w:rPr>
          <w:rFonts w:cs="Arial"/>
          <w:sz w:val="22"/>
          <w:szCs w:val="22"/>
        </w:rPr>
        <w:t>dirigidas a garantizar de manera oportuna, eficiente y con calidad el derecho fundamental a la salud de toda la población, con especial énfasis y prioridad en la protección y atención debida a los sujetos de especial protección constitucional.</w:t>
      </w:r>
    </w:p>
    <w:p w14:paraId="68884A43" w14:textId="77777777" w:rsidR="00370718" w:rsidRPr="0000300D" w:rsidRDefault="00370718" w:rsidP="0043126B">
      <w:pPr>
        <w:pStyle w:val="Normalarial"/>
        <w:jc w:val="both"/>
        <w:rPr>
          <w:rFonts w:cs="Arial"/>
          <w:sz w:val="22"/>
          <w:szCs w:val="22"/>
        </w:rPr>
      </w:pPr>
    </w:p>
    <w:p w14:paraId="7F383065" w14:textId="21412470" w:rsidR="00DC05E2" w:rsidRPr="0000300D" w:rsidRDefault="00621AA8" w:rsidP="0043126B">
      <w:pPr>
        <w:pStyle w:val="Normalarial"/>
        <w:jc w:val="both"/>
        <w:rPr>
          <w:rFonts w:cs="Arial"/>
          <w:sz w:val="22"/>
          <w:szCs w:val="22"/>
        </w:rPr>
      </w:pPr>
      <w:r w:rsidRPr="0000300D">
        <w:rPr>
          <w:rFonts w:cs="Arial"/>
          <w:sz w:val="22"/>
          <w:szCs w:val="22"/>
        </w:rPr>
        <w:t>En ese sentido</w:t>
      </w:r>
      <w:r w:rsidR="00DC05E2" w:rsidRPr="0000300D">
        <w:rPr>
          <w:rFonts w:cs="Arial"/>
          <w:sz w:val="22"/>
          <w:szCs w:val="22"/>
        </w:rPr>
        <w:t xml:space="preserve">, las Entidades Promotoras de Salud </w:t>
      </w:r>
      <w:r w:rsidR="00186498" w:rsidRPr="0000300D">
        <w:rPr>
          <w:rFonts w:cs="Arial"/>
          <w:sz w:val="22"/>
          <w:szCs w:val="22"/>
        </w:rPr>
        <w:t xml:space="preserve">(EPS) </w:t>
      </w:r>
      <w:r w:rsidR="00DC05E2" w:rsidRPr="0000300D">
        <w:rPr>
          <w:rFonts w:cs="Arial"/>
          <w:sz w:val="22"/>
          <w:szCs w:val="22"/>
        </w:rPr>
        <w:t xml:space="preserve">son las responsables de cumplir con las funciones indelegables del aseguramiento en salud, lo cual implica, la gestión del riesgo por cohortes </w:t>
      </w:r>
      <w:r w:rsidR="009B0D03" w:rsidRPr="0000300D">
        <w:rPr>
          <w:rFonts w:cs="Arial"/>
          <w:sz w:val="22"/>
          <w:szCs w:val="22"/>
        </w:rPr>
        <w:t xml:space="preserve">de </w:t>
      </w:r>
      <w:r w:rsidR="00DC05E2" w:rsidRPr="0000300D">
        <w:rPr>
          <w:rFonts w:cs="Arial"/>
          <w:sz w:val="22"/>
          <w:szCs w:val="22"/>
        </w:rPr>
        <w:t>alto costo (hemofilia, trasplantados, cáncer, crónicos y huérfanas</w:t>
      </w:r>
      <w:r w:rsidR="00186498" w:rsidRPr="0000300D">
        <w:rPr>
          <w:rFonts w:cs="Arial"/>
          <w:sz w:val="22"/>
          <w:szCs w:val="22"/>
        </w:rPr>
        <w:t>,</w:t>
      </w:r>
      <w:r w:rsidR="00DC05E2" w:rsidRPr="0000300D">
        <w:rPr>
          <w:rFonts w:cs="Arial"/>
          <w:sz w:val="22"/>
          <w:szCs w:val="22"/>
        </w:rPr>
        <w:t xml:space="preserve"> entre otros)</w:t>
      </w:r>
      <w:r w:rsidR="009B0D03" w:rsidRPr="0000300D">
        <w:rPr>
          <w:rFonts w:cs="Arial"/>
          <w:sz w:val="22"/>
          <w:szCs w:val="22"/>
        </w:rPr>
        <w:t>,</w:t>
      </w:r>
      <w:r w:rsidR="00DC05E2" w:rsidRPr="0000300D">
        <w:rPr>
          <w:rFonts w:cs="Arial"/>
          <w:sz w:val="22"/>
          <w:szCs w:val="22"/>
        </w:rPr>
        <w:t xml:space="preserve"> la articulación de los servicios que garantice el acceso efectivo, la garantía de la calidad en la prestación de los servicios de salud y la representación del afiliado ante el prestador</w:t>
      </w:r>
      <w:r w:rsidR="00104271" w:rsidRPr="0000300D">
        <w:rPr>
          <w:rFonts w:cs="Arial"/>
          <w:sz w:val="22"/>
          <w:szCs w:val="22"/>
        </w:rPr>
        <w:t xml:space="preserve">, siendo necesario desarrollarlo </w:t>
      </w:r>
      <w:r w:rsidR="00D97C10" w:rsidRPr="0000300D">
        <w:rPr>
          <w:rFonts w:cs="Arial"/>
          <w:sz w:val="22"/>
          <w:szCs w:val="22"/>
        </w:rPr>
        <w:t xml:space="preserve">con el apoyo de su red </w:t>
      </w:r>
      <w:r w:rsidR="007500E1" w:rsidRPr="0000300D">
        <w:rPr>
          <w:rFonts w:cs="Arial"/>
          <w:sz w:val="22"/>
          <w:szCs w:val="22"/>
        </w:rPr>
        <w:t xml:space="preserve">de prestadores </w:t>
      </w:r>
      <w:r w:rsidR="003D2DE4" w:rsidRPr="0000300D">
        <w:rPr>
          <w:rFonts w:cs="Arial"/>
          <w:sz w:val="22"/>
          <w:szCs w:val="22"/>
        </w:rPr>
        <w:t>de servicios de salud y su articulación con los proveedores de tecnologías en salud</w:t>
      </w:r>
      <w:r w:rsidR="00104271" w:rsidRPr="0000300D">
        <w:rPr>
          <w:rFonts w:cs="Arial"/>
          <w:sz w:val="22"/>
          <w:szCs w:val="22"/>
        </w:rPr>
        <w:t xml:space="preserve"> </w:t>
      </w:r>
      <w:r w:rsidR="00120BE4" w:rsidRPr="0000300D">
        <w:rPr>
          <w:rFonts w:cs="Arial"/>
          <w:sz w:val="22"/>
          <w:szCs w:val="22"/>
        </w:rPr>
        <w:t>contratados</w:t>
      </w:r>
      <w:r w:rsidR="00827A73" w:rsidRPr="0000300D">
        <w:rPr>
          <w:rFonts w:cs="Arial"/>
          <w:sz w:val="22"/>
          <w:szCs w:val="22"/>
        </w:rPr>
        <w:t>.</w:t>
      </w:r>
    </w:p>
    <w:p w14:paraId="7832BF85" w14:textId="77777777" w:rsidR="00827A73" w:rsidRPr="0000300D" w:rsidRDefault="00827A73" w:rsidP="0043126B">
      <w:pPr>
        <w:pStyle w:val="Normalarial"/>
        <w:jc w:val="both"/>
        <w:rPr>
          <w:rFonts w:cs="Arial"/>
          <w:sz w:val="22"/>
          <w:szCs w:val="22"/>
        </w:rPr>
      </w:pPr>
    </w:p>
    <w:p w14:paraId="1966832A" w14:textId="058331C2" w:rsidR="00827A73" w:rsidRPr="0000300D" w:rsidRDefault="000F454E" w:rsidP="0043126B">
      <w:pPr>
        <w:pStyle w:val="Normalarial"/>
        <w:jc w:val="both"/>
        <w:rPr>
          <w:rFonts w:cs="Arial"/>
          <w:i/>
          <w:iCs/>
          <w:sz w:val="22"/>
          <w:szCs w:val="22"/>
        </w:rPr>
      </w:pPr>
      <w:r w:rsidRPr="0000300D">
        <w:rPr>
          <w:rFonts w:cs="Arial"/>
          <w:sz w:val="22"/>
          <w:szCs w:val="22"/>
        </w:rPr>
        <w:t xml:space="preserve">El </w:t>
      </w:r>
      <w:r w:rsidR="00FB73A6" w:rsidRPr="0000300D">
        <w:rPr>
          <w:rFonts w:cs="Arial"/>
          <w:sz w:val="22"/>
          <w:szCs w:val="22"/>
        </w:rPr>
        <w:t xml:space="preserve">Decreto </w:t>
      </w:r>
      <w:r w:rsidRPr="0000300D">
        <w:rPr>
          <w:rFonts w:cs="Arial"/>
          <w:sz w:val="22"/>
          <w:szCs w:val="22"/>
        </w:rPr>
        <w:t xml:space="preserve">441 de 2022, sustituyo el </w:t>
      </w:r>
      <w:r w:rsidR="005C0155" w:rsidRPr="0000300D">
        <w:rPr>
          <w:rFonts w:cs="Arial"/>
          <w:sz w:val="22"/>
          <w:szCs w:val="22"/>
        </w:rPr>
        <w:t xml:space="preserve">Capítulo 4 del Título 3 de la Parte 5 del Libro 2 del Decreto 780 de 2016 relativo a los acuerdos de voluntades entre las entidades responsables de pago, los prestadores de servicios de salud y los proveedores de tecnologías en salud, con lo cual definió en su </w:t>
      </w:r>
      <w:r w:rsidR="006846D0" w:rsidRPr="0000300D">
        <w:rPr>
          <w:rFonts w:cs="Arial"/>
          <w:sz w:val="22"/>
          <w:szCs w:val="22"/>
        </w:rPr>
        <w:t xml:space="preserve">sección 7. Mecanismos de </w:t>
      </w:r>
      <w:r w:rsidR="00A914E3" w:rsidRPr="0000300D">
        <w:rPr>
          <w:rFonts w:cs="Arial"/>
          <w:sz w:val="22"/>
          <w:szCs w:val="22"/>
        </w:rPr>
        <w:t>protección</w:t>
      </w:r>
      <w:r w:rsidR="006846D0" w:rsidRPr="0000300D">
        <w:rPr>
          <w:rFonts w:cs="Arial"/>
          <w:sz w:val="22"/>
          <w:szCs w:val="22"/>
        </w:rPr>
        <w:t xml:space="preserve"> al usuario, en donde </w:t>
      </w:r>
      <w:r w:rsidR="005971BA" w:rsidRPr="0000300D">
        <w:rPr>
          <w:rFonts w:cs="Arial"/>
          <w:sz w:val="22"/>
          <w:szCs w:val="22"/>
        </w:rPr>
        <w:t>de conformidad con el a</w:t>
      </w:r>
      <w:r w:rsidR="00A914E3" w:rsidRPr="0000300D">
        <w:rPr>
          <w:rFonts w:cs="Arial"/>
          <w:sz w:val="22"/>
          <w:szCs w:val="22"/>
        </w:rPr>
        <w:t>rtículo 2.5.3.4.7.3</w:t>
      </w:r>
      <w:r w:rsidR="00724356" w:rsidRPr="0000300D">
        <w:rPr>
          <w:rFonts w:cs="Arial"/>
          <w:sz w:val="22"/>
          <w:szCs w:val="22"/>
        </w:rPr>
        <w:t>.</w:t>
      </w:r>
      <w:r w:rsidR="00A914E3" w:rsidRPr="0000300D">
        <w:rPr>
          <w:rFonts w:cs="Arial"/>
          <w:sz w:val="22"/>
          <w:szCs w:val="22"/>
        </w:rPr>
        <w:t xml:space="preserve"> Atención integral</w:t>
      </w:r>
      <w:r w:rsidR="00A944D0" w:rsidRPr="0000300D">
        <w:rPr>
          <w:rFonts w:cs="Arial"/>
          <w:sz w:val="22"/>
          <w:szCs w:val="22"/>
        </w:rPr>
        <w:t xml:space="preserve">, </w:t>
      </w:r>
      <w:r w:rsidR="00A944D0" w:rsidRPr="0000300D">
        <w:rPr>
          <w:rFonts w:cs="Arial"/>
          <w:i/>
          <w:iCs/>
          <w:sz w:val="22"/>
          <w:szCs w:val="22"/>
        </w:rPr>
        <w:t>“l</w:t>
      </w:r>
      <w:r w:rsidR="00A914E3" w:rsidRPr="0000300D">
        <w:rPr>
          <w:rFonts w:cs="Arial"/>
          <w:i/>
          <w:iCs/>
          <w:sz w:val="22"/>
          <w:szCs w:val="22"/>
        </w:rPr>
        <w:t>a entidad responsable de pago debe garantizar la integralidad y continuidad del proceso de atención, estableciendo acciones dirigidas a la promoción de la salud, la prevención de la enfermedad, el diagnóstico, el tratamiento, la rehabilitación y la paliación, con uno o varios prestadores de servicios de salud o proveedores de tecnologías en salud</w:t>
      </w:r>
      <w:r w:rsidR="00A944D0" w:rsidRPr="0000300D">
        <w:rPr>
          <w:rFonts w:cs="Arial"/>
          <w:i/>
          <w:iCs/>
          <w:sz w:val="22"/>
          <w:szCs w:val="22"/>
        </w:rPr>
        <w:t>”.</w:t>
      </w:r>
    </w:p>
    <w:p w14:paraId="4FB53C93" w14:textId="77777777" w:rsidR="00A944D0" w:rsidRPr="0000300D" w:rsidRDefault="00A944D0" w:rsidP="0043126B">
      <w:pPr>
        <w:pStyle w:val="Normalarial"/>
        <w:jc w:val="both"/>
        <w:rPr>
          <w:rFonts w:cs="Arial"/>
          <w:sz w:val="22"/>
          <w:szCs w:val="22"/>
        </w:rPr>
      </w:pPr>
    </w:p>
    <w:p w14:paraId="103C1DB7" w14:textId="3C67C6A7" w:rsidR="00A944D0" w:rsidRPr="0000300D" w:rsidRDefault="00A944D0" w:rsidP="0043126B">
      <w:pPr>
        <w:pStyle w:val="Normalarial"/>
        <w:jc w:val="both"/>
        <w:rPr>
          <w:rFonts w:cs="Arial"/>
          <w:i/>
          <w:iCs/>
          <w:sz w:val="22"/>
          <w:szCs w:val="22"/>
        </w:rPr>
      </w:pPr>
      <w:r w:rsidRPr="0000300D">
        <w:rPr>
          <w:rFonts w:cs="Arial"/>
          <w:sz w:val="22"/>
          <w:szCs w:val="22"/>
        </w:rPr>
        <w:t xml:space="preserve">Así mismo, este artículo define que </w:t>
      </w:r>
      <w:r w:rsidRPr="0000300D">
        <w:rPr>
          <w:rFonts w:cs="Arial"/>
          <w:i/>
          <w:iCs/>
          <w:sz w:val="22"/>
          <w:szCs w:val="22"/>
        </w:rPr>
        <w:t>“Las entidades responsables de pago deberán garantizar la prestación continua de todos los servicios y tecnologías en salud requeridos para la promoción y el mantenimiento de la salud, la atención de condiciones crónicas y de alto costo y la atención de eventos en salud, manteniendo su prestación ininterrumpida, aunque existan cambios de prestadores de servicios de salud o proveedores de tecnologías en salud”.</w:t>
      </w:r>
    </w:p>
    <w:p w14:paraId="407D7117" w14:textId="626840C7" w:rsidR="00DC05E2" w:rsidRPr="0000300D" w:rsidRDefault="00DC05E2" w:rsidP="008D4C1D">
      <w:pPr>
        <w:pStyle w:val="Normalarial"/>
        <w:jc w:val="both"/>
        <w:rPr>
          <w:rFonts w:cs="Arial"/>
          <w:sz w:val="22"/>
          <w:szCs w:val="22"/>
        </w:rPr>
      </w:pPr>
    </w:p>
    <w:p w14:paraId="55B7E064" w14:textId="4E7375BD" w:rsidR="00DF40EE" w:rsidRPr="0000300D" w:rsidRDefault="00064FC5" w:rsidP="0043126B">
      <w:pPr>
        <w:pStyle w:val="Normalarial"/>
        <w:jc w:val="both"/>
        <w:rPr>
          <w:rFonts w:cs="Arial"/>
          <w:sz w:val="22"/>
          <w:szCs w:val="22"/>
        </w:rPr>
      </w:pPr>
      <w:r w:rsidRPr="0000300D">
        <w:rPr>
          <w:rFonts w:cs="Arial"/>
          <w:sz w:val="22"/>
          <w:szCs w:val="22"/>
        </w:rPr>
        <w:t>Q</w:t>
      </w:r>
      <w:r w:rsidR="003A3334" w:rsidRPr="0000300D">
        <w:rPr>
          <w:rFonts w:cs="Arial"/>
          <w:sz w:val="22"/>
          <w:szCs w:val="22"/>
        </w:rPr>
        <w:t xml:space="preserve">ue </w:t>
      </w:r>
      <w:r w:rsidR="00D445AA" w:rsidRPr="0000300D">
        <w:rPr>
          <w:rFonts w:cs="Arial"/>
          <w:sz w:val="22"/>
          <w:szCs w:val="22"/>
        </w:rPr>
        <w:t>l</w:t>
      </w:r>
      <w:r w:rsidR="003A3334" w:rsidRPr="0000300D">
        <w:rPr>
          <w:rFonts w:cs="Arial"/>
          <w:sz w:val="22"/>
          <w:szCs w:val="22"/>
        </w:rPr>
        <w:t xml:space="preserve">os niños, niñas y adolescentes (NNA) son sujetos de especial protección constitucional. Esta categoría jurídica </w:t>
      </w:r>
      <w:proofErr w:type="gramStart"/>
      <w:r w:rsidR="003A3334" w:rsidRPr="0000300D">
        <w:rPr>
          <w:rFonts w:cs="Arial"/>
          <w:sz w:val="22"/>
          <w:szCs w:val="22"/>
        </w:rPr>
        <w:t>les</w:t>
      </w:r>
      <w:proofErr w:type="gramEnd"/>
      <w:r w:rsidR="003A3334" w:rsidRPr="0000300D">
        <w:rPr>
          <w:rFonts w:cs="Arial"/>
          <w:sz w:val="22"/>
          <w:szCs w:val="22"/>
        </w:rPr>
        <w:t xml:space="preserve"> otorga un estatus preferente debido a su etapa de desarrollo, garantizando la prevalencia de sus derechos sobre los de los demás y exigiendo la acción prioritaria del Estado, la familia y la sociedad.</w:t>
      </w:r>
    </w:p>
    <w:p w14:paraId="26BFAA9B" w14:textId="77777777" w:rsidR="003A3334" w:rsidRPr="0000300D" w:rsidRDefault="003A3334" w:rsidP="0043126B">
      <w:pPr>
        <w:pStyle w:val="Normalarial"/>
        <w:jc w:val="both"/>
        <w:rPr>
          <w:rFonts w:cs="Arial"/>
          <w:sz w:val="22"/>
          <w:szCs w:val="22"/>
        </w:rPr>
      </w:pPr>
    </w:p>
    <w:p w14:paraId="77CFF6E5" w14:textId="77777777" w:rsidR="00AB5EE2" w:rsidRPr="0000300D" w:rsidRDefault="00AB5EE2" w:rsidP="00AB5EE2">
      <w:pPr>
        <w:pStyle w:val="Normalarial"/>
        <w:jc w:val="both"/>
        <w:rPr>
          <w:rFonts w:cs="Arial"/>
          <w:sz w:val="22"/>
          <w:szCs w:val="22"/>
          <w:lang w:val="es-CO"/>
        </w:rPr>
      </w:pPr>
      <w:r w:rsidRPr="0000300D">
        <w:rPr>
          <w:rFonts w:cs="Arial"/>
          <w:sz w:val="22"/>
          <w:szCs w:val="22"/>
          <w:lang w:val="es-CO"/>
        </w:rPr>
        <w:t>La persistencia de barreras administrativas y demoras injustificadas en la atención de peticiones, quejas, reclamos y solicitudes relacionadas con el acceso efectivo a los servicios y tecnologías en salud de los niños, niñas y adolescentes compromete de manera directa la garantía material de sus derechos fundamentales, especialmente cuando se trata de una población reconocida constitucionalmente como sujeto de especial protección. En virtud de dicha condición, el ordenamiento jurídico impone al Estado, a la familia, a la sociedad y a los actores del Sistema General de Seguridad Social en Salud un deber reforzado de protección, atención prioritaria y actuación diligente, orientado a asegurar la prevalencia de sus derechos y evitar cualquier afectación derivada de trámites administrativos ineficientes, dilaciones o respuestas inoportunas que puedan poner en riesgo su vida, integridad y desarrollo integral.</w:t>
      </w:r>
    </w:p>
    <w:p w14:paraId="5941B33F" w14:textId="77777777" w:rsidR="00A7639B" w:rsidRPr="0000300D" w:rsidRDefault="00A7639B" w:rsidP="0043126B">
      <w:pPr>
        <w:pStyle w:val="Normalarial"/>
        <w:jc w:val="both"/>
        <w:rPr>
          <w:rFonts w:cs="Arial"/>
          <w:sz w:val="22"/>
          <w:szCs w:val="22"/>
        </w:rPr>
      </w:pPr>
    </w:p>
    <w:p w14:paraId="63B7DFCA" w14:textId="470F4F7B" w:rsidR="00C94407" w:rsidRPr="0000300D" w:rsidRDefault="00A7639B" w:rsidP="0043126B">
      <w:pPr>
        <w:pStyle w:val="Normalarial"/>
        <w:jc w:val="both"/>
        <w:rPr>
          <w:rFonts w:cs="Arial"/>
          <w:sz w:val="22"/>
          <w:szCs w:val="22"/>
        </w:rPr>
      </w:pPr>
      <w:r w:rsidRPr="0000300D">
        <w:rPr>
          <w:rFonts w:cs="Arial"/>
          <w:sz w:val="22"/>
          <w:szCs w:val="22"/>
        </w:rPr>
        <w:t>P</w:t>
      </w:r>
      <w:r w:rsidR="004A0885" w:rsidRPr="0000300D">
        <w:rPr>
          <w:rFonts w:cs="Arial"/>
          <w:sz w:val="22"/>
          <w:szCs w:val="22"/>
        </w:rPr>
        <w:t>or lo anterior</w:t>
      </w:r>
      <w:r w:rsidR="008D4C1D" w:rsidRPr="0000300D">
        <w:rPr>
          <w:rFonts w:cs="Arial"/>
          <w:sz w:val="22"/>
          <w:szCs w:val="22"/>
        </w:rPr>
        <w:t>, a</w:t>
      </w:r>
      <w:r w:rsidR="00C94407" w:rsidRPr="0000300D">
        <w:rPr>
          <w:rFonts w:cs="Arial"/>
          <w:sz w:val="22"/>
          <w:szCs w:val="22"/>
        </w:rPr>
        <w:t xml:space="preserve">nte la </w:t>
      </w:r>
      <w:r w:rsidR="00EB5F07" w:rsidRPr="0000300D">
        <w:rPr>
          <w:rFonts w:cs="Arial"/>
          <w:sz w:val="22"/>
          <w:szCs w:val="22"/>
        </w:rPr>
        <w:t xml:space="preserve">existencia </w:t>
      </w:r>
      <w:r w:rsidR="00C94407" w:rsidRPr="0000300D">
        <w:rPr>
          <w:rFonts w:cs="Arial"/>
          <w:sz w:val="22"/>
          <w:szCs w:val="22"/>
        </w:rPr>
        <w:t xml:space="preserve">de barreras administrativas y demoras injustificadas en la gestión de peticiones, quejas, reclamos y solicitudes relacionadas con la garantía efectiva del derecho fundamental a la salud de </w:t>
      </w:r>
      <w:r w:rsidR="00B940DA" w:rsidRPr="0000300D">
        <w:rPr>
          <w:rFonts w:cs="Arial"/>
          <w:sz w:val="22"/>
          <w:szCs w:val="22"/>
        </w:rPr>
        <w:t xml:space="preserve">los </w:t>
      </w:r>
      <w:r w:rsidR="00B940DA" w:rsidRPr="0000300D">
        <w:rPr>
          <w:rFonts w:cs="Arial"/>
          <w:sz w:val="22"/>
          <w:szCs w:val="22"/>
        </w:rPr>
        <w:lastRenderedPageBreak/>
        <w:t>niños, niñas y adolescentes</w:t>
      </w:r>
      <w:r w:rsidR="00C94407" w:rsidRPr="0000300D">
        <w:rPr>
          <w:rFonts w:cs="Arial"/>
          <w:sz w:val="22"/>
          <w:szCs w:val="22"/>
        </w:rPr>
        <w:t xml:space="preserve">, es necesario impartir instrucciones a las EPS y </w:t>
      </w:r>
      <w:r w:rsidR="00B940DA" w:rsidRPr="0000300D">
        <w:rPr>
          <w:rFonts w:cs="Arial"/>
          <w:sz w:val="22"/>
          <w:szCs w:val="22"/>
        </w:rPr>
        <w:t>demás</w:t>
      </w:r>
      <w:r w:rsidR="00402FBA" w:rsidRPr="0000300D">
        <w:rPr>
          <w:rFonts w:cs="Arial"/>
          <w:sz w:val="22"/>
          <w:szCs w:val="22"/>
        </w:rPr>
        <w:t xml:space="preserve"> actores del Sistema General de Seguridad Social en Salud,</w:t>
      </w:r>
      <w:r w:rsidR="00C94407" w:rsidRPr="0000300D">
        <w:rPr>
          <w:rFonts w:cs="Arial"/>
          <w:sz w:val="22"/>
          <w:szCs w:val="22"/>
        </w:rPr>
        <w:t xml:space="preserve"> para la atención y resolución prioritaria de peticiones, quejas y reclamos relacionados con </w:t>
      </w:r>
      <w:r w:rsidR="00B940DA" w:rsidRPr="0000300D">
        <w:rPr>
          <w:rFonts w:cs="Arial"/>
          <w:sz w:val="22"/>
          <w:szCs w:val="22"/>
        </w:rPr>
        <w:t xml:space="preserve">estos sujetos de especial protección </w:t>
      </w:r>
      <w:r w:rsidR="00C94407" w:rsidRPr="0000300D">
        <w:rPr>
          <w:rFonts w:cs="Arial"/>
          <w:sz w:val="22"/>
          <w:szCs w:val="22"/>
        </w:rPr>
        <w:t>con el fin de fortalecer la gestión oportuna y de fondo de los reclamos en salud, estableciendo los plazos máximos para dar respuesta a las PQR</w:t>
      </w:r>
      <w:r w:rsidR="005218AA" w:rsidRPr="0000300D">
        <w:rPr>
          <w:rFonts w:cs="Arial"/>
          <w:sz w:val="22"/>
          <w:szCs w:val="22"/>
        </w:rPr>
        <w:t>D</w:t>
      </w:r>
      <w:r w:rsidR="00C94407" w:rsidRPr="0000300D">
        <w:rPr>
          <w:rFonts w:cs="Arial"/>
          <w:sz w:val="22"/>
          <w:szCs w:val="22"/>
        </w:rPr>
        <w:t xml:space="preserve"> que reciben las entidades responsables de operar el aseguramiento en salud y la prestación de los servicios de salud</w:t>
      </w:r>
      <w:r w:rsidR="003A42C7" w:rsidRPr="0000300D">
        <w:rPr>
          <w:rFonts w:cs="Arial"/>
          <w:sz w:val="22"/>
          <w:szCs w:val="22"/>
        </w:rPr>
        <w:t>.</w:t>
      </w:r>
    </w:p>
    <w:p w14:paraId="43522391" w14:textId="77777777" w:rsidR="00A36006" w:rsidRPr="0000300D" w:rsidRDefault="00A36006" w:rsidP="0043126B">
      <w:pPr>
        <w:pStyle w:val="Normalarial"/>
        <w:jc w:val="both"/>
        <w:rPr>
          <w:rFonts w:cs="Arial"/>
          <w:sz w:val="22"/>
          <w:szCs w:val="22"/>
        </w:rPr>
      </w:pPr>
    </w:p>
    <w:p w14:paraId="337E89D4" w14:textId="5E4C326C" w:rsidR="00A36006" w:rsidRPr="0000300D" w:rsidRDefault="00A36006" w:rsidP="0043126B">
      <w:pPr>
        <w:pStyle w:val="Normalarial"/>
        <w:jc w:val="both"/>
        <w:rPr>
          <w:rFonts w:cs="Arial"/>
          <w:sz w:val="22"/>
          <w:szCs w:val="22"/>
        </w:rPr>
      </w:pPr>
      <w:r w:rsidRPr="0000300D">
        <w:rPr>
          <w:rFonts w:cs="Arial"/>
          <w:sz w:val="22"/>
          <w:szCs w:val="22"/>
        </w:rPr>
        <w:t>Asimismo, la garantía en la prestación de los servicios y tecnologías en salud deberá orientarse a asegurar la continuidad, oportunidad e integralidad de la atención, contribuyendo a una adecuada gestión del riesgo en salud de esta población sujeta de especial protección constitucional. Lo anterior, mediante la identificación, evaluación, prevención y mitigación de los riesgos que puedan afectar el acceso efectivo a los servicios de salud, así como la continuidad de los tratamientos y procesos terapéuticos requeridos.</w:t>
      </w:r>
    </w:p>
    <w:p w14:paraId="6E7DECC6" w14:textId="77777777" w:rsidR="000D76A0" w:rsidRPr="0000300D" w:rsidRDefault="000D76A0" w:rsidP="0043126B">
      <w:pPr>
        <w:pStyle w:val="Normalarial"/>
        <w:jc w:val="both"/>
        <w:rPr>
          <w:rFonts w:cs="Arial"/>
          <w:sz w:val="22"/>
          <w:szCs w:val="22"/>
        </w:rPr>
      </w:pPr>
    </w:p>
    <w:p w14:paraId="20F34F5F" w14:textId="05D9B4DA" w:rsidR="000D76A0" w:rsidRPr="0000300D" w:rsidRDefault="000D76A0" w:rsidP="00554386">
      <w:pPr>
        <w:pStyle w:val="Normalarial"/>
        <w:jc w:val="both"/>
        <w:rPr>
          <w:rFonts w:cs="Arial"/>
          <w:sz w:val="22"/>
          <w:szCs w:val="22"/>
        </w:rPr>
      </w:pPr>
      <w:r w:rsidRPr="0000300D">
        <w:rPr>
          <w:rFonts w:cs="Arial"/>
          <w:sz w:val="22"/>
          <w:szCs w:val="22"/>
        </w:rPr>
        <w:t xml:space="preserve">Por ende, las entidades responsables de operar el aseguramiento con los prestadores de servicios de salud y gestores farmacéuticos de su red, así como la entidad territorial correspondiente, </w:t>
      </w:r>
      <w:r w:rsidR="00986425" w:rsidRPr="0000300D">
        <w:rPr>
          <w:rFonts w:cs="Arial"/>
          <w:sz w:val="22"/>
          <w:szCs w:val="22"/>
        </w:rPr>
        <w:t xml:space="preserve">como actores del Sistema General de Seguridad Social en Salud </w:t>
      </w:r>
      <w:r w:rsidR="00E020A2" w:rsidRPr="0000300D">
        <w:rPr>
          <w:rFonts w:cs="Arial"/>
          <w:sz w:val="22"/>
          <w:szCs w:val="22"/>
        </w:rPr>
        <w:t>deberán</w:t>
      </w:r>
      <w:r w:rsidRPr="0000300D">
        <w:rPr>
          <w:rFonts w:cs="Arial"/>
          <w:sz w:val="22"/>
          <w:szCs w:val="22"/>
        </w:rPr>
        <w:t xml:space="preserve"> articularse para garantizar la atención efectiva </w:t>
      </w:r>
      <w:r w:rsidR="00602A99" w:rsidRPr="0000300D">
        <w:rPr>
          <w:rFonts w:cs="Arial"/>
          <w:bCs/>
          <w:sz w:val="22"/>
          <w:szCs w:val="22"/>
        </w:rPr>
        <w:t>para niños, niñas y adolescentes</w:t>
      </w:r>
      <w:r w:rsidR="00937361" w:rsidRPr="0000300D">
        <w:rPr>
          <w:rFonts w:cs="Arial"/>
          <w:bCs/>
          <w:sz w:val="22"/>
          <w:szCs w:val="22"/>
        </w:rPr>
        <w:t>, aún más para aquellas</w:t>
      </w:r>
      <w:r w:rsidR="00602A99" w:rsidRPr="0000300D">
        <w:rPr>
          <w:rFonts w:cs="Arial"/>
          <w:bCs/>
          <w:sz w:val="22"/>
          <w:szCs w:val="22"/>
        </w:rPr>
        <w:t xml:space="preserve"> cohortes de trasplantados, enferm</w:t>
      </w:r>
      <w:r w:rsidR="00561083" w:rsidRPr="0000300D">
        <w:rPr>
          <w:rFonts w:cs="Arial"/>
          <w:bCs/>
          <w:sz w:val="22"/>
          <w:szCs w:val="22"/>
        </w:rPr>
        <w:t>ed</w:t>
      </w:r>
      <w:r w:rsidR="00602A99" w:rsidRPr="0000300D">
        <w:rPr>
          <w:rFonts w:cs="Arial"/>
          <w:bCs/>
          <w:sz w:val="22"/>
          <w:szCs w:val="22"/>
        </w:rPr>
        <w:t>ades cardiovasculares, cáncer, huérfanas, respiratorias crónicas y VIH</w:t>
      </w:r>
      <w:r w:rsidR="0000300D" w:rsidRPr="0000300D">
        <w:rPr>
          <w:rFonts w:cs="Arial"/>
          <w:bCs/>
          <w:sz w:val="22"/>
          <w:szCs w:val="22"/>
        </w:rPr>
        <w:t>, entre otros</w:t>
      </w:r>
      <w:r w:rsidRPr="0000300D">
        <w:rPr>
          <w:rFonts w:cs="Arial"/>
          <w:sz w:val="22"/>
          <w:szCs w:val="22"/>
        </w:rPr>
        <w:t>; con el fin de garantizar la atención oportuna, integral y resolutiva requerida por niños, niñas y adolescentes, mediante la eliminación de demoras, barreras y cargas administrativas que afecten el acceso, continuidad, oportunidad, calidad e integralidad en la prestación del servicio de salud.</w:t>
      </w:r>
    </w:p>
    <w:p w14:paraId="3138C3CF" w14:textId="77777777" w:rsidR="000D76A0" w:rsidRPr="0000300D" w:rsidRDefault="000D76A0" w:rsidP="00554386">
      <w:pPr>
        <w:pStyle w:val="Normalarial"/>
        <w:jc w:val="both"/>
        <w:rPr>
          <w:rFonts w:cs="Arial"/>
          <w:sz w:val="22"/>
          <w:szCs w:val="22"/>
        </w:rPr>
      </w:pPr>
    </w:p>
    <w:p w14:paraId="69BC9CEF" w14:textId="5702F427" w:rsidR="000D76A0" w:rsidRPr="0000300D" w:rsidRDefault="000D76A0" w:rsidP="00554386">
      <w:pPr>
        <w:pStyle w:val="Normalarial"/>
        <w:jc w:val="both"/>
        <w:rPr>
          <w:rFonts w:cs="Arial"/>
          <w:sz w:val="22"/>
          <w:szCs w:val="22"/>
        </w:rPr>
      </w:pPr>
      <w:r w:rsidRPr="0000300D">
        <w:rPr>
          <w:rFonts w:cs="Arial"/>
          <w:sz w:val="22"/>
          <w:szCs w:val="22"/>
        </w:rPr>
        <w:t>De igual forma, las secretar</w:t>
      </w:r>
      <w:r w:rsidR="00423ECA" w:rsidRPr="0000300D">
        <w:rPr>
          <w:rFonts w:cs="Arial"/>
          <w:sz w:val="22"/>
          <w:szCs w:val="22"/>
        </w:rPr>
        <w:t>í</w:t>
      </w:r>
      <w:r w:rsidRPr="0000300D">
        <w:rPr>
          <w:rFonts w:cs="Arial"/>
          <w:sz w:val="22"/>
          <w:szCs w:val="22"/>
        </w:rPr>
        <w:t>as de salud departamentales, distritales y municipales o las entidades que hagan sus veces, en el marco de sus competencias, deben fortalecer las acciones de seguimiento, monitoreo, articulación y gestión territorial orientadas a garantizar el acceso, continuidad, oportunidad, integralidad y calidad en la prestación de los servicios y tecnologías en salud</w:t>
      </w:r>
      <w:r w:rsidR="00602A99" w:rsidRPr="0000300D">
        <w:rPr>
          <w:rFonts w:cs="Arial"/>
          <w:sz w:val="22"/>
          <w:szCs w:val="22"/>
        </w:rPr>
        <w:t xml:space="preserve"> dirigidos</w:t>
      </w:r>
      <w:r w:rsidRPr="0000300D">
        <w:rPr>
          <w:rFonts w:cs="Arial"/>
          <w:sz w:val="22"/>
          <w:szCs w:val="22"/>
        </w:rPr>
        <w:t xml:space="preserve"> </w:t>
      </w:r>
      <w:r w:rsidR="00602A99" w:rsidRPr="0000300D">
        <w:rPr>
          <w:rFonts w:cs="Arial"/>
          <w:bCs/>
          <w:sz w:val="22"/>
          <w:szCs w:val="22"/>
        </w:rPr>
        <w:t>para niños, niñas y adolescentes de cohortes de trasplantados, enferm</w:t>
      </w:r>
      <w:r w:rsidR="005A3FA7" w:rsidRPr="0000300D">
        <w:rPr>
          <w:rFonts w:cs="Arial"/>
          <w:bCs/>
          <w:sz w:val="22"/>
          <w:szCs w:val="22"/>
        </w:rPr>
        <w:t>ed</w:t>
      </w:r>
      <w:r w:rsidR="00602A99" w:rsidRPr="0000300D">
        <w:rPr>
          <w:rFonts w:cs="Arial"/>
          <w:bCs/>
          <w:sz w:val="22"/>
          <w:szCs w:val="22"/>
        </w:rPr>
        <w:t>ades cardiovasculares, cáncer, huérfanas, respiratorias crónicas y VIH</w:t>
      </w:r>
      <w:r w:rsidR="0000300D" w:rsidRPr="0000300D">
        <w:rPr>
          <w:rFonts w:cs="Arial"/>
          <w:bCs/>
          <w:sz w:val="22"/>
          <w:szCs w:val="22"/>
        </w:rPr>
        <w:t>, entre otros</w:t>
      </w:r>
      <w:r w:rsidRPr="0000300D">
        <w:rPr>
          <w:rFonts w:cs="Arial"/>
          <w:bCs/>
          <w:sz w:val="22"/>
          <w:szCs w:val="22"/>
          <w:lang w:val="es-CO"/>
        </w:rPr>
        <w:t>.</w:t>
      </w:r>
    </w:p>
    <w:p w14:paraId="2DF02F4D" w14:textId="77777777" w:rsidR="003A42C7" w:rsidRPr="0000300D" w:rsidRDefault="003A42C7" w:rsidP="0043126B">
      <w:pPr>
        <w:pStyle w:val="Normalarial"/>
        <w:jc w:val="both"/>
        <w:rPr>
          <w:rFonts w:cs="Arial"/>
          <w:sz w:val="22"/>
          <w:szCs w:val="22"/>
        </w:rPr>
      </w:pPr>
    </w:p>
    <w:p w14:paraId="026D1001" w14:textId="629CD4D0" w:rsidR="003A42C7" w:rsidRPr="0000300D" w:rsidRDefault="000D76A0" w:rsidP="0043126B">
      <w:pPr>
        <w:pStyle w:val="Normalarial"/>
        <w:jc w:val="both"/>
        <w:rPr>
          <w:rFonts w:cs="Arial"/>
          <w:sz w:val="22"/>
          <w:szCs w:val="22"/>
        </w:rPr>
      </w:pPr>
      <w:r w:rsidRPr="0000300D">
        <w:rPr>
          <w:rFonts w:cs="Arial"/>
          <w:sz w:val="22"/>
          <w:szCs w:val="22"/>
        </w:rPr>
        <w:t xml:space="preserve">Así las cosas, en </w:t>
      </w:r>
      <w:r w:rsidR="002562F4" w:rsidRPr="0000300D">
        <w:rPr>
          <w:rFonts w:cs="Arial"/>
          <w:sz w:val="22"/>
          <w:szCs w:val="22"/>
        </w:rPr>
        <w:t>desarrollo de los principios de prevalencia de derechos e interés superior de los niños, niñas y adolescentes, previstos en la Constitución Política y en la Ley Estatutaria 1751 de 2015, corresponde al Estado y a los actores del Sistema General de Seguridad Social en Salud adoptar medidas concretas, oportunas y diferenciales que garanticen la atención integral, continua y efectiva de esta población sujeto de especial protección constitucional, especialmente frente a la gestión y resolución prioritaria de las peticiones, quejas, reclamos y denuncias relacionadas con el acceso a servicios y tecnologías en salud.</w:t>
      </w:r>
    </w:p>
    <w:p w14:paraId="6AE72EEE" w14:textId="77777777" w:rsidR="00DE22C0" w:rsidRPr="0000300D" w:rsidRDefault="00DE22C0" w:rsidP="0043126B">
      <w:pPr>
        <w:pStyle w:val="Normalarial"/>
        <w:jc w:val="both"/>
        <w:rPr>
          <w:rFonts w:cs="Arial"/>
          <w:sz w:val="22"/>
          <w:szCs w:val="22"/>
        </w:rPr>
      </w:pPr>
    </w:p>
    <w:p w14:paraId="5C99F3DE" w14:textId="77777777" w:rsidR="009F2A8A" w:rsidRPr="0000300D" w:rsidRDefault="009F2A8A" w:rsidP="00F8708F">
      <w:pPr>
        <w:pStyle w:val="Normalarial"/>
        <w:jc w:val="both"/>
        <w:rPr>
          <w:rFonts w:cs="Arial"/>
          <w:sz w:val="22"/>
          <w:szCs w:val="22"/>
        </w:rPr>
      </w:pPr>
    </w:p>
    <w:p w14:paraId="3DF24CD6" w14:textId="77777777" w:rsidR="00AD3B84" w:rsidRPr="0000300D" w:rsidRDefault="00AD3B84" w:rsidP="00F8708F">
      <w:pPr>
        <w:pStyle w:val="Normalarial"/>
        <w:jc w:val="left"/>
        <w:rPr>
          <w:rFonts w:cs="Arial"/>
          <w:sz w:val="22"/>
          <w:szCs w:val="22"/>
          <w:lang w:val="es-CO"/>
        </w:rPr>
      </w:pPr>
      <w:r w:rsidRPr="0000300D">
        <w:rPr>
          <w:rFonts w:cs="Arial"/>
          <w:b/>
          <w:bCs/>
          <w:sz w:val="22"/>
          <w:szCs w:val="22"/>
          <w:lang w:val="es-CO"/>
        </w:rPr>
        <w:t>II.</w:t>
      </w:r>
      <w:r w:rsidRPr="0000300D">
        <w:rPr>
          <w:rFonts w:cs="Arial"/>
          <w:sz w:val="22"/>
          <w:szCs w:val="22"/>
          <w:lang w:val="es-CO"/>
        </w:rPr>
        <w:t> </w:t>
      </w:r>
      <w:r w:rsidRPr="0000300D">
        <w:rPr>
          <w:rFonts w:cs="Arial"/>
          <w:b/>
          <w:bCs/>
          <w:sz w:val="22"/>
          <w:szCs w:val="22"/>
          <w:lang w:val="es-CO"/>
        </w:rPr>
        <w:t>INSTRUCCIONES</w:t>
      </w:r>
    </w:p>
    <w:p w14:paraId="68DEFF2D" w14:textId="77777777" w:rsidR="00BE718C" w:rsidRPr="0000300D" w:rsidRDefault="00BE718C" w:rsidP="00F8708F">
      <w:pPr>
        <w:pStyle w:val="Normalarial"/>
        <w:jc w:val="both"/>
        <w:rPr>
          <w:rFonts w:cs="Arial"/>
          <w:sz w:val="22"/>
          <w:szCs w:val="22"/>
        </w:rPr>
      </w:pPr>
    </w:p>
    <w:p w14:paraId="54A599CF" w14:textId="11388E21" w:rsidR="006A4FC8" w:rsidRPr="0000300D" w:rsidRDefault="00F762F2" w:rsidP="00E723EA">
      <w:pPr>
        <w:pStyle w:val="Normalarial"/>
        <w:jc w:val="both"/>
        <w:rPr>
          <w:rFonts w:cs="Arial"/>
          <w:sz w:val="22"/>
          <w:szCs w:val="22"/>
        </w:rPr>
      </w:pPr>
      <w:r w:rsidRPr="0000300D">
        <w:rPr>
          <w:rFonts w:cs="Arial"/>
          <w:b/>
          <w:bCs/>
          <w:sz w:val="22"/>
          <w:szCs w:val="22"/>
        </w:rPr>
        <w:t xml:space="preserve">PRIMERA. </w:t>
      </w:r>
      <w:r w:rsidR="00CF698E" w:rsidRPr="0000300D">
        <w:rPr>
          <w:rFonts w:cs="Arial"/>
          <w:sz w:val="22"/>
          <w:szCs w:val="22"/>
        </w:rPr>
        <w:t>Adiciónese a</w:t>
      </w:r>
      <w:r w:rsidR="00330ACD" w:rsidRPr="0000300D">
        <w:rPr>
          <w:rFonts w:cs="Arial"/>
          <w:sz w:val="22"/>
          <w:szCs w:val="22"/>
          <w:lang w:val="es-CO"/>
        </w:rPr>
        <w:t xml:space="preserve"> la definición </w:t>
      </w:r>
      <w:r w:rsidR="00E906E2">
        <w:rPr>
          <w:rFonts w:cs="Arial"/>
          <w:sz w:val="22"/>
          <w:szCs w:val="22"/>
          <w:lang w:val="es-CO"/>
        </w:rPr>
        <w:t>de reclamo de</w:t>
      </w:r>
      <w:r w:rsidR="00330ACD" w:rsidRPr="0000300D">
        <w:rPr>
          <w:rFonts w:cs="Arial"/>
          <w:sz w:val="22"/>
          <w:szCs w:val="22"/>
          <w:lang w:val="es-CO"/>
        </w:rPr>
        <w:t xml:space="preserve"> riesgo vital prevista en el </w:t>
      </w:r>
      <w:r w:rsidR="00330ACD" w:rsidRPr="0000300D">
        <w:rPr>
          <w:rFonts w:cs="Arial"/>
          <w:sz w:val="22"/>
          <w:szCs w:val="22"/>
        </w:rPr>
        <w:t>capítulo 1, numeral 3.3 del Título VII protección al usuario y participación ciudadana</w:t>
      </w:r>
      <w:r w:rsidR="00324040" w:rsidRPr="0000300D">
        <w:rPr>
          <w:rFonts w:cs="Arial"/>
          <w:sz w:val="22"/>
          <w:szCs w:val="22"/>
        </w:rPr>
        <w:t xml:space="preserve"> de</w:t>
      </w:r>
      <w:r w:rsidR="0031498A" w:rsidRPr="0000300D">
        <w:rPr>
          <w:rFonts w:cs="Arial"/>
          <w:sz w:val="22"/>
          <w:szCs w:val="22"/>
        </w:rPr>
        <w:t xml:space="preserve"> </w:t>
      </w:r>
      <w:r w:rsidR="00324040" w:rsidRPr="0000300D">
        <w:rPr>
          <w:rFonts w:cs="Arial"/>
          <w:sz w:val="22"/>
          <w:szCs w:val="22"/>
        </w:rPr>
        <w:t>la Circular 047 de 2007</w:t>
      </w:r>
      <w:r w:rsidR="0000300D" w:rsidRPr="0000300D">
        <w:rPr>
          <w:rFonts w:cs="Arial"/>
          <w:sz w:val="22"/>
          <w:szCs w:val="22"/>
        </w:rPr>
        <w:t>, el siguiente párrafo</w:t>
      </w:r>
      <w:r w:rsidR="006A4FC8" w:rsidRPr="0000300D">
        <w:rPr>
          <w:rFonts w:cs="Arial"/>
          <w:sz w:val="22"/>
          <w:szCs w:val="22"/>
        </w:rPr>
        <w:t xml:space="preserve">: </w:t>
      </w:r>
    </w:p>
    <w:p w14:paraId="3011437D" w14:textId="77777777" w:rsidR="006A4FC8" w:rsidRPr="0000300D" w:rsidRDefault="006A4FC8" w:rsidP="00330ACD">
      <w:pPr>
        <w:pStyle w:val="Normalarial"/>
        <w:jc w:val="both"/>
        <w:rPr>
          <w:rFonts w:cs="Arial"/>
          <w:sz w:val="22"/>
          <w:szCs w:val="22"/>
        </w:rPr>
      </w:pPr>
    </w:p>
    <w:p w14:paraId="7B985BE8" w14:textId="6D6E4931" w:rsidR="00F84C82" w:rsidRPr="0000300D" w:rsidRDefault="00E906E2" w:rsidP="00330ACD">
      <w:pPr>
        <w:pStyle w:val="Normalarial"/>
        <w:jc w:val="both"/>
        <w:rPr>
          <w:rFonts w:cs="Arial"/>
          <w:bCs/>
          <w:sz w:val="22"/>
          <w:szCs w:val="22"/>
          <w:lang w:val="es-CO"/>
        </w:rPr>
      </w:pPr>
      <w:r>
        <w:rPr>
          <w:rFonts w:cs="Arial"/>
          <w:sz w:val="22"/>
          <w:szCs w:val="22"/>
        </w:rPr>
        <w:t>“</w:t>
      </w:r>
      <w:r w:rsidR="00F84C82" w:rsidRPr="0000300D">
        <w:rPr>
          <w:rFonts w:cs="Arial"/>
          <w:sz w:val="22"/>
          <w:szCs w:val="22"/>
        </w:rPr>
        <w:t>Sin limitarse solo a estos, siempre se entenderá</w:t>
      </w:r>
      <w:r w:rsidR="005B616A" w:rsidRPr="0000300D">
        <w:rPr>
          <w:rFonts w:cs="Arial"/>
          <w:sz w:val="22"/>
          <w:szCs w:val="22"/>
        </w:rPr>
        <w:t xml:space="preserve"> incluido</w:t>
      </w:r>
      <w:r w:rsidR="00F84C82" w:rsidRPr="0000300D">
        <w:rPr>
          <w:rFonts w:cs="Arial"/>
          <w:sz w:val="22"/>
          <w:szCs w:val="22"/>
        </w:rPr>
        <w:t xml:space="preserve"> como riesgo vital los casos </w:t>
      </w:r>
      <w:r w:rsidR="00F63C5F" w:rsidRPr="0000300D">
        <w:rPr>
          <w:rFonts w:cs="Arial"/>
          <w:sz w:val="22"/>
          <w:szCs w:val="22"/>
        </w:rPr>
        <w:t>de cohortes</w:t>
      </w:r>
      <w:r w:rsidR="00F84C82" w:rsidRPr="0000300D">
        <w:rPr>
          <w:rFonts w:cs="Arial"/>
          <w:bCs/>
          <w:sz w:val="22"/>
          <w:szCs w:val="22"/>
        </w:rPr>
        <w:t xml:space="preserve"> de trasplantados, enfermedades cardiovasculares, cáncer, </w:t>
      </w:r>
      <w:r w:rsidR="00F33B70" w:rsidRPr="0000300D">
        <w:rPr>
          <w:rFonts w:cs="Arial"/>
          <w:bCs/>
          <w:sz w:val="22"/>
          <w:szCs w:val="22"/>
        </w:rPr>
        <w:t xml:space="preserve">enfermedades </w:t>
      </w:r>
      <w:r w:rsidR="00F84C82" w:rsidRPr="0000300D">
        <w:rPr>
          <w:rFonts w:cs="Arial"/>
          <w:bCs/>
          <w:sz w:val="22"/>
          <w:szCs w:val="22"/>
        </w:rPr>
        <w:t>huérfanas, respiratorias crónicas y VIH</w:t>
      </w:r>
      <w:r w:rsidR="005339C0" w:rsidRPr="0000300D">
        <w:rPr>
          <w:rFonts w:cs="Arial"/>
          <w:bCs/>
          <w:sz w:val="22"/>
          <w:szCs w:val="22"/>
        </w:rPr>
        <w:t xml:space="preserve"> </w:t>
      </w:r>
      <w:r w:rsidR="00F412E5" w:rsidRPr="0000300D">
        <w:rPr>
          <w:rFonts w:cs="Arial"/>
          <w:sz w:val="22"/>
          <w:szCs w:val="22"/>
        </w:rPr>
        <w:t>relacionados con niños, niñas y adolescentes, en su condición de sujetos de especial protección constitucional</w:t>
      </w:r>
      <w:r>
        <w:rPr>
          <w:rFonts w:cs="Arial"/>
          <w:sz w:val="22"/>
          <w:szCs w:val="22"/>
        </w:rPr>
        <w:t>”</w:t>
      </w:r>
      <w:r w:rsidR="00F84C82" w:rsidRPr="0000300D">
        <w:rPr>
          <w:rFonts w:cs="Arial"/>
          <w:bCs/>
          <w:sz w:val="22"/>
          <w:szCs w:val="22"/>
          <w:lang w:val="es-CO"/>
        </w:rPr>
        <w:t>.</w:t>
      </w:r>
    </w:p>
    <w:p w14:paraId="01E1FD13" w14:textId="77777777" w:rsidR="005436E9" w:rsidRPr="0000300D" w:rsidRDefault="005436E9" w:rsidP="00330ACD">
      <w:pPr>
        <w:pStyle w:val="Normalarial"/>
        <w:jc w:val="both"/>
        <w:rPr>
          <w:rFonts w:cs="Arial"/>
          <w:bCs/>
          <w:sz w:val="22"/>
          <w:szCs w:val="22"/>
          <w:lang w:val="es-CO"/>
        </w:rPr>
      </w:pPr>
    </w:p>
    <w:p w14:paraId="06AE118C" w14:textId="2B18E853" w:rsidR="00AE1B57" w:rsidRDefault="00E723EA" w:rsidP="00330ACD">
      <w:pPr>
        <w:pStyle w:val="Normalarial"/>
        <w:jc w:val="both"/>
        <w:rPr>
          <w:rFonts w:cs="Arial"/>
          <w:sz w:val="22"/>
          <w:szCs w:val="22"/>
          <w:lang w:val="es-CO"/>
        </w:rPr>
      </w:pPr>
      <w:r w:rsidRPr="0000300D">
        <w:rPr>
          <w:rFonts w:cs="Arial"/>
          <w:b/>
          <w:bCs/>
          <w:sz w:val="22"/>
          <w:szCs w:val="22"/>
          <w:lang w:val="es-CO"/>
        </w:rPr>
        <w:t>SEGUNDA</w:t>
      </w:r>
      <w:r w:rsidR="00A36B65" w:rsidRPr="0000300D">
        <w:rPr>
          <w:rFonts w:cs="Arial"/>
          <w:b/>
          <w:bCs/>
          <w:sz w:val="22"/>
          <w:szCs w:val="22"/>
          <w:lang w:val="es-CO"/>
        </w:rPr>
        <w:t>.</w:t>
      </w:r>
      <w:r w:rsidR="00A36B65" w:rsidRPr="0000300D">
        <w:rPr>
          <w:rFonts w:cs="Arial"/>
          <w:sz w:val="22"/>
          <w:szCs w:val="22"/>
          <w:lang w:val="es-CO"/>
        </w:rPr>
        <w:t xml:space="preserve"> </w:t>
      </w:r>
      <w:r w:rsidR="00174B02" w:rsidRPr="0000300D">
        <w:rPr>
          <w:rFonts w:cs="Arial"/>
          <w:sz w:val="22"/>
          <w:szCs w:val="22"/>
          <w:lang w:val="es-CO"/>
        </w:rPr>
        <w:t xml:space="preserve">Incluir a los Gestores </w:t>
      </w:r>
      <w:r w:rsidR="00280A54" w:rsidRPr="0000300D">
        <w:rPr>
          <w:rFonts w:cs="Arial"/>
          <w:sz w:val="22"/>
          <w:szCs w:val="22"/>
          <w:lang w:val="es-CO"/>
        </w:rPr>
        <w:t>Farmacéuticos</w:t>
      </w:r>
      <w:r w:rsidR="00CA091F" w:rsidRPr="0000300D">
        <w:rPr>
          <w:rFonts w:cs="Arial"/>
          <w:sz w:val="22"/>
          <w:szCs w:val="22"/>
          <w:lang w:val="es-CO"/>
        </w:rPr>
        <w:t xml:space="preserve"> y las IPS</w:t>
      </w:r>
      <w:r w:rsidR="00174B02" w:rsidRPr="0000300D">
        <w:rPr>
          <w:rFonts w:cs="Arial"/>
          <w:sz w:val="22"/>
          <w:szCs w:val="22"/>
          <w:lang w:val="es-CO"/>
        </w:rPr>
        <w:t xml:space="preserve"> como </w:t>
      </w:r>
      <w:r w:rsidR="00E906E2">
        <w:rPr>
          <w:rFonts w:cs="Arial"/>
          <w:sz w:val="22"/>
          <w:szCs w:val="22"/>
          <w:lang w:val="es-CO"/>
        </w:rPr>
        <w:t xml:space="preserve">actores </w:t>
      </w:r>
      <w:r w:rsidR="001F77CC" w:rsidRPr="0000300D">
        <w:rPr>
          <w:rFonts w:cs="Arial"/>
          <w:sz w:val="22"/>
          <w:szCs w:val="22"/>
          <w:lang w:val="es-CO"/>
        </w:rPr>
        <w:t>direct</w:t>
      </w:r>
      <w:r w:rsidR="00E906E2">
        <w:rPr>
          <w:rFonts w:cs="Arial"/>
          <w:sz w:val="22"/>
          <w:szCs w:val="22"/>
          <w:lang w:val="es-CO"/>
        </w:rPr>
        <w:t>amente</w:t>
      </w:r>
      <w:r w:rsidR="001F77CC" w:rsidRPr="0000300D">
        <w:rPr>
          <w:rFonts w:cs="Arial"/>
          <w:sz w:val="22"/>
          <w:szCs w:val="22"/>
          <w:lang w:val="es-CO"/>
        </w:rPr>
        <w:t xml:space="preserve"> involucrados </w:t>
      </w:r>
      <w:r w:rsidR="00621186" w:rsidRPr="0000300D">
        <w:rPr>
          <w:rFonts w:cs="Arial"/>
          <w:sz w:val="22"/>
          <w:szCs w:val="22"/>
          <w:lang w:val="es-CO"/>
        </w:rPr>
        <w:t>en</w:t>
      </w:r>
      <w:r w:rsidR="00AE1B57">
        <w:rPr>
          <w:rFonts w:cs="Arial"/>
          <w:sz w:val="22"/>
          <w:szCs w:val="22"/>
          <w:lang w:val="es-CO"/>
        </w:rPr>
        <w:t xml:space="preserve"> el cumplimiento de</w:t>
      </w:r>
      <w:r w:rsidR="00621186" w:rsidRPr="0000300D">
        <w:rPr>
          <w:rFonts w:cs="Arial"/>
          <w:sz w:val="22"/>
          <w:szCs w:val="22"/>
          <w:lang w:val="es-CO"/>
        </w:rPr>
        <w:t xml:space="preserve"> </w:t>
      </w:r>
      <w:r w:rsidR="00E906E2">
        <w:rPr>
          <w:rFonts w:cs="Arial"/>
          <w:sz w:val="22"/>
          <w:szCs w:val="22"/>
          <w:lang w:val="es-CO"/>
        </w:rPr>
        <w:t>la</w:t>
      </w:r>
      <w:r w:rsidR="00AE1B57">
        <w:rPr>
          <w:rFonts w:cs="Arial"/>
          <w:sz w:val="22"/>
          <w:szCs w:val="22"/>
          <w:lang w:val="es-CO"/>
        </w:rPr>
        <w:t>s</w:t>
      </w:r>
      <w:r w:rsidR="00E906E2">
        <w:rPr>
          <w:rFonts w:cs="Arial"/>
          <w:sz w:val="22"/>
          <w:szCs w:val="22"/>
          <w:lang w:val="es-CO"/>
        </w:rPr>
        <w:t xml:space="preserve"> disposici</w:t>
      </w:r>
      <w:r w:rsidR="00AE1B57">
        <w:rPr>
          <w:rFonts w:cs="Arial"/>
          <w:sz w:val="22"/>
          <w:szCs w:val="22"/>
          <w:lang w:val="es-CO"/>
        </w:rPr>
        <w:t>ones</w:t>
      </w:r>
      <w:r w:rsidR="00E906E2">
        <w:rPr>
          <w:rFonts w:cs="Arial"/>
          <w:sz w:val="22"/>
          <w:szCs w:val="22"/>
          <w:lang w:val="es-CO"/>
        </w:rPr>
        <w:t xml:space="preserve"> contenida</w:t>
      </w:r>
      <w:r w:rsidR="00AE1B57">
        <w:rPr>
          <w:rFonts w:cs="Arial"/>
          <w:sz w:val="22"/>
          <w:szCs w:val="22"/>
          <w:lang w:val="es-CO"/>
        </w:rPr>
        <w:t>s</w:t>
      </w:r>
      <w:r w:rsidR="00E906E2" w:rsidRPr="0000300D">
        <w:rPr>
          <w:rFonts w:cs="Arial"/>
          <w:sz w:val="22"/>
          <w:szCs w:val="22"/>
          <w:lang w:val="es-CO"/>
        </w:rPr>
        <w:t xml:space="preserve"> </w:t>
      </w:r>
      <w:r w:rsidR="00621186" w:rsidRPr="0000300D">
        <w:rPr>
          <w:rFonts w:cs="Arial"/>
          <w:sz w:val="22"/>
          <w:szCs w:val="22"/>
          <w:lang w:val="es-CO"/>
        </w:rPr>
        <w:t xml:space="preserve">en </w:t>
      </w:r>
      <w:r w:rsidR="00E906E2">
        <w:rPr>
          <w:rFonts w:cs="Arial"/>
          <w:sz w:val="22"/>
          <w:szCs w:val="22"/>
          <w:lang w:val="es-CO"/>
        </w:rPr>
        <w:t>los</w:t>
      </w:r>
      <w:r w:rsidR="00E906E2" w:rsidRPr="0000300D">
        <w:rPr>
          <w:rFonts w:cs="Arial"/>
          <w:sz w:val="22"/>
          <w:szCs w:val="22"/>
          <w:lang w:val="es-CO"/>
        </w:rPr>
        <w:t xml:space="preserve"> </w:t>
      </w:r>
      <w:r w:rsidR="0080411F" w:rsidRPr="0000300D">
        <w:rPr>
          <w:rFonts w:cs="Arial"/>
          <w:sz w:val="22"/>
          <w:szCs w:val="22"/>
          <w:lang w:val="es-CO"/>
        </w:rPr>
        <w:t>numeral</w:t>
      </w:r>
      <w:r w:rsidR="00E906E2">
        <w:rPr>
          <w:rFonts w:cs="Arial"/>
          <w:sz w:val="22"/>
          <w:szCs w:val="22"/>
          <w:lang w:val="es-CO"/>
        </w:rPr>
        <w:t>es</w:t>
      </w:r>
      <w:r w:rsidR="0080411F" w:rsidRPr="0000300D">
        <w:rPr>
          <w:rFonts w:cs="Arial"/>
          <w:sz w:val="22"/>
          <w:szCs w:val="22"/>
          <w:lang w:val="es-CO"/>
        </w:rPr>
        <w:t xml:space="preserve"> 2. </w:t>
      </w:r>
      <w:r w:rsidR="00E906E2">
        <w:rPr>
          <w:rFonts w:cs="Arial"/>
          <w:sz w:val="22"/>
          <w:szCs w:val="22"/>
          <w:lang w:val="es-CO"/>
        </w:rPr>
        <w:t>“</w:t>
      </w:r>
      <w:r w:rsidR="0080411F" w:rsidRPr="0000300D">
        <w:rPr>
          <w:rFonts w:cs="Arial"/>
          <w:sz w:val="22"/>
          <w:szCs w:val="22"/>
          <w:lang w:val="es-CO"/>
        </w:rPr>
        <w:t>Trato digno a los usuarios</w:t>
      </w:r>
      <w:r w:rsidR="00E906E2">
        <w:rPr>
          <w:rFonts w:cs="Arial"/>
          <w:sz w:val="22"/>
          <w:szCs w:val="22"/>
          <w:lang w:val="es-CO"/>
        </w:rPr>
        <w:t>”</w:t>
      </w:r>
      <w:r w:rsidR="0080411F" w:rsidRPr="0000300D">
        <w:rPr>
          <w:rFonts w:cs="Arial"/>
          <w:sz w:val="22"/>
          <w:szCs w:val="22"/>
          <w:lang w:val="es-CO"/>
        </w:rPr>
        <w:t>,</w:t>
      </w:r>
      <w:r w:rsidR="00E14C4F" w:rsidRPr="0000300D">
        <w:rPr>
          <w:rFonts w:cs="Arial"/>
          <w:sz w:val="22"/>
          <w:szCs w:val="22"/>
          <w:lang w:val="es-CO"/>
        </w:rPr>
        <w:t xml:space="preserve"> y</w:t>
      </w:r>
      <w:r w:rsidR="0080411F" w:rsidRPr="0000300D">
        <w:rPr>
          <w:rFonts w:cs="Arial"/>
          <w:sz w:val="22"/>
          <w:szCs w:val="22"/>
          <w:lang w:val="es-CO"/>
        </w:rPr>
        <w:t xml:space="preserve"> </w:t>
      </w:r>
      <w:r w:rsidR="00AE0E3B" w:rsidRPr="0000300D">
        <w:rPr>
          <w:rFonts w:cs="Arial"/>
          <w:sz w:val="22"/>
          <w:szCs w:val="22"/>
          <w:lang w:val="es-CO"/>
        </w:rPr>
        <w:t xml:space="preserve">3. </w:t>
      </w:r>
      <w:r w:rsidR="00E906E2">
        <w:rPr>
          <w:rFonts w:cs="Arial"/>
          <w:sz w:val="22"/>
          <w:szCs w:val="22"/>
          <w:lang w:val="es-CO"/>
        </w:rPr>
        <w:t>“</w:t>
      </w:r>
      <w:r w:rsidR="00AE0E3B" w:rsidRPr="0000300D">
        <w:rPr>
          <w:rFonts w:cs="Arial"/>
          <w:sz w:val="22"/>
          <w:szCs w:val="22"/>
          <w:lang w:val="es-CO"/>
        </w:rPr>
        <w:t xml:space="preserve">Sistema de </w:t>
      </w:r>
      <w:r w:rsidR="005F1360" w:rsidRPr="0000300D">
        <w:rPr>
          <w:rFonts w:cs="Arial"/>
          <w:sz w:val="22"/>
          <w:szCs w:val="22"/>
          <w:lang w:val="es-CO"/>
        </w:rPr>
        <w:t>Atención</w:t>
      </w:r>
      <w:r w:rsidR="00AE0E3B" w:rsidRPr="0000300D">
        <w:rPr>
          <w:rFonts w:cs="Arial"/>
          <w:sz w:val="22"/>
          <w:szCs w:val="22"/>
          <w:lang w:val="es-CO"/>
        </w:rPr>
        <w:t xml:space="preserve"> al usuario</w:t>
      </w:r>
      <w:r w:rsidR="00E906E2">
        <w:rPr>
          <w:rFonts w:cs="Arial"/>
          <w:sz w:val="22"/>
          <w:szCs w:val="22"/>
          <w:lang w:val="es-CO"/>
        </w:rPr>
        <w:t>”</w:t>
      </w:r>
      <w:r w:rsidR="00E14C4F" w:rsidRPr="0000300D">
        <w:rPr>
          <w:rFonts w:cs="Arial"/>
          <w:sz w:val="22"/>
          <w:szCs w:val="22"/>
          <w:lang w:val="es-CO"/>
        </w:rPr>
        <w:t>, incluidos su</w:t>
      </w:r>
      <w:r w:rsidR="009749AD" w:rsidRPr="0000300D">
        <w:rPr>
          <w:rFonts w:cs="Arial"/>
          <w:sz w:val="22"/>
          <w:szCs w:val="22"/>
          <w:lang w:val="es-CO"/>
        </w:rPr>
        <w:t>s</w:t>
      </w:r>
      <w:r w:rsidR="00E14C4F" w:rsidRPr="0000300D">
        <w:rPr>
          <w:rFonts w:cs="Arial"/>
          <w:sz w:val="22"/>
          <w:szCs w:val="22"/>
          <w:lang w:val="es-CO"/>
        </w:rPr>
        <w:t xml:space="preserve"> </w:t>
      </w:r>
      <w:proofErr w:type="spellStart"/>
      <w:r w:rsidR="00E14C4F" w:rsidRPr="0000300D">
        <w:rPr>
          <w:rFonts w:cs="Arial"/>
          <w:sz w:val="22"/>
          <w:szCs w:val="22"/>
          <w:lang w:val="es-CO"/>
        </w:rPr>
        <w:t>subnumerales</w:t>
      </w:r>
      <w:proofErr w:type="spellEnd"/>
      <w:r w:rsidR="00AE1B57">
        <w:rPr>
          <w:rFonts w:cs="Arial"/>
          <w:sz w:val="22"/>
          <w:szCs w:val="22"/>
          <w:lang w:val="es-CO"/>
        </w:rPr>
        <w:t>,</w:t>
      </w:r>
      <w:r w:rsidR="00E14C4F" w:rsidRPr="0000300D">
        <w:rPr>
          <w:rFonts w:cs="Arial"/>
          <w:sz w:val="22"/>
          <w:szCs w:val="22"/>
          <w:lang w:val="es-CO"/>
        </w:rPr>
        <w:t xml:space="preserve"> </w:t>
      </w:r>
      <w:r w:rsidR="00AE1B57">
        <w:rPr>
          <w:rFonts w:cs="Arial"/>
          <w:sz w:val="22"/>
          <w:szCs w:val="22"/>
          <w:lang w:val="es-CO"/>
        </w:rPr>
        <w:t>del</w:t>
      </w:r>
      <w:r w:rsidR="00AE0E3B" w:rsidRPr="0000300D">
        <w:rPr>
          <w:rFonts w:cs="Arial"/>
          <w:sz w:val="22"/>
          <w:szCs w:val="22"/>
          <w:lang w:val="es-CO"/>
        </w:rPr>
        <w:t xml:space="preserve"> </w:t>
      </w:r>
      <w:proofErr w:type="spellStart"/>
      <w:r w:rsidR="00621186" w:rsidRPr="0000300D">
        <w:rPr>
          <w:rFonts w:cs="Arial"/>
          <w:sz w:val="22"/>
          <w:szCs w:val="22"/>
          <w:lang w:val="es-CO"/>
        </w:rPr>
        <w:t>Titulo</w:t>
      </w:r>
      <w:proofErr w:type="spellEnd"/>
      <w:r w:rsidR="00621186" w:rsidRPr="0000300D">
        <w:rPr>
          <w:rFonts w:cs="Arial"/>
          <w:sz w:val="22"/>
          <w:szCs w:val="22"/>
          <w:lang w:val="es-CO"/>
        </w:rPr>
        <w:t xml:space="preserve"> VII de la Circular externa 047 de 2007,</w:t>
      </w:r>
      <w:r w:rsidR="008A6AD7" w:rsidRPr="0000300D">
        <w:rPr>
          <w:rFonts w:cs="Arial"/>
          <w:sz w:val="22"/>
          <w:szCs w:val="22"/>
          <w:lang w:val="es-CO"/>
        </w:rPr>
        <w:t xml:space="preserve"> </w:t>
      </w:r>
      <w:r w:rsidR="00AE1B57">
        <w:rPr>
          <w:rFonts w:cs="Arial"/>
          <w:sz w:val="22"/>
          <w:szCs w:val="22"/>
          <w:lang w:val="es-CO"/>
        </w:rPr>
        <w:t>en lo relacionado con</w:t>
      </w:r>
      <w:r w:rsidR="008A6AD7" w:rsidRPr="0000300D">
        <w:rPr>
          <w:rFonts w:cs="Arial"/>
          <w:sz w:val="22"/>
          <w:szCs w:val="22"/>
          <w:lang w:val="es-CO"/>
        </w:rPr>
        <w:t xml:space="preserve"> la </w:t>
      </w:r>
      <w:r w:rsidR="00280A54" w:rsidRPr="0000300D">
        <w:rPr>
          <w:rFonts w:cs="Arial"/>
          <w:sz w:val="22"/>
          <w:szCs w:val="22"/>
          <w:lang w:val="es-CO"/>
        </w:rPr>
        <w:t>protección</w:t>
      </w:r>
      <w:r w:rsidR="008A6AD7" w:rsidRPr="0000300D">
        <w:rPr>
          <w:rFonts w:cs="Arial"/>
          <w:sz w:val="22"/>
          <w:szCs w:val="22"/>
          <w:lang w:val="es-CO"/>
        </w:rPr>
        <w:t xml:space="preserve"> al usuario y participación ciudadana</w:t>
      </w:r>
      <w:r w:rsidR="00AE1B57">
        <w:rPr>
          <w:rFonts w:cs="Arial"/>
          <w:sz w:val="22"/>
          <w:szCs w:val="22"/>
          <w:lang w:val="es-CO"/>
        </w:rPr>
        <w:t>.</w:t>
      </w:r>
    </w:p>
    <w:p w14:paraId="1BD01A4B" w14:textId="36723F91" w:rsidR="00AE1B57" w:rsidRPr="0000300D" w:rsidRDefault="00AE1B57" w:rsidP="00330ACD">
      <w:pPr>
        <w:pStyle w:val="Normalarial"/>
        <w:jc w:val="both"/>
        <w:rPr>
          <w:rFonts w:cs="Arial"/>
          <w:sz w:val="22"/>
          <w:szCs w:val="22"/>
          <w:lang w:val="es-CO"/>
        </w:rPr>
      </w:pPr>
      <w:r>
        <w:rPr>
          <w:rFonts w:cs="Arial"/>
          <w:sz w:val="22"/>
          <w:szCs w:val="22"/>
          <w:lang w:val="es-CO"/>
        </w:rPr>
        <w:lastRenderedPageBreak/>
        <w:t xml:space="preserve">La participación de tales actores no implica la </w:t>
      </w:r>
      <w:r w:rsidR="005F1360" w:rsidRPr="0000300D">
        <w:rPr>
          <w:rFonts w:cs="Arial"/>
          <w:sz w:val="22"/>
          <w:szCs w:val="22"/>
          <w:lang w:val="es-CO"/>
        </w:rPr>
        <w:t>transf</w:t>
      </w:r>
      <w:r>
        <w:rPr>
          <w:rFonts w:cs="Arial"/>
          <w:sz w:val="22"/>
          <w:szCs w:val="22"/>
          <w:lang w:val="es-CO"/>
        </w:rPr>
        <w:t>erencia, sustitución o delegación de</w:t>
      </w:r>
      <w:r w:rsidR="005F1360" w:rsidRPr="0000300D">
        <w:rPr>
          <w:rFonts w:cs="Arial"/>
          <w:sz w:val="22"/>
          <w:szCs w:val="22"/>
          <w:lang w:val="es-CO"/>
        </w:rPr>
        <w:t xml:space="preserve"> la obligación </w:t>
      </w:r>
      <w:r>
        <w:rPr>
          <w:rFonts w:cs="Arial"/>
          <w:sz w:val="22"/>
          <w:szCs w:val="22"/>
          <w:lang w:val="es-CO"/>
        </w:rPr>
        <w:t>propia</w:t>
      </w:r>
      <w:r w:rsidRPr="0000300D">
        <w:rPr>
          <w:rFonts w:cs="Arial"/>
          <w:sz w:val="22"/>
          <w:szCs w:val="22"/>
          <w:lang w:val="es-CO"/>
        </w:rPr>
        <w:t xml:space="preserve"> </w:t>
      </w:r>
      <w:r w:rsidR="005F1360" w:rsidRPr="0000300D">
        <w:rPr>
          <w:rFonts w:cs="Arial"/>
          <w:sz w:val="22"/>
          <w:szCs w:val="22"/>
          <w:lang w:val="es-CO"/>
        </w:rPr>
        <w:t>de las EAPB frente al aseguramiento en salu</w:t>
      </w:r>
      <w:r>
        <w:rPr>
          <w:rFonts w:cs="Arial"/>
          <w:sz w:val="22"/>
          <w:szCs w:val="22"/>
          <w:lang w:val="es-CO"/>
        </w:rPr>
        <w:t xml:space="preserve">d. </w:t>
      </w:r>
      <w:r w:rsidRPr="00AE1B57">
        <w:rPr>
          <w:rFonts w:cs="Arial"/>
          <w:sz w:val="22"/>
          <w:szCs w:val="22"/>
          <w:lang w:val="es-CO"/>
        </w:rPr>
        <w:t>En consecuencia, el cumplimiento de estas disposiciones se desarrollará bajo un esquema de responsabilidades concurrentes y diferenciadas, de acuerdo con las competencias legales de cada actor.</w:t>
      </w:r>
    </w:p>
    <w:p w14:paraId="3B5CA17F" w14:textId="5CD07E46" w:rsidR="0078377D" w:rsidRPr="0000300D" w:rsidRDefault="00845425" w:rsidP="00F8708F">
      <w:pPr>
        <w:pStyle w:val="Normalarial"/>
        <w:jc w:val="both"/>
        <w:rPr>
          <w:rFonts w:cs="Arial"/>
          <w:sz w:val="22"/>
          <w:szCs w:val="22"/>
        </w:rPr>
      </w:pPr>
      <w:r w:rsidRPr="0000300D">
        <w:rPr>
          <w:rFonts w:cs="Arial"/>
          <w:sz w:val="22"/>
          <w:szCs w:val="22"/>
        </w:rPr>
        <w:t xml:space="preserve"> </w:t>
      </w:r>
    </w:p>
    <w:p w14:paraId="354982DC" w14:textId="0CD1C5DC" w:rsidR="00F762F2" w:rsidRPr="0000300D" w:rsidRDefault="00B26805" w:rsidP="00F8708F">
      <w:pPr>
        <w:pStyle w:val="Normalarial"/>
        <w:jc w:val="both"/>
        <w:rPr>
          <w:rFonts w:cs="Arial"/>
          <w:sz w:val="22"/>
          <w:szCs w:val="22"/>
        </w:rPr>
      </w:pPr>
      <w:r w:rsidRPr="0000300D">
        <w:rPr>
          <w:rFonts w:cs="Arial"/>
          <w:b/>
          <w:bCs/>
          <w:sz w:val="22"/>
          <w:szCs w:val="22"/>
        </w:rPr>
        <w:t>TERCER</w:t>
      </w:r>
      <w:r w:rsidR="00221A23">
        <w:rPr>
          <w:rFonts w:cs="Arial"/>
          <w:b/>
          <w:bCs/>
          <w:sz w:val="22"/>
          <w:szCs w:val="22"/>
        </w:rPr>
        <w:t>A</w:t>
      </w:r>
      <w:r w:rsidR="007A6F14" w:rsidRPr="0000300D">
        <w:rPr>
          <w:rFonts w:cs="Arial"/>
          <w:b/>
          <w:bCs/>
          <w:sz w:val="22"/>
          <w:szCs w:val="22"/>
        </w:rPr>
        <w:t xml:space="preserve">. </w:t>
      </w:r>
      <w:r w:rsidR="00F467D9" w:rsidRPr="0000300D">
        <w:rPr>
          <w:rFonts w:cs="Arial"/>
          <w:sz w:val="22"/>
          <w:szCs w:val="22"/>
        </w:rPr>
        <w:t xml:space="preserve">Adiciónese </w:t>
      </w:r>
      <w:r w:rsidR="00AE1B57">
        <w:rPr>
          <w:rFonts w:cs="Arial"/>
          <w:sz w:val="22"/>
          <w:szCs w:val="22"/>
        </w:rPr>
        <w:t>la siguiente disposición</w:t>
      </w:r>
      <w:r w:rsidR="00F467D9" w:rsidRPr="0000300D">
        <w:rPr>
          <w:rFonts w:cs="Arial"/>
          <w:sz w:val="22"/>
          <w:szCs w:val="22"/>
        </w:rPr>
        <w:t xml:space="preserve"> al numeral 3.3.2.3 del Título VII de la Circular Externa 047 de 2007:</w:t>
      </w:r>
      <w:r w:rsidR="005E28F4" w:rsidRPr="0000300D">
        <w:rPr>
          <w:rFonts w:cs="Arial"/>
          <w:sz w:val="22"/>
          <w:szCs w:val="22"/>
        </w:rPr>
        <w:t xml:space="preserve"> </w:t>
      </w:r>
    </w:p>
    <w:p w14:paraId="17CD8E01" w14:textId="77777777" w:rsidR="005E28F4" w:rsidRPr="0000300D" w:rsidRDefault="005E28F4" w:rsidP="00F8708F">
      <w:pPr>
        <w:pStyle w:val="Normalarial"/>
        <w:jc w:val="both"/>
        <w:rPr>
          <w:rFonts w:cs="Arial"/>
          <w:sz w:val="22"/>
          <w:szCs w:val="22"/>
        </w:rPr>
      </w:pPr>
    </w:p>
    <w:p w14:paraId="235F5EBD" w14:textId="0CC55E7D" w:rsidR="0029657C" w:rsidRPr="0000300D" w:rsidRDefault="0029657C" w:rsidP="00702D5A">
      <w:pPr>
        <w:jc w:val="both"/>
        <w:rPr>
          <w:rFonts w:ascii="Arial" w:hAnsi="Arial" w:cs="Arial"/>
          <w:sz w:val="22"/>
          <w:szCs w:val="22"/>
        </w:rPr>
      </w:pPr>
      <w:r w:rsidRPr="0000300D">
        <w:rPr>
          <w:rFonts w:ascii="Arial" w:hAnsi="Arial" w:cs="Arial"/>
          <w:sz w:val="22"/>
          <w:szCs w:val="22"/>
        </w:rPr>
        <w:t xml:space="preserve">Los reclamos </w:t>
      </w:r>
      <w:r w:rsidR="00AE1B57">
        <w:rPr>
          <w:rFonts w:ascii="Arial" w:hAnsi="Arial" w:cs="Arial"/>
          <w:sz w:val="22"/>
          <w:szCs w:val="22"/>
        </w:rPr>
        <w:t xml:space="preserve">de riesgo vital </w:t>
      </w:r>
      <w:r w:rsidRPr="0000300D">
        <w:rPr>
          <w:rFonts w:ascii="Arial" w:hAnsi="Arial" w:cs="Arial"/>
          <w:sz w:val="22"/>
          <w:szCs w:val="22"/>
        </w:rPr>
        <w:t>en salud relacionados con niños, niñas y adolescentes</w:t>
      </w:r>
      <w:r w:rsidR="00A57941" w:rsidRPr="0000300D">
        <w:rPr>
          <w:rFonts w:ascii="Arial" w:hAnsi="Arial" w:cs="Arial"/>
          <w:sz w:val="22"/>
          <w:szCs w:val="22"/>
        </w:rPr>
        <w:t xml:space="preserve"> </w:t>
      </w:r>
      <w:r w:rsidR="004C23E2" w:rsidRPr="0000300D">
        <w:rPr>
          <w:rFonts w:ascii="Arial" w:hAnsi="Arial" w:cs="Arial"/>
          <w:sz w:val="22"/>
          <w:szCs w:val="22"/>
        </w:rPr>
        <w:t xml:space="preserve">con riesgo </w:t>
      </w:r>
      <w:proofErr w:type="gramStart"/>
      <w:r w:rsidR="004C23E2" w:rsidRPr="0000300D">
        <w:rPr>
          <w:rFonts w:ascii="Arial" w:hAnsi="Arial" w:cs="Arial"/>
          <w:sz w:val="22"/>
          <w:szCs w:val="22"/>
        </w:rPr>
        <w:t>vital</w:t>
      </w:r>
      <w:r w:rsidRPr="0000300D">
        <w:rPr>
          <w:rFonts w:ascii="Arial" w:hAnsi="Arial" w:cs="Arial"/>
          <w:sz w:val="22"/>
          <w:szCs w:val="22"/>
        </w:rPr>
        <w:t>,</w:t>
      </w:r>
      <w:proofErr w:type="gramEnd"/>
      <w:r w:rsidRPr="0000300D">
        <w:rPr>
          <w:rFonts w:ascii="Arial" w:hAnsi="Arial" w:cs="Arial"/>
          <w:sz w:val="22"/>
          <w:szCs w:val="22"/>
        </w:rPr>
        <w:t xml:space="preserve"> deberán ser gestionados y resueltos con carácter prioritario e inmediato, </w:t>
      </w:r>
      <w:r w:rsidR="00AE1B57">
        <w:rPr>
          <w:rFonts w:ascii="Arial" w:hAnsi="Arial" w:cs="Arial"/>
          <w:sz w:val="22"/>
          <w:szCs w:val="22"/>
        </w:rPr>
        <w:t>de</w:t>
      </w:r>
      <w:r w:rsidRPr="0000300D">
        <w:rPr>
          <w:rFonts w:ascii="Arial" w:hAnsi="Arial" w:cs="Arial"/>
          <w:sz w:val="22"/>
          <w:szCs w:val="22"/>
        </w:rPr>
        <w:t xml:space="preserve"> fondo </w:t>
      </w:r>
      <w:r w:rsidR="00EB4B65">
        <w:rPr>
          <w:rFonts w:ascii="Arial" w:hAnsi="Arial" w:cs="Arial"/>
          <w:sz w:val="22"/>
          <w:szCs w:val="22"/>
        </w:rPr>
        <w:t>sin que el</w:t>
      </w:r>
      <w:r w:rsidRPr="0000300D">
        <w:rPr>
          <w:rFonts w:ascii="Arial" w:hAnsi="Arial" w:cs="Arial"/>
          <w:sz w:val="22"/>
          <w:szCs w:val="22"/>
        </w:rPr>
        <w:t xml:space="preserve"> término</w:t>
      </w:r>
      <w:r w:rsidR="00EB4B65">
        <w:rPr>
          <w:rFonts w:ascii="Arial" w:hAnsi="Arial" w:cs="Arial"/>
          <w:sz w:val="22"/>
          <w:szCs w:val="22"/>
        </w:rPr>
        <w:t xml:space="preserve"> supere un</w:t>
      </w:r>
      <w:r w:rsidRPr="0000300D">
        <w:rPr>
          <w:rFonts w:ascii="Arial" w:hAnsi="Arial" w:cs="Arial"/>
          <w:sz w:val="22"/>
          <w:szCs w:val="22"/>
        </w:rPr>
        <w:t xml:space="preserve"> máximo de ocho (8) horas contadas a partir de la </w:t>
      </w:r>
      <w:r w:rsidR="004C23E2" w:rsidRPr="0000300D">
        <w:rPr>
          <w:rFonts w:ascii="Arial" w:hAnsi="Arial" w:cs="Arial"/>
          <w:sz w:val="22"/>
          <w:szCs w:val="22"/>
        </w:rPr>
        <w:t>fecha de radicación</w:t>
      </w:r>
      <w:r w:rsidRPr="0000300D">
        <w:rPr>
          <w:rFonts w:ascii="Arial" w:hAnsi="Arial" w:cs="Arial"/>
          <w:sz w:val="22"/>
          <w:szCs w:val="22"/>
        </w:rPr>
        <w:t>.</w:t>
      </w:r>
    </w:p>
    <w:p w14:paraId="11F1022E" w14:textId="77777777" w:rsidR="00DC432E" w:rsidRPr="0000300D" w:rsidRDefault="00DC432E" w:rsidP="00702D5A">
      <w:pPr>
        <w:jc w:val="both"/>
        <w:rPr>
          <w:rFonts w:ascii="Arial" w:hAnsi="Arial" w:cs="Arial"/>
          <w:sz w:val="22"/>
          <w:szCs w:val="22"/>
        </w:rPr>
      </w:pPr>
    </w:p>
    <w:p w14:paraId="691B7B93" w14:textId="6DD72DF1" w:rsidR="00CD4E40" w:rsidRPr="0000300D" w:rsidRDefault="00CD4E40" w:rsidP="00CD4E40">
      <w:pPr>
        <w:jc w:val="both"/>
        <w:rPr>
          <w:rFonts w:ascii="Arial" w:hAnsi="Arial" w:cs="Arial"/>
          <w:sz w:val="22"/>
          <w:szCs w:val="22"/>
        </w:rPr>
      </w:pPr>
      <w:r w:rsidRPr="0000300D">
        <w:rPr>
          <w:rFonts w:ascii="Arial" w:hAnsi="Arial" w:cs="Arial"/>
          <w:sz w:val="22"/>
          <w:szCs w:val="22"/>
        </w:rPr>
        <w:t>En los eventos en que dicho término perentorio no sea cumplido, la</w:t>
      </w:r>
      <w:r w:rsidR="00175C48" w:rsidRPr="0000300D">
        <w:rPr>
          <w:rFonts w:ascii="Arial" w:hAnsi="Arial" w:cs="Arial"/>
          <w:sz w:val="22"/>
          <w:szCs w:val="22"/>
        </w:rPr>
        <w:t>s</w:t>
      </w:r>
      <w:r w:rsidRPr="0000300D">
        <w:rPr>
          <w:rFonts w:ascii="Arial" w:hAnsi="Arial" w:cs="Arial"/>
          <w:sz w:val="22"/>
          <w:szCs w:val="22"/>
        </w:rPr>
        <w:t xml:space="preserve"> EPS, deberán radicar ante la Superintendencia Nacional de Salud, de manera inmediata, un escrito motivado indicando las razones fácticas y jurídicas del incumplimiento.</w:t>
      </w:r>
    </w:p>
    <w:p w14:paraId="5E60969C" w14:textId="77777777" w:rsidR="00CD4E40" w:rsidRPr="0000300D" w:rsidRDefault="00CD4E40" w:rsidP="00CD4E40">
      <w:pPr>
        <w:jc w:val="both"/>
        <w:rPr>
          <w:rFonts w:ascii="Arial" w:hAnsi="Arial" w:cs="Arial"/>
          <w:sz w:val="22"/>
          <w:szCs w:val="22"/>
        </w:rPr>
      </w:pPr>
    </w:p>
    <w:p w14:paraId="3A7EC134" w14:textId="5F75FBFC" w:rsidR="00CD4E40" w:rsidRPr="0000300D" w:rsidRDefault="00CD4E40" w:rsidP="00CD4E40">
      <w:pPr>
        <w:jc w:val="both"/>
        <w:rPr>
          <w:rFonts w:ascii="Arial" w:hAnsi="Arial" w:cs="Arial"/>
          <w:sz w:val="22"/>
          <w:szCs w:val="22"/>
        </w:rPr>
      </w:pPr>
      <w:r w:rsidRPr="0000300D">
        <w:rPr>
          <w:rFonts w:ascii="Arial" w:hAnsi="Arial" w:cs="Arial"/>
          <w:sz w:val="22"/>
          <w:szCs w:val="22"/>
        </w:rPr>
        <w:t xml:space="preserve">Dicho reporte deberá detallar e individualizar </w:t>
      </w:r>
      <w:r w:rsidR="00E74089" w:rsidRPr="0000300D">
        <w:rPr>
          <w:rFonts w:ascii="Arial" w:hAnsi="Arial" w:cs="Arial"/>
          <w:sz w:val="22"/>
          <w:szCs w:val="22"/>
        </w:rPr>
        <w:t xml:space="preserve">como mínimo las entidades, </w:t>
      </w:r>
      <w:r w:rsidR="00A0756A" w:rsidRPr="0000300D">
        <w:rPr>
          <w:rFonts w:ascii="Arial" w:hAnsi="Arial" w:cs="Arial"/>
          <w:sz w:val="22"/>
          <w:szCs w:val="22"/>
        </w:rPr>
        <w:t xml:space="preserve">actores </w:t>
      </w:r>
      <w:r w:rsidR="00E74089" w:rsidRPr="0000300D">
        <w:rPr>
          <w:rFonts w:ascii="Arial" w:hAnsi="Arial" w:cs="Arial"/>
          <w:sz w:val="22"/>
          <w:szCs w:val="22"/>
        </w:rPr>
        <w:t>responsables</w:t>
      </w:r>
      <w:r w:rsidR="00880288" w:rsidRPr="0000300D">
        <w:rPr>
          <w:rFonts w:ascii="Arial" w:hAnsi="Arial" w:cs="Arial"/>
          <w:sz w:val="22"/>
          <w:szCs w:val="22"/>
        </w:rPr>
        <w:t xml:space="preserve"> y</w:t>
      </w:r>
      <w:r w:rsidR="00E74089" w:rsidRPr="0000300D">
        <w:rPr>
          <w:rFonts w:ascii="Arial" w:hAnsi="Arial" w:cs="Arial"/>
          <w:sz w:val="22"/>
          <w:szCs w:val="22"/>
        </w:rPr>
        <w:t xml:space="preserve"> </w:t>
      </w:r>
      <w:r w:rsidR="00EB4B65">
        <w:rPr>
          <w:rFonts w:ascii="Arial" w:hAnsi="Arial" w:cs="Arial"/>
          <w:sz w:val="22"/>
          <w:szCs w:val="22"/>
        </w:rPr>
        <w:t xml:space="preserve">demás </w:t>
      </w:r>
      <w:r w:rsidR="00E74089" w:rsidRPr="0000300D">
        <w:rPr>
          <w:rFonts w:ascii="Arial" w:hAnsi="Arial" w:cs="Arial"/>
          <w:sz w:val="22"/>
          <w:szCs w:val="22"/>
        </w:rPr>
        <w:t xml:space="preserve">sujetos </w:t>
      </w:r>
      <w:r w:rsidR="00EB4B65">
        <w:rPr>
          <w:rFonts w:ascii="Arial" w:hAnsi="Arial" w:cs="Arial"/>
          <w:sz w:val="22"/>
          <w:szCs w:val="22"/>
        </w:rPr>
        <w:t>interviniente</w:t>
      </w:r>
      <w:r w:rsidR="00EB4B65" w:rsidRPr="0000300D">
        <w:rPr>
          <w:rFonts w:ascii="Arial" w:hAnsi="Arial" w:cs="Arial"/>
          <w:sz w:val="22"/>
          <w:szCs w:val="22"/>
        </w:rPr>
        <w:t>s</w:t>
      </w:r>
      <w:r w:rsidR="00E74089" w:rsidRPr="0000300D">
        <w:rPr>
          <w:rFonts w:ascii="Arial" w:hAnsi="Arial" w:cs="Arial"/>
          <w:sz w:val="22"/>
          <w:szCs w:val="22"/>
        </w:rPr>
        <w:t>,</w:t>
      </w:r>
      <w:r w:rsidR="00EB4B65">
        <w:rPr>
          <w:rFonts w:ascii="Arial" w:hAnsi="Arial" w:cs="Arial"/>
          <w:sz w:val="22"/>
          <w:szCs w:val="22"/>
        </w:rPr>
        <w:t xml:space="preserve"> </w:t>
      </w:r>
      <w:r w:rsidRPr="0000300D">
        <w:rPr>
          <w:rFonts w:ascii="Arial" w:hAnsi="Arial" w:cs="Arial"/>
          <w:sz w:val="22"/>
          <w:szCs w:val="22"/>
        </w:rPr>
        <w:t xml:space="preserve">cuyas acciones u omisiones condujeron a la </w:t>
      </w:r>
      <w:r w:rsidR="00EB4B65">
        <w:rPr>
          <w:rFonts w:ascii="Arial" w:hAnsi="Arial" w:cs="Arial"/>
          <w:sz w:val="22"/>
          <w:szCs w:val="22"/>
        </w:rPr>
        <w:t>a la materialización del incumplimiento en los términos fijados</w:t>
      </w:r>
      <w:r w:rsidRPr="0000300D">
        <w:rPr>
          <w:rFonts w:ascii="Arial" w:hAnsi="Arial" w:cs="Arial"/>
          <w:sz w:val="22"/>
          <w:szCs w:val="22"/>
        </w:rPr>
        <w:t>, a efectos de que esta Superintendencia proceda con el traslado compulsivo de copias a la Fiscalía General de la Nación, la Procuraduría General de la Nación y la Contraloría General de la República</w:t>
      </w:r>
      <w:r w:rsidR="00A0756A" w:rsidRPr="0000300D">
        <w:rPr>
          <w:rFonts w:ascii="Arial" w:hAnsi="Arial" w:cs="Arial"/>
          <w:sz w:val="22"/>
          <w:szCs w:val="22"/>
        </w:rPr>
        <w:t xml:space="preserve">, ello sin perjuicio de las funciones de Supervisión (Inspección, Vigilancia y Control) de la Superintendencia Nacional de Salud. </w:t>
      </w:r>
    </w:p>
    <w:p w14:paraId="442872B5" w14:textId="77777777" w:rsidR="00F467D9" w:rsidRPr="0000300D" w:rsidRDefault="00F467D9" w:rsidP="00702D5A">
      <w:pPr>
        <w:jc w:val="both"/>
        <w:rPr>
          <w:rFonts w:ascii="Arial" w:hAnsi="Arial" w:cs="Arial"/>
          <w:sz w:val="22"/>
          <w:szCs w:val="22"/>
        </w:rPr>
      </w:pPr>
    </w:p>
    <w:p w14:paraId="291AAEC6" w14:textId="2B0094D3" w:rsidR="001E3AE2" w:rsidRPr="0000300D" w:rsidRDefault="003D0038" w:rsidP="001E3AE2">
      <w:pPr>
        <w:pStyle w:val="Normalarial"/>
        <w:jc w:val="both"/>
        <w:rPr>
          <w:rFonts w:cs="Arial"/>
          <w:sz w:val="22"/>
          <w:szCs w:val="22"/>
        </w:rPr>
      </w:pPr>
      <w:r w:rsidRPr="0000300D">
        <w:rPr>
          <w:rFonts w:cs="Arial"/>
          <w:b/>
          <w:bCs/>
          <w:sz w:val="22"/>
          <w:szCs w:val="22"/>
        </w:rPr>
        <w:t>CUART</w:t>
      </w:r>
      <w:r w:rsidR="00221A23">
        <w:rPr>
          <w:rFonts w:cs="Arial"/>
          <w:b/>
          <w:bCs/>
          <w:sz w:val="22"/>
          <w:szCs w:val="22"/>
        </w:rPr>
        <w:t>A</w:t>
      </w:r>
      <w:r w:rsidR="001E3AE2" w:rsidRPr="0000300D">
        <w:rPr>
          <w:rFonts w:cs="Arial"/>
          <w:b/>
          <w:bCs/>
          <w:sz w:val="22"/>
          <w:szCs w:val="22"/>
        </w:rPr>
        <w:t xml:space="preserve">. </w:t>
      </w:r>
      <w:r w:rsidR="001E3AE2" w:rsidRPr="0000300D">
        <w:rPr>
          <w:rFonts w:cs="Arial"/>
          <w:sz w:val="22"/>
          <w:szCs w:val="22"/>
        </w:rPr>
        <w:t>Adiciónese el numeral 3.3.</w:t>
      </w:r>
      <w:r w:rsidR="00C80AE6" w:rsidRPr="0000300D">
        <w:rPr>
          <w:rFonts w:cs="Arial"/>
          <w:sz w:val="22"/>
          <w:szCs w:val="22"/>
        </w:rPr>
        <w:t>4</w:t>
      </w:r>
      <w:r w:rsidR="001E3AE2" w:rsidRPr="0000300D">
        <w:rPr>
          <w:rFonts w:cs="Arial"/>
          <w:sz w:val="22"/>
          <w:szCs w:val="22"/>
        </w:rPr>
        <w:t xml:space="preserve"> </w:t>
      </w:r>
      <w:r w:rsidR="002444EC" w:rsidRPr="0000300D">
        <w:rPr>
          <w:rFonts w:cs="Arial"/>
          <w:sz w:val="22"/>
          <w:szCs w:val="22"/>
        </w:rPr>
        <w:t xml:space="preserve">al </w:t>
      </w:r>
      <w:r w:rsidR="001E3AE2" w:rsidRPr="0000300D">
        <w:rPr>
          <w:rFonts w:cs="Arial"/>
          <w:sz w:val="22"/>
          <w:szCs w:val="22"/>
        </w:rPr>
        <w:t>Título VII de la Circular Externa 047 de 2007</w:t>
      </w:r>
      <w:r w:rsidR="002444EC" w:rsidRPr="0000300D">
        <w:rPr>
          <w:rFonts w:cs="Arial"/>
          <w:sz w:val="22"/>
          <w:szCs w:val="22"/>
        </w:rPr>
        <w:t>, así</w:t>
      </w:r>
      <w:r w:rsidR="001E3AE2" w:rsidRPr="0000300D">
        <w:rPr>
          <w:rFonts w:cs="Arial"/>
          <w:sz w:val="22"/>
          <w:szCs w:val="22"/>
        </w:rPr>
        <w:t xml:space="preserve">: </w:t>
      </w:r>
    </w:p>
    <w:p w14:paraId="39A5CF9E" w14:textId="77777777" w:rsidR="001E3AE2" w:rsidRPr="0000300D" w:rsidRDefault="001E3AE2" w:rsidP="00E8779A">
      <w:pPr>
        <w:jc w:val="both"/>
        <w:rPr>
          <w:rFonts w:ascii="Arial" w:hAnsi="Arial" w:cs="Arial"/>
          <w:b/>
          <w:bCs/>
          <w:sz w:val="22"/>
          <w:szCs w:val="22"/>
        </w:rPr>
      </w:pPr>
    </w:p>
    <w:p w14:paraId="7D52038F" w14:textId="7B5B1FA5" w:rsidR="002444EC" w:rsidRPr="0000300D" w:rsidRDefault="002444EC" w:rsidP="00E8779A">
      <w:pPr>
        <w:jc w:val="both"/>
        <w:rPr>
          <w:rFonts w:ascii="Arial" w:hAnsi="Arial" w:cs="Arial"/>
          <w:b/>
          <w:bCs/>
          <w:sz w:val="22"/>
          <w:szCs w:val="22"/>
        </w:rPr>
      </w:pPr>
      <w:r w:rsidRPr="0000300D">
        <w:rPr>
          <w:rFonts w:ascii="Arial" w:hAnsi="Arial" w:cs="Arial"/>
          <w:b/>
          <w:bCs/>
          <w:sz w:val="22"/>
          <w:szCs w:val="22"/>
        </w:rPr>
        <w:t xml:space="preserve">3.3.4. Seguimiento de casos de niños, niñas y adolescentes de </w:t>
      </w:r>
      <w:r w:rsidR="0000300D" w:rsidRPr="0000300D">
        <w:rPr>
          <w:rFonts w:ascii="Arial" w:hAnsi="Arial" w:cs="Arial"/>
          <w:b/>
          <w:bCs/>
          <w:sz w:val="22"/>
          <w:szCs w:val="22"/>
        </w:rPr>
        <w:t>riesgo vital</w:t>
      </w:r>
      <w:r w:rsidR="001F04BE" w:rsidRPr="0000300D">
        <w:rPr>
          <w:rFonts w:ascii="Arial" w:hAnsi="Arial" w:cs="Arial"/>
          <w:b/>
          <w:bCs/>
          <w:sz w:val="22"/>
          <w:szCs w:val="22"/>
        </w:rPr>
        <w:t>.</w:t>
      </w:r>
      <w:r w:rsidRPr="0000300D">
        <w:rPr>
          <w:rFonts w:ascii="Arial" w:hAnsi="Arial" w:cs="Arial"/>
          <w:b/>
          <w:bCs/>
          <w:sz w:val="22"/>
          <w:szCs w:val="22"/>
        </w:rPr>
        <w:t xml:space="preserve">  </w:t>
      </w:r>
    </w:p>
    <w:p w14:paraId="413EFE05" w14:textId="77777777" w:rsidR="002444EC" w:rsidRPr="0000300D" w:rsidRDefault="002444EC" w:rsidP="00E8779A">
      <w:pPr>
        <w:jc w:val="both"/>
        <w:rPr>
          <w:rFonts w:ascii="Arial" w:hAnsi="Arial" w:cs="Arial"/>
          <w:b/>
          <w:bCs/>
          <w:sz w:val="22"/>
          <w:szCs w:val="22"/>
        </w:rPr>
      </w:pPr>
    </w:p>
    <w:p w14:paraId="11236657" w14:textId="32E0DF07" w:rsidR="00133BAA" w:rsidRPr="0000300D" w:rsidRDefault="00E8779A" w:rsidP="00E8779A">
      <w:pPr>
        <w:jc w:val="both"/>
        <w:rPr>
          <w:rFonts w:ascii="Arial" w:hAnsi="Arial" w:cs="Arial"/>
          <w:sz w:val="22"/>
          <w:szCs w:val="22"/>
        </w:rPr>
      </w:pPr>
      <w:r w:rsidRPr="0000300D">
        <w:rPr>
          <w:rFonts w:ascii="Arial" w:hAnsi="Arial" w:cs="Arial"/>
          <w:sz w:val="22"/>
          <w:szCs w:val="22"/>
        </w:rPr>
        <w:t>En el caso de</w:t>
      </w:r>
      <w:r w:rsidR="00F14427" w:rsidRPr="0000300D">
        <w:rPr>
          <w:rFonts w:ascii="Arial" w:hAnsi="Arial" w:cs="Arial"/>
          <w:sz w:val="22"/>
          <w:szCs w:val="22"/>
        </w:rPr>
        <w:t xml:space="preserve"> </w:t>
      </w:r>
      <w:r w:rsidRPr="0000300D">
        <w:rPr>
          <w:rFonts w:ascii="Arial" w:hAnsi="Arial" w:cs="Arial"/>
          <w:sz w:val="22"/>
          <w:szCs w:val="22"/>
        </w:rPr>
        <w:t xml:space="preserve">niños, niñas y adolescentes </w:t>
      </w:r>
      <w:r w:rsidR="0000300D" w:rsidRPr="0000300D">
        <w:rPr>
          <w:rFonts w:ascii="Arial" w:hAnsi="Arial" w:cs="Arial"/>
          <w:sz w:val="22"/>
          <w:szCs w:val="22"/>
        </w:rPr>
        <w:t>con riesgo vital se deberá</w:t>
      </w:r>
      <w:r w:rsidRPr="0000300D">
        <w:rPr>
          <w:rFonts w:ascii="Arial" w:hAnsi="Arial" w:cs="Arial"/>
          <w:sz w:val="22"/>
          <w:szCs w:val="22"/>
        </w:rPr>
        <w:t xml:space="preserve"> priorizar y destacar los registros de afiliación en su base de datos, y realizar al menos un contacto mensual efectivo para garantizar que se les esté prestando la atención adecuada. Dicha base de datos particular, así como las grabaciones, y transcripciones de los contactos mensuales establecidos</w:t>
      </w:r>
      <w:r w:rsidR="000A0DD4" w:rsidRPr="0000300D">
        <w:rPr>
          <w:rFonts w:ascii="Arial" w:hAnsi="Arial" w:cs="Arial"/>
          <w:sz w:val="22"/>
          <w:szCs w:val="22"/>
        </w:rPr>
        <w:t>, y cualquier otro registro que se asocie</w:t>
      </w:r>
      <w:r w:rsidRPr="0000300D">
        <w:rPr>
          <w:rFonts w:ascii="Arial" w:hAnsi="Arial" w:cs="Arial"/>
          <w:sz w:val="22"/>
          <w:szCs w:val="22"/>
        </w:rPr>
        <w:t xml:space="preserve"> deberá ser consultable por la Super</w:t>
      </w:r>
      <w:r w:rsidR="000A0DD4" w:rsidRPr="0000300D">
        <w:rPr>
          <w:rFonts w:ascii="Arial" w:hAnsi="Arial" w:cs="Arial"/>
          <w:sz w:val="22"/>
          <w:szCs w:val="22"/>
        </w:rPr>
        <w:t xml:space="preserve">intendencia Nacional de </w:t>
      </w:r>
      <w:r w:rsidRPr="0000300D">
        <w:rPr>
          <w:rFonts w:ascii="Arial" w:hAnsi="Arial" w:cs="Arial"/>
          <w:sz w:val="22"/>
          <w:szCs w:val="22"/>
        </w:rPr>
        <w:t>Salud, a través de</w:t>
      </w:r>
      <w:r w:rsidR="00D26CF7" w:rsidRPr="0000300D">
        <w:rPr>
          <w:rFonts w:ascii="Arial" w:hAnsi="Arial" w:cs="Arial"/>
          <w:sz w:val="22"/>
          <w:szCs w:val="22"/>
        </w:rPr>
        <w:t xml:space="preserve">l </w:t>
      </w:r>
      <w:r w:rsidRPr="0000300D">
        <w:rPr>
          <w:rFonts w:ascii="Arial" w:hAnsi="Arial" w:cs="Arial"/>
          <w:sz w:val="22"/>
          <w:szCs w:val="22"/>
        </w:rPr>
        <w:t xml:space="preserve">mecanismo </w:t>
      </w:r>
      <w:r w:rsidR="00D26CF7" w:rsidRPr="0000300D">
        <w:rPr>
          <w:rFonts w:ascii="Arial" w:hAnsi="Arial" w:cs="Arial"/>
          <w:sz w:val="22"/>
          <w:szCs w:val="22"/>
        </w:rPr>
        <w:t>que defina</w:t>
      </w:r>
      <w:r w:rsidRPr="0000300D">
        <w:rPr>
          <w:rFonts w:ascii="Arial" w:hAnsi="Arial" w:cs="Arial"/>
          <w:sz w:val="22"/>
          <w:szCs w:val="22"/>
        </w:rPr>
        <w:t xml:space="preserve"> para tal fin, garantizando la seguridad de la información y la protección</w:t>
      </w:r>
      <w:r w:rsidR="00D26CF7" w:rsidRPr="0000300D">
        <w:rPr>
          <w:rFonts w:ascii="Arial" w:hAnsi="Arial" w:cs="Arial"/>
          <w:sz w:val="22"/>
          <w:szCs w:val="22"/>
        </w:rPr>
        <w:t xml:space="preserve"> de los datos.</w:t>
      </w:r>
    </w:p>
    <w:p w14:paraId="352FD3FF" w14:textId="77777777" w:rsidR="00133BAA" w:rsidRPr="0000300D" w:rsidRDefault="00133BAA" w:rsidP="00E8779A">
      <w:pPr>
        <w:jc w:val="both"/>
        <w:rPr>
          <w:rFonts w:ascii="Arial" w:hAnsi="Arial" w:cs="Arial"/>
          <w:bCs/>
          <w:spacing w:val="10"/>
          <w:sz w:val="22"/>
          <w:szCs w:val="22"/>
        </w:rPr>
      </w:pPr>
    </w:p>
    <w:p w14:paraId="2F4C798A" w14:textId="26FBF9BB" w:rsidR="00E8779A" w:rsidRPr="0000300D" w:rsidRDefault="008079F4" w:rsidP="001371A3">
      <w:pPr>
        <w:jc w:val="both"/>
        <w:rPr>
          <w:rFonts w:ascii="Arial" w:hAnsi="Arial" w:cs="Arial"/>
          <w:sz w:val="22"/>
          <w:szCs w:val="22"/>
        </w:rPr>
      </w:pPr>
      <w:r w:rsidRPr="0000300D">
        <w:rPr>
          <w:rFonts w:ascii="Arial" w:hAnsi="Arial" w:cs="Arial"/>
          <w:sz w:val="22"/>
          <w:szCs w:val="22"/>
        </w:rPr>
        <w:t xml:space="preserve">Para el efecto, </w:t>
      </w:r>
      <w:r w:rsidR="009E4DB1" w:rsidRPr="0000300D">
        <w:rPr>
          <w:rFonts w:ascii="Arial" w:hAnsi="Arial" w:cs="Arial"/>
          <w:sz w:val="22"/>
          <w:szCs w:val="22"/>
        </w:rPr>
        <w:t>la Superintendencia Nacional de Salud, dispondrá de un acceso a un SFTP</w:t>
      </w:r>
      <w:r w:rsidR="00CA1C3D" w:rsidRPr="0000300D">
        <w:rPr>
          <w:rFonts w:ascii="Arial" w:hAnsi="Arial" w:cs="Arial"/>
          <w:sz w:val="22"/>
          <w:szCs w:val="22"/>
        </w:rPr>
        <w:t xml:space="preserve"> </w:t>
      </w:r>
      <w:r w:rsidR="002948CD" w:rsidRPr="0000300D">
        <w:rPr>
          <w:rFonts w:ascii="Arial" w:hAnsi="Arial" w:cs="Arial"/>
          <w:i/>
          <w:iCs/>
          <w:sz w:val="22"/>
          <w:szCs w:val="22"/>
        </w:rPr>
        <w:t xml:space="preserve">(Security File Transfer </w:t>
      </w:r>
      <w:proofErr w:type="spellStart"/>
      <w:r w:rsidR="002948CD" w:rsidRPr="0000300D">
        <w:rPr>
          <w:rFonts w:ascii="Arial" w:hAnsi="Arial" w:cs="Arial"/>
          <w:i/>
          <w:iCs/>
          <w:sz w:val="22"/>
          <w:szCs w:val="22"/>
        </w:rPr>
        <w:t>Protocol</w:t>
      </w:r>
      <w:proofErr w:type="spellEnd"/>
      <w:r w:rsidR="002948CD" w:rsidRPr="0000300D">
        <w:rPr>
          <w:rFonts w:ascii="Arial" w:hAnsi="Arial" w:cs="Arial"/>
          <w:i/>
          <w:iCs/>
          <w:sz w:val="22"/>
          <w:szCs w:val="22"/>
        </w:rPr>
        <w:t>)</w:t>
      </w:r>
      <w:r w:rsidR="006E798B" w:rsidRPr="0000300D">
        <w:rPr>
          <w:rFonts w:ascii="Arial" w:hAnsi="Arial" w:cs="Arial"/>
          <w:i/>
          <w:iCs/>
          <w:sz w:val="22"/>
          <w:szCs w:val="22"/>
        </w:rPr>
        <w:t>,</w:t>
      </w:r>
      <w:r w:rsidR="006E798B" w:rsidRPr="0000300D">
        <w:rPr>
          <w:rFonts w:ascii="Arial" w:hAnsi="Arial" w:cs="Arial"/>
          <w:sz w:val="22"/>
          <w:szCs w:val="22"/>
        </w:rPr>
        <w:t xml:space="preserve"> o el mecanismo idóneo que </w:t>
      </w:r>
      <w:r w:rsidR="00DE44F1" w:rsidRPr="0000300D">
        <w:rPr>
          <w:rFonts w:ascii="Arial" w:hAnsi="Arial" w:cs="Arial"/>
          <w:sz w:val="22"/>
          <w:szCs w:val="22"/>
        </w:rPr>
        <w:t>se</w:t>
      </w:r>
      <w:r w:rsidR="006E798B" w:rsidRPr="0000300D">
        <w:rPr>
          <w:rFonts w:ascii="Arial" w:hAnsi="Arial" w:cs="Arial"/>
          <w:sz w:val="22"/>
          <w:szCs w:val="22"/>
        </w:rPr>
        <w:t xml:space="preserve"> disponga,</w:t>
      </w:r>
      <w:r w:rsidR="002948CD" w:rsidRPr="0000300D">
        <w:rPr>
          <w:rFonts w:ascii="Arial" w:hAnsi="Arial" w:cs="Arial"/>
          <w:sz w:val="22"/>
          <w:szCs w:val="22"/>
        </w:rPr>
        <w:t xml:space="preserve"> </w:t>
      </w:r>
      <w:r w:rsidR="00CA1C3D" w:rsidRPr="0000300D">
        <w:rPr>
          <w:rFonts w:ascii="Arial" w:hAnsi="Arial" w:cs="Arial"/>
          <w:sz w:val="22"/>
          <w:szCs w:val="22"/>
        </w:rPr>
        <w:t>el cual permitirá</w:t>
      </w:r>
      <w:r w:rsidR="004940C1" w:rsidRPr="0000300D">
        <w:rPr>
          <w:rFonts w:ascii="Arial" w:hAnsi="Arial" w:cs="Arial"/>
          <w:sz w:val="22"/>
          <w:szCs w:val="22"/>
        </w:rPr>
        <w:t xml:space="preserve"> a los responsables de reportar la información</w:t>
      </w:r>
      <w:r w:rsidR="00511665" w:rsidRPr="0000300D">
        <w:rPr>
          <w:rFonts w:ascii="Arial" w:hAnsi="Arial" w:cs="Arial"/>
          <w:sz w:val="22"/>
          <w:szCs w:val="22"/>
        </w:rPr>
        <w:t>,</w:t>
      </w:r>
      <w:r w:rsidR="00CA1C3D" w:rsidRPr="0000300D">
        <w:rPr>
          <w:rFonts w:ascii="Arial" w:hAnsi="Arial" w:cs="Arial"/>
          <w:sz w:val="22"/>
          <w:szCs w:val="22"/>
        </w:rPr>
        <w:t xml:space="preserve"> acceder, almacenar, </w:t>
      </w:r>
      <w:r w:rsidR="00660054" w:rsidRPr="0000300D">
        <w:rPr>
          <w:rFonts w:ascii="Arial" w:hAnsi="Arial" w:cs="Arial"/>
          <w:sz w:val="22"/>
          <w:szCs w:val="22"/>
        </w:rPr>
        <w:t>y transferir</w:t>
      </w:r>
      <w:r w:rsidR="0041249F" w:rsidRPr="0000300D">
        <w:rPr>
          <w:rFonts w:ascii="Arial" w:hAnsi="Arial" w:cs="Arial"/>
          <w:sz w:val="22"/>
          <w:szCs w:val="22"/>
        </w:rPr>
        <w:t xml:space="preserve">la </w:t>
      </w:r>
      <w:r w:rsidR="00660054" w:rsidRPr="0000300D">
        <w:rPr>
          <w:rFonts w:ascii="Arial" w:hAnsi="Arial" w:cs="Arial"/>
          <w:sz w:val="22"/>
          <w:szCs w:val="22"/>
        </w:rPr>
        <w:t xml:space="preserve">de manera segura </w:t>
      </w:r>
      <w:r w:rsidR="00776450" w:rsidRPr="0000300D">
        <w:rPr>
          <w:rFonts w:ascii="Arial" w:hAnsi="Arial" w:cs="Arial"/>
          <w:sz w:val="22"/>
          <w:szCs w:val="22"/>
        </w:rPr>
        <w:t xml:space="preserve">en cumplimiento de </w:t>
      </w:r>
      <w:r w:rsidR="001371A3" w:rsidRPr="0000300D">
        <w:rPr>
          <w:rFonts w:ascii="Arial" w:hAnsi="Arial" w:cs="Arial"/>
          <w:sz w:val="22"/>
          <w:szCs w:val="22"/>
        </w:rPr>
        <w:t>los principios de disponibilidad, integridad</w:t>
      </w:r>
      <w:r w:rsidR="008A4F94" w:rsidRPr="0000300D">
        <w:rPr>
          <w:rFonts w:ascii="Arial" w:hAnsi="Arial" w:cs="Arial"/>
          <w:sz w:val="22"/>
          <w:szCs w:val="22"/>
        </w:rPr>
        <w:t xml:space="preserve">, </w:t>
      </w:r>
      <w:r w:rsidR="001371A3" w:rsidRPr="0000300D">
        <w:rPr>
          <w:rFonts w:ascii="Arial" w:hAnsi="Arial" w:cs="Arial"/>
          <w:sz w:val="22"/>
          <w:szCs w:val="22"/>
        </w:rPr>
        <w:t>confidencialidad</w:t>
      </w:r>
      <w:r w:rsidR="00776450" w:rsidRPr="0000300D">
        <w:rPr>
          <w:rFonts w:ascii="Arial" w:hAnsi="Arial" w:cs="Arial"/>
          <w:sz w:val="22"/>
          <w:szCs w:val="22"/>
        </w:rPr>
        <w:t xml:space="preserve"> y protección de datos personales</w:t>
      </w:r>
      <w:r w:rsidR="001371A3" w:rsidRPr="0000300D">
        <w:rPr>
          <w:rFonts w:ascii="Arial" w:hAnsi="Arial" w:cs="Arial"/>
          <w:sz w:val="22"/>
          <w:szCs w:val="22"/>
        </w:rPr>
        <w:t>.</w:t>
      </w:r>
      <w:r w:rsidR="00594FA9" w:rsidRPr="0000300D">
        <w:rPr>
          <w:rFonts w:ascii="Arial" w:hAnsi="Arial" w:cs="Arial"/>
          <w:sz w:val="22"/>
          <w:szCs w:val="22"/>
        </w:rPr>
        <w:t xml:space="preserve"> </w:t>
      </w:r>
    </w:p>
    <w:p w14:paraId="08A28BF2" w14:textId="77777777" w:rsidR="005E2CEE" w:rsidRPr="0000300D" w:rsidRDefault="005E2CEE" w:rsidP="00554386">
      <w:pPr>
        <w:jc w:val="both"/>
        <w:rPr>
          <w:rFonts w:ascii="Arial" w:hAnsi="Arial" w:cs="Arial"/>
          <w:sz w:val="22"/>
          <w:szCs w:val="22"/>
        </w:rPr>
      </w:pPr>
    </w:p>
    <w:p w14:paraId="225D1F23" w14:textId="4004619D" w:rsidR="005E2CEE" w:rsidRPr="0000300D" w:rsidRDefault="005E2CEE" w:rsidP="005E2CEE">
      <w:pPr>
        <w:pStyle w:val="Normalarial"/>
        <w:jc w:val="both"/>
        <w:rPr>
          <w:rFonts w:cs="Arial"/>
          <w:b/>
          <w:bCs/>
          <w:sz w:val="22"/>
          <w:szCs w:val="22"/>
          <w:lang w:val="es-CO"/>
        </w:rPr>
      </w:pPr>
      <w:r w:rsidRPr="0000300D">
        <w:rPr>
          <w:rFonts w:cs="Arial"/>
          <w:b/>
          <w:bCs/>
          <w:sz w:val="22"/>
          <w:szCs w:val="22"/>
          <w:lang w:val="es-CO"/>
        </w:rPr>
        <w:t>I</w:t>
      </w:r>
      <w:r w:rsidR="00C60F4B" w:rsidRPr="0000300D">
        <w:rPr>
          <w:rFonts w:cs="Arial"/>
          <w:b/>
          <w:bCs/>
          <w:sz w:val="22"/>
          <w:szCs w:val="22"/>
          <w:lang w:val="es-CO"/>
        </w:rPr>
        <w:t>II</w:t>
      </w:r>
      <w:r w:rsidRPr="0000300D">
        <w:rPr>
          <w:rFonts w:cs="Arial"/>
          <w:b/>
          <w:bCs/>
          <w:sz w:val="22"/>
          <w:szCs w:val="22"/>
          <w:lang w:val="es-CO"/>
        </w:rPr>
        <w:t>. VIGENCIA Y MODIFICACIONES</w:t>
      </w:r>
    </w:p>
    <w:p w14:paraId="14466772" w14:textId="77777777" w:rsidR="005E2CEE" w:rsidRPr="0000300D" w:rsidRDefault="005E2CEE" w:rsidP="005E2CEE">
      <w:pPr>
        <w:pStyle w:val="Normalarial"/>
        <w:jc w:val="both"/>
        <w:rPr>
          <w:rFonts w:cs="Arial"/>
          <w:sz w:val="22"/>
          <w:szCs w:val="22"/>
          <w:lang w:val="es-CO"/>
        </w:rPr>
      </w:pPr>
    </w:p>
    <w:p w14:paraId="69804BBE" w14:textId="4C50D993" w:rsidR="005E2CEE" w:rsidRPr="0000300D" w:rsidRDefault="005E2CEE" w:rsidP="005E2CEE">
      <w:pPr>
        <w:pStyle w:val="Normalarial"/>
        <w:jc w:val="both"/>
        <w:rPr>
          <w:rFonts w:cs="Arial"/>
          <w:sz w:val="22"/>
          <w:szCs w:val="22"/>
          <w:lang w:val="es-CO"/>
        </w:rPr>
      </w:pPr>
      <w:r w:rsidRPr="0000300D">
        <w:rPr>
          <w:rFonts w:cs="Arial"/>
          <w:sz w:val="22"/>
          <w:szCs w:val="22"/>
          <w:lang w:val="es-CO"/>
        </w:rPr>
        <w:t>La presente Circular Externa rige a partir de la fecha de su publicación en el Diario Oficial</w:t>
      </w:r>
      <w:r w:rsidR="0025086C" w:rsidRPr="0000300D">
        <w:rPr>
          <w:rFonts w:cs="Arial"/>
          <w:sz w:val="22"/>
          <w:szCs w:val="22"/>
          <w:lang w:val="es-CO"/>
        </w:rPr>
        <w:t xml:space="preserve"> y </w:t>
      </w:r>
      <w:r w:rsidR="0025086C" w:rsidRPr="0000300D">
        <w:rPr>
          <w:rFonts w:cs="Arial"/>
          <w:sz w:val="22"/>
          <w:szCs w:val="22"/>
        </w:rPr>
        <w:t xml:space="preserve">página </w:t>
      </w:r>
      <w:r w:rsidR="004D12F1" w:rsidRPr="0000300D">
        <w:rPr>
          <w:rFonts w:cs="Arial"/>
          <w:i/>
          <w:iCs/>
          <w:sz w:val="22"/>
          <w:szCs w:val="22"/>
        </w:rPr>
        <w:t>web</w:t>
      </w:r>
      <w:r w:rsidR="0025086C" w:rsidRPr="0000300D">
        <w:rPr>
          <w:rFonts w:cs="Arial"/>
          <w:sz w:val="22"/>
          <w:szCs w:val="22"/>
        </w:rPr>
        <w:t xml:space="preserve"> de la Superintendencia Nacional de Salud </w:t>
      </w:r>
      <w:r w:rsidRPr="0000300D">
        <w:rPr>
          <w:rFonts w:cs="Arial"/>
          <w:sz w:val="22"/>
          <w:szCs w:val="22"/>
          <w:lang w:val="es-CO"/>
        </w:rPr>
        <w:t xml:space="preserve">y </w:t>
      </w:r>
      <w:r w:rsidR="004D12F1" w:rsidRPr="0000300D">
        <w:rPr>
          <w:rFonts w:cs="Arial"/>
          <w:sz w:val="22"/>
          <w:szCs w:val="22"/>
          <w:lang w:val="es-CO"/>
        </w:rPr>
        <w:t>adiciona</w:t>
      </w:r>
      <w:r w:rsidR="00803318" w:rsidRPr="0000300D">
        <w:rPr>
          <w:rFonts w:cs="Arial"/>
          <w:sz w:val="22"/>
          <w:szCs w:val="22"/>
          <w:lang w:val="es-CO"/>
        </w:rPr>
        <w:t xml:space="preserve"> y modifica </w:t>
      </w:r>
      <w:r w:rsidR="00535F2B" w:rsidRPr="0000300D">
        <w:rPr>
          <w:rFonts w:cs="Arial"/>
          <w:sz w:val="22"/>
          <w:szCs w:val="22"/>
          <w:lang w:val="es-CO"/>
        </w:rPr>
        <w:t>la</w:t>
      </w:r>
      <w:r w:rsidR="004D12F1" w:rsidRPr="0000300D">
        <w:rPr>
          <w:rFonts w:cs="Arial"/>
          <w:sz w:val="22"/>
          <w:szCs w:val="22"/>
        </w:rPr>
        <w:t xml:space="preserve"> Circular Externa 47 de 2007.</w:t>
      </w:r>
    </w:p>
    <w:p w14:paraId="7FB726DF" w14:textId="77777777" w:rsidR="004D12F1" w:rsidRPr="0000300D" w:rsidRDefault="004D12F1" w:rsidP="005E2CEE">
      <w:pPr>
        <w:pStyle w:val="Normalarial"/>
        <w:jc w:val="both"/>
        <w:rPr>
          <w:rFonts w:cs="Arial"/>
          <w:sz w:val="22"/>
          <w:szCs w:val="22"/>
          <w:lang w:val="es-CO"/>
        </w:rPr>
      </w:pPr>
    </w:p>
    <w:p w14:paraId="38583196" w14:textId="51377468" w:rsidR="004D12F1" w:rsidRPr="0000300D" w:rsidRDefault="004D12F1" w:rsidP="005E2CEE">
      <w:pPr>
        <w:pStyle w:val="Normalarial"/>
        <w:jc w:val="both"/>
        <w:rPr>
          <w:rFonts w:cs="Arial"/>
          <w:sz w:val="22"/>
          <w:szCs w:val="22"/>
          <w:lang w:val="es-CO"/>
        </w:rPr>
      </w:pPr>
    </w:p>
    <w:p w14:paraId="35597DEC" w14:textId="77777777" w:rsidR="002D7E77" w:rsidRPr="0000300D" w:rsidRDefault="002D7E77" w:rsidP="002D7E77">
      <w:pPr>
        <w:rPr>
          <w:rFonts w:ascii="Arial" w:hAnsi="Arial" w:cs="Arial"/>
          <w:sz w:val="22"/>
          <w:szCs w:val="22"/>
        </w:rPr>
      </w:pPr>
      <w:r w:rsidRPr="0000300D">
        <w:rPr>
          <w:rFonts w:ascii="Arial" w:hAnsi="Arial" w:cs="Arial"/>
          <w:sz w:val="22"/>
          <w:szCs w:val="22"/>
        </w:rPr>
        <w:t>Dada en Bogotá D.C., a los DIA_S días del mes MES_S de ANHO_S.</w:t>
      </w:r>
    </w:p>
    <w:p w14:paraId="3638C9E7" w14:textId="77777777" w:rsidR="005753FE" w:rsidRPr="0000300D" w:rsidRDefault="005753FE" w:rsidP="009A3C98">
      <w:pPr>
        <w:pStyle w:val="Normalarial"/>
        <w:jc w:val="both"/>
        <w:rPr>
          <w:rFonts w:cs="Arial"/>
          <w:sz w:val="22"/>
          <w:szCs w:val="22"/>
        </w:rPr>
      </w:pPr>
    </w:p>
    <w:p w14:paraId="3BA6677A" w14:textId="77777777" w:rsidR="005753FE" w:rsidRPr="0000300D" w:rsidRDefault="005753FE" w:rsidP="009A3C98">
      <w:pPr>
        <w:pStyle w:val="Normalarial"/>
        <w:jc w:val="both"/>
        <w:rPr>
          <w:rFonts w:cs="Arial"/>
          <w:sz w:val="22"/>
          <w:szCs w:val="22"/>
        </w:rPr>
      </w:pPr>
    </w:p>
    <w:p w14:paraId="79DC94E0" w14:textId="77777777" w:rsidR="005753FE" w:rsidRPr="0000300D" w:rsidRDefault="005753FE" w:rsidP="009A3C98">
      <w:pPr>
        <w:pStyle w:val="Normalarial"/>
        <w:jc w:val="both"/>
        <w:rPr>
          <w:rFonts w:cs="Arial"/>
          <w:sz w:val="22"/>
          <w:szCs w:val="22"/>
        </w:rPr>
      </w:pPr>
    </w:p>
    <w:p w14:paraId="1E484240" w14:textId="77777777" w:rsidR="005753FE" w:rsidRPr="0000300D" w:rsidRDefault="005753FE" w:rsidP="009A3C98">
      <w:pPr>
        <w:pStyle w:val="Normalarial"/>
        <w:jc w:val="both"/>
        <w:rPr>
          <w:rFonts w:cs="Arial"/>
          <w:sz w:val="22"/>
          <w:szCs w:val="22"/>
        </w:rPr>
      </w:pPr>
    </w:p>
    <w:p w14:paraId="237F64AC" w14:textId="0321A213" w:rsidR="009B10DD" w:rsidRPr="0000300D" w:rsidRDefault="002D7E77" w:rsidP="00C60F4B">
      <w:pPr>
        <w:jc w:val="center"/>
        <w:rPr>
          <w:rFonts w:ascii="Arial" w:hAnsi="Arial" w:cs="Arial"/>
          <w:b/>
          <w:sz w:val="22"/>
          <w:szCs w:val="22"/>
          <w:u w:val="single"/>
          <w:lang w:val="es-ES"/>
        </w:rPr>
      </w:pPr>
      <w:r w:rsidRPr="0000300D">
        <w:rPr>
          <w:rStyle w:val="tl8wme"/>
          <w:rFonts w:ascii="Arial" w:hAnsi="Arial" w:cs="Arial"/>
          <w:sz w:val="22"/>
          <w:szCs w:val="22"/>
          <w:highlight w:val="lightGray"/>
        </w:rPr>
        <w:t>${FIRMA}</w:t>
      </w:r>
    </w:p>
    <w:p w14:paraId="6945E988" w14:textId="77777777" w:rsidR="009B10DD" w:rsidRPr="0000300D" w:rsidRDefault="009B10DD" w:rsidP="009B10DD">
      <w:pPr>
        <w:jc w:val="center"/>
        <w:rPr>
          <w:rFonts w:ascii="Arial" w:hAnsi="Arial" w:cs="Arial"/>
          <w:bCs/>
          <w:sz w:val="22"/>
          <w:szCs w:val="22"/>
          <w:lang w:val="es-CO"/>
        </w:rPr>
      </w:pPr>
    </w:p>
    <w:p w14:paraId="754E5483" w14:textId="77777777" w:rsidR="002D7E77" w:rsidRPr="0000300D" w:rsidRDefault="002D7E77" w:rsidP="002D7E77">
      <w:pPr>
        <w:autoSpaceDE w:val="0"/>
        <w:autoSpaceDN w:val="0"/>
        <w:adjustRightInd w:val="0"/>
        <w:jc w:val="center"/>
        <w:rPr>
          <w:rFonts w:ascii="Arial" w:hAnsi="Arial" w:cs="Arial"/>
          <w:color w:val="000000"/>
          <w:sz w:val="22"/>
          <w:szCs w:val="22"/>
        </w:rPr>
      </w:pPr>
      <w:r w:rsidRPr="0000300D">
        <w:rPr>
          <w:rFonts w:ascii="Arial" w:hAnsi="Arial" w:cs="Arial"/>
          <w:color w:val="000000"/>
          <w:sz w:val="22"/>
          <w:szCs w:val="22"/>
        </w:rPr>
        <w:t>USUA_NOMB_S</w:t>
      </w:r>
    </w:p>
    <w:p w14:paraId="047418CA" w14:textId="77777777" w:rsidR="009B10DD" w:rsidRPr="0000300D" w:rsidRDefault="009B10DD" w:rsidP="009B10DD">
      <w:pPr>
        <w:autoSpaceDE w:val="0"/>
        <w:autoSpaceDN w:val="0"/>
        <w:adjustRightInd w:val="0"/>
        <w:jc w:val="center"/>
        <w:rPr>
          <w:rFonts w:ascii="Arial" w:hAnsi="Arial" w:cs="Arial"/>
          <w:color w:val="000000"/>
          <w:sz w:val="22"/>
          <w:szCs w:val="22"/>
        </w:rPr>
      </w:pPr>
      <w:r w:rsidRPr="0000300D">
        <w:rPr>
          <w:rFonts w:ascii="Arial" w:hAnsi="Arial" w:cs="Arial"/>
          <w:color w:val="000000"/>
          <w:sz w:val="22"/>
          <w:szCs w:val="22"/>
        </w:rPr>
        <w:t>Cargo</w:t>
      </w:r>
    </w:p>
    <w:p w14:paraId="09CC3EC2" w14:textId="77777777" w:rsidR="00B163F5" w:rsidRPr="0000300D" w:rsidRDefault="00B163F5" w:rsidP="009A3C98">
      <w:pPr>
        <w:pStyle w:val="Normalarial"/>
        <w:jc w:val="both"/>
        <w:rPr>
          <w:rFonts w:cs="Arial"/>
          <w:sz w:val="22"/>
          <w:szCs w:val="22"/>
        </w:rPr>
      </w:pPr>
    </w:p>
    <w:p w14:paraId="3690CBF7" w14:textId="77777777" w:rsidR="00B163F5" w:rsidRPr="0000300D" w:rsidRDefault="00B163F5" w:rsidP="009A3C98">
      <w:pPr>
        <w:pStyle w:val="Normalarial"/>
        <w:jc w:val="both"/>
        <w:rPr>
          <w:rFonts w:cs="Arial"/>
          <w:sz w:val="22"/>
          <w:szCs w:val="22"/>
        </w:rPr>
      </w:pPr>
    </w:p>
    <w:p w14:paraId="6BED8CAF" w14:textId="77777777" w:rsidR="00B163F5" w:rsidRPr="0000300D" w:rsidRDefault="00B163F5" w:rsidP="009A3C98">
      <w:pPr>
        <w:pStyle w:val="Normalarial"/>
        <w:jc w:val="both"/>
        <w:rPr>
          <w:rFonts w:cs="Arial"/>
          <w:sz w:val="22"/>
          <w:szCs w:val="22"/>
        </w:rPr>
      </w:pPr>
    </w:p>
    <w:p w14:paraId="133AFA22" w14:textId="77777777" w:rsidR="00AF6CAA" w:rsidRPr="0000300D" w:rsidRDefault="00AF6CAA" w:rsidP="00AF6CAA">
      <w:pPr>
        <w:pStyle w:val="Normalarial"/>
        <w:jc w:val="both"/>
        <w:rPr>
          <w:rFonts w:cs="Arial"/>
          <w:sz w:val="22"/>
          <w:szCs w:val="22"/>
        </w:rPr>
      </w:pPr>
      <w:r w:rsidRPr="0000300D">
        <w:rPr>
          <w:rFonts w:cs="Arial"/>
          <w:sz w:val="22"/>
          <w:szCs w:val="22"/>
        </w:rPr>
        <w:t>Proyectó: USUA_PROYECTO</w:t>
      </w:r>
    </w:p>
    <w:p w14:paraId="589A94D6" w14:textId="77777777" w:rsidR="00AF6CAA" w:rsidRPr="0000300D" w:rsidRDefault="00AF6CAA" w:rsidP="00AF6CAA">
      <w:pPr>
        <w:pStyle w:val="Normalarial"/>
        <w:jc w:val="both"/>
        <w:rPr>
          <w:rFonts w:cs="Arial"/>
          <w:sz w:val="22"/>
          <w:szCs w:val="22"/>
          <w:lang w:val="pt-PT"/>
        </w:rPr>
      </w:pPr>
      <w:r w:rsidRPr="0000300D">
        <w:rPr>
          <w:rFonts w:cs="Arial"/>
          <w:sz w:val="22"/>
          <w:szCs w:val="22"/>
          <w:lang w:val="pt-PT"/>
        </w:rPr>
        <w:t>Revisó: USUA_REVISO</w:t>
      </w:r>
    </w:p>
    <w:p w14:paraId="1E3E54DE" w14:textId="2860D257" w:rsidR="001F243B" w:rsidRPr="0000300D" w:rsidRDefault="00AF6CAA" w:rsidP="00EF3C54">
      <w:pPr>
        <w:pStyle w:val="Normalarial"/>
        <w:jc w:val="both"/>
        <w:rPr>
          <w:rFonts w:cs="Arial"/>
          <w:sz w:val="22"/>
          <w:szCs w:val="22"/>
          <w:lang w:val="pt-PT"/>
        </w:rPr>
      </w:pPr>
      <w:r w:rsidRPr="0000300D">
        <w:rPr>
          <w:rFonts w:cs="Arial"/>
          <w:sz w:val="22"/>
          <w:szCs w:val="22"/>
          <w:lang w:val="pt-PT"/>
        </w:rPr>
        <w:t>Aprobó: USUA_APROBO</w:t>
      </w:r>
    </w:p>
    <w:p w14:paraId="41513234" w14:textId="62FFD76B" w:rsidR="001F243B" w:rsidRPr="0000300D" w:rsidRDefault="001F243B" w:rsidP="001F243B">
      <w:pPr>
        <w:tabs>
          <w:tab w:val="left" w:pos="3780"/>
        </w:tabs>
        <w:rPr>
          <w:rFonts w:ascii="Arial" w:hAnsi="Arial" w:cs="Arial"/>
          <w:sz w:val="22"/>
          <w:szCs w:val="22"/>
          <w:lang w:val="pt-PT"/>
        </w:rPr>
      </w:pPr>
    </w:p>
    <w:p w14:paraId="0BF81E9B" w14:textId="77777777" w:rsidR="001F243B" w:rsidRPr="0000300D" w:rsidRDefault="001F243B" w:rsidP="001F243B">
      <w:pPr>
        <w:tabs>
          <w:tab w:val="left" w:pos="3780"/>
        </w:tabs>
        <w:rPr>
          <w:rFonts w:ascii="Arial" w:hAnsi="Arial" w:cs="Arial"/>
          <w:sz w:val="22"/>
          <w:szCs w:val="22"/>
          <w:lang w:val="pt-PT"/>
        </w:rPr>
      </w:pPr>
    </w:p>
    <w:sectPr w:rsidR="001F243B" w:rsidRPr="0000300D" w:rsidSect="007A2873">
      <w:headerReference w:type="default" r:id="rId14"/>
      <w:footerReference w:type="default" r:id="rId15"/>
      <w:headerReference w:type="first" r:id="rId16"/>
      <w:footerReference w:type="first" r:id="rId17"/>
      <w:pgSz w:w="12242" w:h="20163" w:code="5"/>
      <w:pgMar w:top="1417" w:right="1701" w:bottom="1417" w:left="1701"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52B11" w14:textId="77777777" w:rsidR="00573A75" w:rsidRDefault="00573A75">
      <w:r>
        <w:separator/>
      </w:r>
    </w:p>
  </w:endnote>
  <w:endnote w:type="continuationSeparator" w:id="0">
    <w:p w14:paraId="5ECCFBDD" w14:textId="77777777" w:rsidR="00573A75" w:rsidRDefault="00573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583338"/>
      <w:docPartObj>
        <w:docPartGallery w:val="Page Numbers (Bottom of Page)"/>
        <w:docPartUnique/>
      </w:docPartObj>
    </w:sdtPr>
    <w:sdtContent>
      <w:sdt>
        <w:sdtPr>
          <w:id w:val="-1769616900"/>
          <w:docPartObj>
            <w:docPartGallery w:val="Page Numbers (Top of Page)"/>
            <w:docPartUnique/>
          </w:docPartObj>
        </w:sdtPr>
        <w:sdtContent>
          <w:p w14:paraId="6697A8D9" w14:textId="42687B3D" w:rsidR="00204F78" w:rsidRDefault="00204F7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0300D">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0300D">
              <w:rPr>
                <w:b/>
                <w:bCs/>
                <w:noProof/>
              </w:rPr>
              <w:t>5</w:t>
            </w:r>
            <w:r>
              <w:rPr>
                <w:b/>
                <w:bCs/>
                <w:sz w:val="24"/>
                <w:szCs w:val="24"/>
              </w:rPr>
              <w:fldChar w:fldCharType="end"/>
            </w:r>
          </w:p>
        </w:sdtContent>
      </w:sdt>
    </w:sdtContent>
  </w:sdt>
  <w:p w14:paraId="123DC412" w14:textId="77777777" w:rsidR="00204F78" w:rsidRDefault="00204F7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C264" w14:textId="493E0C4A" w:rsidR="005C7C23" w:rsidRDefault="005C7C2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0300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0300D">
      <w:rPr>
        <w:b/>
        <w:bCs/>
        <w:noProof/>
      </w:rPr>
      <w:t>5</w:t>
    </w:r>
    <w:r>
      <w:rPr>
        <w:b/>
        <w:bCs/>
        <w:sz w:val="24"/>
        <w:szCs w:val="24"/>
      </w:rPr>
      <w:fldChar w:fldCharType="end"/>
    </w:r>
  </w:p>
  <w:p w14:paraId="4A1B45FA" w14:textId="77777777" w:rsidR="00C75D47" w:rsidRPr="00E43E2E" w:rsidRDefault="00C75D47" w:rsidP="00E43E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CA225" w14:textId="77777777" w:rsidR="00573A75" w:rsidRDefault="00573A75">
      <w:r>
        <w:separator/>
      </w:r>
    </w:p>
  </w:footnote>
  <w:footnote w:type="continuationSeparator" w:id="0">
    <w:p w14:paraId="1507B2AD" w14:textId="77777777" w:rsidR="00573A75" w:rsidRDefault="00573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081"/>
      <w:gridCol w:w="1843"/>
      <w:gridCol w:w="1559"/>
    </w:tblGrid>
    <w:tr w:rsidR="00A92C96" w:rsidRPr="005C7C23" w14:paraId="24BE00CC" w14:textId="77777777" w:rsidTr="00B67B20">
      <w:trPr>
        <w:trHeight w:val="380"/>
      </w:trPr>
      <w:tc>
        <w:tcPr>
          <w:tcW w:w="1873" w:type="dxa"/>
          <w:vMerge w:val="restart"/>
          <w:vAlign w:val="center"/>
        </w:tcPr>
        <w:p w14:paraId="3EC88FDF" w14:textId="77777777" w:rsidR="00A92C96" w:rsidRPr="005C7C23" w:rsidRDefault="00A92C96" w:rsidP="00A92C96">
          <w:pPr>
            <w:pStyle w:val="Encabezado"/>
            <w:jc w:val="center"/>
            <w:rPr>
              <w:rFonts w:ascii="Arial" w:hAnsi="Arial"/>
              <w:spacing w:val="12"/>
            </w:rPr>
          </w:pPr>
          <w:r w:rsidRPr="005C7C23">
            <w:rPr>
              <w:rFonts w:ascii="Arial" w:hAnsi="Arial"/>
              <w:noProof/>
              <w:spacing w:val="12"/>
              <w:lang w:eastAsia="es-ES_tradnl"/>
            </w:rPr>
            <w:drawing>
              <wp:inline distT="0" distB="0" distL="0" distR="0" wp14:anchorId="637B510C" wp14:editId="0CE1239C">
                <wp:extent cx="1009650" cy="338765"/>
                <wp:effectExtent l="0" t="0" r="0" b="4445"/>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689" cy="343140"/>
                        </a:xfrm>
                        <a:prstGeom prst="rect">
                          <a:avLst/>
                        </a:prstGeom>
                        <a:noFill/>
                        <a:ln>
                          <a:noFill/>
                        </a:ln>
                      </pic:spPr>
                    </pic:pic>
                  </a:graphicData>
                </a:graphic>
              </wp:inline>
            </w:drawing>
          </w:r>
        </w:p>
      </w:tc>
      <w:tc>
        <w:tcPr>
          <w:tcW w:w="4081" w:type="dxa"/>
          <w:vAlign w:val="center"/>
        </w:tcPr>
        <w:p w14:paraId="2F442B44" w14:textId="77777777" w:rsidR="00A92C96" w:rsidRPr="000D5EBE" w:rsidRDefault="00A92C96" w:rsidP="00A92C96">
          <w:pPr>
            <w:pStyle w:val="Encabezado"/>
            <w:jc w:val="center"/>
            <w:rPr>
              <w:rFonts w:ascii="Arial" w:hAnsi="Arial" w:cs="Arial"/>
              <w:spacing w:val="12"/>
              <w:sz w:val="22"/>
              <w:szCs w:val="22"/>
            </w:rPr>
          </w:pPr>
          <w:r>
            <w:rPr>
              <w:rFonts w:ascii="Arial" w:hAnsi="Arial" w:cs="Arial"/>
              <w:spacing w:val="12"/>
              <w:sz w:val="22"/>
              <w:szCs w:val="22"/>
            </w:rPr>
            <w:t>GESTIÓN JURÍDICA</w:t>
          </w:r>
        </w:p>
      </w:tc>
      <w:tc>
        <w:tcPr>
          <w:tcW w:w="1843" w:type="dxa"/>
          <w:vAlign w:val="center"/>
        </w:tcPr>
        <w:p w14:paraId="653C8D98" w14:textId="77777777" w:rsidR="00A92C96" w:rsidRPr="000D5EBE" w:rsidRDefault="00A92C96" w:rsidP="00A92C96">
          <w:pPr>
            <w:pStyle w:val="Encabezado"/>
            <w:jc w:val="center"/>
            <w:rPr>
              <w:rFonts w:ascii="Arial" w:hAnsi="Arial" w:cs="Arial"/>
              <w:b/>
              <w:spacing w:val="12"/>
              <w:sz w:val="22"/>
              <w:szCs w:val="22"/>
            </w:rPr>
          </w:pPr>
          <w:r w:rsidRPr="000D5EBE">
            <w:rPr>
              <w:rFonts w:ascii="Arial" w:hAnsi="Arial" w:cs="Arial"/>
              <w:b/>
              <w:spacing w:val="12"/>
              <w:sz w:val="22"/>
              <w:szCs w:val="22"/>
            </w:rPr>
            <w:t>CÓDIGO</w:t>
          </w:r>
        </w:p>
      </w:tc>
      <w:tc>
        <w:tcPr>
          <w:tcW w:w="1559" w:type="dxa"/>
          <w:vAlign w:val="center"/>
        </w:tcPr>
        <w:p w14:paraId="5F10DB68" w14:textId="77777777" w:rsidR="00A92C96" w:rsidRPr="000D5EBE" w:rsidRDefault="00A92C96" w:rsidP="00A92C96">
          <w:pPr>
            <w:pStyle w:val="Encabezado"/>
            <w:jc w:val="center"/>
            <w:rPr>
              <w:rFonts w:ascii="Arial" w:hAnsi="Arial" w:cs="Arial"/>
              <w:spacing w:val="12"/>
              <w:sz w:val="22"/>
              <w:szCs w:val="22"/>
            </w:rPr>
          </w:pPr>
          <w:r>
            <w:rPr>
              <w:rFonts w:ascii="Arial" w:hAnsi="Arial" w:cs="Arial"/>
              <w:spacing w:val="12"/>
              <w:sz w:val="22"/>
              <w:szCs w:val="22"/>
            </w:rPr>
            <w:t>GJFT09</w:t>
          </w:r>
        </w:p>
      </w:tc>
    </w:tr>
    <w:tr w:rsidR="00A92C96" w:rsidRPr="005C7C23" w14:paraId="465FB838" w14:textId="77777777" w:rsidTr="00B67B20">
      <w:trPr>
        <w:trHeight w:val="356"/>
      </w:trPr>
      <w:tc>
        <w:tcPr>
          <w:tcW w:w="1873" w:type="dxa"/>
          <w:vMerge/>
        </w:tcPr>
        <w:p w14:paraId="283147AF" w14:textId="77777777" w:rsidR="00A92C96" w:rsidRPr="005C7C23" w:rsidRDefault="00A92C96" w:rsidP="00A92C96">
          <w:pPr>
            <w:pStyle w:val="Encabezado"/>
            <w:jc w:val="center"/>
            <w:rPr>
              <w:rFonts w:ascii="Arial" w:hAnsi="Arial"/>
              <w:spacing w:val="12"/>
            </w:rPr>
          </w:pPr>
        </w:p>
      </w:tc>
      <w:tc>
        <w:tcPr>
          <w:tcW w:w="4081" w:type="dxa"/>
          <w:vMerge w:val="restart"/>
          <w:vAlign w:val="center"/>
        </w:tcPr>
        <w:p w14:paraId="0597D98C" w14:textId="77777777" w:rsidR="00A92C96" w:rsidRPr="000D5EBE" w:rsidRDefault="00A92C96" w:rsidP="00A92C96">
          <w:pPr>
            <w:pStyle w:val="Encabezado"/>
            <w:jc w:val="center"/>
            <w:rPr>
              <w:rFonts w:ascii="Arial" w:hAnsi="Arial" w:cs="Arial"/>
              <w:spacing w:val="12"/>
              <w:sz w:val="22"/>
              <w:szCs w:val="22"/>
            </w:rPr>
          </w:pPr>
        </w:p>
        <w:p w14:paraId="2D818296" w14:textId="77777777" w:rsidR="00A92C96" w:rsidRPr="000D5EBE" w:rsidRDefault="00A92C96" w:rsidP="00A92C96">
          <w:pPr>
            <w:pStyle w:val="Encabezado"/>
            <w:jc w:val="center"/>
            <w:rPr>
              <w:rFonts w:ascii="Arial" w:hAnsi="Arial" w:cs="Arial"/>
              <w:spacing w:val="12"/>
              <w:sz w:val="22"/>
              <w:szCs w:val="22"/>
            </w:rPr>
          </w:pPr>
          <w:r w:rsidRPr="000D5EBE">
            <w:rPr>
              <w:rFonts w:ascii="Arial" w:hAnsi="Arial" w:cs="Arial"/>
              <w:spacing w:val="12"/>
              <w:sz w:val="22"/>
              <w:szCs w:val="22"/>
            </w:rPr>
            <w:t>CIRCULAR EXTERNA</w:t>
          </w:r>
        </w:p>
        <w:p w14:paraId="5C7B8D35" w14:textId="77777777" w:rsidR="00A92C96" w:rsidRPr="000D5EBE" w:rsidRDefault="00A92C96" w:rsidP="00A92C96">
          <w:pPr>
            <w:pStyle w:val="Encabezado"/>
            <w:jc w:val="center"/>
            <w:rPr>
              <w:rFonts w:ascii="Arial" w:hAnsi="Arial" w:cs="Arial"/>
              <w:spacing w:val="12"/>
              <w:sz w:val="22"/>
              <w:szCs w:val="22"/>
            </w:rPr>
          </w:pPr>
        </w:p>
      </w:tc>
      <w:tc>
        <w:tcPr>
          <w:tcW w:w="1843" w:type="dxa"/>
          <w:vAlign w:val="center"/>
        </w:tcPr>
        <w:p w14:paraId="0AE5067F" w14:textId="77777777" w:rsidR="00A92C96" w:rsidRPr="000D5EBE" w:rsidRDefault="00A92C96" w:rsidP="00A92C96">
          <w:pPr>
            <w:pStyle w:val="Encabezado"/>
            <w:jc w:val="center"/>
            <w:rPr>
              <w:rFonts w:ascii="Arial" w:hAnsi="Arial" w:cs="Arial"/>
              <w:b/>
              <w:spacing w:val="12"/>
              <w:sz w:val="22"/>
              <w:szCs w:val="22"/>
            </w:rPr>
          </w:pPr>
          <w:r w:rsidRPr="000D5EBE">
            <w:rPr>
              <w:rFonts w:ascii="Arial" w:hAnsi="Arial" w:cs="Arial"/>
              <w:b/>
              <w:spacing w:val="12"/>
              <w:sz w:val="22"/>
              <w:szCs w:val="22"/>
            </w:rPr>
            <w:t>VERSIÓN</w:t>
          </w:r>
        </w:p>
      </w:tc>
      <w:tc>
        <w:tcPr>
          <w:tcW w:w="1559" w:type="dxa"/>
          <w:vAlign w:val="center"/>
        </w:tcPr>
        <w:p w14:paraId="0F36DA41" w14:textId="77777777" w:rsidR="00A92C96" w:rsidRPr="000D5EBE" w:rsidRDefault="00A92C96" w:rsidP="00A92C96">
          <w:pPr>
            <w:pStyle w:val="Encabezado"/>
            <w:jc w:val="center"/>
            <w:rPr>
              <w:rFonts w:ascii="Arial" w:hAnsi="Arial" w:cs="Arial"/>
              <w:spacing w:val="12"/>
              <w:sz w:val="22"/>
              <w:szCs w:val="22"/>
            </w:rPr>
          </w:pPr>
          <w:r w:rsidRPr="000D5EBE">
            <w:rPr>
              <w:rFonts w:ascii="Arial" w:hAnsi="Arial" w:cs="Arial"/>
              <w:spacing w:val="12"/>
              <w:sz w:val="22"/>
              <w:szCs w:val="22"/>
            </w:rPr>
            <w:t>1</w:t>
          </w:r>
        </w:p>
      </w:tc>
    </w:tr>
    <w:tr w:rsidR="00A92C96" w:rsidRPr="005C7C23" w14:paraId="30F288EA" w14:textId="77777777" w:rsidTr="00B67B20">
      <w:trPr>
        <w:trHeight w:val="356"/>
      </w:trPr>
      <w:tc>
        <w:tcPr>
          <w:tcW w:w="1873" w:type="dxa"/>
          <w:vMerge/>
        </w:tcPr>
        <w:p w14:paraId="612B168E" w14:textId="77777777" w:rsidR="00A92C96" w:rsidRPr="005C7C23" w:rsidRDefault="00A92C96" w:rsidP="00A92C96">
          <w:pPr>
            <w:pStyle w:val="Encabezado"/>
            <w:jc w:val="center"/>
            <w:rPr>
              <w:rFonts w:ascii="Arial" w:hAnsi="Arial"/>
              <w:spacing w:val="12"/>
            </w:rPr>
          </w:pPr>
        </w:p>
      </w:tc>
      <w:tc>
        <w:tcPr>
          <w:tcW w:w="4081" w:type="dxa"/>
          <w:vMerge/>
          <w:vAlign w:val="center"/>
        </w:tcPr>
        <w:p w14:paraId="4D0D3A19" w14:textId="77777777" w:rsidR="00A92C96" w:rsidRPr="000D5EBE" w:rsidRDefault="00A92C96" w:rsidP="00A92C96">
          <w:pPr>
            <w:pStyle w:val="Encabezado"/>
            <w:jc w:val="center"/>
            <w:rPr>
              <w:rFonts w:ascii="Arial" w:hAnsi="Arial" w:cs="Arial"/>
              <w:spacing w:val="12"/>
              <w:sz w:val="22"/>
              <w:szCs w:val="22"/>
            </w:rPr>
          </w:pPr>
        </w:p>
      </w:tc>
      <w:tc>
        <w:tcPr>
          <w:tcW w:w="1843" w:type="dxa"/>
          <w:vAlign w:val="center"/>
        </w:tcPr>
        <w:p w14:paraId="0F7ABC3C" w14:textId="77777777" w:rsidR="00A92C96" w:rsidRPr="000D5EBE" w:rsidRDefault="00A92C96" w:rsidP="00A92C96">
          <w:pPr>
            <w:pStyle w:val="Encabezado"/>
            <w:jc w:val="center"/>
            <w:rPr>
              <w:rFonts w:ascii="Arial" w:hAnsi="Arial" w:cs="Arial"/>
              <w:b/>
              <w:spacing w:val="12"/>
              <w:sz w:val="22"/>
              <w:szCs w:val="22"/>
            </w:rPr>
          </w:pPr>
          <w:r>
            <w:rPr>
              <w:rFonts w:ascii="Arial" w:hAnsi="Arial" w:cs="Arial"/>
              <w:b/>
              <w:spacing w:val="12"/>
              <w:sz w:val="22"/>
              <w:szCs w:val="22"/>
            </w:rPr>
            <w:t>FECHA</w:t>
          </w:r>
        </w:p>
      </w:tc>
      <w:tc>
        <w:tcPr>
          <w:tcW w:w="1559" w:type="dxa"/>
          <w:vAlign w:val="center"/>
        </w:tcPr>
        <w:p w14:paraId="7293F387" w14:textId="77777777" w:rsidR="00A92C96" w:rsidRPr="000D5EBE" w:rsidRDefault="00A92C96" w:rsidP="00A92C96">
          <w:pPr>
            <w:pStyle w:val="Encabezado"/>
            <w:jc w:val="center"/>
            <w:rPr>
              <w:rFonts w:ascii="Arial" w:hAnsi="Arial" w:cs="Arial"/>
              <w:spacing w:val="12"/>
              <w:sz w:val="22"/>
              <w:szCs w:val="22"/>
            </w:rPr>
          </w:pPr>
          <w:r>
            <w:rPr>
              <w:rFonts w:ascii="Arial" w:hAnsi="Arial" w:cs="Arial"/>
              <w:spacing w:val="12"/>
              <w:sz w:val="22"/>
              <w:szCs w:val="22"/>
            </w:rPr>
            <w:t>29/05/2023</w:t>
          </w:r>
        </w:p>
      </w:tc>
    </w:tr>
  </w:tbl>
  <w:p w14:paraId="7761B829" w14:textId="109641AD" w:rsidR="00E87B65" w:rsidRDefault="00E87B65">
    <w:pPr>
      <w:pStyle w:val="Encabezado"/>
    </w:pPr>
  </w:p>
  <w:p w14:paraId="4D6FDF9F" w14:textId="2536085A" w:rsidR="00AF4DAD" w:rsidRDefault="001F243B" w:rsidP="001F243B">
    <w:pPr>
      <w:pStyle w:val="Encabezado"/>
      <w:jc w:val="center"/>
      <w:rPr>
        <w:rFonts w:ascii="Arial" w:hAnsi="Arial" w:cs="Arial"/>
        <w:b/>
        <w:spacing w:val="12"/>
        <w:sz w:val="22"/>
        <w:szCs w:val="22"/>
      </w:rPr>
    </w:pPr>
    <w:r>
      <w:rPr>
        <w:rFonts w:ascii="Arial" w:eastAsia="Calibri" w:hAnsi="Arial" w:cs="Arial"/>
        <w:b/>
        <w:bCs/>
        <w:sz w:val="22"/>
        <w:szCs w:val="22"/>
        <w:lang w:val="es-CO" w:eastAsia="en-US"/>
      </w:rPr>
      <w:t>RA_NOTI_S</w:t>
    </w:r>
  </w:p>
  <w:p w14:paraId="5F311B66" w14:textId="77777777" w:rsidR="005E07CA" w:rsidRPr="00FB3E43" w:rsidRDefault="005E07CA" w:rsidP="00AF4DAD">
    <w:pPr>
      <w:pStyle w:val="Encabezado"/>
      <w:jc w:val="center"/>
      <w:rPr>
        <w:rFonts w:ascii="Arial" w:hAnsi="Arial" w:cs="Arial"/>
      </w:rPr>
    </w:pPr>
  </w:p>
  <w:p w14:paraId="6F6240D8" w14:textId="77777777" w:rsidR="00AF4DAD" w:rsidRDefault="00AF4D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A22D" w14:textId="77777777" w:rsidR="00C75D47" w:rsidRDefault="00C75D47">
    <w:pPr>
      <w:pStyle w:val="Encabezado"/>
      <w:jc w:val="center"/>
      <w:rPr>
        <w:rFonts w:ascii="Arial" w:hAnsi="Arial"/>
        <w:spacing w:val="1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081"/>
      <w:gridCol w:w="1843"/>
      <w:gridCol w:w="1559"/>
    </w:tblGrid>
    <w:tr w:rsidR="008A2226" w:rsidRPr="005C7C23" w14:paraId="572AC1E1" w14:textId="77777777" w:rsidTr="3ED00358">
      <w:trPr>
        <w:trHeight w:val="380"/>
      </w:trPr>
      <w:tc>
        <w:tcPr>
          <w:tcW w:w="1873" w:type="dxa"/>
          <w:vMerge w:val="restart"/>
          <w:vAlign w:val="center"/>
        </w:tcPr>
        <w:p w14:paraId="53C18C90" w14:textId="1420DE1A" w:rsidR="008A2226" w:rsidRPr="005C7C23" w:rsidRDefault="008A2226" w:rsidP="005C7C23">
          <w:pPr>
            <w:pStyle w:val="Encabezado"/>
            <w:jc w:val="center"/>
            <w:rPr>
              <w:rFonts w:ascii="Arial" w:hAnsi="Arial"/>
              <w:spacing w:val="12"/>
            </w:rPr>
          </w:pPr>
          <w:r w:rsidRPr="005C7C23">
            <w:rPr>
              <w:rFonts w:ascii="Arial" w:hAnsi="Arial"/>
              <w:noProof/>
              <w:spacing w:val="12"/>
              <w:lang w:eastAsia="es-ES_tradnl"/>
            </w:rPr>
            <w:drawing>
              <wp:inline distT="0" distB="0" distL="0" distR="0" wp14:anchorId="5C2E1BB9" wp14:editId="44743EA8">
                <wp:extent cx="1002301" cy="55245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14913" cy="559402"/>
                        </a:xfrm>
                        <a:prstGeom prst="rect">
                          <a:avLst/>
                        </a:prstGeom>
                        <a:noFill/>
                        <a:ln>
                          <a:noFill/>
                        </a:ln>
                      </pic:spPr>
                    </pic:pic>
                  </a:graphicData>
                </a:graphic>
              </wp:inline>
            </w:drawing>
          </w:r>
        </w:p>
      </w:tc>
      <w:tc>
        <w:tcPr>
          <w:tcW w:w="4081" w:type="dxa"/>
          <w:vAlign w:val="center"/>
        </w:tcPr>
        <w:p w14:paraId="2CA91DF2" w14:textId="4CF10B4D" w:rsidR="008A2226" w:rsidRPr="000D5EBE" w:rsidRDefault="008A2226" w:rsidP="005C7C23">
          <w:pPr>
            <w:pStyle w:val="Encabezado"/>
            <w:jc w:val="center"/>
            <w:rPr>
              <w:rFonts w:ascii="Arial" w:hAnsi="Arial" w:cs="Arial"/>
              <w:spacing w:val="12"/>
              <w:sz w:val="22"/>
              <w:szCs w:val="22"/>
            </w:rPr>
          </w:pPr>
          <w:r>
            <w:rPr>
              <w:rFonts w:ascii="Arial" w:hAnsi="Arial" w:cs="Arial"/>
              <w:spacing w:val="12"/>
              <w:sz w:val="22"/>
              <w:szCs w:val="22"/>
            </w:rPr>
            <w:t>GESTIÓN JURÍDICA</w:t>
          </w:r>
        </w:p>
      </w:tc>
      <w:tc>
        <w:tcPr>
          <w:tcW w:w="1843" w:type="dxa"/>
          <w:vAlign w:val="center"/>
        </w:tcPr>
        <w:p w14:paraId="6EEEA7CD" w14:textId="77777777" w:rsidR="008A2226" w:rsidRPr="000D5EBE" w:rsidRDefault="008A2226" w:rsidP="005C7C23">
          <w:pPr>
            <w:pStyle w:val="Encabezado"/>
            <w:jc w:val="center"/>
            <w:rPr>
              <w:rFonts w:ascii="Arial" w:hAnsi="Arial" w:cs="Arial"/>
              <w:b/>
              <w:spacing w:val="12"/>
              <w:sz w:val="22"/>
              <w:szCs w:val="22"/>
            </w:rPr>
          </w:pPr>
          <w:r w:rsidRPr="000D5EBE">
            <w:rPr>
              <w:rFonts w:ascii="Arial" w:hAnsi="Arial" w:cs="Arial"/>
              <w:b/>
              <w:spacing w:val="12"/>
              <w:sz w:val="22"/>
              <w:szCs w:val="22"/>
            </w:rPr>
            <w:t>CÓDIGO</w:t>
          </w:r>
        </w:p>
      </w:tc>
      <w:tc>
        <w:tcPr>
          <w:tcW w:w="1559" w:type="dxa"/>
          <w:vAlign w:val="center"/>
        </w:tcPr>
        <w:p w14:paraId="104780FA" w14:textId="2183FEF8" w:rsidR="55EEEB71" w:rsidRDefault="55EEEB71" w:rsidP="55EEEB71">
          <w:pPr>
            <w:jc w:val="center"/>
          </w:pPr>
          <w:r w:rsidRPr="55EEEB71">
            <w:rPr>
              <w:rFonts w:ascii="Aptos Display" w:eastAsia="Aptos Display" w:hAnsi="Aptos Display" w:cs="Aptos Display"/>
              <w:color w:val="000000" w:themeColor="text1"/>
              <w:sz w:val="22"/>
              <w:szCs w:val="22"/>
            </w:rPr>
            <w:t>A5-FT-8</w:t>
          </w:r>
        </w:p>
      </w:tc>
    </w:tr>
    <w:tr w:rsidR="008A2226" w:rsidRPr="005C7C23" w14:paraId="0338A0F5" w14:textId="77777777" w:rsidTr="3ED00358">
      <w:trPr>
        <w:trHeight w:val="356"/>
      </w:trPr>
      <w:tc>
        <w:tcPr>
          <w:tcW w:w="1873" w:type="dxa"/>
          <w:vMerge/>
        </w:tcPr>
        <w:p w14:paraId="1E5CA836" w14:textId="77777777" w:rsidR="008A2226" w:rsidRPr="005C7C23" w:rsidRDefault="008A2226" w:rsidP="005C7C23">
          <w:pPr>
            <w:pStyle w:val="Encabezado"/>
            <w:jc w:val="center"/>
            <w:rPr>
              <w:rFonts w:ascii="Arial" w:hAnsi="Arial"/>
              <w:spacing w:val="12"/>
            </w:rPr>
          </w:pPr>
        </w:p>
      </w:tc>
      <w:tc>
        <w:tcPr>
          <w:tcW w:w="4081" w:type="dxa"/>
          <w:vMerge w:val="restart"/>
          <w:vAlign w:val="center"/>
        </w:tcPr>
        <w:p w14:paraId="2087BA5F" w14:textId="77777777" w:rsidR="008A2226" w:rsidRPr="000D5EBE" w:rsidRDefault="008A2226" w:rsidP="005C7C23">
          <w:pPr>
            <w:pStyle w:val="Encabezado"/>
            <w:jc w:val="center"/>
            <w:rPr>
              <w:rFonts w:ascii="Arial" w:hAnsi="Arial" w:cs="Arial"/>
              <w:spacing w:val="12"/>
              <w:sz w:val="22"/>
              <w:szCs w:val="22"/>
            </w:rPr>
          </w:pPr>
        </w:p>
        <w:p w14:paraId="1205A342" w14:textId="77777777" w:rsidR="008A2226" w:rsidRPr="000D5EBE" w:rsidRDefault="008A2226" w:rsidP="005C7C23">
          <w:pPr>
            <w:pStyle w:val="Encabezado"/>
            <w:jc w:val="center"/>
            <w:rPr>
              <w:rFonts w:ascii="Arial" w:hAnsi="Arial" w:cs="Arial"/>
              <w:spacing w:val="12"/>
              <w:sz w:val="22"/>
              <w:szCs w:val="22"/>
            </w:rPr>
          </w:pPr>
          <w:r w:rsidRPr="000D5EBE">
            <w:rPr>
              <w:rFonts w:ascii="Arial" w:hAnsi="Arial" w:cs="Arial"/>
              <w:spacing w:val="12"/>
              <w:sz w:val="22"/>
              <w:szCs w:val="22"/>
            </w:rPr>
            <w:t>CIRCULAR EXTERNA</w:t>
          </w:r>
        </w:p>
        <w:p w14:paraId="7D54DF28" w14:textId="77777777" w:rsidR="008A2226" w:rsidRPr="000D5EBE" w:rsidRDefault="008A2226" w:rsidP="005C7C23">
          <w:pPr>
            <w:pStyle w:val="Encabezado"/>
            <w:jc w:val="center"/>
            <w:rPr>
              <w:rFonts w:ascii="Arial" w:hAnsi="Arial" w:cs="Arial"/>
              <w:spacing w:val="12"/>
              <w:sz w:val="22"/>
              <w:szCs w:val="22"/>
            </w:rPr>
          </w:pPr>
        </w:p>
      </w:tc>
      <w:tc>
        <w:tcPr>
          <w:tcW w:w="1843" w:type="dxa"/>
          <w:vAlign w:val="center"/>
        </w:tcPr>
        <w:p w14:paraId="3C020CF9" w14:textId="77777777" w:rsidR="008A2226" w:rsidRPr="000D5EBE" w:rsidRDefault="008A2226" w:rsidP="005C7C23">
          <w:pPr>
            <w:pStyle w:val="Encabezado"/>
            <w:jc w:val="center"/>
            <w:rPr>
              <w:rFonts w:ascii="Arial" w:hAnsi="Arial" w:cs="Arial"/>
              <w:b/>
              <w:spacing w:val="12"/>
              <w:sz w:val="22"/>
              <w:szCs w:val="22"/>
            </w:rPr>
          </w:pPr>
          <w:r w:rsidRPr="000D5EBE">
            <w:rPr>
              <w:rFonts w:ascii="Arial" w:hAnsi="Arial" w:cs="Arial"/>
              <w:b/>
              <w:spacing w:val="12"/>
              <w:sz w:val="22"/>
              <w:szCs w:val="22"/>
            </w:rPr>
            <w:t>VERSIÓN</w:t>
          </w:r>
        </w:p>
      </w:tc>
      <w:tc>
        <w:tcPr>
          <w:tcW w:w="1559" w:type="dxa"/>
          <w:vAlign w:val="center"/>
        </w:tcPr>
        <w:p w14:paraId="35B887A5" w14:textId="4A30543D" w:rsidR="008A2226" w:rsidRPr="000D5EBE" w:rsidRDefault="008A2226" w:rsidP="005C7C23">
          <w:pPr>
            <w:pStyle w:val="Encabezado"/>
            <w:jc w:val="center"/>
            <w:rPr>
              <w:rFonts w:ascii="Arial" w:hAnsi="Arial" w:cs="Arial"/>
              <w:spacing w:val="12"/>
              <w:sz w:val="22"/>
              <w:szCs w:val="22"/>
            </w:rPr>
          </w:pPr>
          <w:r w:rsidRPr="000D5EBE">
            <w:rPr>
              <w:rFonts w:ascii="Arial" w:hAnsi="Arial" w:cs="Arial"/>
              <w:spacing w:val="12"/>
              <w:sz w:val="22"/>
              <w:szCs w:val="22"/>
            </w:rPr>
            <w:t>1</w:t>
          </w:r>
        </w:p>
      </w:tc>
    </w:tr>
    <w:tr w:rsidR="008A2226" w:rsidRPr="005C7C23" w14:paraId="0D710A77" w14:textId="77777777" w:rsidTr="3ED00358">
      <w:trPr>
        <w:trHeight w:val="356"/>
      </w:trPr>
      <w:tc>
        <w:tcPr>
          <w:tcW w:w="1873" w:type="dxa"/>
          <w:vMerge/>
        </w:tcPr>
        <w:p w14:paraId="5C107CAA" w14:textId="77777777" w:rsidR="008A2226" w:rsidRPr="005C7C23" w:rsidRDefault="008A2226" w:rsidP="005C7C23">
          <w:pPr>
            <w:pStyle w:val="Encabezado"/>
            <w:jc w:val="center"/>
            <w:rPr>
              <w:rFonts w:ascii="Arial" w:hAnsi="Arial"/>
              <w:spacing w:val="12"/>
            </w:rPr>
          </w:pPr>
        </w:p>
      </w:tc>
      <w:tc>
        <w:tcPr>
          <w:tcW w:w="4081" w:type="dxa"/>
          <w:vMerge/>
          <w:vAlign w:val="center"/>
        </w:tcPr>
        <w:p w14:paraId="212CDEC4" w14:textId="77777777" w:rsidR="008A2226" w:rsidRPr="000D5EBE" w:rsidRDefault="008A2226" w:rsidP="005C7C23">
          <w:pPr>
            <w:pStyle w:val="Encabezado"/>
            <w:jc w:val="center"/>
            <w:rPr>
              <w:rFonts w:ascii="Arial" w:hAnsi="Arial" w:cs="Arial"/>
              <w:spacing w:val="12"/>
              <w:sz w:val="22"/>
              <w:szCs w:val="22"/>
            </w:rPr>
          </w:pPr>
        </w:p>
      </w:tc>
      <w:tc>
        <w:tcPr>
          <w:tcW w:w="1843" w:type="dxa"/>
          <w:vAlign w:val="center"/>
        </w:tcPr>
        <w:p w14:paraId="516ABC20" w14:textId="5517C57B" w:rsidR="008A2226" w:rsidRPr="000D5EBE" w:rsidRDefault="008A2226" w:rsidP="005C7C23">
          <w:pPr>
            <w:pStyle w:val="Encabezado"/>
            <w:jc w:val="center"/>
            <w:rPr>
              <w:rFonts w:ascii="Arial" w:hAnsi="Arial" w:cs="Arial"/>
              <w:b/>
              <w:spacing w:val="12"/>
              <w:sz w:val="22"/>
              <w:szCs w:val="22"/>
            </w:rPr>
          </w:pPr>
          <w:r>
            <w:rPr>
              <w:rFonts w:ascii="Arial" w:hAnsi="Arial" w:cs="Arial"/>
              <w:b/>
              <w:spacing w:val="12"/>
              <w:sz w:val="22"/>
              <w:szCs w:val="22"/>
            </w:rPr>
            <w:t>FECHA</w:t>
          </w:r>
        </w:p>
      </w:tc>
      <w:tc>
        <w:tcPr>
          <w:tcW w:w="1559" w:type="dxa"/>
          <w:vAlign w:val="center"/>
        </w:tcPr>
        <w:p w14:paraId="06BFF6F0" w14:textId="4C0AE86E" w:rsidR="008A2226" w:rsidRPr="000D5EBE" w:rsidRDefault="3ED00358" w:rsidP="3ED00358">
          <w:pPr>
            <w:pStyle w:val="Encabezado"/>
            <w:spacing w:line="259" w:lineRule="auto"/>
            <w:jc w:val="center"/>
            <w:rPr>
              <w:rFonts w:ascii="Arial" w:hAnsi="Arial" w:cs="Arial"/>
              <w:sz w:val="22"/>
              <w:szCs w:val="22"/>
            </w:rPr>
          </w:pPr>
          <w:r w:rsidRPr="3ED00358">
            <w:rPr>
              <w:rFonts w:ascii="Arial" w:hAnsi="Arial" w:cs="Arial"/>
              <w:sz w:val="22"/>
              <w:szCs w:val="22"/>
            </w:rPr>
            <w:t>31/03/2026</w:t>
          </w:r>
        </w:p>
      </w:tc>
    </w:tr>
  </w:tbl>
  <w:p w14:paraId="2E838C94" w14:textId="6B6352B6" w:rsidR="00C75D47" w:rsidRDefault="00C75D47">
    <w:pPr>
      <w:pStyle w:val="Encabezado"/>
      <w:jc w:val="center"/>
      <w:rPr>
        <w:rFonts w:ascii="Arial" w:hAnsi="Arial"/>
        <w:spacing w:val="12"/>
      </w:rPr>
    </w:pPr>
  </w:p>
  <w:p w14:paraId="7BE40A82" w14:textId="77777777" w:rsidR="007A2873" w:rsidRDefault="007A2873" w:rsidP="007A2873">
    <w:pPr>
      <w:pStyle w:val="Encabezado"/>
    </w:pPr>
  </w:p>
  <w:p w14:paraId="5C6904DB" w14:textId="4BCFD339" w:rsidR="007A2873" w:rsidRPr="008D03B7" w:rsidRDefault="007A2873" w:rsidP="002D7E77">
    <w:pPr>
      <w:pStyle w:val="Encabezado"/>
      <w:jc w:val="center"/>
      <w:rPr>
        <w:rFonts w:ascii="Arial" w:hAnsi="Arial"/>
        <w:spacing w:val="12"/>
        <w:sz w:val="22"/>
        <w:szCs w:val="22"/>
        <w:lang w:val="pt-PT"/>
      </w:rPr>
    </w:pPr>
    <w:r w:rsidRPr="008D03B7">
      <w:rPr>
        <w:rFonts w:ascii="Arial" w:hAnsi="Arial" w:cs="Arial"/>
        <w:b/>
        <w:spacing w:val="12"/>
        <w:sz w:val="22"/>
        <w:szCs w:val="22"/>
        <w:lang w:val="pt-PT"/>
      </w:rPr>
      <w:t>CIRCULAR EXTERNA</w:t>
    </w:r>
    <w:r w:rsidR="001F243B" w:rsidRPr="008D03B7">
      <w:rPr>
        <w:rFonts w:ascii="Arial" w:hAnsi="Arial" w:cs="Arial"/>
        <w:b/>
        <w:spacing w:val="12"/>
        <w:sz w:val="22"/>
        <w:szCs w:val="22"/>
        <w:lang w:val="pt-PT"/>
      </w:rPr>
      <w:t xml:space="preserve"> </w:t>
    </w:r>
    <w:r w:rsidR="002D7E77" w:rsidRPr="008D03B7">
      <w:rPr>
        <w:rFonts w:ascii="Arial" w:hAnsi="Arial" w:cs="Arial"/>
        <w:b/>
        <w:spacing w:val="12"/>
        <w:sz w:val="22"/>
        <w:szCs w:val="22"/>
        <w:lang w:val="pt-PT"/>
      </w:rPr>
      <w:t xml:space="preserve">RA_NOTI_S </w:t>
    </w:r>
    <w:r w:rsidR="002D7E77" w:rsidRPr="008D03B7">
      <w:rPr>
        <w:rFonts w:ascii="Arial" w:eastAsia="Calibri" w:hAnsi="Arial" w:cs="Arial"/>
        <w:b/>
        <w:sz w:val="22"/>
        <w:szCs w:val="22"/>
        <w:lang w:val="pt-PT" w:eastAsia="en-US"/>
      </w:rPr>
      <w:t xml:space="preserve">DE </w:t>
    </w:r>
    <w:bookmarkStart w:id="0" w:name="_Hlk77526200"/>
    <w:r w:rsidR="002D7E77" w:rsidRPr="008D03B7">
      <w:rPr>
        <w:rFonts w:ascii="Arial" w:hAnsi="Arial" w:cs="Arial"/>
        <w:b/>
        <w:bCs/>
        <w:sz w:val="22"/>
        <w:szCs w:val="22"/>
        <w:lang w:val="pt-PT"/>
      </w:rPr>
      <w:t>ANHO_S</w:t>
    </w:r>
    <w:bookmarkEnd w:id="0"/>
  </w:p>
  <w:p w14:paraId="547D5DBA" w14:textId="77777777" w:rsidR="007A2873" w:rsidRPr="008D03B7" w:rsidRDefault="007A2873">
    <w:pPr>
      <w:pStyle w:val="Encabezado"/>
      <w:jc w:val="center"/>
      <w:rPr>
        <w:rFonts w:ascii="Arial" w:hAnsi="Arial"/>
        <w:spacing w:val="12"/>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1C4E0C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AA84C4E"/>
    <w:multiLevelType w:val="hybridMultilevel"/>
    <w:tmpl w:val="97D8DB00"/>
    <w:lvl w:ilvl="0" w:tplc="2312B504">
      <w:start w:val="1"/>
      <w:numFmt w:val="lowerLetter"/>
      <w:lvlText w:val="%1."/>
      <w:lvlJc w:val="left"/>
      <w:pPr>
        <w:ind w:left="720" w:hanging="360"/>
      </w:pPr>
    </w:lvl>
    <w:lvl w:ilvl="1" w:tplc="F2E85D60">
      <w:start w:val="1"/>
      <w:numFmt w:val="lowerLetter"/>
      <w:lvlText w:val="%2."/>
      <w:lvlJc w:val="left"/>
      <w:pPr>
        <w:ind w:left="720" w:hanging="360"/>
      </w:pPr>
    </w:lvl>
    <w:lvl w:ilvl="2" w:tplc="39002374">
      <w:start w:val="1"/>
      <w:numFmt w:val="lowerRoman"/>
      <w:lvlText w:val="%3."/>
      <w:lvlJc w:val="right"/>
      <w:pPr>
        <w:ind w:left="720" w:hanging="360"/>
      </w:pPr>
    </w:lvl>
    <w:lvl w:ilvl="3" w:tplc="CBCA7E58">
      <w:start w:val="1"/>
      <w:numFmt w:val="lowerLetter"/>
      <w:lvlText w:val="%4."/>
      <w:lvlJc w:val="left"/>
      <w:pPr>
        <w:ind w:left="720" w:hanging="360"/>
      </w:pPr>
    </w:lvl>
    <w:lvl w:ilvl="4" w:tplc="8B8C20B6">
      <w:start w:val="1"/>
      <w:numFmt w:val="lowerLetter"/>
      <w:lvlText w:val="%5."/>
      <w:lvlJc w:val="left"/>
      <w:pPr>
        <w:ind w:left="720" w:hanging="360"/>
      </w:pPr>
    </w:lvl>
    <w:lvl w:ilvl="5" w:tplc="34364590">
      <w:start w:val="1"/>
      <w:numFmt w:val="lowerLetter"/>
      <w:lvlText w:val="%6."/>
      <w:lvlJc w:val="left"/>
      <w:pPr>
        <w:ind w:left="720" w:hanging="360"/>
      </w:pPr>
    </w:lvl>
    <w:lvl w:ilvl="6" w:tplc="28E2B670">
      <w:start w:val="1"/>
      <w:numFmt w:val="lowerLetter"/>
      <w:lvlText w:val="%7."/>
      <w:lvlJc w:val="left"/>
      <w:pPr>
        <w:ind w:left="720" w:hanging="360"/>
      </w:pPr>
    </w:lvl>
    <w:lvl w:ilvl="7" w:tplc="772A0448">
      <w:start w:val="1"/>
      <w:numFmt w:val="lowerLetter"/>
      <w:lvlText w:val="%8."/>
      <w:lvlJc w:val="left"/>
      <w:pPr>
        <w:ind w:left="720" w:hanging="360"/>
      </w:pPr>
    </w:lvl>
    <w:lvl w:ilvl="8" w:tplc="9EEA0498">
      <w:start w:val="1"/>
      <w:numFmt w:val="lowerLetter"/>
      <w:lvlText w:val="%9."/>
      <w:lvlJc w:val="left"/>
      <w:pPr>
        <w:ind w:left="720" w:hanging="360"/>
      </w:pPr>
    </w:lvl>
  </w:abstractNum>
  <w:abstractNum w:abstractNumId="2" w15:restartNumberingAfterBreak="0">
    <w:nsid w:val="1F5A771C"/>
    <w:multiLevelType w:val="hybridMultilevel"/>
    <w:tmpl w:val="330E0F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C9A4424"/>
    <w:multiLevelType w:val="hybridMultilevel"/>
    <w:tmpl w:val="B5423CCC"/>
    <w:lvl w:ilvl="0" w:tplc="CE1C8612">
      <w:start w:val="1"/>
      <w:numFmt w:val="decimal"/>
      <w:lvlText w:val="%1)"/>
      <w:lvlJc w:val="left"/>
      <w:pPr>
        <w:ind w:left="720" w:hanging="360"/>
      </w:pPr>
    </w:lvl>
    <w:lvl w:ilvl="1" w:tplc="EE9468C2">
      <w:start w:val="1"/>
      <w:numFmt w:val="decimal"/>
      <w:lvlText w:val="%2)"/>
      <w:lvlJc w:val="left"/>
      <w:pPr>
        <w:ind w:left="720" w:hanging="360"/>
      </w:pPr>
    </w:lvl>
    <w:lvl w:ilvl="2" w:tplc="516AB1B6">
      <w:start w:val="1"/>
      <w:numFmt w:val="decimal"/>
      <w:lvlText w:val="%3)"/>
      <w:lvlJc w:val="left"/>
      <w:pPr>
        <w:ind w:left="720" w:hanging="360"/>
      </w:pPr>
    </w:lvl>
    <w:lvl w:ilvl="3" w:tplc="42DA3BCE">
      <w:start w:val="1"/>
      <w:numFmt w:val="decimal"/>
      <w:lvlText w:val="%4)"/>
      <w:lvlJc w:val="left"/>
      <w:pPr>
        <w:ind w:left="720" w:hanging="360"/>
      </w:pPr>
    </w:lvl>
    <w:lvl w:ilvl="4" w:tplc="DDBE7E2E">
      <w:start w:val="1"/>
      <w:numFmt w:val="decimal"/>
      <w:lvlText w:val="%5)"/>
      <w:lvlJc w:val="left"/>
      <w:pPr>
        <w:ind w:left="720" w:hanging="360"/>
      </w:pPr>
    </w:lvl>
    <w:lvl w:ilvl="5" w:tplc="1CBA9138">
      <w:start w:val="1"/>
      <w:numFmt w:val="decimal"/>
      <w:lvlText w:val="%6)"/>
      <w:lvlJc w:val="left"/>
      <w:pPr>
        <w:ind w:left="720" w:hanging="360"/>
      </w:pPr>
    </w:lvl>
    <w:lvl w:ilvl="6" w:tplc="A0D6BF7E">
      <w:start w:val="1"/>
      <w:numFmt w:val="decimal"/>
      <w:lvlText w:val="%7)"/>
      <w:lvlJc w:val="left"/>
      <w:pPr>
        <w:ind w:left="720" w:hanging="360"/>
      </w:pPr>
    </w:lvl>
    <w:lvl w:ilvl="7" w:tplc="F1FCEF82">
      <w:start w:val="1"/>
      <w:numFmt w:val="decimal"/>
      <w:lvlText w:val="%8)"/>
      <w:lvlJc w:val="left"/>
      <w:pPr>
        <w:ind w:left="720" w:hanging="360"/>
      </w:pPr>
    </w:lvl>
    <w:lvl w:ilvl="8" w:tplc="E2A2FB46">
      <w:start w:val="1"/>
      <w:numFmt w:val="decimal"/>
      <w:lvlText w:val="%9)"/>
      <w:lvlJc w:val="left"/>
      <w:pPr>
        <w:ind w:left="720" w:hanging="360"/>
      </w:pPr>
    </w:lvl>
  </w:abstractNum>
  <w:abstractNum w:abstractNumId="4" w15:restartNumberingAfterBreak="0">
    <w:nsid w:val="2FEB0BEB"/>
    <w:multiLevelType w:val="hybridMultilevel"/>
    <w:tmpl w:val="AE22FB5A"/>
    <w:lvl w:ilvl="0" w:tplc="71A0900C">
      <w:start w:val="1"/>
      <w:numFmt w:val="decimal"/>
      <w:lvlText w:val="%1)"/>
      <w:lvlJc w:val="left"/>
      <w:pPr>
        <w:ind w:left="720" w:hanging="360"/>
      </w:pPr>
    </w:lvl>
    <w:lvl w:ilvl="1" w:tplc="9984DED8">
      <w:start w:val="1"/>
      <w:numFmt w:val="decimal"/>
      <w:lvlText w:val="%2)"/>
      <w:lvlJc w:val="left"/>
      <w:pPr>
        <w:ind w:left="720" w:hanging="360"/>
      </w:pPr>
    </w:lvl>
    <w:lvl w:ilvl="2" w:tplc="C8E817C8">
      <w:start w:val="1"/>
      <w:numFmt w:val="decimal"/>
      <w:lvlText w:val="%3)"/>
      <w:lvlJc w:val="left"/>
      <w:pPr>
        <w:ind w:left="720" w:hanging="360"/>
      </w:pPr>
    </w:lvl>
    <w:lvl w:ilvl="3" w:tplc="BE986E26">
      <w:start w:val="1"/>
      <w:numFmt w:val="decimal"/>
      <w:lvlText w:val="%4)"/>
      <w:lvlJc w:val="left"/>
      <w:pPr>
        <w:ind w:left="720" w:hanging="360"/>
      </w:pPr>
    </w:lvl>
    <w:lvl w:ilvl="4" w:tplc="4B7A14BA">
      <w:start w:val="1"/>
      <w:numFmt w:val="decimal"/>
      <w:lvlText w:val="%5)"/>
      <w:lvlJc w:val="left"/>
      <w:pPr>
        <w:ind w:left="720" w:hanging="360"/>
      </w:pPr>
    </w:lvl>
    <w:lvl w:ilvl="5" w:tplc="7B642326">
      <w:start w:val="1"/>
      <w:numFmt w:val="decimal"/>
      <w:lvlText w:val="%6)"/>
      <w:lvlJc w:val="left"/>
      <w:pPr>
        <w:ind w:left="720" w:hanging="360"/>
      </w:pPr>
    </w:lvl>
    <w:lvl w:ilvl="6" w:tplc="BACCD9C4">
      <w:start w:val="1"/>
      <w:numFmt w:val="decimal"/>
      <w:lvlText w:val="%7)"/>
      <w:lvlJc w:val="left"/>
      <w:pPr>
        <w:ind w:left="720" w:hanging="360"/>
      </w:pPr>
    </w:lvl>
    <w:lvl w:ilvl="7" w:tplc="CF300EFC">
      <w:start w:val="1"/>
      <w:numFmt w:val="decimal"/>
      <w:lvlText w:val="%8)"/>
      <w:lvlJc w:val="left"/>
      <w:pPr>
        <w:ind w:left="720" w:hanging="360"/>
      </w:pPr>
    </w:lvl>
    <w:lvl w:ilvl="8" w:tplc="29D67E6E">
      <w:start w:val="1"/>
      <w:numFmt w:val="decimal"/>
      <w:lvlText w:val="%9)"/>
      <w:lvlJc w:val="left"/>
      <w:pPr>
        <w:ind w:left="720" w:hanging="360"/>
      </w:pPr>
    </w:lvl>
  </w:abstractNum>
  <w:abstractNum w:abstractNumId="5" w15:restartNumberingAfterBreak="0">
    <w:nsid w:val="327310D2"/>
    <w:multiLevelType w:val="hybridMultilevel"/>
    <w:tmpl w:val="E2E40170"/>
    <w:lvl w:ilvl="0" w:tplc="8D1CDE0C">
      <w:start w:val="1"/>
      <w:numFmt w:val="decimal"/>
      <w:lvlText w:val="%1)"/>
      <w:lvlJc w:val="left"/>
      <w:pPr>
        <w:ind w:left="720" w:hanging="360"/>
      </w:pPr>
    </w:lvl>
    <w:lvl w:ilvl="1" w:tplc="0B368998">
      <w:start w:val="1"/>
      <w:numFmt w:val="decimal"/>
      <w:lvlText w:val="%2)"/>
      <w:lvlJc w:val="left"/>
      <w:pPr>
        <w:ind w:left="720" w:hanging="360"/>
      </w:pPr>
    </w:lvl>
    <w:lvl w:ilvl="2" w:tplc="3846588C">
      <w:start w:val="1"/>
      <w:numFmt w:val="decimal"/>
      <w:lvlText w:val="%3)"/>
      <w:lvlJc w:val="left"/>
      <w:pPr>
        <w:ind w:left="720" w:hanging="360"/>
      </w:pPr>
    </w:lvl>
    <w:lvl w:ilvl="3" w:tplc="49CC87B0">
      <w:start w:val="1"/>
      <w:numFmt w:val="decimal"/>
      <w:lvlText w:val="%4)"/>
      <w:lvlJc w:val="left"/>
      <w:pPr>
        <w:ind w:left="720" w:hanging="360"/>
      </w:pPr>
    </w:lvl>
    <w:lvl w:ilvl="4" w:tplc="05D8A0A8">
      <w:start w:val="1"/>
      <w:numFmt w:val="decimal"/>
      <w:lvlText w:val="%5)"/>
      <w:lvlJc w:val="left"/>
      <w:pPr>
        <w:ind w:left="720" w:hanging="360"/>
      </w:pPr>
    </w:lvl>
    <w:lvl w:ilvl="5" w:tplc="C77C92A0">
      <w:start w:val="1"/>
      <w:numFmt w:val="decimal"/>
      <w:lvlText w:val="%6)"/>
      <w:lvlJc w:val="left"/>
      <w:pPr>
        <w:ind w:left="720" w:hanging="360"/>
      </w:pPr>
    </w:lvl>
    <w:lvl w:ilvl="6" w:tplc="8A5A2D2C">
      <w:start w:val="1"/>
      <w:numFmt w:val="decimal"/>
      <w:lvlText w:val="%7)"/>
      <w:lvlJc w:val="left"/>
      <w:pPr>
        <w:ind w:left="720" w:hanging="360"/>
      </w:pPr>
    </w:lvl>
    <w:lvl w:ilvl="7" w:tplc="52920B62">
      <w:start w:val="1"/>
      <w:numFmt w:val="decimal"/>
      <w:lvlText w:val="%8)"/>
      <w:lvlJc w:val="left"/>
      <w:pPr>
        <w:ind w:left="720" w:hanging="360"/>
      </w:pPr>
    </w:lvl>
    <w:lvl w:ilvl="8" w:tplc="F99C96B0">
      <w:start w:val="1"/>
      <w:numFmt w:val="decimal"/>
      <w:lvlText w:val="%9)"/>
      <w:lvlJc w:val="left"/>
      <w:pPr>
        <w:ind w:left="720" w:hanging="360"/>
      </w:pPr>
    </w:lvl>
  </w:abstractNum>
  <w:abstractNum w:abstractNumId="6" w15:restartNumberingAfterBreak="0">
    <w:nsid w:val="37881CBE"/>
    <w:multiLevelType w:val="hybridMultilevel"/>
    <w:tmpl w:val="3B00EF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F15BC7"/>
    <w:multiLevelType w:val="hybridMultilevel"/>
    <w:tmpl w:val="AA90CCC8"/>
    <w:lvl w:ilvl="0" w:tplc="1E4A5F6E">
      <w:start w:val="1"/>
      <w:numFmt w:val="lowerLetter"/>
      <w:lvlText w:val="%1."/>
      <w:lvlJc w:val="left"/>
      <w:pPr>
        <w:ind w:left="720" w:hanging="360"/>
      </w:pPr>
    </w:lvl>
    <w:lvl w:ilvl="1" w:tplc="7BF6EF00">
      <w:start w:val="1"/>
      <w:numFmt w:val="lowerLetter"/>
      <w:lvlText w:val="%2."/>
      <w:lvlJc w:val="left"/>
      <w:pPr>
        <w:ind w:left="720" w:hanging="360"/>
      </w:pPr>
    </w:lvl>
    <w:lvl w:ilvl="2" w:tplc="90BC03F8">
      <w:start w:val="1"/>
      <w:numFmt w:val="lowerRoman"/>
      <w:lvlText w:val="%3."/>
      <w:lvlJc w:val="right"/>
      <w:pPr>
        <w:ind w:left="720" w:hanging="360"/>
      </w:pPr>
    </w:lvl>
    <w:lvl w:ilvl="3" w:tplc="2710F70A">
      <w:start w:val="1"/>
      <w:numFmt w:val="lowerLetter"/>
      <w:lvlText w:val="%4."/>
      <w:lvlJc w:val="left"/>
      <w:pPr>
        <w:ind w:left="720" w:hanging="360"/>
      </w:pPr>
    </w:lvl>
    <w:lvl w:ilvl="4" w:tplc="FD46EEA0">
      <w:start w:val="1"/>
      <w:numFmt w:val="lowerLetter"/>
      <w:lvlText w:val="%5."/>
      <w:lvlJc w:val="left"/>
      <w:pPr>
        <w:ind w:left="720" w:hanging="360"/>
      </w:pPr>
    </w:lvl>
    <w:lvl w:ilvl="5" w:tplc="03285FE0">
      <w:start w:val="1"/>
      <w:numFmt w:val="lowerLetter"/>
      <w:lvlText w:val="%6."/>
      <w:lvlJc w:val="left"/>
      <w:pPr>
        <w:ind w:left="720" w:hanging="360"/>
      </w:pPr>
    </w:lvl>
    <w:lvl w:ilvl="6" w:tplc="6C7EB71E">
      <w:start w:val="1"/>
      <w:numFmt w:val="lowerLetter"/>
      <w:lvlText w:val="%7."/>
      <w:lvlJc w:val="left"/>
      <w:pPr>
        <w:ind w:left="720" w:hanging="360"/>
      </w:pPr>
    </w:lvl>
    <w:lvl w:ilvl="7" w:tplc="A82E7B4C">
      <w:start w:val="1"/>
      <w:numFmt w:val="lowerLetter"/>
      <w:lvlText w:val="%8."/>
      <w:lvlJc w:val="left"/>
      <w:pPr>
        <w:ind w:left="720" w:hanging="360"/>
      </w:pPr>
    </w:lvl>
    <w:lvl w:ilvl="8" w:tplc="964C50D4">
      <w:start w:val="1"/>
      <w:numFmt w:val="lowerLetter"/>
      <w:lvlText w:val="%9."/>
      <w:lvlJc w:val="left"/>
      <w:pPr>
        <w:ind w:left="720" w:hanging="360"/>
      </w:pPr>
    </w:lvl>
  </w:abstractNum>
  <w:abstractNum w:abstractNumId="8" w15:restartNumberingAfterBreak="0">
    <w:nsid w:val="42531CD9"/>
    <w:multiLevelType w:val="hybridMultilevel"/>
    <w:tmpl w:val="C6926A54"/>
    <w:lvl w:ilvl="0" w:tplc="2FDEAE32">
      <w:start w:val="1"/>
      <w:numFmt w:val="lowerLetter"/>
      <w:lvlText w:val="%1."/>
      <w:lvlJc w:val="left"/>
      <w:pPr>
        <w:ind w:left="720" w:hanging="360"/>
      </w:pPr>
    </w:lvl>
    <w:lvl w:ilvl="1" w:tplc="3B965734">
      <w:start w:val="1"/>
      <w:numFmt w:val="lowerLetter"/>
      <w:lvlText w:val="%2."/>
      <w:lvlJc w:val="left"/>
      <w:pPr>
        <w:ind w:left="720" w:hanging="360"/>
      </w:pPr>
    </w:lvl>
    <w:lvl w:ilvl="2" w:tplc="708AF4C4">
      <w:start w:val="1"/>
      <w:numFmt w:val="lowerRoman"/>
      <w:lvlText w:val="%3."/>
      <w:lvlJc w:val="right"/>
      <w:pPr>
        <w:ind w:left="720" w:hanging="360"/>
      </w:pPr>
    </w:lvl>
    <w:lvl w:ilvl="3" w:tplc="772C4422">
      <w:start w:val="1"/>
      <w:numFmt w:val="lowerLetter"/>
      <w:lvlText w:val="%4."/>
      <w:lvlJc w:val="left"/>
      <w:pPr>
        <w:ind w:left="720" w:hanging="360"/>
      </w:pPr>
    </w:lvl>
    <w:lvl w:ilvl="4" w:tplc="1D50E732">
      <w:start w:val="1"/>
      <w:numFmt w:val="lowerLetter"/>
      <w:lvlText w:val="%5."/>
      <w:lvlJc w:val="left"/>
      <w:pPr>
        <w:ind w:left="720" w:hanging="360"/>
      </w:pPr>
    </w:lvl>
    <w:lvl w:ilvl="5" w:tplc="0C6CFAE0">
      <w:start w:val="1"/>
      <w:numFmt w:val="lowerLetter"/>
      <w:lvlText w:val="%6."/>
      <w:lvlJc w:val="left"/>
      <w:pPr>
        <w:ind w:left="720" w:hanging="360"/>
      </w:pPr>
    </w:lvl>
    <w:lvl w:ilvl="6" w:tplc="F676BB12">
      <w:start w:val="1"/>
      <w:numFmt w:val="lowerLetter"/>
      <w:lvlText w:val="%7."/>
      <w:lvlJc w:val="left"/>
      <w:pPr>
        <w:ind w:left="720" w:hanging="360"/>
      </w:pPr>
    </w:lvl>
    <w:lvl w:ilvl="7" w:tplc="107223E6">
      <w:start w:val="1"/>
      <w:numFmt w:val="lowerLetter"/>
      <w:lvlText w:val="%8."/>
      <w:lvlJc w:val="left"/>
      <w:pPr>
        <w:ind w:left="720" w:hanging="360"/>
      </w:pPr>
    </w:lvl>
    <w:lvl w:ilvl="8" w:tplc="9B4C36A0">
      <w:start w:val="1"/>
      <w:numFmt w:val="lowerLetter"/>
      <w:lvlText w:val="%9."/>
      <w:lvlJc w:val="left"/>
      <w:pPr>
        <w:ind w:left="720" w:hanging="360"/>
      </w:pPr>
    </w:lvl>
  </w:abstractNum>
  <w:abstractNum w:abstractNumId="9" w15:restartNumberingAfterBreak="0">
    <w:nsid w:val="480955EF"/>
    <w:multiLevelType w:val="multilevel"/>
    <w:tmpl w:val="957C26A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203F7C"/>
    <w:multiLevelType w:val="hybridMultilevel"/>
    <w:tmpl w:val="52EED4D2"/>
    <w:lvl w:ilvl="0" w:tplc="4F5CF5C6">
      <w:start w:val="1"/>
      <w:numFmt w:val="lowerLetter"/>
      <w:lvlText w:val="%1."/>
      <w:lvlJc w:val="left"/>
      <w:pPr>
        <w:ind w:left="720" w:hanging="360"/>
      </w:pPr>
    </w:lvl>
    <w:lvl w:ilvl="1" w:tplc="4B4AD102">
      <w:start w:val="1"/>
      <w:numFmt w:val="lowerLetter"/>
      <w:lvlText w:val="%2."/>
      <w:lvlJc w:val="left"/>
      <w:pPr>
        <w:ind w:left="720" w:hanging="360"/>
      </w:pPr>
    </w:lvl>
    <w:lvl w:ilvl="2" w:tplc="24FE8A68">
      <w:start w:val="1"/>
      <w:numFmt w:val="lowerRoman"/>
      <w:lvlText w:val="%3."/>
      <w:lvlJc w:val="right"/>
      <w:pPr>
        <w:ind w:left="720" w:hanging="360"/>
      </w:pPr>
    </w:lvl>
    <w:lvl w:ilvl="3" w:tplc="BC5ED6B8">
      <w:start w:val="1"/>
      <w:numFmt w:val="lowerLetter"/>
      <w:lvlText w:val="%4."/>
      <w:lvlJc w:val="left"/>
      <w:pPr>
        <w:ind w:left="720" w:hanging="360"/>
      </w:pPr>
    </w:lvl>
    <w:lvl w:ilvl="4" w:tplc="EB3CF67C">
      <w:start w:val="1"/>
      <w:numFmt w:val="lowerLetter"/>
      <w:lvlText w:val="%5."/>
      <w:lvlJc w:val="left"/>
      <w:pPr>
        <w:ind w:left="720" w:hanging="360"/>
      </w:pPr>
    </w:lvl>
    <w:lvl w:ilvl="5" w:tplc="94424CA6">
      <w:start w:val="1"/>
      <w:numFmt w:val="lowerLetter"/>
      <w:lvlText w:val="%6."/>
      <w:lvlJc w:val="left"/>
      <w:pPr>
        <w:ind w:left="720" w:hanging="360"/>
      </w:pPr>
    </w:lvl>
    <w:lvl w:ilvl="6" w:tplc="EA660E6E">
      <w:start w:val="1"/>
      <w:numFmt w:val="lowerLetter"/>
      <w:lvlText w:val="%7."/>
      <w:lvlJc w:val="left"/>
      <w:pPr>
        <w:ind w:left="720" w:hanging="360"/>
      </w:pPr>
    </w:lvl>
    <w:lvl w:ilvl="7" w:tplc="E30499AC">
      <w:start w:val="1"/>
      <w:numFmt w:val="lowerLetter"/>
      <w:lvlText w:val="%8."/>
      <w:lvlJc w:val="left"/>
      <w:pPr>
        <w:ind w:left="720" w:hanging="360"/>
      </w:pPr>
    </w:lvl>
    <w:lvl w:ilvl="8" w:tplc="CFA81AA4">
      <w:start w:val="1"/>
      <w:numFmt w:val="lowerLetter"/>
      <w:lvlText w:val="%9."/>
      <w:lvlJc w:val="left"/>
      <w:pPr>
        <w:ind w:left="720" w:hanging="360"/>
      </w:pPr>
    </w:lvl>
  </w:abstractNum>
  <w:abstractNum w:abstractNumId="11" w15:restartNumberingAfterBreak="0">
    <w:nsid w:val="573E3421"/>
    <w:multiLevelType w:val="hybridMultilevel"/>
    <w:tmpl w:val="1FEE2FDC"/>
    <w:lvl w:ilvl="0" w:tplc="5E460892">
      <w:start w:val="1"/>
      <w:numFmt w:val="decimal"/>
      <w:lvlText w:val="%1)"/>
      <w:lvlJc w:val="left"/>
      <w:pPr>
        <w:ind w:left="720" w:hanging="360"/>
      </w:pPr>
    </w:lvl>
    <w:lvl w:ilvl="1" w:tplc="46581A84">
      <w:start w:val="1"/>
      <w:numFmt w:val="decimal"/>
      <w:lvlText w:val="%2)"/>
      <w:lvlJc w:val="left"/>
      <w:pPr>
        <w:ind w:left="720" w:hanging="360"/>
      </w:pPr>
    </w:lvl>
    <w:lvl w:ilvl="2" w:tplc="9AC4E572">
      <w:start w:val="1"/>
      <w:numFmt w:val="decimal"/>
      <w:lvlText w:val="%3)"/>
      <w:lvlJc w:val="left"/>
      <w:pPr>
        <w:ind w:left="720" w:hanging="360"/>
      </w:pPr>
    </w:lvl>
    <w:lvl w:ilvl="3" w:tplc="EDF201B0">
      <w:start w:val="1"/>
      <w:numFmt w:val="decimal"/>
      <w:lvlText w:val="%4)"/>
      <w:lvlJc w:val="left"/>
      <w:pPr>
        <w:ind w:left="720" w:hanging="360"/>
      </w:pPr>
    </w:lvl>
    <w:lvl w:ilvl="4" w:tplc="FE5A51B4">
      <w:start w:val="1"/>
      <w:numFmt w:val="decimal"/>
      <w:lvlText w:val="%5)"/>
      <w:lvlJc w:val="left"/>
      <w:pPr>
        <w:ind w:left="720" w:hanging="360"/>
      </w:pPr>
    </w:lvl>
    <w:lvl w:ilvl="5" w:tplc="F288E2FC">
      <w:start w:val="1"/>
      <w:numFmt w:val="decimal"/>
      <w:lvlText w:val="%6)"/>
      <w:lvlJc w:val="left"/>
      <w:pPr>
        <w:ind w:left="720" w:hanging="360"/>
      </w:pPr>
    </w:lvl>
    <w:lvl w:ilvl="6" w:tplc="761EE1F2">
      <w:start w:val="1"/>
      <w:numFmt w:val="decimal"/>
      <w:lvlText w:val="%7)"/>
      <w:lvlJc w:val="left"/>
      <w:pPr>
        <w:ind w:left="720" w:hanging="360"/>
      </w:pPr>
    </w:lvl>
    <w:lvl w:ilvl="7" w:tplc="A1D053DC">
      <w:start w:val="1"/>
      <w:numFmt w:val="decimal"/>
      <w:lvlText w:val="%8)"/>
      <w:lvlJc w:val="left"/>
      <w:pPr>
        <w:ind w:left="720" w:hanging="360"/>
      </w:pPr>
    </w:lvl>
    <w:lvl w:ilvl="8" w:tplc="8E42E370">
      <w:start w:val="1"/>
      <w:numFmt w:val="decimal"/>
      <w:lvlText w:val="%9)"/>
      <w:lvlJc w:val="left"/>
      <w:pPr>
        <w:ind w:left="720" w:hanging="360"/>
      </w:pPr>
    </w:lvl>
  </w:abstractNum>
  <w:abstractNum w:abstractNumId="12" w15:restartNumberingAfterBreak="0">
    <w:nsid w:val="602772FA"/>
    <w:multiLevelType w:val="hybridMultilevel"/>
    <w:tmpl w:val="505E7B32"/>
    <w:lvl w:ilvl="0" w:tplc="0E16CC48">
      <w:start w:val="1"/>
      <w:numFmt w:val="lowerLetter"/>
      <w:lvlText w:val="%1."/>
      <w:lvlJc w:val="left"/>
      <w:pPr>
        <w:ind w:left="720" w:hanging="360"/>
      </w:pPr>
    </w:lvl>
    <w:lvl w:ilvl="1" w:tplc="A6189896">
      <w:start w:val="1"/>
      <w:numFmt w:val="lowerLetter"/>
      <w:lvlText w:val="%2."/>
      <w:lvlJc w:val="left"/>
      <w:pPr>
        <w:ind w:left="720" w:hanging="360"/>
      </w:pPr>
    </w:lvl>
    <w:lvl w:ilvl="2" w:tplc="BA34E880">
      <w:start w:val="1"/>
      <w:numFmt w:val="lowerRoman"/>
      <w:lvlText w:val="%3."/>
      <w:lvlJc w:val="right"/>
      <w:pPr>
        <w:ind w:left="720" w:hanging="360"/>
      </w:pPr>
    </w:lvl>
    <w:lvl w:ilvl="3" w:tplc="14D69F18">
      <w:start w:val="1"/>
      <w:numFmt w:val="lowerLetter"/>
      <w:lvlText w:val="%4."/>
      <w:lvlJc w:val="left"/>
      <w:pPr>
        <w:ind w:left="720" w:hanging="360"/>
      </w:pPr>
    </w:lvl>
    <w:lvl w:ilvl="4" w:tplc="C3A66B2C">
      <w:start w:val="1"/>
      <w:numFmt w:val="lowerLetter"/>
      <w:lvlText w:val="%5."/>
      <w:lvlJc w:val="left"/>
      <w:pPr>
        <w:ind w:left="720" w:hanging="360"/>
      </w:pPr>
    </w:lvl>
    <w:lvl w:ilvl="5" w:tplc="FA9A92AE">
      <w:start w:val="1"/>
      <w:numFmt w:val="lowerLetter"/>
      <w:lvlText w:val="%6."/>
      <w:lvlJc w:val="left"/>
      <w:pPr>
        <w:ind w:left="720" w:hanging="360"/>
      </w:pPr>
    </w:lvl>
    <w:lvl w:ilvl="6" w:tplc="9F88B378">
      <w:start w:val="1"/>
      <w:numFmt w:val="lowerLetter"/>
      <w:lvlText w:val="%7."/>
      <w:lvlJc w:val="left"/>
      <w:pPr>
        <w:ind w:left="720" w:hanging="360"/>
      </w:pPr>
    </w:lvl>
    <w:lvl w:ilvl="7" w:tplc="762AA7F4">
      <w:start w:val="1"/>
      <w:numFmt w:val="lowerLetter"/>
      <w:lvlText w:val="%8."/>
      <w:lvlJc w:val="left"/>
      <w:pPr>
        <w:ind w:left="720" w:hanging="360"/>
      </w:pPr>
    </w:lvl>
    <w:lvl w:ilvl="8" w:tplc="EC60B738">
      <w:start w:val="1"/>
      <w:numFmt w:val="lowerLetter"/>
      <w:lvlText w:val="%9."/>
      <w:lvlJc w:val="left"/>
      <w:pPr>
        <w:ind w:left="720" w:hanging="360"/>
      </w:pPr>
    </w:lvl>
  </w:abstractNum>
  <w:abstractNum w:abstractNumId="13" w15:restartNumberingAfterBreak="0">
    <w:nsid w:val="64196E0E"/>
    <w:multiLevelType w:val="hybridMultilevel"/>
    <w:tmpl w:val="A90EFAD4"/>
    <w:lvl w:ilvl="0" w:tplc="03089FF6">
      <w:start w:val="1"/>
      <w:numFmt w:val="lowerLetter"/>
      <w:lvlText w:val="%1."/>
      <w:lvlJc w:val="left"/>
      <w:pPr>
        <w:ind w:left="720" w:hanging="360"/>
      </w:pPr>
    </w:lvl>
    <w:lvl w:ilvl="1" w:tplc="101EAAFC">
      <w:start w:val="1"/>
      <w:numFmt w:val="lowerLetter"/>
      <w:lvlText w:val="%2."/>
      <w:lvlJc w:val="left"/>
      <w:pPr>
        <w:ind w:left="720" w:hanging="360"/>
      </w:pPr>
    </w:lvl>
    <w:lvl w:ilvl="2" w:tplc="1D28ECA0">
      <w:start w:val="1"/>
      <w:numFmt w:val="lowerRoman"/>
      <w:lvlText w:val="%3."/>
      <w:lvlJc w:val="right"/>
      <w:pPr>
        <w:ind w:left="720" w:hanging="360"/>
      </w:pPr>
    </w:lvl>
    <w:lvl w:ilvl="3" w:tplc="61C8B786">
      <w:start w:val="1"/>
      <w:numFmt w:val="lowerLetter"/>
      <w:lvlText w:val="%4."/>
      <w:lvlJc w:val="left"/>
      <w:pPr>
        <w:ind w:left="720" w:hanging="360"/>
      </w:pPr>
    </w:lvl>
    <w:lvl w:ilvl="4" w:tplc="474C9468">
      <w:start w:val="1"/>
      <w:numFmt w:val="lowerLetter"/>
      <w:lvlText w:val="%5."/>
      <w:lvlJc w:val="left"/>
      <w:pPr>
        <w:ind w:left="720" w:hanging="360"/>
      </w:pPr>
    </w:lvl>
    <w:lvl w:ilvl="5" w:tplc="C89CB2A2">
      <w:start w:val="1"/>
      <w:numFmt w:val="lowerLetter"/>
      <w:lvlText w:val="%6."/>
      <w:lvlJc w:val="left"/>
      <w:pPr>
        <w:ind w:left="720" w:hanging="360"/>
      </w:pPr>
    </w:lvl>
    <w:lvl w:ilvl="6" w:tplc="77D83B8E">
      <w:start w:val="1"/>
      <w:numFmt w:val="lowerLetter"/>
      <w:lvlText w:val="%7."/>
      <w:lvlJc w:val="left"/>
      <w:pPr>
        <w:ind w:left="720" w:hanging="360"/>
      </w:pPr>
    </w:lvl>
    <w:lvl w:ilvl="7" w:tplc="115EC28A">
      <w:start w:val="1"/>
      <w:numFmt w:val="lowerLetter"/>
      <w:lvlText w:val="%8."/>
      <w:lvlJc w:val="left"/>
      <w:pPr>
        <w:ind w:left="720" w:hanging="360"/>
      </w:pPr>
    </w:lvl>
    <w:lvl w:ilvl="8" w:tplc="CADE3B44">
      <w:start w:val="1"/>
      <w:numFmt w:val="lowerLetter"/>
      <w:lvlText w:val="%9."/>
      <w:lvlJc w:val="left"/>
      <w:pPr>
        <w:ind w:left="720" w:hanging="360"/>
      </w:pPr>
    </w:lvl>
  </w:abstractNum>
  <w:abstractNum w:abstractNumId="14" w15:restartNumberingAfterBreak="0">
    <w:nsid w:val="72683DE8"/>
    <w:multiLevelType w:val="hybridMultilevel"/>
    <w:tmpl w:val="86AE69C4"/>
    <w:lvl w:ilvl="0" w:tplc="F73EA9EA">
      <w:start w:val="1"/>
      <w:numFmt w:val="lowerLetter"/>
      <w:lvlText w:val="%1."/>
      <w:lvlJc w:val="left"/>
      <w:pPr>
        <w:ind w:left="720" w:hanging="360"/>
      </w:pPr>
    </w:lvl>
    <w:lvl w:ilvl="1" w:tplc="E2FEF062">
      <w:start w:val="1"/>
      <w:numFmt w:val="lowerLetter"/>
      <w:lvlText w:val="%2."/>
      <w:lvlJc w:val="left"/>
      <w:pPr>
        <w:ind w:left="720" w:hanging="360"/>
      </w:pPr>
    </w:lvl>
    <w:lvl w:ilvl="2" w:tplc="E2D80474">
      <w:start w:val="1"/>
      <w:numFmt w:val="lowerRoman"/>
      <w:lvlText w:val="%3."/>
      <w:lvlJc w:val="right"/>
      <w:pPr>
        <w:ind w:left="720" w:hanging="360"/>
      </w:pPr>
    </w:lvl>
    <w:lvl w:ilvl="3" w:tplc="26887ACE">
      <w:start w:val="1"/>
      <w:numFmt w:val="lowerLetter"/>
      <w:lvlText w:val="%4."/>
      <w:lvlJc w:val="left"/>
      <w:pPr>
        <w:ind w:left="720" w:hanging="360"/>
      </w:pPr>
    </w:lvl>
    <w:lvl w:ilvl="4" w:tplc="CD6C50F4">
      <w:start w:val="1"/>
      <w:numFmt w:val="lowerLetter"/>
      <w:lvlText w:val="%5."/>
      <w:lvlJc w:val="left"/>
      <w:pPr>
        <w:ind w:left="720" w:hanging="360"/>
      </w:pPr>
    </w:lvl>
    <w:lvl w:ilvl="5" w:tplc="3AB20ACA">
      <w:start w:val="1"/>
      <w:numFmt w:val="lowerLetter"/>
      <w:lvlText w:val="%6."/>
      <w:lvlJc w:val="left"/>
      <w:pPr>
        <w:ind w:left="720" w:hanging="360"/>
      </w:pPr>
    </w:lvl>
    <w:lvl w:ilvl="6" w:tplc="38F81178">
      <w:start w:val="1"/>
      <w:numFmt w:val="lowerLetter"/>
      <w:lvlText w:val="%7."/>
      <w:lvlJc w:val="left"/>
      <w:pPr>
        <w:ind w:left="720" w:hanging="360"/>
      </w:pPr>
    </w:lvl>
    <w:lvl w:ilvl="7" w:tplc="A5E27D1A">
      <w:start w:val="1"/>
      <w:numFmt w:val="lowerLetter"/>
      <w:lvlText w:val="%8."/>
      <w:lvlJc w:val="left"/>
      <w:pPr>
        <w:ind w:left="720" w:hanging="360"/>
      </w:pPr>
    </w:lvl>
    <w:lvl w:ilvl="8" w:tplc="BFB6603C">
      <w:start w:val="1"/>
      <w:numFmt w:val="lowerLetter"/>
      <w:lvlText w:val="%9."/>
      <w:lvlJc w:val="left"/>
      <w:pPr>
        <w:ind w:left="720" w:hanging="360"/>
      </w:pPr>
    </w:lvl>
  </w:abstractNum>
  <w:num w:numId="1" w16cid:durableId="105319095">
    <w:abstractNumId w:val="2"/>
  </w:num>
  <w:num w:numId="2" w16cid:durableId="103307881">
    <w:abstractNumId w:val="0"/>
  </w:num>
  <w:num w:numId="3" w16cid:durableId="1964531751">
    <w:abstractNumId w:val="9"/>
  </w:num>
  <w:num w:numId="4" w16cid:durableId="1585450127">
    <w:abstractNumId w:val="6"/>
  </w:num>
  <w:num w:numId="5" w16cid:durableId="141432740">
    <w:abstractNumId w:val="4"/>
  </w:num>
  <w:num w:numId="6" w16cid:durableId="1857159390">
    <w:abstractNumId w:val="12"/>
  </w:num>
  <w:num w:numId="7" w16cid:durableId="1066954072">
    <w:abstractNumId w:val="11"/>
  </w:num>
  <w:num w:numId="8" w16cid:durableId="1274822594">
    <w:abstractNumId w:val="8"/>
  </w:num>
  <w:num w:numId="9" w16cid:durableId="1467509047">
    <w:abstractNumId w:val="5"/>
  </w:num>
  <w:num w:numId="10" w16cid:durableId="1459488592">
    <w:abstractNumId w:val="13"/>
  </w:num>
  <w:num w:numId="11" w16cid:durableId="91095562">
    <w:abstractNumId w:val="3"/>
  </w:num>
  <w:num w:numId="12" w16cid:durableId="108008703">
    <w:abstractNumId w:val="7"/>
  </w:num>
  <w:num w:numId="13" w16cid:durableId="965624039">
    <w:abstractNumId w:val="1"/>
  </w:num>
  <w:num w:numId="14" w16cid:durableId="2015104176">
    <w:abstractNumId w:val="14"/>
  </w:num>
  <w:num w:numId="15" w16cid:durableId="2178624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AF3"/>
    <w:rsid w:val="0000300D"/>
    <w:rsid w:val="00003263"/>
    <w:rsid w:val="000129E9"/>
    <w:rsid w:val="000311D2"/>
    <w:rsid w:val="00033E22"/>
    <w:rsid w:val="00034A62"/>
    <w:rsid w:val="000374CA"/>
    <w:rsid w:val="000514F4"/>
    <w:rsid w:val="00055DF7"/>
    <w:rsid w:val="00064FC5"/>
    <w:rsid w:val="00067286"/>
    <w:rsid w:val="00075072"/>
    <w:rsid w:val="00076B93"/>
    <w:rsid w:val="00076C0D"/>
    <w:rsid w:val="00077B72"/>
    <w:rsid w:val="000804E0"/>
    <w:rsid w:val="000830D1"/>
    <w:rsid w:val="00086E67"/>
    <w:rsid w:val="00090A2C"/>
    <w:rsid w:val="00093B7E"/>
    <w:rsid w:val="0009796B"/>
    <w:rsid w:val="000A0DD4"/>
    <w:rsid w:val="000A110D"/>
    <w:rsid w:val="000A18AD"/>
    <w:rsid w:val="000A5800"/>
    <w:rsid w:val="000B4BDA"/>
    <w:rsid w:val="000C3A2E"/>
    <w:rsid w:val="000C595F"/>
    <w:rsid w:val="000D049A"/>
    <w:rsid w:val="000D17DF"/>
    <w:rsid w:val="000D19CB"/>
    <w:rsid w:val="000D2E60"/>
    <w:rsid w:val="000D54ED"/>
    <w:rsid w:val="000D5EBE"/>
    <w:rsid w:val="000D621D"/>
    <w:rsid w:val="000D76A0"/>
    <w:rsid w:val="000E67AC"/>
    <w:rsid w:val="000E721F"/>
    <w:rsid w:val="000F454E"/>
    <w:rsid w:val="000F6B72"/>
    <w:rsid w:val="00100269"/>
    <w:rsid w:val="00104271"/>
    <w:rsid w:val="00106BFC"/>
    <w:rsid w:val="00114B7E"/>
    <w:rsid w:val="00120BE4"/>
    <w:rsid w:val="001216A6"/>
    <w:rsid w:val="00126F26"/>
    <w:rsid w:val="00130FB9"/>
    <w:rsid w:val="001314C3"/>
    <w:rsid w:val="00133BAA"/>
    <w:rsid w:val="0013422E"/>
    <w:rsid w:val="001371A3"/>
    <w:rsid w:val="0014052B"/>
    <w:rsid w:val="0015355C"/>
    <w:rsid w:val="0015568F"/>
    <w:rsid w:val="001567AE"/>
    <w:rsid w:val="00157163"/>
    <w:rsid w:val="00163605"/>
    <w:rsid w:val="001637F0"/>
    <w:rsid w:val="00171D92"/>
    <w:rsid w:val="00174B02"/>
    <w:rsid w:val="00175C48"/>
    <w:rsid w:val="00176C92"/>
    <w:rsid w:val="00176E95"/>
    <w:rsid w:val="001828DC"/>
    <w:rsid w:val="00186065"/>
    <w:rsid w:val="00186498"/>
    <w:rsid w:val="00187914"/>
    <w:rsid w:val="00187D39"/>
    <w:rsid w:val="001951C1"/>
    <w:rsid w:val="00197941"/>
    <w:rsid w:val="001A386A"/>
    <w:rsid w:val="001A7EC2"/>
    <w:rsid w:val="001B338E"/>
    <w:rsid w:val="001B5B5F"/>
    <w:rsid w:val="001C1ADD"/>
    <w:rsid w:val="001C4D5E"/>
    <w:rsid w:val="001D19D3"/>
    <w:rsid w:val="001D3E88"/>
    <w:rsid w:val="001D5A2A"/>
    <w:rsid w:val="001D65A9"/>
    <w:rsid w:val="001E3AE2"/>
    <w:rsid w:val="001E5F3F"/>
    <w:rsid w:val="001E6C5D"/>
    <w:rsid w:val="001F04BE"/>
    <w:rsid w:val="001F243B"/>
    <w:rsid w:val="001F2C70"/>
    <w:rsid w:val="001F3165"/>
    <w:rsid w:val="001F4903"/>
    <w:rsid w:val="001F54D7"/>
    <w:rsid w:val="001F77CC"/>
    <w:rsid w:val="0020258B"/>
    <w:rsid w:val="00204F78"/>
    <w:rsid w:val="00205FDA"/>
    <w:rsid w:val="0020616E"/>
    <w:rsid w:val="00207A02"/>
    <w:rsid w:val="00210FFF"/>
    <w:rsid w:val="002116FA"/>
    <w:rsid w:val="002118DA"/>
    <w:rsid w:val="0022131E"/>
    <w:rsid w:val="00221635"/>
    <w:rsid w:val="00221A23"/>
    <w:rsid w:val="0022403E"/>
    <w:rsid w:val="00226924"/>
    <w:rsid w:val="00226CD2"/>
    <w:rsid w:val="00230272"/>
    <w:rsid w:val="00234F04"/>
    <w:rsid w:val="00237011"/>
    <w:rsid w:val="002376B3"/>
    <w:rsid w:val="00241E7C"/>
    <w:rsid w:val="00242DFB"/>
    <w:rsid w:val="002440E1"/>
    <w:rsid w:val="002444EC"/>
    <w:rsid w:val="0025086C"/>
    <w:rsid w:val="00254CF7"/>
    <w:rsid w:val="00255AB0"/>
    <w:rsid w:val="002562F4"/>
    <w:rsid w:val="002575C7"/>
    <w:rsid w:val="002631D3"/>
    <w:rsid w:val="002644C0"/>
    <w:rsid w:val="0026786F"/>
    <w:rsid w:val="002704F6"/>
    <w:rsid w:val="00273197"/>
    <w:rsid w:val="002767E8"/>
    <w:rsid w:val="00277078"/>
    <w:rsid w:val="00280A54"/>
    <w:rsid w:val="00281F95"/>
    <w:rsid w:val="0029038E"/>
    <w:rsid w:val="00293277"/>
    <w:rsid w:val="002948CD"/>
    <w:rsid w:val="002957A1"/>
    <w:rsid w:val="0029657C"/>
    <w:rsid w:val="002A35B1"/>
    <w:rsid w:val="002A3844"/>
    <w:rsid w:val="002A409C"/>
    <w:rsid w:val="002B2421"/>
    <w:rsid w:val="002B33E2"/>
    <w:rsid w:val="002B3721"/>
    <w:rsid w:val="002C12E2"/>
    <w:rsid w:val="002C6E85"/>
    <w:rsid w:val="002D37D8"/>
    <w:rsid w:val="002D4B7E"/>
    <w:rsid w:val="002D7E77"/>
    <w:rsid w:val="002E2519"/>
    <w:rsid w:val="002E4AAB"/>
    <w:rsid w:val="002F03EE"/>
    <w:rsid w:val="002F4840"/>
    <w:rsid w:val="002F589D"/>
    <w:rsid w:val="002F68D9"/>
    <w:rsid w:val="002F6D98"/>
    <w:rsid w:val="002F7AF3"/>
    <w:rsid w:val="00305ECF"/>
    <w:rsid w:val="003074E5"/>
    <w:rsid w:val="0031498A"/>
    <w:rsid w:val="00317BDF"/>
    <w:rsid w:val="00321AF5"/>
    <w:rsid w:val="00324040"/>
    <w:rsid w:val="00326458"/>
    <w:rsid w:val="00326757"/>
    <w:rsid w:val="00330ACD"/>
    <w:rsid w:val="00335464"/>
    <w:rsid w:val="00335EA0"/>
    <w:rsid w:val="00337FF1"/>
    <w:rsid w:val="003414DA"/>
    <w:rsid w:val="00343746"/>
    <w:rsid w:val="00345302"/>
    <w:rsid w:val="003461B2"/>
    <w:rsid w:val="00346E15"/>
    <w:rsid w:val="00347E90"/>
    <w:rsid w:val="00356748"/>
    <w:rsid w:val="00370718"/>
    <w:rsid w:val="003740BA"/>
    <w:rsid w:val="0037438A"/>
    <w:rsid w:val="00374ED0"/>
    <w:rsid w:val="00375DAF"/>
    <w:rsid w:val="00375FDF"/>
    <w:rsid w:val="003815AE"/>
    <w:rsid w:val="0038325F"/>
    <w:rsid w:val="00386842"/>
    <w:rsid w:val="00392A31"/>
    <w:rsid w:val="00397FE2"/>
    <w:rsid w:val="003A26B4"/>
    <w:rsid w:val="003A3334"/>
    <w:rsid w:val="003A42C7"/>
    <w:rsid w:val="003A42FB"/>
    <w:rsid w:val="003A5F88"/>
    <w:rsid w:val="003B13AE"/>
    <w:rsid w:val="003B23B7"/>
    <w:rsid w:val="003B4B9D"/>
    <w:rsid w:val="003B5C05"/>
    <w:rsid w:val="003B7EFB"/>
    <w:rsid w:val="003C311F"/>
    <w:rsid w:val="003D0038"/>
    <w:rsid w:val="003D1C42"/>
    <w:rsid w:val="003D2DE4"/>
    <w:rsid w:val="003D6C5D"/>
    <w:rsid w:val="003E211F"/>
    <w:rsid w:val="003E5A60"/>
    <w:rsid w:val="003E5AF4"/>
    <w:rsid w:val="003F456F"/>
    <w:rsid w:val="003F58EE"/>
    <w:rsid w:val="003F7E90"/>
    <w:rsid w:val="0040009D"/>
    <w:rsid w:val="00402FBA"/>
    <w:rsid w:val="0041179A"/>
    <w:rsid w:val="004117F1"/>
    <w:rsid w:val="00411931"/>
    <w:rsid w:val="00411CE2"/>
    <w:rsid w:val="0041249F"/>
    <w:rsid w:val="00413063"/>
    <w:rsid w:val="004131B2"/>
    <w:rsid w:val="00415B41"/>
    <w:rsid w:val="004163D5"/>
    <w:rsid w:val="00420908"/>
    <w:rsid w:val="00423128"/>
    <w:rsid w:val="00423ECA"/>
    <w:rsid w:val="004303A0"/>
    <w:rsid w:val="0043126B"/>
    <w:rsid w:val="00431DB8"/>
    <w:rsid w:val="00445A38"/>
    <w:rsid w:val="00446323"/>
    <w:rsid w:val="004469F9"/>
    <w:rsid w:val="00453A69"/>
    <w:rsid w:val="0045442E"/>
    <w:rsid w:val="004550D8"/>
    <w:rsid w:val="004556DB"/>
    <w:rsid w:val="004560FF"/>
    <w:rsid w:val="00461654"/>
    <w:rsid w:val="00462426"/>
    <w:rsid w:val="00462945"/>
    <w:rsid w:val="0046593A"/>
    <w:rsid w:val="00467E05"/>
    <w:rsid w:val="00470657"/>
    <w:rsid w:val="00483C74"/>
    <w:rsid w:val="00483D33"/>
    <w:rsid w:val="0048568F"/>
    <w:rsid w:val="0048606D"/>
    <w:rsid w:val="004940C1"/>
    <w:rsid w:val="004A0885"/>
    <w:rsid w:val="004A3529"/>
    <w:rsid w:val="004B3625"/>
    <w:rsid w:val="004C12E2"/>
    <w:rsid w:val="004C23E2"/>
    <w:rsid w:val="004C32BD"/>
    <w:rsid w:val="004C41D1"/>
    <w:rsid w:val="004C757C"/>
    <w:rsid w:val="004D12F1"/>
    <w:rsid w:val="004D552C"/>
    <w:rsid w:val="004F04EB"/>
    <w:rsid w:val="004F1DF3"/>
    <w:rsid w:val="004F3D97"/>
    <w:rsid w:val="005075EF"/>
    <w:rsid w:val="00507B81"/>
    <w:rsid w:val="00507BD7"/>
    <w:rsid w:val="00510A09"/>
    <w:rsid w:val="00511665"/>
    <w:rsid w:val="00511EA7"/>
    <w:rsid w:val="005120E1"/>
    <w:rsid w:val="00513C98"/>
    <w:rsid w:val="00520994"/>
    <w:rsid w:val="005218AA"/>
    <w:rsid w:val="00523081"/>
    <w:rsid w:val="005237AB"/>
    <w:rsid w:val="005249D8"/>
    <w:rsid w:val="00525661"/>
    <w:rsid w:val="00525A17"/>
    <w:rsid w:val="00531E10"/>
    <w:rsid w:val="00532874"/>
    <w:rsid w:val="005332DE"/>
    <w:rsid w:val="005339C0"/>
    <w:rsid w:val="005343F8"/>
    <w:rsid w:val="00535F2B"/>
    <w:rsid w:val="00536B80"/>
    <w:rsid w:val="005436E9"/>
    <w:rsid w:val="00545A8D"/>
    <w:rsid w:val="0055005E"/>
    <w:rsid w:val="00551D53"/>
    <w:rsid w:val="00553A3F"/>
    <w:rsid w:val="00554386"/>
    <w:rsid w:val="00561083"/>
    <w:rsid w:val="00561142"/>
    <w:rsid w:val="00566921"/>
    <w:rsid w:val="005728CC"/>
    <w:rsid w:val="00573A75"/>
    <w:rsid w:val="00573B3A"/>
    <w:rsid w:val="005753FE"/>
    <w:rsid w:val="00575A56"/>
    <w:rsid w:val="00576F98"/>
    <w:rsid w:val="005778A9"/>
    <w:rsid w:val="005802D5"/>
    <w:rsid w:val="005807FE"/>
    <w:rsid w:val="00586C29"/>
    <w:rsid w:val="005914E6"/>
    <w:rsid w:val="00592AC9"/>
    <w:rsid w:val="00594FA9"/>
    <w:rsid w:val="005971BA"/>
    <w:rsid w:val="005A164A"/>
    <w:rsid w:val="005A21EB"/>
    <w:rsid w:val="005A3548"/>
    <w:rsid w:val="005A3FA7"/>
    <w:rsid w:val="005A57CD"/>
    <w:rsid w:val="005B183C"/>
    <w:rsid w:val="005B1B97"/>
    <w:rsid w:val="005B38A1"/>
    <w:rsid w:val="005B616A"/>
    <w:rsid w:val="005C0155"/>
    <w:rsid w:val="005C08D5"/>
    <w:rsid w:val="005C1571"/>
    <w:rsid w:val="005C4342"/>
    <w:rsid w:val="005C52A1"/>
    <w:rsid w:val="005C67BE"/>
    <w:rsid w:val="005C7C23"/>
    <w:rsid w:val="005D00E3"/>
    <w:rsid w:val="005D4713"/>
    <w:rsid w:val="005D5C88"/>
    <w:rsid w:val="005E07CA"/>
    <w:rsid w:val="005E28F4"/>
    <w:rsid w:val="005E2CEE"/>
    <w:rsid w:val="005F1360"/>
    <w:rsid w:val="005F422F"/>
    <w:rsid w:val="00601081"/>
    <w:rsid w:val="00602710"/>
    <w:rsid w:val="00602A99"/>
    <w:rsid w:val="00606F6E"/>
    <w:rsid w:val="00621186"/>
    <w:rsid w:val="00621AA8"/>
    <w:rsid w:val="0062593C"/>
    <w:rsid w:val="00632683"/>
    <w:rsid w:val="00632BDA"/>
    <w:rsid w:val="00634BB9"/>
    <w:rsid w:val="00636944"/>
    <w:rsid w:val="00645F23"/>
    <w:rsid w:val="00647B2B"/>
    <w:rsid w:val="00647DAE"/>
    <w:rsid w:val="00652A5A"/>
    <w:rsid w:val="00660054"/>
    <w:rsid w:val="00660F5F"/>
    <w:rsid w:val="006646CA"/>
    <w:rsid w:val="00664E30"/>
    <w:rsid w:val="006666C7"/>
    <w:rsid w:val="00667FEA"/>
    <w:rsid w:val="00671A4B"/>
    <w:rsid w:val="00672A32"/>
    <w:rsid w:val="00675EC1"/>
    <w:rsid w:val="00682877"/>
    <w:rsid w:val="00682970"/>
    <w:rsid w:val="006846D0"/>
    <w:rsid w:val="00684FAE"/>
    <w:rsid w:val="00684FE2"/>
    <w:rsid w:val="006944B4"/>
    <w:rsid w:val="006A0EBB"/>
    <w:rsid w:val="006A4B93"/>
    <w:rsid w:val="006A4FC8"/>
    <w:rsid w:val="006B0B80"/>
    <w:rsid w:val="006C2598"/>
    <w:rsid w:val="006C363C"/>
    <w:rsid w:val="006C4B86"/>
    <w:rsid w:val="006C4BB6"/>
    <w:rsid w:val="006C5955"/>
    <w:rsid w:val="006D0D3B"/>
    <w:rsid w:val="006D2702"/>
    <w:rsid w:val="006D3965"/>
    <w:rsid w:val="006D4F0D"/>
    <w:rsid w:val="006D576D"/>
    <w:rsid w:val="006D7071"/>
    <w:rsid w:val="006D7CFC"/>
    <w:rsid w:val="006E798B"/>
    <w:rsid w:val="00702D5A"/>
    <w:rsid w:val="00702DCB"/>
    <w:rsid w:val="007046DA"/>
    <w:rsid w:val="00707F37"/>
    <w:rsid w:val="00720444"/>
    <w:rsid w:val="00724356"/>
    <w:rsid w:val="007334BD"/>
    <w:rsid w:val="00734DE3"/>
    <w:rsid w:val="00735F06"/>
    <w:rsid w:val="00741199"/>
    <w:rsid w:val="00742ED9"/>
    <w:rsid w:val="007431AD"/>
    <w:rsid w:val="007500E1"/>
    <w:rsid w:val="007620F3"/>
    <w:rsid w:val="00776450"/>
    <w:rsid w:val="00776B41"/>
    <w:rsid w:val="007801BC"/>
    <w:rsid w:val="00780471"/>
    <w:rsid w:val="00781486"/>
    <w:rsid w:val="007831C7"/>
    <w:rsid w:val="0078377D"/>
    <w:rsid w:val="00787870"/>
    <w:rsid w:val="00795C2C"/>
    <w:rsid w:val="007A1434"/>
    <w:rsid w:val="007A2873"/>
    <w:rsid w:val="007A6F14"/>
    <w:rsid w:val="007B792A"/>
    <w:rsid w:val="007C3BEC"/>
    <w:rsid w:val="007C6DDA"/>
    <w:rsid w:val="007D0A92"/>
    <w:rsid w:val="007D7A03"/>
    <w:rsid w:val="007E3017"/>
    <w:rsid w:val="007E341B"/>
    <w:rsid w:val="007E43D2"/>
    <w:rsid w:val="007E5080"/>
    <w:rsid w:val="007F0670"/>
    <w:rsid w:val="007F0FA5"/>
    <w:rsid w:val="007F31B6"/>
    <w:rsid w:val="007F6970"/>
    <w:rsid w:val="00800D51"/>
    <w:rsid w:val="00803318"/>
    <w:rsid w:val="0080411F"/>
    <w:rsid w:val="00805EE4"/>
    <w:rsid w:val="008079F4"/>
    <w:rsid w:val="008155C6"/>
    <w:rsid w:val="00824CC5"/>
    <w:rsid w:val="00824E97"/>
    <w:rsid w:val="008253C4"/>
    <w:rsid w:val="00827A73"/>
    <w:rsid w:val="008342A3"/>
    <w:rsid w:val="00836C6E"/>
    <w:rsid w:val="00841895"/>
    <w:rsid w:val="00842685"/>
    <w:rsid w:val="00843DF3"/>
    <w:rsid w:val="00845425"/>
    <w:rsid w:val="00853C7E"/>
    <w:rsid w:val="00853F6F"/>
    <w:rsid w:val="00854AC1"/>
    <w:rsid w:val="00862B48"/>
    <w:rsid w:val="00871FFA"/>
    <w:rsid w:val="00874542"/>
    <w:rsid w:val="00880288"/>
    <w:rsid w:val="00883F5A"/>
    <w:rsid w:val="00891735"/>
    <w:rsid w:val="008934B7"/>
    <w:rsid w:val="0089539E"/>
    <w:rsid w:val="00896E57"/>
    <w:rsid w:val="00897C96"/>
    <w:rsid w:val="008A201D"/>
    <w:rsid w:val="008A2226"/>
    <w:rsid w:val="008A389C"/>
    <w:rsid w:val="008A3F71"/>
    <w:rsid w:val="008A4F94"/>
    <w:rsid w:val="008A6AD7"/>
    <w:rsid w:val="008B7659"/>
    <w:rsid w:val="008C0444"/>
    <w:rsid w:val="008C2BA2"/>
    <w:rsid w:val="008C2FC0"/>
    <w:rsid w:val="008C605D"/>
    <w:rsid w:val="008C7E23"/>
    <w:rsid w:val="008D03B7"/>
    <w:rsid w:val="008D4C1D"/>
    <w:rsid w:val="008D56EF"/>
    <w:rsid w:val="008D6009"/>
    <w:rsid w:val="008D7171"/>
    <w:rsid w:val="008E4036"/>
    <w:rsid w:val="008E41E8"/>
    <w:rsid w:val="008E7851"/>
    <w:rsid w:val="008F2D6A"/>
    <w:rsid w:val="008F7EFA"/>
    <w:rsid w:val="0090079A"/>
    <w:rsid w:val="0090269A"/>
    <w:rsid w:val="00905A22"/>
    <w:rsid w:val="00905F52"/>
    <w:rsid w:val="00911813"/>
    <w:rsid w:val="00913007"/>
    <w:rsid w:val="00914218"/>
    <w:rsid w:val="00914B78"/>
    <w:rsid w:val="0091761A"/>
    <w:rsid w:val="00923800"/>
    <w:rsid w:val="00924888"/>
    <w:rsid w:val="00926651"/>
    <w:rsid w:val="00933D88"/>
    <w:rsid w:val="00937361"/>
    <w:rsid w:val="0094327A"/>
    <w:rsid w:val="009519FC"/>
    <w:rsid w:val="009731B6"/>
    <w:rsid w:val="0097403D"/>
    <w:rsid w:val="009746BD"/>
    <w:rsid w:val="009749AD"/>
    <w:rsid w:val="00975CE6"/>
    <w:rsid w:val="00977061"/>
    <w:rsid w:val="0097723E"/>
    <w:rsid w:val="009800E4"/>
    <w:rsid w:val="0098411A"/>
    <w:rsid w:val="00986425"/>
    <w:rsid w:val="00990D16"/>
    <w:rsid w:val="00991FF9"/>
    <w:rsid w:val="00997410"/>
    <w:rsid w:val="009A0493"/>
    <w:rsid w:val="009A19AF"/>
    <w:rsid w:val="009A3C98"/>
    <w:rsid w:val="009A546D"/>
    <w:rsid w:val="009A5DFD"/>
    <w:rsid w:val="009B0D03"/>
    <w:rsid w:val="009B10DD"/>
    <w:rsid w:val="009B1165"/>
    <w:rsid w:val="009B61BF"/>
    <w:rsid w:val="009B7B72"/>
    <w:rsid w:val="009C1542"/>
    <w:rsid w:val="009C25AA"/>
    <w:rsid w:val="009D373C"/>
    <w:rsid w:val="009D3A78"/>
    <w:rsid w:val="009D6015"/>
    <w:rsid w:val="009D6E13"/>
    <w:rsid w:val="009D6F8C"/>
    <w:rsid w:val="009E2BFF"/>
    <w:rsid w:val="009E4DB1"/>
    <w:rsid w:val="009E5853"/>
    <w:rsid w:val="009E5E50"/>
    <w:rsid w:val="009E7951"/>
    <w:rsid w:val="009F038D"/>
    <w:rsid w:val="009F10CF"/>
    <w:rsid w:val="009F200E"/>
    <w:rsid w:val="009F2A8A"/>
    <w:rsid w:val="009F416E"/>
    <w:rsid w:val="00A0725F"/>
    <w:rsid w:val="00A0756A"/>
    <w:rsid w:val="00A07C06"/>
    <w:rsid w:val="00A10818"/>
    <w:rsid w:val="00A115D2"/>
    <w:rsid w:val="00A16056"/>
    <w:rsid w:val="00A23543"/>
    <w:rsid w:val="00A23A00"/>
    <w:rsid w:val="00A242F7"/>
    <w:rsid w:val="00A24C68"/>
    <w:rsid w:val="00A27C8D"/>
    <w:rsid w:val="00A318E1"/>
    <w:rsid w:val="00A36006"/>
    <w:rsid w:val="00A3654F"/>
    <w:rsid w:val="00A36B65"/>
    <w:rsid w:val="00A4194C"/>
    <w:rsid w:val="00A44B14"/>
    <w:rsid w:val="00A45525"/>
    <w:rsid w:val="00A50EC4"/>
    <w:rsid w:val="00A5226F"/>
    <w:rsid w:val="00A52D0D"/>
    <w:rsid w:val="00A57795"/>
    <w:rsid w:val="00A57941"/>
    <w:rsid w:val="00A60302"/>
    <w:rsid w:val="00A62017"/>
    <w:rsid w:val="00A66302"/>
    <w:rsid w:val="00A67767"/>
    <w:rsid w:val="00A67F73"/>
    <w:rsid w:val="00A74CB5"/>
    <w:rsid w:val="00A754DD"/>
    <w:rsid w:val="00A7639B"/>
    <w:rsid w:val="00A7667D"/>
    <w:rsid w:val="00A766FF"/>
    <w:rsid w:val="00A817F6"/>
    <w:rsid w:val="00A833F7"/>
    <w:rsid w:val="00A914E3"/>
    <w:rsid w:val="00A92C96"/>
    <w:rsid w:val="00A944D0"/>
    <w:rsid w:val="00A94838"/>
    <w:rsid w:val="00A952F0"/>
    <w:rsid w:val="00A9783B"/>
    <w:rsid w:val="00AA64F8"/>
    <w:rsid w:val="00AB58C2"/>
    <w:rsid w:val="00AB5EE2"/>
    <w:rsid w:val="00AB6002"/>
    <w:rsid w:val="00AB6418"/>
    <w:rsid w:val="00AB7E37"/>
    <w:rsid w:val="00AC2009"/>
    <w:rsid w:val="00AC2EC0"/>
    <w:rsid w:val="00AD14ED"/>
    <w:rsid w:val="00AD3B84"/>
    <w:rsid w:val="00AD46AF"/>
    <w:rsid w:val="00AD487F"/>
    <w:rsid w:val="00AE0E3B"/>
    <w:rsid w:val="00AE1B57"/>
    <w:rsid w:val="00AE7C90"/>
    <w:rsid w:val="00AF151E"/>
    <w:rsid w:val="00AF1D9A"/>
    <w:rsid w:val="00AF4DAD"/>
    <w:rsid w:val="00AF57DD"/>
    <w:rsid w:val="00AF6CAA"/>
    <w:rsid w:val="00B02F47"/>
    <w:rsid w:val="00B04E2F"/>
    <w:rsid w:val="00B073F4"/>
    <w:rsid w:val="00B11B48"/>
    <w:rsid w:val="00B13172"/>
    <w:rsid w:val="00B163F5"/>
    <w:rsid w:val="00B22D8E"/>
    <w:rsid w:val="00B2443F"/>
    <w:rsid w:val="00B248AA"/>
    <w:rsid w:val="00B2514D"/>
    <w:rsid w:val="00B26805"/>
    <w:rsid w:val="00B30173"/>
    <w:rsid w:val="00B40248"/>
    <w:rsid w:val="00B42ADD"/>
    <w:rsid w:val="00B50280"/>
    <w:rsid w:val="00B5383A"/>
    <w:rsid w:val="00B60CC8"/>
    <w:rsid w:val="00B62A05"/>
    <w:rsid w:val="00B659B2"/>
    <w:rsid w:val="00B77DB6"/>
    <w:rsid w:val="00B84718"/>
    <w:rsid w:val="00B8778F"/>
    <w:rsid w:val="00B90D6A"/>
    <w:rsid w:val="00B92829"/>
    <w:rsid w:val="00B940DA"/>
    <w:rsid w:val="00B944C4"/>
    <w:rsid w:val="00B96378"/>
    <w:rsid w:val="00BA5AD5"/>
    <w:rsid w:val="00BB0A39"/>
    <w:rsid w:val="00BB39C6"/>
    <w:rsid w:val="00BC0E9B"/>
    <w:rsid w:val="00BC2ADD"/>
    <w:rsid w:val="00BC448F"/>
    <w:rsid w:val="00BD583D"/>
    <w:rsid w:val="00BD6DE8"/>
    <w:rsid w:val="00BE718C"/>
    <w:rsid w:val="00BF1FB2"/>
    <w:rsid w:val="00BF2ECA"/>
    <w:rsid w:val="00BF35CB"/>
    <w:rsid w:val="00BF6C23"/>
    <w:rsid w:val="00C02A9E"/>
    <w:rsid w:val="00C1097B"/>
    <w:rsid w:val="00C12DAE"/>
    <w:rsid w:val="00C1410C"/>
    <w:rsid w:val="00C221CA"/>
    <w:rsid w:val="00C22CD8"/>
    <w:rsid w:val="00C23847"/>
    <w:rsid w:val="00C33C26"/>
    <w:rsid w:val="00C431A1"/>
    <w:rsid w:val="00C459CA"/>
    <w:rsid w:val="00C46B56"/>
    <w:rsid w:val="00C505A7"/>
    <w:rsid w:val="00C53C1A"/>
    <w:rsid w:val="00C577B0"/>
    <w:rsid w:val="00C57B8C"/>
    <w:rsid w:val="00C60977"/>
    <w:rsid w:val="00C60F4B"/>
    <w:rsid w:val="00C63A5E"/>
    <w:rsid w:val="00C63B7B"/>
    <w:rsid w:val="00C72A7F"/>
    <w:rsid w:val="00C72DC1"/>
    <w:rsid w:val="00C759E5"/>
    <w:rsid w:val="00C75D47"/>
    <w:rsid w:val="00C8014D"/>
    <w:rsid w:val="00C80AE6"/>
    <w:rsid w:val="00C84FE8"/>
    <w:rsid w:val="00C906ED"/>
    <w:rsid w:val="00C92D56"/>
    <w:rsid w:val="00C94192"/>
    <w:rsid w:val="00C94407"/>
    <w:rsid w:val="00CA091F"/>
    <w:rsid w:val="00CA1C3D"/>
    <w:rsid w:val="00CA58DC"/>
    <w:rsid w:val="00CB11D4"/>
    <w:rsid w:val="00CB191A"/>
    <w:rsid w:val="00CB4097"/>
    <w:rsid w:val="00CB4686"/>
    <w:rsid w:val="00CB4ADF"/>
    <w:rsid w:val="00CC0F82"/>
    <w:rsid w:val="00CC33D8"/>
    <w:rsid w:val="00CC3AE4"/>
    <w:rsid w:val="00CC3F26"/>
    <w:rsid w:val="00CC4684"/>
    <w:rsid w:val="00CC540C"/>
    <w:rsid w:val="00CC54F5"/>
    <w:rsid w:val="00CD49EA"/>
    <w:rsid w:val="00CD4E40"/>
    <w:rsid w:val="00CE595E"/>
    <w:rsid w:val="00CE656A"/>
    <w:rsid w:val="00CE7EFF"/>
    <w:rsid w:val="00CF17A4"/>
    <w:rsid w:val="00CF55B2"/>
    <w:rsid w:val="00CF698E"/>
    <w:rsid w:val="00D00568"/>
    <w:rsid w:val="00D00DE2"/>
    <w:rsid w:val="00D021C5"/>
    <w:rsid w:val="00D12EDF"/>
    <w:rsid w:val="00D169CA"/>
    <w:rsid w:val="00D23EF5"/>
    <w:rsid w:val="00D24157"/>
    <w:rsid w:val="00D24200"/>
    <w:rsid w:val="00D26CF7"/>
    <w:rsid w:val="00D32F42"/>
    <w:rsid w:val="00D34CC8"/>
    <w:rsid w:val="00D41BA7"/>
    <w:rsid w:val="00D41E9E"/>
    <w:rsid w:val="00D42D89"/>
    <w:rsid w:val="00D445AA"/>
    <w:rsid w:val="00D46823"/>
    <w:rsid w:val="00D50920"/>
    <w:rsid w:val="00D51073"/>
    <w:rsid w:val="00D522C0"/>
    <w:rsid w:val="00D52F16"/>
    <w:rsid w:val="00D555C8"/>
    <w:rsid w:val="00D55D16"/>
    <w:rsid w:val="00D56278"/>
    <w:rsid w:val="00D63141"/>
    <w:rsid w:val="00D63E2F"/>
    <w:rsid w:val="00D67D76"/>
    <w:rsid w:val="00D7735C"/>
    <w:rsid w:val="00D80F7B"/>
    <w:rsid w:val="00D876A1"/>
    <w:rsid w:val="00D90417"/>
    <w:rsid w:val="00D937BC"/>
    <w:rsid w:val="00D97C10"/>
    <w:rsid w:val="00DA4519"/>
    <w:rsid w:val="00DA606D"/>
    <w:rsid w:val="00DA6402"/>
    <w:rsid w:val="00DA69F8"/>
    <w:rsid w:val="00DB37B9"/>
    <w:rsid w:val="00DB604A"/>
    <w:rsid w:val="00DC05E2"/>
    <w:rsid w:val="00DC432E"/>
    <w:rsid w:val="00DC4730"/>
    <w:rsid w:val="00DD32B2"/>
    <w:rsid w:val="00DD705B"/>
    <w:rsid w:val="00DE2255"/>
    <w:rsid w:val="00DE22C0"/>
    <w:rsid w:val="00DE42AF"/>
    <w:rsid w:val="00DE44F1"/>
    <w:rsid w:val="00DE5385"/>
    <w:rsid w:val="00DF3BC1"/>
    <w:rsid w:val="00DF40EE"/>
    <w:rsid w:val="00DF463E"/>
    <w:rsid w:val="00E020A2"/>
    <w:rsid w:val="00E02750"/>
    <w:rsid w:val="00E03433"/>
    <w:rsid w:val="00E03566"/>
    <w:rsid w:val="00E1258A"/>
    <w:rsid w:val="00E14B44"/>
    <w:rsid w:val="00E14C4F"/>
    <w:rsid w:val="00E16367"/>
    <w:rsid w:val="00E23893"/>
    <w:rsid w:val="00E3192B"/>
    <w:rsid w:val="00E3245B"/>
    <w:rsid w:val="00E35C07"/>
    <w:rsid w:val="00E36549"/>
    <w:rsid w:val="00E41A97"/>
    <w:rsid w:val="00E41BFF"/>
    <w:rsid w:val="00E42856"/>
    <w:rsid w:val="00E428CB"/>
    <w:rsid w:val="00E43E2E"/>
    <w:rsid w:val="00E4531F"/>
    <w:rsid w:val="00E4534E"/>
    <w:rsid w:val="00E45C88"/>
    <w:rsid w:val="00E50F5B"/>
    <w:rsid w:val="00E527BA"/>
    <w:rsid w:val="00E5422A"/>
    <w:rsid w:val="00E66618"/>
    <w:rsid w:val="00E706CF"/>
    <w:rsid w:val="00E70745"/>
    <w:rsid w:val="00E723EA"/>
    <w:rsid w:val="00E729D1"/>
    <w:rsid w:val="00E74089"/>
    <w:rsid w:val="00E74669"/>
    <w:rsid w:val="00E77198"/>
    <w:rsid w:val="00E77E6A"/>
    <w:rsid w:val="00E83E91"/>
    <w:rsid w:val="00E86DAA"/>
    <w:rsid w:val="00E8779A"/>
    <w:rsid w:val="00E87B65"/>
    <w:rsid w:val="00E906E2"/>
    <w:rsid w:val="00E91EF7"/>
    <w:rsid w:val="00E95650"/>
    <w:rsid w:val="00E967E3"/>
    <w:rsid w:val="00E97F08"/>
    <w:rsid w:val="00EA36FB"/>
    <w:rsid w:val="00EA431B"/>
    <w:rsid w:val="00EB3E8A"/>
    <w:rsid w:val="00EB4B65"/>
    <w:rsid w:val="00EB5BE5"/>
    <w:rsid w:val="00EB5F07"/>
    <w:rsid w:val="00EB643E"/>
    <w:rsid w:val="00EB66C1"/>
    <w:rsid w:val="00EB799E"/>
    <w:rsid w:val="00EC0BB0"/>
    <w:rsid w:val="00EC1891"/>
    <w:rsid w:val="00EC27B1"/>
    <w:rsid w:val="00EC4619"/>
    <w:rsid w:val="00EC6758"/>
    <w:rsid w:val="00ED09E4"/>
    <w:rsid w:val="00ED235C"/>
    <w:rsid w:val="00ED4078"/>
    <w:rsid w:val="00ED40D8"/>
    <w:rsid w:val="00ED6154"/>
    <w:rsid w:val="00EE2B7D"/>
    <w:rsid w:val="00EE56B5"/>
    <w:rsid w:val="00EE5B33"/>
    <w:rsid w:val="00EF3C54"/>
    <w:rsid w:val="00EF489F"/>
    <w:rsid w:val="00EF7956"/>
    <w:rsid w:val="00F03B0F"/>
    <w:rsid w:val="00F05308"/>
    <w:rsid w:val="00F11653"/>
    <w:rsid w:val="00F118B7"/>
    <w:rsid w:val="00F14427"/>
    <w:rsid w:val="00F14B62"/>
    <w:rsid w:val="00F16D59"/>
    <w:rsid w:val="00F24550"/>
    <w:rsid w:val="00F24607"/>
    <w:rsid w:val="00F247F0"/>
    <w:rsid w:val="00F2694E"/>
    <w:rsid w:val="00F27374"/>
    <w:rsid w:val="00F273A9"/>
    <w:rsid w:val="00F302C2"/>
    <w:rsid w:val="00F30FEE"/>
    <w:rsid w:val="00F32A53"/>
    <w:rsid w:val="00F33B70"/>
    <w:rsid w:val="00F33B87"/>
    <w:rsid w:val="00F3570E"/>
    <w:rsid w:val="00F36C2E"/>
    <w:rsid w:val="00F4034B"/>
    <w:rsid w:val="00F412E5"/>
    <w:rsid w:val="00F43311"/>
    <w:rsid w:val="00F467D9"/>
    <w:rsid w:val="00F46BB9"/>
    <w:rsid w:val="00F501A0"/>
    <w:rsid w:val="00F52AC4"/>
    <w:rsid w:val="00F6110D"/>
    <w:rsid w:val="00F63C5F"/>
    <w:rsid w:val="00F64242"/>
    <w:rsid w:val="00F75887"/>
    <w:rsid w:val="00F762F2"/>
    <w:rsid w:val="00F77D78"/>
    <w:rsid w:val="00F8460B"/>
    <w:rsid w:val="00F84C82"/>
    <w:rsid w:val="00F8708F"/>
    <w:rsid w:val="00F906A4"/>
    <w:rsid w:val="00FA19C5"/>
    <w:rsid w:val="00FA32FB"/>
    <w:rsid w:val="00FB24E3"/>
    <w:rsid w:val="00FB3E43"/>
    <w:rsid w:val="00FB52F3"/>
    <w:rsid w:val="00FB61B2"/>
    <w:rsid w:val="00FB73A6"/>
    <w:rsid w:val="00FC141F"/>
    <w:rsid w:val="00FC1512"/>
    <w:rsid w:val="00FC5910"/>
    <w:rsid w:val="00FC6CCF"/>
    <w:rsid w:val="00FD529B"/>
    <w:rsid w:val="00FD64FE"/>
    <w:rsid w:val="00FF094A"/>
    <w:rsid w:val="00FF5A06"/>
    <w:rsid w:val="00FF7486"/>
    <w:rsid w:val="3ED00358"/>
    <w:rsid w:val="55EEEB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FA49F"/>
  <w15:chartTrackingRefBased/>
  <w15:docId w15:val="{CFDF0897-4CEB-41C6-92D1-8AC04A46D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eastAsia="es-ES"/>
    </w:rPr>
  </w:style>
  <w:style w:type="paragraph" w:styleId="Ttulo1">
    <w:name w:val="heading 1"/>
    <w:basedOn w:val="Normal"/>
    <w:next w:val="Normal"/>
    <w:qFormat/>
    <w:pPr>
      <w:keepNext/>
      <w:jc w:val="both"/>
      <w:outlineLvl w:val="0"/>
    </w:pPr>
    <w:rPr>
      <w:rFonts w:ascii="Arial" w:hAnsi="Arial"/>
      <w:b/>
      <w:sz w:val="24"/>
    </w:rPr>
  </w:style>
  <w:style w:type="paragraph" w:styleId="Ttulo2">
    <w:name w:val="heading 2"/>
    <w:basedOn w:val="Normal"/>
    <w:next w:val="Normal"/>
    <w:qFormat/>
    <w:pPr>
      <w:keepNext/>
      <w:ind w:left="-1800"/>
      <w:jc w:val="both"/>
      <w:outlineLvl w:val="1"/>
    </w:pPr>
    <w:rPr>
      <w:sz w:val="28"/>
      <w:lang w:val="es-CO"/>
    </w:rPr>
  </w:style>
  <w:style w:type="paragraph" w:styleId="Ttulo3">
    <w:name w:val="heading 3"/>
    <w:basedOn w:val="Normal"/>
    <w:next w:val="Normal"/>
    <w:qFormat/>
    <w:pPr>
      <w:keepNext/>
      <w:ind w:left="-1800"/>
      <w:jc w:val="both"/>
      <w:outlineLvl w:val="2"/>
    </w:pPr>
    <w:rPr>
      <w:b/>
      <w:sz w:val="28"/>
      <w:lang w:val="es-CO"/>
    </w:rPr>
  </w:style>
  <w:style w:type="paragraph" w:styleId="Ttulo4">
    <w:name w:val="heading 4"/>
    <w:basedOn w:val="Normal"/>
    <w:next w:val="Normal"/>
    <w:qFormat/>
    <w:pPr>
      <w:keepNext/>
      <w:ind w:left="-2250"/>
      <w:jc w:val="both"/>
      <w:outlineLvl w:val="3"/>
    </w:pPr>
    <w:rPr>
      <w:b/>
      <w:sz w:val="28"/>
      <w:lang w:val="es-CO"/>
    </w:rPr>
  </w:style>
  <w:style w:type="paragraph" w:styleId="Ttulo5">
    <w:name w:val="heading 5"/>
    <w:basedOn w:val="Normal"/>
    <w:next w:val="Normal"/>
    <w:qFormat/>
    <w:pPr>
      <w:keepNext/>
      <w:outlineLvl w:val="4"/>
    </w:pPr>
    <w:rPr>
      <w:b/>
      <w:lang w:val="es-ES"/>
    </w:rPr>
  </w:style>
  <w:style w:type="paragraph" w:styleId="Ttulo6">
    <w:name w:val="heading 6"/>
    <w:basedOn w:val="Normal"/>
    <w:next w:val="Normal"/>
    <w:qFormat/>
    <w:pPr>
      <w:keepNext/>
      <w:jc w:val="center"/>
      <w:outlineLvl w:val="5"/>
    </w:pPr>
    <w:rPr>
      <w:rFonts w:ascii="Arial" w:hAnsi="Arial"/>
      <w:b/>
      <w:sz w:val="24"/>
      <w:lang w:val="es-ES"/>
    </w:rPr>
  </w:style>
  <w:style w:type="paragraph" w:styleId="Ttulo7">
    <w:name w:val="heading 7"/>
    <w:basedOn w:val="Normal"/>
    <w:next w:val="Normal"/>
    <w:qFormat/>
    <w:pPr>
      <w:keepNext/>
      <w:jc w:val="both"/>
      <w:outlineLvl w:val="6"/>
    </w:pPr>
    <w:rPr>
      <w:rFonts w:ascii="Arial" w:hAnsi="Arial"/>
      <w:sz w:val="24"/>
      <w:lang w:val="es-ES"/>
    </w:rPr>
  </w:style>
  <w:style w:type="paragraph" w:styleId="Ttulo8">
    <w:name w:val="heading 8"/>
    <w:basedOn w:val="Normal"/>
    <w:next w:val="Normal"/>
    <w:qFormat/>
    <w:pPr>
      <w:keepNext/>
      <w:jc w:val="center"/>
      <w:outlineLvl w:val="7"/>
    </w:pPr>
    <w:rPr>
      <w:rFonts w:ascii="Arial" w:hAnsi="Arial"/>
      <w:sz w:val="24"/>
    </w:rPr>
  </w:style>
  <w:style w:type="paragraph" w:styleId="Ttulo9">
    <w:name w:val="heading 9"/>
    <w:basedOn w:val="Normal"/>
    <w:next w:val="Normal"/>
    <w:qFormat/>
    <w:pPr>
      <w:keepNext/>
      <w:jc w:val="both"/>
      <w:outlineLvl w:val="8"/>
    </w:pPr>
    <w:rPr>
      <w:rFonts w:ascii="Arial" w:hAnsi="Arial"/>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Textoindependiente">
    <w:name w:val="Body Text"/>
    <w:basedOn w:val="Normal"/>
    <w:pPr>
      <w:jc w:val="both"/>
    </w:pPr>
    <w:rPr>
      <w:rFonts w:ascii="Arial" w:hAnsi="Arial"/>
      <w:sz w:val="24"/>
    </w:rPr>
  </w:style>
  <w:style w:type="paragraph" w:styleId="Piedepgina">
    <w:name w:val="footer"/>
    <w:basedOn w:val="Normal"/>
    <w:link w:val="PiedepginaCar"/>
    <w:uiPriority w:val="99"/>
    <w:pPr>
      <w:tabs>
        <w:tab w:val="center" w:pos="4419"/>
        <w:tab w:val="right" w:pos="8838"/>
      </w:tabs>
    </w:pPr>
  </w:style>
  <w:style w:type="paragraph" w:customStyle="1" w:styleId="Textoindependiente21">
    <w:name w:val="Texto independiente 21"/>
    <w:basedOn w:val="Normal"/>
    <w:pPr>
      <w:ind w:left="-2250"/>
      <w:jc w:val="both"/>
    </w:pPr>
    <w:rPr>
      <w:sz w:val="28"/>
      <w:lang w:val="es-CO"/>
    </w:rPr>
  </w:style>
  <w:style w:type="paragraph" w:customStyle="1" w:styleId="Sangra2detindependiente1">
    <w:name w:val="Sangría 2 de t. independiente1"/>
    <w:basedOn w:val="Normal"/>
    <w:pPr>
      <w:ind w:left="-2250"/>
    </w:pPr>
    <w:rPr>
      <w:sz w:val="28"/>
      <w:lang w:val="es-CO"/>
    </w:rPr>
  </w:style>
  <w:style w:type="paragraph" w:customStyle="1" w:styleId="Sangra3detindependiente1">
    <w:name w:val="Sangría 3 de t. independiente1"/>
    <w:basedOn w:val="Normal"/>
    <w:pPr>
      <w:ind w:left="-13"/>
      <w:jc w:val="both"/>
    </w:pPr>
    <w:rPr>
      <w:rFonts w:ascii="Arial" w:hAnsi="Arial"/>
      <w:sz w:val="24"/>
    </w:rPr>
  </w:style>
  <w:style w:type="paragraph" w:customStyle="1" w:styleId="Textodebloque1">
    <w:name w:val="Texto de bloque1"/>
    <w:basedOn w:val="Normal"/>
    <w:pPr>
      <w:ind w:left="90" w:right="335"/>
      <w:jc w:val="both"/>
    </w:pPr>
    <w:rPr>
      <w:rFonts w:ascii="Arial" w:hAnsi="Arial"/>
      <w:sz w:val="24"/>
    </w:rPr>
  </w:style>
  <w:style w:type="paragraph" w:styleId="Ttulo">
    <w:name w:val="Title"/>
    <w:basedOn w:val="Normal"/>
    <w:qFormat/>
    <w:pPr>
      <w:spacing w:line="360" w:lineRule="atLeast"/>
      <w:ind w:right="45"/>
      <w:jc w:val="center"/>
    </w:pPr>
    <w:rPr>
      <w:rFonts w:ascii="Arial" w:hAnsi="Arial"/>
      <w:spacing w:val="10"/>
      <w:sz w:val="24"/>
    </w:rPr>
  </w:style>
  <w:style w:type="paragraph" w:customStyle="1" w:styleId="BodyText21">
    <w:name w:val="Body Text 21"/>
    <w:basedOn w:val="Normal"/>
    <w:pPr>
      <w:jc w:val="both"/>
    </w:pPr>
    <w:rPr>
      <w:rFonts w:ascii="Arial Narrow" w:hAnsi="Arial Narrow"/>
      <w:spacing w:val="20"/>
      <w:sz w:val="22"/>
      <w:lang w:val="es-MX"/>
    </w:rPr>
  </w:style>
  <w:style w:type="paragraph" w:customStyle="1" w:styleId="Mapadeldocumento1">
    <w:name w:val="Mapa del documento1"/>
    <w:basedOn w:val="Normal"/>
    <w:pPr>
      <w:shd w:val="clear" w:color="auto" w:fill="000080"/>
    </w:pPr>
    <w:rPr>
      <w:rFonts w:ascii="Tahoma" w:hAnsi="Tahoma"/>
    </w:rPr>
  </w:style>
  <w:style w:type="paragraph" w:styleId="Textoindependiente2">
    <w:name w:val="Body Text 2"/>
    <w:basedOn w:val="Normal"/>
    <w:pPr>
      <w:jc w:val="center"/>
    </w:pPr>
    <w:rPr>
      <w:rFonts w:ascii="Tahoma" w:hAnsi="Tahoma"/>
      <w:sz w:val="22"/>
    </w:rPr>
  </w:style>
  <w:style w:type="paragraph" w:customStyle="1" w:styleId="Normalarial">
    <w:name w:val="Normal+arial"/>
    <w:basedOn w:val="Ttulo"/>
    <w:rsid w:val="009A3C98"/>
    <w:pPr>
      <w:spacing w:line="240" w:lineRule="auto"/>
    </w:pPr>
    <w:rPr>
      <w:szCs w:val="24"/>
    </w:rPr>
  </w:style>
  <w:style w:type="paragraph" w:customStyle="1" w:styleId="NormalArial0">
    <w:name w:val="Normal + Arial"/>
    <w:aliases w:val="12 pt"/>
    <w:basedOn w:val="Ttulo"/>
    <w:rsid w:val="00273197"/>
    <w:pPr>
      <w:spacing w:line="240" w:lineRule="auto"/>
      <w:jc w:val="both"/>
    </w:pPr>
  </w:style>
  <w:style w:type="paragraph" w:styleId="Textodeglobo">
    <w:name w:val="Balloon Text"/>
    <w:basedOn w:val="Normal"/>
    <w:semiHidden/>
    <w:rsid w:val="00EE56B5"/>
    <w:rPr>
      <w:rFonts w:ascii="Tahoma" w:hAnsi="Tahoma" w:cs="Tahoma"/>
      <w:sz w:val="16"/>
      <w:szCs w:val="16"/>
    </w:rPr>
  </w:style>
  <w:style w:type="table" w:styleId="Tablaconcuadrcula">
    <w:name w:val="Table Grid"/>
    <w:basedOn w:val="Tablanormal"/>
    <w:rsid w:val="008A2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905A22"/>
    <w:rPr>
      <w:color w:val="0000FF"/>
      <w:u w:val="single"/>
    </w:rPr>
  </w:style>
  <w:style w:type="character" w:customStyle="1" w:styleId="PiedepginaCar">
    <w:name w:val="Pie de página Car"/>
    <w:link w:val="Piedepgina"/>
    <w:uiPriority w:val="99"/>
    <w:rsid w:val="00C75D47"/>
    <w:rPr>
      <w:lang w:val="es-ES_tradnl" w:eastAsia="es-ES"/>
    </w:rPr>
  </w:style>
  <w:style w:type="character" w:customStyle="1" w:styleId="EncabezadoCar">
    <w:name w:val="Encabezado Car"/>
    <w:link w:val="Encabezado"/>
    <w:rsid w:val="005753FE"/>
    <w:rPr>
      <w:lang w:val="es-ES_tradnl" w:eastAsia="es-ES"/>
    </w:rPr>
  </w:style>
  <w:style w:type="character" w:customStyle="1" w:styleId="tl8wme">
    <w:name w:val="tl8wme"/>
    <w:basedOn w:val="Fuentedeprrafopredeter"/>
    <w:rsid w:val="009B10DD"/>
  </w:style>
  <w:style w:type="character" w:customStyle="1" w:styleId="Mencinsinresolver1">
    <w:name w:val="Mención sin resolver1"/>
    <w:basedOn w:val="Fuentedeprrafopredeter"/>
    <w:uiPriority w:val="99"/>
    <w:semiHidden/>
    <w:unhideWhenUsed/>
    <w:rsid w:val="00BE718C"/>
    <w:rPr>
      <w:color w:val="605E5C"/>
      <w:shd w:val="clear" w:color="auto" w:fill="E1DFDD"/>
    </w:rPr>
  </w:style>
  <w:style w:type="character" w:styleId="Hipervnculovisitado">
    <w:name w:val="FollowedHyperlink"/>
    <w:basedOn w:val="Fuentedeprrafopredeter"/>
    <w:rsid w:val="00AD3B84"/>
    <w:rPr>
      <w:color w:val="954F72" w:themeColor="followedHyperlink"/>
      <w:u w:val="single"/>
    </w:rPr>
  </w:style>
  <w:style w:type="character" w:styleId="Fuerte">
    <w:name w:val="Strong"/>
    <w:basedOn w:val="Fuentedeprrafopredeter"/>
    <w:uiPriority w:val="22"/>
    <w:qFormat/>
    <w:rsid w:val="00C94407"/>
    <w:rPr>
      <w:b/>
      <w:bCs/>
    </w:rPr>
  </w:style>
  <w:style w:type="character" w:styleId="nfasis">
    <w:name w:val="Emphasis"/>
    <w:basedOn w:val="Fuentedeprrafopredeter"/>
    <w:uiPriority w:val="20"/>
    <w:qFormat/>
    <w:rsid w:val="00C94407"/>
    <w:rPr>
      <w:i/>
      <w:iCs/>
    </w:rPr>
  </w:style>
  <w:style w:type="paragraph" w:styleId="Revisin">
    <w:name w:val="Revision"/>
    <w:hidden/>
    <w:uiPriority w:val="99"/>
    <w:semiHidden/>
    <w:rsid w:val="0043126B"/>
    <w:rPr>
      <w:lang w:val="es-ES_tradnl" w:eastAsia="es-ES"/>
    </w:rPr>
  </w:style>
  <w:style w:type="character" w:styleId="Refdecomentario">
    <w:name w:val="annotation reference"/>
    <w:basedOn w:val="Fuentedeprrafopredeter"/>
    <w:uiPriority w:val="99"/>
    <w:rsid w:val="00D52F16"/>
    <w:rPr>
      <w:sz w:val="16"/>
      <w:szCs w:val="16"/>
    </w:rPr>
  </w:style>
  <w:style w:type="paragraph" w:styleId="Textocomentario">
    <w:name w:val="annotation text"/>
    <w:basedOn w:val="Normal"/>
    <w:link w:val="TextocomentarioCar"/>
    <w:uiPriority w:val="99"/>
    <w:rsid w:val="00D52F16"/>
  </w:style>
  <w:style w:type="character" w:customStyle="1" w:styleId="TextocomentarioCar">
    <w:name w:val="Texto comentario Car"/>
    <w:basedOn w:val="Fuentedeprrafopredeter"/>
    <w:link w:val="Textocomentario"/>
    <w:uiPriority w:val="99"/>
    <w:rsid w:val="00D52F16"/>
    <w:rPr>
      <w:lang w:val="es-ES_tradnl" w:eastAsia="es-ES"/>
    </w:rPr>
  </w:style>
  <w:style w:type="paragraph" w:styleId="Asuntodelcomentario">
    <w:name w:val="annotation subject"/>
    <w:basedOn w:val="Textocomentario"/>
    <w:next w:val="Textocomentario"/>
    <w:link w:val="AsuntodelcomentarioCar"/>
    <w:rsid w:val="00D52F16"/>
    <w:rPr>
      <w:b/>
      <w:bCs/>
    </w:rPr>
  </w:style>
  <w:style w:type="character" w:customStyle="1" w:styleId="AsuntodelcomentarioCar">
    <w:name w:val="Asunto del comentario Car"/>
    <w:basedOn w:val="TextocomentarioCar"/>
    <w:link w:val="Asuntodelcomentario"/>
    <w:rsid w:val="00D52F16"/>
    <w:rPr>
      <w:b/>
      <w:bCs/>
      <w:lang w:val="es-ES_tradnl" w:eastAsia="es-ES"/>
    </w:rPr>
  </w:style>
  <w:style w:type="paragraph" w:styleId="Listaconvietas">
    <w:name w:val="List Bullet"/>
    <w:basedOn w:val="Normal"/>
    <w:rsid w:val="00520994"/>
    <w:pPr>
      <w:numPr>
        <w:numId w:val="2"/>
      </w:numPr>
      <w:contextualSpacing/>
    </w:pPr>
  </w:style>
  <w:style w:type="paragraph" w:styleId="Prrafodelista">
    <w:name w:val="List Paragraph"/>
    <w:aliases w:val="Párrafo de lista1"/>
    <w:basedOn w:val="Normal"/>
    <w:link w:val="PrrafodelistaCar"/>
    <w:uiPriority w:val="1"/>
    <w:qFormat/>
    <w:rsid w:val="001637F0"/>
    <w:pPr>
      <w:spacing w:after="160" w:line="259" w:lineRule="auto"/>
      <w:ind w:left="720"/>
      <w:contextualSpacing/>
    </w:pPr>
    <w:rPr>
      <w:rFonts w:asciiTheme="minorHAnsi" w:eastAsiaTheme="minorHAnsi" w:hAnsiTheme="minorHAnsi" w:cstheme="minorBidi"/>
      <w:sz w:val="22"/>
      <w:szCs w:val="22"/>
      <w:lang w:val="es-CO" w:eastAsia="en-US"/>
    </w:rPr>
  </w:style>
  <w:style w:type="character" w:customStyle="1" w:styleId="PrrafodelistaCar">
    <w:name w:val="Párrafo de lista Car"/>
    <w:aliases w:val="Párrafo de lista1 Car"/>
    <w:link w:val="Prrafodelista"/>
    <w:uiPriority w:val="1"/>
    <w:rsid w:val="001637F0"/>
    <w:rPr>
      <w:rFonts w:asciiTheme="minorHAnsi" w:eastAsiaTheme="minorHAnsi" w:hAnsiTheme="minorHAnsi" w:cstheme="minorBidi"/>
      <w:sz w:val="22"/>
      <w:szCs w:val="22"/>
      <w:lang w:eastAsia="en-US"/>
    </w:rPr>
  </w:style>
  <w:style w:type="character" w:customStyle="1" w:styleId="Mencinsinresolver2">
    <w:name w:val="Mención sin resolver2"/>
    <w:basedOn w:val="Fuentedeprrafopredeter"/>
    <w:uiPriority w:val="99"/>
    <w:semiHidden/>
    <w:unhideWhenUsed/>
    <w:rsid w:val="00986425"/>
    <w:rPr>
      <w:color w:val="605E5C"/>
      <w:shd w:val="clear" w:color="auto" w:fill="E1DFDD"/>
    </w:rPr>
  </w:style>
  <w:style w:type="paragraph" w:styleId="NormalWeb">
    <w:name w:val="Normal (Web)"/>
    <w:basedOn w:val="Normal"/>
    <w:uiPriority w:val="99"/>
    <w:rsid w:val="00ED23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20121">
      <w:bodyDiv w:val="1"/>
      <w:marLeft w:val="0"/>
      <w:marRight w:val="0"/>
      <w:marTop w:val="0"/>
      <w:marBottom w:val="0"/>
      <w:divBdr>
        <w:top w:val="none" w:sz="0" w:space="0" w:color="auto"/>
        <w:left w:val="none" w:sz="0" w:space="0" w:color="auto"/>
        <w:bottom w:val="none" w:sz="0" w:space="0" w:color="auto"/>
        <w:right w:val="none" w:sz="0" w:space="0" w:color="auto"/>
      </w:divBdr>
    </w:div>
    <w:div w:id="546339356">
      <w:bodyDiv w:val="1"/>
      <w:marLeft w:val="0"/>
      <w:marRight w:val="0"/>
      <w:marTop w:val="0"/>
      <w:marBottom w:val="0"/>
      <w:divBdr>
        <w:top w:val="none" w:sz="0" w:space="0" w:color="auto"/>
        <w:left w:val="none" w:sz="0" w:space="0" w:color="auto"/>
        <w:bottom w:val="none" w:sz="0" w:space="0" w:color="auto"/>
        <w:right w:val="none" w:sz="0" w:space="0" w:color="auto"/>
      </w:divBdr>
    </w:div>
    <w:div w:id="1285579467">
      <w:bodyDiv w:val="1"/>
      <w:marLeft w:val="0"/>
      <w:marRight w:val="0"/>
      <w:marTop w:val="0"/>
      <w:marBottom w:val="0"/>
      <w:divBdr>
        <w:top w:val="none" w:sz="0" w:space="0" w:color="auto"/>
        <w:left w:val="none" w:sz="0" w:space="0" w:color="auto"/>
        <w:bottom w:val="none" w:sz="0" w:space="0" w:color="auto"/>
        <w:right w:val="none" w:sz="0" w:space="0" w:color="auto"/>
      </w:divBdr>
      <w:divsChild>
        <w:div w:id="1053693675">
          <w:marLeft w:val="30"/>
          <w:marRight w:val="30"/>
          <w:marTop w:val="0"/>
          <w:marBottom w:val="0"/>
          <w:divBdr>
            <w:top w:val="none" w:sz="0" w:space="0" w:color="auto"/>
            <w:left w:val="none" w:sz="0" w:space="0" w:color="auto"/>
            <w:bottom w:val="none" w:sz="0" w:space="0" w:color="auto"/>
            <w:right w:val="none" w:sz="0" w:space="0" w:color="auto"/>
          </w:divBdr>
          <w:divsChild>
            <w:div w:id="1882744971">
              <w:marLeft w:val="0"/>
              <w:marRight w:val="0"/>
              <w:marTop w:val="0"/>
              <w:marBottom w:val="0"/>
              <w:divBdr>
                <w:top w:val="none" w:sz="0" w:space="0" w:color="auto"/>
                <w:left w:val="none" w:sz="0" w:space="0" w:color="auto"/>
                <w:bottom w:val="none" w:sz="0" w:space="0" w:color="auto"/>
                <w:right w:val="none" w:sz="0" w:space="0" w:color="auto"/>
              </w:divBdr>
              <w:divsChild>
                <w:div w:id="2096051397">
                  <w:marLeft w:val="0"/>
                  <w:marRight w:val="0"/>
                  <w:marTop w:val="0"/>
                  <w:marBottom w:val="0"/>
                  <w:divBdr>
                    <w:top w:val="none" w:sz="0" w:space="0" w:color="auto"/>
                    <w:left w:val="none" w:sz="0" w:space="0" w:color="auto"/>
                    <w:bottom w:val="none" w:sz="0" w:space="0" w:color="auto"/>
                    <w:right w:val="none" w:sz="0" w:space="0" w:color="auto"/>
                  </w:divBdr>
                  <w:divsChild>
                    <w:div w:id="620766000">
                      <w:marLeft w:val="0"/>
                      <w:marRight w:val="0"/>
                      <w:marTop w:val="0"/>
                      <w:marBottom w:val="0"/>
                      <w:divBdr>
                        <w:top w:val="none" w:sz="0" w:space="0" w:color="auto"/>
                        <w:left w:val="none" w:sz="0" w:space="0" w:color="auto"/>
                        <w:bottom w:val="none" w:sz="0" w:space="0" w:color="auto"/>
                        <w:right w:val="none" w:sz="0" w:space="0" w:color="auto"/>
                      </w:divBdr>
                      <w:divsChild>
                        <w:div w:id="2070379690">
                          <w:marLeft w:val="0"/>
                          <w:marRight w:val="0"/>
                          <w:marTop w:val="0"/>
                          <w:marBottom w:val="0"/>
                          <w:divBdr>
                            <w:top w:val="none" w:sz="0" w:space="0" w:color="auto"/>
                            <w:left w:val="none" w:sz="0" w:space="0" w:color="auto"/>
                            <w:bottom w:val="none" w:sz="0" w:space="0" w:color="auto"/>
                            <w:right w:val="none" w:sz="0" w:space="0" w:color="auto"/>
                          </w:divBdr>
                          <w:divsChild>
                            <w:div w:id="61664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626300">
          <w:marLeft w:val="150"/>
          <w:marRight w:val="150"/>
          <w:marTop w:val="0"/>
          <w:marBottom w:val="0"/>
          <w:divBdr>
            <w:top w:val="none" w:sz="0" w:space="0" w:color="auto"/>
            <w:left w:val="none" w:sz="0" w:space="0" w:color="auto"/>
            <w:bottom w:val="none" w:sz="0" w:space="0" w:color="auto"/>
            <w:right w:val="none" w:sz="0" w:space="0" w:color="auto"/>
          </w:divBdr>
          <w:divsChild>
            <w:div w:id="1171793072">
              <w:marLeft w:val="30"/>
              <w:marRight w:val="30"/>
              <w:marTop w:val="120"/>
              <w:marBottom w:val="135"/>
              <w:divBdr>
                <w:top w:val="single" w:sz="6" w:space="0" w:color="8A8886"/>
                <w:left w:val="single" w:sz="6" w:space="0" w:color="8A8886"/>
                <w:bottom w:val="single" w:sz="6" w:space="0" w:color="8A8886"/>
                <w:right w:val="single" w:sz="6" w:space="0" w:color="8A8886"/>
              </w:divBdr>
              <w:divsChild>
                <w:div w:id="1197305222">
                  <w:marLeft w:val="0"/>
                  <w:marRight w:val="0"/>
                  <w:marTop w:val="0"/>
                  <w:marBottom w:val="0"/>
                  <w:divBdr>
                    <w:top w:val="none" w:sz="0" w:space="0" w:color="auto"/>
                    <w:left w:val="none" w:sz="0" w:space="0" w:color="auto"/>
                    <w:bottom w:val="none" w:sz="0" w:space="0" w:color="auto"/>
                    <w:right w:val="none" w:sz="0" w:space="0" w:color="auto"/>
                  </w:divBdr>
                  <w:divsChild>
                    <w:div w:id="1104307999">
                      <w:marLeft w:val="0"/>
                      <w:marRight w:val="0"/>
                      <w:marTop w:val="0"/>
                      <w:marBottom w:val="0"/>
                      <w:divBdr>
                        <w:top w:val="none" w:sz="0" w:space="0" w:color="auto"/>
                        <w:left w:val="none" w:sz="0" w:space="0" w:color="auto"/>
                        <w:bottom w:val="none" w:sz="0" w:space="0" w:color="auto"/>
                        <w:right w:val="none" w:sz="0" w:space="0" w:color="auto"/>
                      </w:divBdr>
                      <w:divsChild>
                        <w:div w:id="146337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523751">
      <w:bodyDiv w:val="1"/>
      <w:marLeft w:val="0"/>
      <w:marRight w:val="0"/>
      <w:marTop w:val="0"/>
      <w:marBottom w:val="0"/>
      <w:divBdr>
        <w:top w:val="none" w:sz="0" w:space="0" w:color="auto"/>
        <w:left w:val="none" w:sz="0" w:space="0" w:color="auto"/>
        <w:bottom w:val="none" w:sz="0" w:space="0" w:color="auto"/>
        <w:right w:val="none" w:sz="0" w:space="0" w:color="auto"/>
      </w:divBdr>
    </w:div>
    <w:div w:id="1425685206">
      <w:bodyDiv w:val="1"/>
      <w:marLeft w:val="0"/>
      <w:marRight w:val="0"/>
      <w:marTop w:val="0"/>
      <w:marBottom w:val="0"/>
      <w:divBdr>
        <w:top w:val="none" w:sz="0" w:space="0" w:color="auto"/>
        <w:left w:val="none" w:sz="0" w:space="0" w:color="auto"/>
        <w:bottom w:val="none" w:sz="0" w:space="0" w:color="auto"/>
        <w:right w:val="none" w:sz="0" w:space="0" w:color="auto"/>
      </w:divBdr>
    </w:div>
    <w:div w:id="1691031333">
      <w:bodyDiv w:val="1"/>
      <w:marLeft w:val="0"/>
      <w:marRight w:val="0"/>
      <w:marTop w:val="0"/>
      <w:marBottom w:val="0"/>
      <w:divBdr>
        <w:top w:val="none" w:sz="0" w:space="0" w:color="auto"/>
        <w:left w:val="none" w:sz="0" w:space="0" w:color="auto"/>
        <w:bottom w:val="none" w:sz="0" w:space="0" w:color="auto"/>
        <w:right w:val="none" w:sz="0" w:space="0" w:color="auto"/>
      </w:divBdr>
    </w:div>
    <w:div w:id="1700160187">
      <w:bodyDiv w:val="1"/>
      <w:marLeft w:val="0"/>
      <w:marRight w:val="0"/>
      <w:marTop w:val="0"/>
      <w:marBottom w:val="0"/>
      <w:divBdr>
        <w:top w:val="none" w:sz="0" w:space="0" w:color="auto"/>
        <w:left w:val="none" w:sz="0" w:space="0" w:color="auto"/>
        <w:bottom w:val="none" w:sz="0" w:space="0" w:color="auto"/>
        <w:right w:val="none" w:sz="0" w:space="0" w:color="auto"/>
      </w:divBdr>
    </w:div>
    <w:div w:id="1749182574">
      <w:bodyDiv w:val="1"/>
      <w:marLeft w:val="0"/>
      <w:marRight w:val="0"/>
      <w:marTop w:val="0"/>
      <w:marBottom w:val="0"/>
      <w:divBdr>
        <w:top w:val="none" w:sz="0" w:space="0" w:color="auto"/>
        <w:left w:val="none" w:sz="0" w:space="0" w:color="auto"/>
        <w:bottom w:val="none" w:sz="0" w:space="0" w:color="auto"/>
        <w:right w:val="none" w:sz="0" w:space="0" w:color="auto"/>
      </w:divBdr>
      <w:divsChild>
        <w:div w:id="1171720575">
          <w:marLeft w:val="0"/>
          <w:marRight w:val="0"/>
          <w:marTop w:val="0"/>
          <w:marBottom w:val="240"/>
          <w:divBdr>
            <w:top w:val="none" w:sz="0" w:space="0" w:color="auto"/>
            <w:left w:val="none" w:sz="0" w:space="0" w:color="auto"/>
            <w:bottom w:val="none" w:sz="0" w:space="0" w:color="auto"/>
            <w:right w:val="none" w:sz="0" w:space="0" w:color="auto"/>
          </w:divBdr>
        </w:div>
        <w:div w:id="1262034525">
          <w:marLeft w:val="0"/>
          <w:marRight w:val="0"/>
          <w:marTop w:val="180"/>
          <w:marBottom w:val="0"/>
          <w:divBdr>
            <w:top w:val="none" w:sz="0" w:space="0" w:color="auto"/>
            <w:left w:val="none" w:sz="0" w:space="0" w:color="auto"/>
            <w:bottom w:val="none" w:sz="0" w:space="0" w:color="auto"/>
            <w:right w:val="none" w:sz="0" w:space="0" w:color="auto"/>
          </w:divBdr>
        </w:div>
      </w:divsChild>
    </w:div>
    <w:div w:id="2108891292">
      <w:bodyDiv w:val="1"/>
      <w:marLeft w:val="0"/>
      <w:marRight w:val="0"/>
      <w:marTop w:val="0"/>
      <w:marBottom w:val="0"/>
      <w:divBdr>
        <w:top w:val="none" w:sz="0" w:space="0" w:color="auto"/>
        <w:left w:val="none" w:sz="0" w:space="0" w:color="auto"/>
        <w:bottom w:val="none" w:sz="0" w:space="0" w:color="auto"/>
        <w:right w:val="none" w:sz="0" w:space="0" w:color="auto"/>
      </w:divBdr>
      <w:divsChild>
        <w:div w:id="1123160182">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323583877">
              <w:marLeft w:val="0"/>
              <w:marRight w:val="0"/>
              <w:marTop w:val="0"/>
              <w:marBottom w:val="240"/>
              <w:divBdr>
                <w:top w:val="none" w:sz="0" w:space="0" w:color="auto"/>
                <w:left w:val="none" w:sz="0" w:space="0" w:color="auto"/>
                <w:bottom w:val="none" w:sz="0" w:space="0" w:color="auto"/>
                <w:right w:val="none" w:sz="0" w:space="0" w:color="auto"/>
              </w:divBdr>
            </w:div>
            <w:div w:id="109204748">
              <w:marLeft w:val="0"/>
              <w:marRight w:val="0"/>
              <w:marTop w:val="180"/>
              <w:marBottom w:val="240"/>
              <w:divBdr>
                <w:top w:val="none" w:sz="0" w:space="0" w:color="auto"/>
                <w:left w:val="none" w:sz="0" w:space="0" w:color="auto"/>
                <w:bottom w:val="none" w:sz="0" w:space="0" w:color="auto"/>
                <w:right w:val="none" w:sz="0" w:space="0" w:color="auto"/>
              </w:divBdr>
            </w:div>
            <w:div w:id="133445625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alcaldiabogota.gov.co/sisjur/normas/Norma1.jsp?i=3346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3617228C889E93479B5B1CF90BF8127B" ma:contentTypeVersion="37" ma:contentTypeDescription="Campos definidos por la oficina de planeación" ma:contentTypeScope="" ma:versionID="2527869c172852eb3e2b0fd8478a14ee">
  <xsd:schema xmlns:xsd="http://www.w3.org/2001/XMLSchema" xmlns:xs="http://www.w3.org/2001/XMLSchema" xmlns:p="http://schemas.microsoft.com/office/2006/metadata/properties" xmlns:ns1="http://schemas.microsoft.com/sharepoint/v3" xmlns:ns2="b6565643-c00f-44ce-b5d1-532a85e4382c" xmlns:ns3="http://schemas.microsoft.com/sharepoint/v3/fields" xmlns:ns4="d8914346-021d-4200-a24b-7261f847906e" targetNamespace="http://schemas.microsoft.com/office/2006/metadata/properties" ma:root="true" ma:fieldsID="82f8e0c70468267061670f3ed670ee39" ns1:_="" ns2:_="" ns3:_="" ns4:_="">
    <xsd:import namespace="http://schemas.microsoft.com/sharepoint/v3"/>
    <xsd:import namespace="b6565643-c00f-44ce-b5d1-532a85e4382c"/>
    <xsd:import namespace="http://schemas.microsoft.com/sharepoint/v3/fields"/>
    <xsd:import namespace="d8914346-021d-4200-a24b-7261f847906e"/>
    <xsd:element name="properties">
      <xsd:complexType>
        <xsd:sequence>
          <xsd:element name="documentManagement">
            <xsd:complexType>
              <xsd:all>
                <xsd:element ref="ns2:Numero"/>
                <xsd:element ref="ns2:_dlc_DocId" minOccurs="0"/>
                <xsd:element ref="ns2:_dlc_DocIdUrl" minOccurs="0"/>
                <xsd:element ref="ns2:_dlc_DocIdPersistId" minOccurs="0"/>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2:Tipo_de_Norma"/>
                <xsd:element ref="ns1:Language" minOccurs="0"/>
                <xsd:element ref="ns2:Medio_de_conservacion_y_x002f_o_soporte"/>
                <xsd:element ref="ns3:_Format"/>
                <xsd:element ref="ns2:Frecuencia_de_actualizacion"/>
                <xsd:element ref="ns2:Informacion_publicada_o_disponible"/>
                <xsd:element ref="ns2:Estado_Plantilla"/>
                <xsd:element ref="ns4:Código_x0020_nombre_x0020_del_x0020_reponsable_x0020_producción" minOccurs="0"/>
                <xsd:element ref="ns4:Código_x0020_responsable_x0020_de_x0020_la_x0020_información" minOccurs="0"/>
                <xsd:element ref="ns4:Nombre_x0020_del_x0020_responsable_x0020_de_x0020_producción" minOccurs="0"/>
                <xsd:element ref="ns4:Responsable_x0020_de_x0020_la_x0020_información" minOccurs="0"/>
                <xsd:element ref="ns4:Serie" minOccurs="0"/>
                <xsd:element ref="ns4:Sub-Serie" minOccurs="0"/>
                <xsd:element ref="ns4:Tipo_x0020_Document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0"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escripcion" ma:index="12"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13"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14"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15"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16" ma:displayName="Mes creación documento" ma:description="Corresponde al mes de publicación del documento. Este dato ayudará a filtrar el documento al usuario final del portal web." ma:format="Dropdown" ma:internalName="Mes_Plantilla">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17"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9"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21"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23"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4"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5"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22"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d8914346-021d-4200-a24b-7261f847906e" elementFormDefault="qualified">
    <xsd:import namespace="http://schemas.microsoft.com/office/2006/documentManagement/types"/>
    <xsd:import namespace="http://schemas.microsoft.com/office/infopath/2007/PartnerControls"/>
    <xsd:element name="Código_x0020_nombre_x0020_del_x0020_reponsable_x0020_producción" ma:index="26" nillable="true" ma:displayName="Código nombre del reponsable producción" ma:description="Corresponde al Código de la dependencia encargada de la Producción de la información" ma:list="{2f00262b-b204-48bb-a5fa-79b49da85fd0}" ma:internalName="C_x00f3_digo_x0020_nombre_x0020_del_x0020_reponsable_x0020_producci_x00f3_n" ma:showField="Codigos_x0020_Dependencias" ma:web="d8914346-021d-4200-a24b-7261f847906e">
      <xsd:simpleType>
        <xsd:restriction base="dms:Lookup"/>
      </xsd:simpleType>
    </xsd:element>
    <xsd:element name="Código_x0020_responsable_x0020_de_x0020_la_x0020_información" ma:index="27" nillable="true" ma:displayName="Código responsable de la información" ma:list="{2f00262b-b204-48bb-a5fa-79b49da85fd0}" ma:internalName="C_x00f3_digo_x0020_responsable_x0020_de_x0020_la_x0020_informaci_x00f3_n" ma:showField="Codigos_x0020_Dependencias" ma:web="d8914346-021d-4200-a24b-7261f847906e">
      <xsd:simpleType>
        <xsd:restriction base="dms:Lookup"/>
      </xsd:simpleType>
    </xsd:element>
    <xsd:element name="Nombre_x0020_del_x0020_responsable_x0020_de_x0020_producción" ma:index="28" nillable="true" ma:displayName="Nombre del responsable de producción" ma:list="{72694e76-e200-4922-aaf6-81afbd8c5b53}" ma:internalName="Nombre_x0020_del_x0020_responsable_x0020_de_x0020_producci_x00f3_n" ma:showField="Dependencias" ma:web="d8914346-021d-4200-a24b-7261f847906e">
      <xsd:simpleType>
        <xsd:restriction base="dms:Lookup"/>
      </xsd:simpleType>
    </xsd:element>
    <xsd:element name="Responsable_x0020_de_x0020_la_x0020_información" ma:index="29" nillable="true" ma:displayName="Responsable de la información" ma:list="{72694e76-e200-4922-aaf6-81afbd8c5b53}" ma:internalName="Responsable_x0020_de_x0020_la_x0020_informaci_x00f3_n" ma:showField="Dependencias" ma:web="d8914346-021d-4200-a24b-7261f847906e">
      <xsd:simpleType>
        <xsd:restriction base="dms:Lookup"/>
      </xsd:simpleType>
    </xsd:element>
    <xsd:element name="Serie" ma:index="30" nillable="true" ma:displayName="Serie" ma:list="{1feaef5c-9a3f-4c55-a182-1a0b9463541c}" ma:internalName="Serie" ma:showField="Series" ma:web="d8914346-021d-4200-a24b-7261f847906e">
      <xsd:simpleType>
        <xsd:restriction base="dms:Lookup"/>
      </xsd:simpleType>
    </xsd:element>
    <xsd:element name="Sub-Serie" ma:index="31" nillable="true" ma:displayName="Sub-Serie" ma:description="Este dato corresponde a la clasificación documental de cada documento" ma:list="{7c3295e3-322b-4a32-b53b-72e9f94989bc}" ma:internalName="Sub_x002d_Serie" ma:showField="SubSeries" ma:web="d8914346-021d-4200-a24b-7261f847906e">
      <xsd:simpleType>
        <xsd:restriction base="dms:Lookup"/>
      </xsd:simpleType>
    </xsd:element>
    <xsd:element name="Tipo_x0020_Documental" ma:index="32" nillable="true" ma:displayName="Tipo Documental" ma:description="Este dato corresponde a la clasificación documental del documento a cargar" ma:list="{c702a882-5a15-4153-8aab-da9e5539c46b}" ma:internalName="Tipo_x0020_Documental" ma:showField="Tipologias" ma:web="d8914346-021d-4200-a24b-7261f847906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e contenido"/>
        <xsd:element ref="dc:title" maxOccurs="1" ma:index="2" ma:displayName="Título"/>
        <xsd:element ref="dc:subject" minOccurs="0" maxOccurs="1"/>
        <xsd:element ref="dc:description" minOccurs="0" maxOccurs="1"/>
        <xsd:element name="keywords" maxOccurs="1" ma:index="18"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Numero xmlns="b6565643-c00f-44ce-b5d1-532a85e4382c">27/05/2026</Numero>
    <Language xmlns="http://schemas.microsoft.com/sharepoint/v3">Español (España)</Language>
    <Código_x0020_nombre_x0020_del_x0020_reponsable_x0020_producción xmlns="d8914346-021d-4200-a24b-7261f847906e" xsi:nil="true"/>
    <Fecha_x0020_de_x0020_generación_x0020_de_x0020_la_x0020_información xmlns="b6565643-c00f-44ce-b5d1-532a85e4382c">2026-05-27T05:00:00+00:00</Fecha_x0020_de_x0020_generación_x0020_de_x0020_la_x0020_información>
    <Responsable_x0020_de_x0020_la_x0020_información xmlns="d8914346-021d-4200-a24b-7261f847906e" xsi:nil="true"/>
    <Tipo_de_Norma xmlns="b6565643-c00f-44ce-b5d1-532a85e4382c">No aplica</Tipo_de_Norma>
    <Sub-Serie xmlns="d8914346-021d-4200-a24b-7261f847906e" xsi:nil="true"/>
    <Fecha_x0020_final_x0020_de_x0020_publicación xmlns="b6565643-c00f-44ce-b5d1-532a85e4382c">2026-07-04T05:00:00+00:00</Fecha_x0020_final_x0020_de_x0020_publicación>
    <Frecuencia_de_actualizacion xmlns="b6565643-c00f-44ce-b5d1-532a85e4382c">Por demanda</Frecuencia_de_actualizacion>
    <Mes_Plantilla xmlns="b6565643-c00f-44ce-b5d1-532a85e4382c">mayo</Mes_Plantilla>
    <_Format xmlns="http://schemas.microsoft.com/sharepoint/v3/fields">Documento de texto</_Format>
    <Código_x0020_responsable_x0020_de_x0020_la_x0020_información xmlns="d8914346-021d-4200-a24b-7261f847906e" xsi:nil="true"/>
    <Descripcion xmlns="b6565643-c00f-44ce-b5d1-532a85e4382c">Documento del proyecto de modificación del Título VII de la Circular Externa 047 de 2007, modificada, entre otras, por la Circular Externa 2023151000000010-5 de 2023.</Descripcion>
    <Ano_Plantilla xmlns="b6565643-c00f-44ce-b5d1-532a85e4382c">2026</Ano_Plantilla>
    <Informacion_publicada_o_disponible xmlns="b6565643-c00f-44ce-b5d1-532a85e4382c">https://docs.supersalud.gov.co/PortalWeb/metodologias/OtrosDocumentosMetodologias/</Informacion_publicada_o_disponible>
    <Medio_de_conservacion_y_x002f_o_soporte xmlns="b6565643-c00f-44ce-b5d1-532a85e4382c">Documento electrónico</Medio_de_conservacion_y_x002f_o_soporte>
    <Estado_Plantilla xmlns="b6565643-c00f-44ce-b5d1-532a85e4382c">No Aplica</Estado_Plantilla>
    <Nombre_x0020_del_x0020_responsable_x0020_de_x0020_producción xmlns="d8914346-021d-4200-a24b-7261f847906e" xsi:nil="true"/>
    <Fecha_x0020_de_x0020_inicio_x0020_de_x0020_publicación xmlns="b6565643-c00f-44ce-b5d1-532a85e4382c">2026-05-27T05:00:00+00:00</Fecha_x0020_de_x0020_inicio_x0020_de_x0020_publicación>
    <Tipo_x0020_Documental xmlns="d8914346-021d-4200-a24b-7261f847906e" xsi:nil="true"/>
    <Serie xmlns="d8914346-021d-4200-a24b-7261f847906e" xsi:nil="true"/>
    <_dlc_DocId xmlns="b6565643-c00f-44ce-b5d1-532a85e4382c">XQAF2AT3N76N-246-413</_dlc_DocId>
    <_dlc_DocIdUrl xmlns="b6565643-c00f-44ce-b5d1-532a85e4382c">
      <Url>https://docs.supersalud.gov.co/PortalWeb/metodologias/_layouts/15/DocIdRedir.aspx?ID=XQAF2AT3N76N-246-413</Url>
      <Description>XQAF2AT3N76N-246-413</Description>
    </_dlc_DocIdUrl>
  </documentManagement>
</p:properties>
</file>

<file path=customXml/itemProps1.xml><?xml version="1.0" encoding="utf-8"?>
<ds:datastoreItem xmlns:ds="http://schemas.openxmlformats.org/officeDocument/2006/customXml" ds:itemID="{5807CF98-7685-42C0-8F7C-368B140F1B3C}">
  <ds:schemaRefs>
    <ds:schemaRef ds:uri="http://schemas.openxmlformats.org/officeDocument/2006/bibliography"/>
  </ds:schemaRefs>
</ds:datastoreItem>
</file>

<file path=customXml/itemProps2.xml><?xml version="1.0" encoding="utf-8"?>
<ds:datastoreItem xmlns:ds="http://schemas.openxmlformats.org/officeDocument/2006/customXml" ds:itemID="{FC0784D7-073A-45EE-8C21-1163495A2CD0}">
  <ds:schemaRefs>
    <ds:schemaRef ds:uri="http://schemas.microsoft.com/sharepoint/v3/contenttype/forms"/>
  </ds:schemaRefs>
</ds:datastoreItem>
</file>

<file path=customXml/itemProps3.xml><?xml version="1.0" encoding="utf-8"?>
<ds:datastoreItem xmlns:ds="http://schemas.openxmlformats.org/officeDocument/2006/customXml" ds:itemID="{EEAD9D96-ECA1-4D44-8FB9-4D4BCA56057E}">
  <ds:schemaRefs>
    <ds:schemaRef ds:uri="http://schemas.microsoft.com/sharepoint/events"/>
  </ds:schemaRefs>
</ds:datastoreItem>
</file>

<file path=customXml/itemProps4.xml><?xml version="1.0" encoding="utf-8"?>
<ds:datastoreItem xmlns:ds="http://schemas.openxmlformats.org/officeDocument/2006/customXml" ds:itemID="{B39B1C4E-2F1B-43F3-9F91-981DFBC1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http://schemas.microsoft.com/sharepoint/v3/fields"/>
    <ds:schemaRef ds:uri="d8914346-021d-4200-a24b-7261f847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727A7C-7401-4F10-A151-3441FCCE3292}">
  <ds:schemaRefs>
    <ds:schemaRef ds:uri="http://schemas.microsoft.com/office/2006/metadata/longProperties"/>
  </ds:schemaRefs>
</ds:datastoreItem>
</file>

<file path=customXml/itemProps6.xml><?xml version="1.0" encoding="utf-8"?>
<ds:datastoreItem xmlns:ds="http://schemas.openxmlformats.org/officeDocument/2006/customXml" ds:itemID="{EB33DFB4-F52E-4C9D-81AA-CD4346E9634C}">
  <ds:schemaRefs>
    <ds:schemaRef ds:uri="http://schemas.microsoft.com/office/2006/metadata/properties"/>
    <ds:schemaRef ds:uri="http://schemas.microsoft.com/office/infopath/2007/PartnerControls"/>
    <ds:schemaRef ds:uri="b6565643-c00f-44ce-b5d1-532a85e4382c"/>
    <ds:schemaRef ds:uri="http://schemas.microsoft.com/sharepoint/v3"/>
    <ds:schemaRef ds:uri="d8914346-021d-4200-a24b-7261f847906e"/>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5</Pages>
  <Words>2246</Words>
  <Characters>12583</Characters>
  <Application>Microsoft Office Word</Application>
  <DocSecurity>0</DocSecurity>
  <Lines>262</Lines>
  <Paragraphs>54</Paragraphs>
  <ScaleCrop>false</ScaleCrop>
  <HeadingPairs>
    <vt:vector size="2" baseType="variant">
      <vt:variant>
        <vt:lpstr>Título</vt:lpstr>
      </vt:variant>
      <vt:variant>
        <vt:i4>1</vt:i4>
      </vt:variant>
    </vt:vector>
  </HeadingPairs>
  <TitlesOfParts>
    <vt:vector size="1" baseType="lpstr">
      <vt:lpstr>Circular Externa</vt:lpstr>
    </vt:vector>
  </TitlesOfParts>
  <Company>Hewlett-Packard Company</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Externa</dc:title>
  <dc:subject/>
  <dc:creator>Compaq User</dc:creator>
  <cp:keywords>GJFT09</cp:keywords>
  <cp:lastModifiedBy>Maria Jose Rodriguez Gomez</cp:lastModifiedBy>
  <cp:revision>2</cp:revision>
  <cp:lastPrinted>2010-02-24T16:04:00Z</cp:lastPrinted>
  <dcterms:created xsi:type="dcterms:W3CDTF">2026-05-28T13:17:00Z</dcterms:created>
  <dcterms:modified xsi:type="dcterms:W3CDTF">2026-05-28T13:17:00Z</dcterms:modified>
  <cp:category>CE67D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XQAF2AT3N76N-114-3261</vt:lpwstr>
  </property>
  <property fmtid="{D5CDD505-2E9C-101B-9397-08002B2CF9AE}" pid="3" name="_dlc_DocIdItemGuid">
    <vt:lpwstr>35fb8313-6d06-484e-ae46-e8e3ea4f5f6d</vt:lpwstr>
  </property>
  <property fmtid="{D5CDD505-2E9C-101B-9397-08002B2CF9AE}" pid="4" name="_dlc_DocIdUrl">
    <vt:lpwstr>https://docs.supersalud.gov.co/PortalWeb/planeacion/_layouts/15/DocIdRedir.aspx?ID=XQAF2AT3N76N-114-3261, XQAF2AT3N76N-114-3261</vt:lpwstr>
  </property>
  <property fmtid="{D5CDD505-2E9C-101B-9397-08002B2CF9AE}" pid="5" name="DLCPolicyLabelValue">
    <vt:lpwstr>Copia Controlada</vt:lpwstr>
  </property>
  <property fmtid="{D5CDD505-2E9C-101B-9397-08002B2CF9AE}" pid="6" name="ContentTypeId">
    <vt:lpwstr>0x0101006C70C9CFFF10F647A97BB5C9232AAEE5003617228C889E93479B5B1CF90BF8127B</vt:lpwstr>
  </property>
  <property fmtid="{D5CDD505-2E9C-101B-9397-08002B2CF9AE}" pid="7" name="MediaServiceImageTags">
    <vt:lpwstr/>
  </property>
</Properties>
</file>