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5.3.0 -->
  <w:body>
    <w:p w:rsidR="00F035E4" w:rsidRPr="003153EE" w:rsidP="00F035E4" w14:paraId="7C910BAA" w14:textId="0BCEEAB1">
      <w:pPr>
        <w:tabs>
          <w:tab w:val="left" w:pos="1200"/>
        </w:tabs>
        <w:jc w:val="center"/>
        <w:rPr>
          <w:rFonts w:ascii="Verdana" w:hAnsi="Verdana" w:cs="Arial"/>
          <w:b/>
          <w:bCs/>
        </w:rPr>
      </w:pPr>
      <w:r w:rsidRPr="003153EE">
        <w:rPr>
          <w:rFonts w:ascii="Verdana" w:hAnsi="Verdana" w:cs="Arial"/>
          <w:b/>
          <w:bCs/>
        </w:rPr>
        <w:t xml:space="preserve">CARTA CIRCULAR    </w:t>
      </w:r>
      <w:r w:rsidRPr="003153EE">
        <w:rPr>
          <w:rFonts w:ascii="Verdana" w:hAnsi="Verdana" w:cs="Arial"/>
          <w:b/>
          <w:color w:val="999999"/>
        </w:rPr>
        <w:t>XX</w:t>
      </w:r>
      <w:r w:rsidRPr="003153EE">
        <w:rPr>
          <w:rFonts w:ascii="Verdana" w:hAnsi="Verdana" w:cs="Arial"/>
          <w:b/>
          <w:bCs/>
          <w:color w:val="999999"/>
        </w:rPr>
        <w:t xml:space="preserve"> </w:t>
      </w:r>
      <w:r w:rsidRPr="003153EE">
        <w:rPr>
          <w:rFonts w:ascii="Verdana" w:hAnsi="Verdana" w:cs="Arial"/>
          <w:b/>
          <w:bCs/>
        </w:rPr>
        <w:t xml:space="preserve">    DE  </w:t>
      </w:r>
      <w:r w:rsidRPr="003153EE" w:rsidR="00CA0BB0">
        <w:rPr>
          <w:rFonts w:ascii="Verdana" w:hAnsi="Verdana" w:cs="Arial"/>
          <w:b/>
          <w:bCs/>
        </w:rPr>
        <w:t>202</w:t>
      </w:r>
      <w:r w:rsidRPr="003153EE" w:rsidR="00DC6272">
        <w:rPr>
          <w:rFonts w:ascii="Verdana" w:hAnsi="Verdana" w:cs="Arial"/>
          <w:b/>
          <w:bCs/>
        </w:rPr>
        <w:t>6</w:t>
      </w:r>
      <w:r w:rsidRPr="003153EE">
        <w:rPr>
          <w:rFonts w:ascii="Verdana" w:hAnsi="Verdana" w:cs="Arial"/>
          <w:b/>
          <w:bCs/>
        </w:rPr>
        <w:t xml:space="preserve">  </w:t>
      </w:r>
    </w:p>
    <w:p w:rsidR="00F035E4" w:rsidRPr="003153EE" w:rsidP="00F035E4" w14:paraId="637977AF" w14:textId="77777777">
      <w:pPr>
        <w:jc w:val="center"/>
        <w:rPr>
          <w:rFonts w:ascii="Verdana" w:hAnsi="Verdana" w:cs="Arial"/>
          <w:b/>
          <w:bCs/>
        </w:rPr>
      </w:pPr>
      <w:r w:rsidRPr="003153EE">
        <w:rPr>
          <w:rFonts w:ascii="Verdana" w:hAnsi="Verdana" w:cs="Arial"/>
          <w:b/>
          <w:bCs/>
        </w:rPr>
        <w:t>(                                  )</w:t>
      </w:r>
    </w:p>
    <w:p w:rsidR="00F035E4" w:rsidRPr="003153EE" w:rsidP="00F035E4" w14:paraId="45F16963" w14:textId="77777777">
      <w:pPr>
        <w:pStyle w:val="Header"/>
        <w:rPr>
          <w:rFonts w:ascii="Verdana" w:hAnsi="Verdana" w:cs="Arial"/>
          <w:sz w:val="24"/>
          <w:szCs w:val="24"/>
        </w:rPr>
      </w:pPr>
      <w:r w:rsidRPr="003153EE">
        <w:rPr>
          <w:rFonts w:ascii="Verdana" w:hAnsi="Verdana" w:cs="Arial"/>
          <w:sz w:val="24"/>
          <w:szCs w:val="24"/>
        </w:rPr>
        <w:t> </w:t>
      </w:r>
    </w:p>
    <w:p w:rsidR="00F035E4" w:rsidRPr="003153EE" w:rsidP="00F035E4" w14:paraId="5964DB9F" w14:textId="77777777">
      <w:pPr>
        <w:rPr>
          <w:rFonts w:ascii="Verdana" w:hAnsi="Verdana" w:cs="Arial"/>
        </w:rPr>
      </w:pPr>
    </w:p>
    <w:p w:rsidR="00F035E4" w:rsidRPr="003153EE" w:rsidP="00F035E4" w14:paraId="0D4A48BE" w14:textId="77777777">
      <w:pPr>
        <w:rPr>
          <w:rFonts w:ascii="Verdana" w:hAnsi="Verdana" w:cs="Arial"/>
          <w:b/>
          <w:bCs/>
          <w:sz w:val="22"/>
          <w:szCs w:val="22"/>
        </w:rPr>
      </w:pPr>
      <w:r w:rsidRPr="003153EE">
        <w:rPr>
          <w:rFonts w:ascii="Verdana" w:hAnsi="Verdana" w:cs="Arial"/>
          <w:b/>
          <w:bCs/>
          <w:sz w:val="22"/>
          <w:szCs w:val="22"/>
        </w:rPr>
        <w:t>Señores</w:t>
      </w:r>
    </w:p>
    <w:p w:rsidR="00CA0BB0" w:rsidRPr="003153EE" w:rsidP="00CA0BB0" w14:paraId="6E1383DD" w14:textId="77777777">
      <w:pPr>
        <w:pStyle w:val="NoSpacing"/>
        <w:jc w:val="both"/>
        <w:rPr>
          <w:rFonts w:ascii="Verdana" w:hAnsi="Verdana" w:cs="Arial"/>
        </w:rPr>
      </w:pPr>
      <w:r w:rsidRPr="003153EE">
        <w:rPr>
          <w:rFonts w:ascii="Verdana" w:hAnsi="Verdana" w:cs="Arial"/>
        </w:rPr>
        <w:t>REPRESENTANTES LEGALES DE ENTIDADES VIGILADAS</w:t>
      </w:r>
    </w:p>
    <w:p w:rsidR="00F035E4" w:rsidRPr="003153EE" w:rsidP="00F035E4" w14:paraId="1550D614" w14:textId="77777777">
      <w:pPr>
        <w:ind w:right="-160"/>
        <w:rPr>
          <w:rFonts w:ascii="Verdana" w:hAnsi="Verdana" w:cs="Arial"/>
          <w:sz w:val="22"/>
          <w:szCs w:val="22"/>
        </w:rPr>
      </w:pPr>
    </w:p>
    <w:p w:rsidR="00F035E4" w:rsidRPr="003153EE" w:rsidP="00F035E4" w14:paraId="59317B88" w14:textId="77777777">
      <w:pPr>
        <w:ind w:right="-160"/>
        <w:rPr>
          <w:rFonts w:ascii="Verdana" w:hAnsi="Verdana" w:cs="Arial"/>
          <w:b/>
          <w:bCs/>
          <w:sz w:val="22"/>
          <w:szCs w:val="22"/>
        </w:rPr>
      </w:pPr>
    </w:p>
    <w:p w:rsidR="00CA0BB0" w:rsidRPr="003153EE" w:rsidP="00CA0BB0" w14:paraId="119B7780" w14:textId="11110C89">
      <w:pPr>
        <w:pStyle w:val="NoSpacing"/>
        <w:jc w:val="both"/>
        <w:rPr>
          <w:rFonts w:ascii="Verdana" w:hAnsi="Verdana" w:cs="Arial"/>
        </w:rPr>
      </w:pPr>
      <w:r w:rsidRPr="003153EE">
        <w:rPr>
          <w:rFonts w:ascii="Verdana" w:hAnsi="Verdana" w:cs="Arial"/>
          <w:b/>
          <w:bCs/>
        </w:rPr>
        <w:t xml:space="preserve">Referencia: </w:t>
      </w:r>
      <w:r w:rsidRPr="003153EE" w:rsidR="00640238">
        <w:rPr>
          <w:rFonts w:ascii="Verdana" w:hAnsi="Verdana" w:cs="Arial"/>
          <w:b/>
          <w:bCs/>
        </w:rPr>
        <w:t xml:space="preserve">Cronograma para </w:t>
      </w:r>
      <w:r w:rsidRPr="003153EE" w:rsidR="004F5A9D">
        <w:rPr>
          <w:rFonts w:ascii="Verdana" w:hAnsi="Verdana" w:cs="Arial"/>
          <w:b/>
          <w:bCs/>
        </w:rPr>
        <w:t>la expedición de estándare</w:t>
      </w:r>
      <w:r w:rsidRPr="003153EE" w:rsidR="00E53857">
        <w:rPr>
          <w:rFonts w:ascii="Verdana" w:hAnsi="Verdana" w:cs="Arial"/>
          <w:b/>
          <w:bCs/>
        </w:rPr>
        <w:t>s de intercambio de información en el sistema de finanzas abiertas</w:t>
      </w:r>
    </w:p>
    <w:p w:rsidR="00F035E4" w:rsidRPr="003153EE" w:rsidP="00F035E4" w14:paraId="393FE84F" w14:textId="77777777">
      <w:pPr>
        <w:ind w:right="-160"/>
        <w:rPr>
          <w:rFonts w:ascii="Verdana" w:hAnsi="Verdana" w:cs="Arial"/>
          <w:b/>
          <w:bCs/>
          <w:sz w:val="22"/>
          <w:szCs w:val="22"/>
        </w:rPr>
      </w:pPr>
    </w:p>
    <w:p w:rsidR="00F035E4" w:rsidRPr="003153EE" w:rsidP="00F035E4" w14:paraId="63BFFC82" w14:textId="77777777">
      <w:pPr>
        <w:ind w:right="-160"/>
        <w:rPr>
          <w:rFonts w:ascii="Verdana" w:hAnsi="Verdana" w:cs="Arial"/>
          <w:b/>
          <w:bCs/>
          <w:sz w:val="22"/>
          <w:szCs w:val="22"/>
        </w:rPr>
      </w:pPr>
    </w:p>
    <w:p w:rsidR="00F035E4" w:rsidRPr="003153EE" w:rsidP="00F035E4" w14:paraId="5746F0F3" w14:textId="77777777">
      <w:pPr>
        <w:ind w:right="-160"/>
        <w:rPr>
          <w:rFonts w:ascii="Verdana" w:hAnsi="Verdana" w:cs="Arial"/>
          <w:sz w:val="22"/>
          <w:szCs w:val="22"/>
        </w:rPr>
      </w:pPr>
      <w:r w:rsidRPr="003153EE">
        <w:rPr>
          <w:rFonts w:ascii="Verdana" w:hAnsi="Verdana" w:cs="Arial"/>
          <w:sz w:val="22"/>
          <w:szCs w:val="22"/>
        </w:rPr>
        <w:t xml:space="preserve">Apreciados señores: </w:t>
      </w:r>
    </w:p>
    <w:p w:rsidR="00B56EC6" w:rsidRPr="003153EE" w:rsidP="00F035E4" w14:paraId="60B7B927" w14:textId="77777777">
      <w:pPr>
        <w:jc w:val="both"/>
        <w:rPr>
          <w:rFonts w:ascii="Verdana" w:hAnsi="Verdana" w:cs="Arial"/>
          <w:sz w:val="22"/>
          <w:szCs w:val="22"/>
        </w:rPr>
      </w:pPr>
    </w:p>
    <w:p w:rsidR="006D65C4" w:rsidRPr="003153EE" w:rsidP="006D65C4" w14:paraId="558DA9D8" w14:textId="63A11B13">
      <w:pPr>
        <w:jc w:val="both"/>
        <w:rPr>
          <w:rFonts w:ascii="Verdana" w:hAnsi="Verdana" w:cs="Arial"/>
          <w:sz w:val="22"/>
          <w:szCs w:val="22"/>
          <w:lang w:val="es-CO"/>
        </w:rPr>
      </w:pPr>
      <w:r w:rsidRPr="003153EE">
        <w:rPr>
          <w:rFonts w:ascii="Verdana" w:hAnsi="Verdana" w:cs="Arial"/>
          <w:sz w:val="22"/>
          <w:szCs w:val="22"/>
          <w:lang w:val="es-CO"/>
        </w:rPr>
        <w:t xml:space="preserve">La información es un activo fundamental en el sistema financiero, pues permite que las entidades vigiladas diseñen productos </w:t>
      </w:r>
      <w:r w:rsidRPr="003153EE" w:rsidR="0050328D">
        <w:rPr>
          <w:rFonts w:ascii="Verdana" w:hAnsi="Verdana" w:cs="Arial"/>
          <w:sz w:val="22"/>
          <w:szCs w:val="22"/>
          <w:lang w:val="es-CO"/>
        </w:rPr>
        <w:t xml:space="preserve">ajustados a las necesidades de sus consumidores, y fortalece los procesos de gestión de </w:t>
      </w:r>
      <w:r w:rsidRPr="003153EE" w:rsidR="00C60470">
        <w:rPr>
          <w:rFonts w:ascii="Verdana" w:hAnsi="Verdana" w:cs="Arial"/>
          <w:sz w:val="22"/>
          <w:szCs w:val="22"/>
          <w:lang w:val="es-CO"/>
        </w:rPr>
        <w:t xml:space="preserve">los </w:t>
      </w:r>
      <w:r w:rsidRPr="003153EE" w:rsidR="0050328D">
        <w:rPr>
          <w:rFonts w:ascii="Verdana" w:hAnsi="Verdana" w:cs="Arial"/>
          <w:sz w:val="22"/>
          <w:szCs w:val="22"/>
          <w:lang w:val="es-CO"/>
        </w:rPr>
        <w:t>diferentes riesgos. A s</w:t>
      </w:r>
      <w:r w:rsidRPr="003153EE" w:rsidR="00C60470">
        <w:rPr>
          <w:rFonts w:ascii="Verdana" w:hAnsi="Verdana" w:cs="Arial"/>
          <w:sz w:val="22"/>
          <w:szCs w:val="22"/>
          <w:lang w:val="es-CO"/>
        </w:rPr>
        <w:t xml:space="preserve">u </w:t>
      </w:r>
      <w:r w:rsidRPr="003153EE" w:rsidR="0050328D">
        <w:rPr>
          <w:rFonts w:ascii="Verdana" w:hAnsi="Verdana" w:cs="Arial"/>
          <w:sz w:val="22"/>
          <w:szCs w:val="22"/>
          <w:lang w:val="es-CO"/>
        </w:rPr>
        <w:t>vez,</w:t>
      </w:r>
      <w:r w:rsidRPr="003153EE" w:rsidR="0050609D">
        <w:rPr>
          <w:rFonts w:ascii="Verdana" w:hAnsi="Verdana" w:cs="Arial"/>
          <w:sz w:val="22"/>
          <w:szCs w:val="22"/>
          <w:lang w:val="es-CO"/>
        </w:rPr>
        <w:t xml:space="preserve"> la información es </w:t>
      </w:r>
      <w:r w:rsidRPr="003153EE" w:rsidR="004E3CFF">
        <w:rPr>
          <w:rFonts w:ascii="Verdana" w:hAnsi="Verdana" w:cs="Arial"/>
          <w:sz w:val="22"/>
          <w:szCs w:val="22"/>
          <w:lang w:val="es-CO"/>
        </w:rPr>
        <w:t xml:space="preserve">de gran importancia </w:t>
      </w:r>
      <w:r w:rsidRPr="003153EE" w:rsidR="0050609D">
        <w:rPr>
          <w:rFonts w:ascii="Verdana" w:hAnsi="Verdana" w:cs="Arial"/>
          <w:sz w:val="22"/>
          <w:szCs w:val="22"/>
          <w:lang w:val="es-CO"/>
        </w:rPr>
        <w:t>para que los consumidores financieros puedan tomar decisiones</w:t>
      </w:r>
      <w:r w:rsidRPr="003153EE" w:rsidR="004E3CFF">
        <w:rPr>
          <w:rFonts w:ascii="Verdana" w:hAnsi="Verdana" w:cs="Arial"/>
          <w:sz w:val="22"/>
          <w:szCs w:val="22"/>
          <w:lang w:val="es-CO"/>
        </w:rPr>
        <w:t xml:space="preserve"> adecuadas</w:t>
      </w:r>
      <w:r w:rsidRPr="003153EE" w:rsidR="00D52C9C">
        <w:rPr>
          <w:rFonts w:ascii="Verdana" w:hAnsi="Verdana" w:cs="Arial"/>
          <w:sz w:val="22"/>
          <w:szCs w:val="22"/>
          <w:lang w:val="es-CO"/>
        </w:rPr>
        <w:t xml:space="preserve"> y alineadas con sus</w:t>
      </w:r>
      <w:r w:rsidRPr="003153EE" w:rsidR="00DB39A8">
        <w:rPr>
          <w:rFonts w:ascii="Verdana" w:hAnsi="Verdana" w:cs="Arial"/>
          <w:sz w:val="22"/>
          <w:szCs w:val="22"/>
          <w:lang w:val="es-CO"/>
        </w:rPr>
        <w:t xml:space="preserve"> intereses. </w:t>
      </w:r>
      <w:r w:rsidRPr="003153EE" w:rsidR="00D52C9C">
        <w:rPr>
          <w:rFonts w:ascii="Verdana" w:hAnsi="Verdana" w:cs="Arial"/>
          <w:sz w:val="22"/>
          <w:szCs w:val="22"/>
          <w:lang w:val="es-CO"/>
        </w:rPr>
        <w:t xml:space="preserve"> </w:t>
      </w:r>
      <w:r w:rsidRPr="003153EE" w:rsidR="0050609D">
        <w:rPr>
          <w:rFonts w:ascii="Verdana" w:hAnsi="Verdana" w:cs="Arial"/>
          <w:sz w:val="22"/>
          <w:szCs w:val="22"/>
          <w:lang w:val="es-CO"/>
        </w:rPr>
        <w:t xml:space="preserve"> </w:t>
      </w:r>
      <w:r w:rsidRPr="003153EE" w:rsidR="0050328D">
        <w:rPr>
          <w:rFonts w:ascii="Verdana" w:hAnsi="Verdana" w:cs="Arial"/>
          <w:sz w:val="22"/>
          <w:szCs w:val="22"/>
          <w:lang w:val="es-CO"/>
        </w:rPr>
        <w:t xml:space="preserve"> </w:t>
      </w:r>
    </w:p>
    <w:p w:rsidR="00DB39A8" w:rsidRPr="003153EE" w:rsidP="006D65C4" w14:paraId="1DFDAB7B" w14:textId="77777777">
      <w:pPr>
        <w:jc w:val="both"/>
        <w:rPr>
          <w:rFonts w:ascii="Verdana" w:hAnsi="Verdana" w:cs="Arial"/>
          <w:sz w:val="22"/>
          <w:szCs w:val="22"/>
          <w:lang w:val="es-CO"/>
        </w:rPr>
      </w:pPr>
    </w:p>
    <w:p w:rsidR="006D65C4" w:rsidRPr="003153EE" w:rsidP="006D65C4" w14:paraId="40A6A933" w14:textId="40871D3B">
      <w:pPr>
        <w:jc w:val="both"/>
        <w:rPr>
          <w:rFonts w:ascii="Verdana" w:hAnsi="Verdana" w:cs="Arial"/>
          <w:sz w:val="22"/>
          <w:szCs w:val="22"/>
          <w:lang w:val="es-CO"/>
        </w:rPr>
      </w:pPr>
      <w:r w:rsidRPr="003153EE">
        <w:rPr>
          <w:rFonts w:ascii="Verdana" w:hAnsi="Verdana" w:cs="Arial"/>
          <w:sz w:val="22"/>
          <w:szCs w:val="22"/>
          <w:lang w:val="es-CO"/>
        </w:rPr>
        <w:t xml:space="preserve">En este contexto, </w:t>
      </w:r>
      <w:r w:rsidRPr="003153EE" w:rsidR="00DB39A8">
        <w:rPr>
          <w:rFonts w:ascii="Verdana" w:hAnsi="Verdana" w:cs="Arial"/>
          <w:sz w:val="22"/>
          <w:szCs w:val="22"/>
          <w:lang w:val="es-CO"/>
        </w:rPr>
        <w:t>las</w:t>
      </w:r>
      <w:r w:rsidRPr="003153EE">
        <w:rPr>
          <w:rFonts w:ascii="Verdana" w:hAnsi="Verdana" w:cs="Arial"/>
          <w:sz w:val="22"/>
          <w:szCs w:val="22"/>
          <w:lang w:val="es-CO"/>
        </w:rPr>
        <w:t xml:space="preserve"> </w:t>
      </w:r>
      <w:r w:rsidRPr="003153EE" w:rsidR="00DB39A8">
        <w:rPr>
          <w:rFonts w:ascii="Verdana" w:hAnsi="Verdana" w:cs="Arial"/>
          <w:sz w:val="22"/>
          <w:szCs w:val="22"/>
          <w:lang w:val="es-CO"/>
        </w:rPr>
        <w:t>«</w:t>
      </w:r>
      <w:r w:rsidRPr="003153EE">
        <w:rPr>
          <w:rFonts w:ascii="Verdana" w:hAnsi="Verdana" w:cs="Arial"/>
          <w:sz w:val="22"/>
          <w:szCs w:val="22"/>
          <w:lang w:val="es-CO"/>
        </w:rPr>
        <w:t>finanzas abiertas</w:t>
      </w:r>
      <w:r w:rsidRPr="003153EE" w:rsidR="00DB39A8">
        <w:rPr>
          <w:rFonts w:ascii="Verdana" w:hAnsi="Verdana" w:cs="Arial"/>
          <w:sz w:val="22"/>
          <w:szCs w:val="22"/>
          <w:lang w:val="es-CO"/>
        </w:rPr>
        <w:t>»</w:t>
      </w:r>
      <w:r w:rsidRPr="003153EE" w:rsidR="00C34CB7">
        <w:rPr>
          <w:rFonts w:ascii="Verdana" w:hAnsi="Verdana" w:cs="Arial"/>
          <w:sz w:val="22"/>
          <w:szCs w:val="22"/>
          <w:lang w:val="es-CO"/>
        </w:rPr>
        <w:t xml:space="preserve"> son </w:t>
      </w:r>
      <w:r w:rsidRPr="003153EE" w:rsidR="00A62B20">
        <w:rPr>
          <w:rFonts w:ascii="Verdana" w:hAnsi="Verdana" w:cs="Arial"/>
          <w:sz w:val="22"/>
          <w:szCs w:val="22"/>
          <w:lang w:val="es-CO"/>
        </w:rPr>
        <w:t xml:space="preserve">un concepto de </w:t>
      </w:r>
      <w:r w:rsidRPr="003153EE">
        <w:rPr>
          <w:rFonts w:ascii="Verdana" w:hAnsi="Verdana" w:cs="Arial"/>
          <w:sz w:val="22"/>
          <w:szCs w:val="22"/>
          <w:lang w:val="es-CO"/>
        </w:rPr>
        <w:t xml:space="preserve">gran relevancia para </w:t>
      </w:r>
      <w:r w:rsidRPr="003153EE" w:rsidR="00A62B20">
        <w:rPr>
          <w:rFonts w:ascii="Verdana" w:hAnsi="Verdana" w:cs="Arial"/>
          <w:sz w:val="22"/>
          <w:szCs w:val="22"/>
          <w:lang w:val="es-CO"/>
        </w:rPr>
        <w:t>el sistema financiero c</w:t>
      </w:r>
      <w:r w:rsidRPr="003153EE">
        <w:rPr>
          <w:rFonts w:ascii="Verdana" w:hAnsi="Verdana" w:cs="Arial"/>
          <w:sz w:val="22"/>
          <w:szCs w:val="22"/>
          <w:lang w:val="es-CO"/>
        </w:rPr>
        <w:t>olombia</w:t>
      </w:r>
      <w:r w:rsidRPr="003153EE" w:rsidR="00A62B20">
        <w:rPr>
          <w:rFonts w:ascii="Verdana" w:hAnsi="Verdana" w:cs="Arial"/>
          <w:sz w:val="22"/>
          <w:szCs w:val="22"/>
          <w:lang w:val="es-CO"/>
        </w:rPr>
        <w:t>no</w:t>
      </w:r>
      <w:r w:rsidRPr="003153EE">
        <w:rPr>
          <w:rFonts w:ascii="Verdana" w:hAnsi="Verdana" w:cs="Arial"/>
          <w:sz w:val="22"/>
          <w:szCs w:val="22"/>
          <w:lang w:val="es-CO"/>
        </w:rPr>
        <w:t>, pues transforma los flujos de información al interior del sistema</w:t>
      </w:r>
      <w:r w:rsidRPr="003153EE" w:rsidR="004D2630">
        <w:rPr>
          <w:rFonts w:ascii="Verdana" w:hAnsi="Verdana" w:cs="Arial"/>
          <w:sz w:val="22"/>
          <w:szCs w:val="22"/>
          <w:lang w:val="es-CO"/>
        </w:rPr>
        <w:t xml:space="preserve"> y permite una mayor movilidad de consumidores, productos y servicios</w:t>
      </w:r>
      <w:r w:rsidRPr="003153EE" w:rsidR="007E69A9">
        <w:rPr>
          <w:rFonts w:ascii="Verdana" w:hAnsi="Verdana" w:cs="Arial"/>
          <w:sz w:val="22"/>
          <w:szCs w:val="22"/>
          <w:lang w:val="es-CO"/>
        </w:rPr>
        <w:t>.</w:t>
      </w:r>
    </w:p>
    <w:p w:rsidR="00D65DF3" w:rsidRPr="003153EE" w:rsidP="006D65C4" w14:paraId="3B49E7DB" w14:textId="77777777">
      <w:pPr>
        <w:jc w:val="both"/>
        <w:rPr>
          <w:rFonts w:ascii="Verdana" w:hAnsi="Verdana" w:cs="Arial"/>
          <w:sz w:val="22"/>
          <w:szCs w:val="22"/>
          <w:lang w:val="es-CO"/>
        </w:rPr>
      </w:pPr>
    </w:p>
    <w:p w:rsidR="003D3CB6" w:rsidRPr="003153EE" w:rsidP="003D3CB6" w14:paraId="71470CA9" w14:textId="59BF47FF">
      <w:pPr>
        <w:jc w:val="both"/>
        <w:rPr>
          <w:rFonts w:ascii="Verdana" w:hAnsi="Verdana" w:cs="Arial"/>
          <w:sz w:val="22"/>
          <w:szCs w:val="22"/>
          <w:lang w:val="es-CO"/>
        </w:rPr>
      </w:pPr>
      <w:r w:rsidRPr="003153EE">
        <w:rPr>
          <w:rFonts w:ascii="Verdana" w:hAnsi="Verdana" w:cs="Arial"/>
          <w:sz w:val="22"/>
          <w:szCs w:val="22"/>
          <w:lang w:val="es-CO"/>
        </w:rPr>
        <w:t>El Decreto 1297 de 2022</w:t>
      </w:r>
      <w:r w:rsidRPr="003153EE" w:rsidR="003E49A2">
        <w:rPr>
          <w:rFonts w:ascii="Verdana" w:hAnsi="Verdana" w:cs="Arial"/>
          <w:sz w:val="22"/>
          <w:szCs w:val="22"/>
          <w:lang w:val="es-CO"/>
        </w:rPr>
        <w:t xml:space="preserve"> </w:t>
      </w:r>
      <w:r w:rsidRPr="003153EE">
        <w:rPr>
          <w:rFonts w:ascii="Verdana" w:hAnsi="Verdana" w:cs="Arial"/>
          <w:sz w:val="22"/>
          <w:szCs w:val="22"/>
          <w:lang w:val="es-CO"/>
        </w:rPr>
        <w:t>definió el primer marco regulatorio de las finanzas abiertas en Colombia</w:t>
      </w:r>
      <w:r w:rsidRPr="003153EE" w:rsidR="003E49A2">
        <w:rPr>
          <w:rFonts w:ascii="Verdana" w:hAnsi="Verdana" w:cs="Arial"/>
          <w:sz w:val="22"/>
          <w:szCs w:val="22"/>
          <w:lang w:val="es-CO"/>
        </w:rPr>
        <w:t xml:space="preserve">, a partir de </w:t>
      </w:r>
      <w:r w:rsidRPr="003153EE">
        <w:rPr>
          <w:rFonts w:ascii="Verdana" w:hAnsi="Verdana" w:cs="Arial"/>
          <w:sz w:val="22"/>
          <w:szCs w:val="22"/>
          <w:lang w:val="es-CO"/>
        </w:rPr>
        <w:t xml:space="preserve">un esquema voluntario </w:t>
      </w:r>
      <w:r w:rsidRPr="003153EE" w:rsidR="00BF24D5">
        <w:rPr>
          <w:rFonts w:ascii="Verdana" w:hAnsi="Verdana" w:cs="Arial"/>
          <w:sz w:val="22"/>
          <w:szCs w:val="22"/>
          <w:lang w:val="es-CO"/>
        </w:rPr>
        <w:t>bajo el</w:t>
      </w:r>
      <w:r w:rsidRPr="003153EE">
        <w:rPr>
          <w:rFonts w:ascii="Verdana" w:hAnsi="Verdana" w:cs="Arial"/>
          <w:sz w:val="22"/>
          <w:szCs w:val="22"/>
          <w:lang w:val="es-CO"/>
        </w:rPr>
        <w:t xml:space="preserve"> cual las entidades vigiladas</w:t>
      </w:r>
      <w:r w:rsidRPr="003153EE" w:rsidR="00BE14D1">
        <w:rPr>
          <w:rFonts w:ascii="Verdana" w:hAnsi="Verdana" w:cs="Arial"/>
          <w:sz w:val="22"/>
          <w:szCs w:val="22"/>
          <w:lang w:val="es-CO"/>
        </w:rPr>
        <w:t xml:space="preserve"> </w:t>
      </w:r>
      <w:r w:rsidRPr="003153EE">
        <w:rPr>
          <w:rFonts w:ascii="Verdana" w:hAnsi="Verdana" w:cs="Arial"/>
          <w:sz w:val="22"/>
          <w:szCs w:val="22"/>
          <w:lang w:val="es-CO"/>
        </w:rPr>
        <w:t>pueden tratar la información</w:t>
      </w:r>
      <w:r w:rsidRPr="003153EE" w:rsidR="00BF24D5">
        <w:rPr>
          <w:rFonts w:ascii="Verdana" w:hAnsi="Verdana" w:cs="Arial"/>
          <w:sz w:val="22"/>
          <w:szCs w:val="22"/>
          <w:lang w:val="es-CO"/>
        </w:rPr>
        <w:t xml:space="preserve">, </w:t>
      </w:r>
      <w:r w:rsidRPr="003153EE">
        <w:rPr>
          <w:rFonts w:ascii="Verdana" w:hAnsi="Verdana" w:cs="Arial"/>
          <w:sz w:val="22"/>
          <w:szCs w:val="22"/>
          <w:lang w:val="es-CO"/>
        </w:rPr>
        <w:t>previa</w:t>
      </w:r>
      <w:r w:rsidRPr="003153EE" w:rsidR="00BF24D5">
        <w:rPr>
          <w:rFonts w:ascii="Verdana" w:hAnsi="Verdana" w:cs="Arial"/>
          <w:sz w:val="22"/>
          <w:szCs w:val="22"/>
          <w:lang w:val="es-CO"/>
        </w:rPr>
        <w:t xml:space="preserve"> autorización </w:t>
      </w:r>
      <w:r w:rsidRPr="003153EE">
        <w:rPr>
          <w:rFonts w:ascii="Verdana" w:hAnsi="Verdana" w:cs="Arial"/>
          <w:sz w:val="22"/>
          <w:szCs w:val="22"/>
          <w:lang w:val="es-CO"/>
        </w:rPr>
        <w:t>expresa e informada</w:t>
      </w:r>
      <w:r w:rsidRPr="003153EE" w:rsidR="00BF24D5">
        <w:rPr>
          <w:rFonts w:ascii="Verdana" w:hAnsi="Verdana" w:cs="Arial"/>
          <w:sz w:val="22"/>
          <w:szCs w:val="22"/>
          <w:lang w:val="es-CO"/>
        </w:rPr>
        <w:t xml:space="preserve"> de los consumidores financieros</w:t>
      </w:r>
      <w:r w:rsidRPr="003153EE">
        <w:rPr>
          <w:rFonts w:ascii="Verdana" w:hAnsi="Verdana" w:cs="Arial"/>
          <w:sz w:val="22"/>
          <w:szCs w:val="22"/>
          <w:lang w:val="es-CO"/>
        </w:rPr>
        <w:t xml:space="preserve">. Así mismo, </w:t>
      </w:r>
      <w:r w:rsidRPr="003153EE" w:rsidR="00674E18">
        <w:rPr>
          <w:rFonts w:ascii="Verdana" w:hAnsi="Verdana" w:cs="Arial"/>
          <w:sz w:val="22"/>
          <w:szCs w:val="22"/>
          <w:lang w:val="es-CO"/>
        </w:rPr>
        <w:t xml:space="preserve">este </w:t>
      </w:r>
      <w:r w:rsidR="00010A4B">
        <w:rPr>
          <w:rFonts w:ascii="Verdana" w:hAnsi="Verdana" w:cs="Arial"/>
          <w:sz w:val="22"/>
          <w:szCs w:val="22"/>
          <w:lang w:val="es-CO"/>
        </w:rPr>
        <w:t>D</w:t>
      </w:r>
      <w:r w:rsidRPr="003153EE" w:rsidR="00674E18">
        <w:rPr>
          <w:rFonts w:ascii="Verdana" w:hAnsi="Verdana" w:cs="Arial"/>
          <w:sz w:val="22"/>
          <w:szCs w:val="22"/>
          <w:lang w:val="es-CO"/>
        </w:rPr>
        <w:t xml:space="preserve">ecreto asignó a la </w:t>
      </w:r>
      <w:r w:rsidRPr="003153EE" w:rsidR="00853E3D">
        <w:rPr>
          <w:rFonts w:ascii="Verdana" w:hAnsi="Verdana" w:cs="Arial"/>
          <w:sz w:val="22"/>
          <w:szCs w:val="22"/>
          <w:lang w:val="es-CO"/>
        </w:rPr>
        <w:t>Superintendencia Financiera de Colombia (</w:t>
      </w:r>
      <w:r w:rsidRPr="003153EE" w:rsidR="00674E18">
        <w:rPr>
          <w:rFonts w:ascii="Verdana" w:hAnsi="Verdana" w:cs="Arial"/>
          <w:sz w:val="22"/>
          <w:szCs w:val="22"/>
          <w:lang w:val="es-CO"/>
        </w:rPr>
        <w:t>SFC</w:t>
      </w:r>
      <w:r w:rsidRPr="003153EE" w:rsidR="00853E3D">
        <w:rPr>
          <w:rFonts w:ascii="Verdana" w:hAnsi="Verdana" w:cs="Arial"/>
          <w:sz w:val="22"/>
          <w:szCs w:val="22"/>
          <w:lang w:val="es-CO"/>
        </w:rPr>
        <w:t>)</w:t>
      </w:r>
      <w:r w:rsidRPr="003153EE" w:rsidR="00674E18">
        <w:rPr>
          <w:rFonts w:ascii="Verdana" w:hAnsi="Verdana" w:cs="Arial"/>
          <w:sz w:val="22"/>
          <w:szCs w:val="22"/>
          <w:lang w:val="es-CO"/>
        </w:rPr>
        <w:t xml:space="preserve"> </w:t>
      </w:r>
      <w:r w:rsidRPr="003153EE">
        <w:rPr>
          <w:rFonts w:ascii="Verdana" w:hAnsi="Verdana" w:cs="Arial"/>
          <w:sz w:val="22"/>
          <w:szCs w:val="22"/>
          <w:lang w:val="es-CO"/>
        </w:rPr>
        <w:t>la facultad de definir los estándares tecnológicos relacionados con la seguridad de la información, la infraestructura y demás aspectos necesarios para promover la interoperabilidad y el desarrollo de las finanzas abiertas.</w:t>
      </w:r>
    </w:p>
    <w:p w:rsidR="003D3CB6" w:rsidRPr="003153EE" w:rsidP="003D3CB6" w14:paraId="4DBDA315" w14:textId="77777777">
      <w:pPr>
        <w:jc w:val="both"/>
        <w:rPr>
          <w:rFonts w:ascii="Verdana" w:hAnsi="Verdana" w:cs="Arial"/>
          <w:sz w:val="22"/>
          <w:szCs w:val="22"/>
          <w:lang w:val="es-CO"/>
        </w:rPr>
      </w:pPr>
    </w:p>
    <w:p w:rsidR="00432460" w:rsidRPr="003153EE" w:rsidP="00F035E4" w14:paraId="72C7A4DC" w14:textId="7C0A2DF5">
      <w:pPr>
        <w:jc w:val="both"/>
        <w:rPr>
          <w:rFonts w:ascii="Verdana" w:hAnsi="Verdana" w:cs="Arial"/>
          <w:sz w:val="22"/>
          <w:szCs w:val="22"/>
          <w:lang w:val="es-CO"/>
        </w:rPr>
      </w:pPr>
      <w:r w:rsidRPr="003153EE">
        <w:rPr>
          <w:rFonts w:ascii="Verdana" w:hAnsi="Verdana" w:cs="Arial"/>
          <w:sz w:val="22"/>
          <w:szCs w:val="22"/>
          <w:lang w:val="es-CO"/>
        </w:rPr>
        <w:t xml:space="preserve">En </w:t>
      </w:r>
      <w:r w:rsidRPr="003153EE" w:rsidR="00853E3D">
        <w:rPr>
          <w:rFonts w:ascii="Verdana" w:hAnsi="Verdana" w:cs="Arial"/>
          <w:sz w:val="22"/>
          <w:szCs w:val="22"/>
          <w:lang w:val="es-CO"/>
        </w:rPr>
        <w:t xml:space="preserve">desarrollo de dicha facultad la SFC expidió </w:t>
      </w:r>
      <w:r w:rsidRPr="003153EE">
        <w:rPr>
          <w:rFonts w:ascii="Verdana" w:hAnsi="Verdana" w:cs="Arial"/>
          <w:sz w:val="22"/>
          <w:szCs w:val="22"/>
          <w:lang w:val="es-CO"/>
        </w:rPr>
        <w:t>la Circular Externa 004 de 2024</w:t>
      </w:r>
      <w:r w:rsidR="00552199">
        <w:rPr>
          <w:rFonts w:ascii="Verdana" w:hAnsi="Verdana" w:cs="Arial"/>
          <w:sz w:val="22"/>
          <w:szCs w:val="22"/>
          <w:lang w:val="es-CO"/>
        </w:rPr>
        <w:t>.</w:t>
      </w:r>
      <w:r w:rsidRPr="003153EE">
        <w:rPr>
          <w:rFonts w:ascii="Verdana" w:hAnsi="Verdana" w:cs="Arial"/>
          <w:sz w:val="22"/>
          <w:szCs w:val="22"/>
          <w:lang w:val="es-CO"/>
        </w:rPr>
        <w:t xml:space="preserve"> </w:t>
      </w:r>
      <w:r w:rsidR="00552199">
        <w:rPr>
          <w:rFonts w:ascii="Verdana" w:hAnsi="Verdana" w:cs="Arial"/>
          <w:sz w:val="22"/>
          <w:szCs w:val="22"/>
          <w:lang w:val="es-CO"/>
        </w:rPr>
        <w:t>En dicha Circular</w:t>
      </w:r>
      <w:r w:rsidRPr="003153EE" w:rsidR="006C27EB">
        <w:rPr>
          <w:rFonts w:ascii="Verdana" w:hAnsi="Verdana" w:cs="Arial"/>
          <w:sz w:val="22"/>
          <w:szCs w:val="22"/>
          <w:lang w:val="es-CO"/>
        </w:rPr>
        <w:t xml:space="preserve"> se establecieron </w:t>
      </w:r>
      <w:r w:rsidRPr="003153EE">
        <w:rPr>
          <w:rFonts w:ascii="Verdana" w:hAnsi="Verdana" w:cs="Arial"/>
          <w:sz w:val="22"/>
          <w:szCs w:val="22"/>
          <w:lang w:val="es-CO"/>
        </w:rPr>
        <w:t>los estándares tecnológicos, de seguridad y demás aspectos necesarios para el desarrollo de las finanzas abiertas en condiciones de interoperabilidad</w:t>
      </w:r>
      <w:r w:rsidR="005C3421">
        <w:rPr>
          <w:rFonts w:ascii="Verdana" w:hAnsi="Verdana" w:cs="Arial"/>
          <w:sz w:val="22"/>
          <w:szCs w:val="22"/>
          <w:lang w:val="es-CO"/>
        </w:rPr>
        <w:t xml:space="preserve">. Adicionalmente, la Circular </w:t>
      </w:r>
      <w:r w:rsidR="003E0A13">
        <w:rPr>
          <w:rFonts w:ascii="Verdana" w:hAnsi="Verdana" w:cs="Arial"/>
          <w:sz w:val="22"/>
          <w:szCs w:val="22"/>
          <w:lang w:val="es-CO"/>
        </w:rPr>
        <w:t>impartió</w:t>
      </w:r>
      <w:r w:rsidR="005C3421">
        <w:rPr>
          <w:rFonts w:ascii="Verdana" w:hAnsi="Verdana" w:cs="Arial"/>
          <w:sz w:val="22"/>
          <w:szCs w:val="22"/>
          <w:lang w:val="es-CO"/>
        </w:rPr>
        <w:t xml:space="preserve"> </w:t>
      </w:r>
      <w:r w:rsidRPr="003153EE" w:rsidR="000F4381">
        <w:rPr>
          <w:rFonts w:ascii="Verdana" w:hAnsi="Verdana" w:cs="Arial"/>
          <w:sz w:val="22"/>
          <w:szCs w:val="22"/>
          <w:lang w:val="es-CO"/>
        </w:rPr>
        <w:t xml:space="preserve">instrucciones sobre el consentimiento de los consumidores financieros en el sistema de finanzas </w:t>
      </w:r>
      <w:r w:rsidRPr="003153EE" w:rsidR="00866262">
        <w:rPr>
          <w:rFonts w:ascii="Verdana" w:hAnsi="Verdana" w:cs="Arial"/>
          <w:sz w:val="22"/>
          <w:szCs w:val="22"/>
          <w:lang w:val="es-CO"/>
        </w:rPr>
        <w:t xml:space="preserve">abiertas </w:t>
      </w:r>
      <w:r w:rsidRPr="003153EE" w:rsidR="00B6316E">
        <w:rPr>
          <w:rFonts w:ascii="Verdana" w:hAnsi="Verdana" w:cs="Arial"/>
          <w:sz w:val="22"/>
          <w:szCs w:val="22"/>
          <w:lang w:val="es-CO"/>
        </w:rPr>
        <w:t xml:space="preserve">y lineamientos para los esquemas de intercambio de información con terceros no vigilados. </w:t>
      </w:r>
    </w:p>
    <w:p w:rsidR="00180906" w:rsidRPr="003153EE" w:rsidP="00F035E4" w14:paraId="4A8F547C" w14:textId="77777777">
      <w:pPr>
        <w:jc w:val="both"/>
        <w:rPr>
          <w:rFonts w:ascii="Verdana" w:hAnsi="Verdana" w:cs="Arial"/>
          <w:sz w:val="22"/>
          <w:szCs w:val="22"/>
        </w:rPr>
      </w:pPr>
    </w:p>
    <w:p w:rsidR="00180906" w:rsidRPr="003153EE" w:rsidP="00180906" w14:paraId="41ECF725" w14:textId="6DB38335">
      <w:pPr>
        <w:jc w:val="both"/>
        <w:rPr>
          <w:rFonts w:ascii="Verdana" w:hAnsi="Verdana" w:cs="Arial"/>
          <w:sz w:val="22"/>
          <w:szCs w:val="22"/>
          <w:lang w:val="es-CO"/>
        </w:rPr>
      </w:pPr>
      <w:r w:rsidRPr="003153EE">
        <w:rPr>
          <w:rFonts w:ascii="Verdana" w:hAnsi="Verdana" w:cs="Arial"/>
          <w:sz w:val="22"/>
          <w:szCs w:val="22"/>
          <w:lang w:val="es-CO"/>
        </w:rPr>
        <w:t>Ahora bien, el artículo 89 de la Ley 2294 de 2023 establec</w:t>
      </w:r>
      <w:r w:rsidR="006C04C1">
        <w:rPr>
          <w:rFonts w:ascii="Verdana" w:hAnsi="Verdana" w:cs="Arial"/>
          <w:sz w:val="22"/>
          <w:szCs w:val="22"/>
          <w:lang w:val="es-CO"/>
        </w:rPr>
        <w:t>e</w:t>
      </w:r>
      <w:r w:rsidRPr="003153EE">
        <w:rPr>
          <w:rFonts w:ascii="Verdana" w:hAnsi="Verdana" w:cs="Arial"/>
          <w:sz w:val="22"/>
          <w:szCs w:val="22"/>
          <w:lang w:val="es-CO"/>
        </w:rPr>
        <w:t xml:space="preserve"> que la totalidad de las entidades públicas y privadas deben suministrar toda aquella información que pueda ser empleada para facilitar el acceso a productos y servicios financieros. De igual forma, esta norma orden</w:t>
      </w:r>
      <w:r w:rsidR="008221F2">
        <w:rPr>
          <w:rFonts w:ascii="Verdana" w:hAnsi="Verdana" w:cs="Arial"/>
          <w:sz w:val="22"/>
          <w:szCs w:val="22"/>
          <w:lang w:val="es-CO"/>
        </w:rPr>
        <w:t>a</w:t>
      </w:r>
      <w:r w:rsidRPr="003153EE">
        <w:rPr>
          <w:rFonts w:ascii="Verdana" w:hAnsi="Verdana" w:cs="Arial"/>
          <w:sz w:val="22"/>
          <w:szCs w:val="22"/>
          <w:lang w:val="es-CO"/>
        </w:rPr>
        <w:t xml:space="preserve"> al Gobierno Nacional la reglamentación de sus disposiciones para garantizar un adecuado funcionamiento del esquema.</w:t>
      </w:r>
    </w:p>
    <w:p w:rsidR="00180906" w:rsidRPr="003153EE" w:rsidP="00180906" w14:paraId="3AD229CC" w14:textId="77777777">
      <w:pPr>
        <w:jc w:val="both"/>
        <w:rPr>
          <w:rFonts w:ascii="Verdana" w:hAnsi="Verdana" w:cs="Arial"/>
          <w:sz w:val="22"/>
          <w:szCs w:val="22"/>
          <w:lang w:val="es-ES_tradnl"/>
        </w:rPr>
      </w:pPr>
    </w:p>
    <w:p w:rsidR="00180906" w:rsidRPr="003153EE" w:rsidP="008B4EEA" w14:paraId="43B3E6C2" w14:textId="1ABD7C78">
      <w:pPr>
        <w:jc w:val="both"/>
        <w:rPr>
          <w:rFonts w:ascii="Verdana" w:hAnsi="Verdana" w:cs="Arial"/>
          <w:sz w:val="22"/>
          <w:szCs w:val="22"/>
          <w:lang w:val="es-CO"/>
        </w:rPr>
      </w:pPr>
      <w:r w:rsidRPr="003153EE">
        <w:rPr>
          <w:rFonts w:ascii="Verdana" w:hAnsi="Verdana" w:cs="Arial"/>
          <w:sz w:val="22"/>
          <w:szCs w:val="22"/>
          <w:lang w:val="es-ES_tradnl"/>
        </w:rPr>
        <w:t xml:space="preserve">En </w:t>
      </w:r>
      <w:r w:rsidRPr="003153EE" w:rsidR="00C20459">
        <w:rPr>
          <w:rFonts w:ascii="Verdana" w:hAnsi="Verdana" w:cs="Arial"/>
          <w:sz w:val="22"/>
          <w:szCs w:val="22"/>
          <w:lang w:val="es-ES_tradnl"/>
        </w:rPr>
        <w:t>línea con</w:t>
      </w:r>
      <w:r w:rsidRPr="003153EE">
        <w:rPr>
          <w:rFonts w:ascii="Verdana" w:hAnsi="Verdana" w:cs="Arial"/>
          <w:sz w:val="22"/>
          <w:szCs w:val="22"/>
          <w:lang w:val="es-ES_tradnl"/>
        </w:rPr>
        <w:t xml:space="preserve"> </w:t>
      </w:r>
      <w:r w:rsidRPr="003153EE" w:rsidR="008B4EEA">
        <w:rPr>
          <w:rFonts w:ascii="Verdana" w:hAnsi="Verdana" w:cs="Arial"/>
          <w:sz w:val="22"/>
          <w:szCs w:val="22"/>
          <w:lang w:val="es-ES_tradnl"/>
        </w:rPr>
        <w:t>este</w:t>
      </w:r>
      <w:r w:rsidRPr="003153EE">
        <w:rPr>
          <w:rFonts w:ascii="Verdana" w:hAnsi="Verdana" w:cs="Arial"/>
          <w:sz w:val="22"/>
          <w:szCs w:val="22"/>
          <w:lang w:val="es-ES_tradnl"/>
        </w:rPr>
        <w:t xml:space="preserve"> mandato, el Gobierno </w:t>
      </w:r>
      <w:r w:rsidR="002D11CD">
        <w:rPr>
          <w:rFonts w:ascii="Verdana" w:hAnsi="Verdana" w:cs="Arial"/>
          <w:sz w:val="22"/>
          <w:szCs w:val="22"/>
          <w:lang w:val="es-ES_tradnl"/>
        </w:rPr>
        <w:t>N</w:t>
      </w:r>
      <w:r w:rsidRPr="003153EE">
        <w:rPr>
          <w:rFonts w:ascii="Verdana" w:hAnsi="Verdana" w:cs="Arial"/>
          <w:sz w:val="22"/>
          <w:szCs w:val="22"/>
          <w:lang w:val="es-ES_tradnl"/>
        </w:rPr>
        <w:t xml:space="preserve">acional expidió el Decreto 0368 de 2026, por medio del cual se </w:t>
      </w:r>
      <w:r w:rsidRPr="003153EE" w:rsidR="00976CB6">
        <w:rPr>
          <w:rFonts w:ascii="Verdana" w:hAnsi="Verdana" w:cs="Arial"/>
          <w:sz w:val="22"/>
          <w:szCs w:val="22"/>
          <w:lang w:val="es-ES_tradnl"/>
        </w:rPr>
        <w:t>sustituyó el Título 8 del Libro 35 de la Parte 2</w:t>
      </w:r>
      <w:r w:rsidRPr="003153EE" w:rsidR="008C64BB">
        <w:rPr>
          <w:rFonts w:ascii="Verdana" w:hAnsi="Verdana" w:cs="Arial"/>
          <w:sz w:val="22"/>
          <w:szCs w:val="22"/>
          <w:lang w:val="es-ES_tradnl"/>
        </w:rPr>
        <w:t xml:space="preserve"> del Decreto 2555 de 2010, y se </w:t>
      </w:r>
      <w:r w:rsidRPr="003153EE">
        <w:rPr>
          <w:rFonts w:ascii="Verdana" w:hAnsi="Verdana" w:cs="Arial"/>
          <w:sz w:val="22"/>
          <w:szCs w:val="22"/>
          <w:lang w:val="es-ES_tradnl"/>
        </w:rPr>
        <w:t xml:space="preserve">estableció un sistema de finanzas abiertas de carácter obligatorio para las entidades vigiladas </w:t>
      </w:r>
      <w:r w:rsidRPr="003153EE" w:rsidR="008B4EEA">
        <w:rPr>
          <w:rFonts w:ascii="Verdana" w:hAnsi="Verdana" w:cs="Arial"/>
          <w:sz w:val="22"/>
          <w:szCs w:val="22"/>
          <w:lang w:val="es-ES_tradnl"/>
        </w:rPr>
        <w:t>señaladas en</w:t>
      </w:r>
      <w:r w:rsidRPr="003153EE">
        <w:rPr>
          <w:rFonts w:ascii="Verdana" w:hAnsi="Verdana" w:cs="Arial"/>
          <w:sz w:val="22"/>
          <w:szCs w:val="22"/>
          <w:lang w:val="es-ES_tradnl"/>
        </w:rPr>
        <w:t xml:space="preserve"> el artículo 2.35.8.2.3. del Decreto 2555 de 2010. Así las cosas, este nuevo marco normativo representó un cambio de aproximación frente </w:t>
      </w:r>
      <w:r w:rsidRPr="003153EE">
        <w:rPr>
          <w:rFonts w:ascii="Verdana" w:hAnsi="Verdana" w:cs="Arial"/>
          <w:sz w:val="22"/>
          <w:szCs w:val="22"/>
          <w:lang w:val="es-CO"/>
        </w:rPr>
        <w:t xml:space="preserve">al esquema de finanzas abiertas voluntario previsto en el Decreto 1297 de </w:t>
      </w:r>
      <w:r w:rsidRPr="003153EE" w:rsidR="00866262">
        <w:rPr>
          <w:rFonts w:ascii="Verdana" w:hAnsi="Verdana" w:cs="Arial"/>
          <w:sz w:val="22"/>
          <w:szCs w:val="22"/>
          <w:lang w:val="es-CO"/>
        </w:rPr>
        <w:t>2022</w:t>
      </w:r>
      <w:r w:rsidRPr="003153EE" w:rsidR="008B4EEA">
        <w:rPr>
          <w:rFonts w:ascii="Verdana" w:hAnsi="Verdana" w:cs="Arial"/>
          <w:sz w:val="22"/>
          <w:szCs w:val="22"/>
          <w:lang w:val="es-CO"/>
        </w:rPr>
        <w:t>.</w:t>
      </w:r>
    </w:p>
    <w:p w:rsidR="008B4EEA" w:rsidRPr="003153EE" w:rsidP="008B4EEA" w14:paraId="05B8207D" w14:textId="77777777">
      <w:pPr>
        <w:jc w:val="both"/>
        <w:rPr>
          <w:rFonts w:ascii="Verdana" w:hAnsi="Verdana" w:cs="Arial"/>
          <w:sz w:val="22"/>
          <w:szCs w:val="22"/>
          <w:lang w:val="es-CO"/>
        </w:rPr>
      </w:pPr>
    </w:p>
    <w:p w:rsidR="00E741D1" w:rsidRPr="003153EE" w:rsidP="00E741D1" w14:paraId="42A124D4" w14:textId="6EAEC319">
      <w:pPr>
        <w:jc w:val="both"/>
        <w:rPr>
          <w:rFonts w:ascii="Verdana" w:hAnsi="Verdana" w:cs="Arial"/>
          <w:sz w:val="22"/>
          <w:szCs w:val="22"/>
        </w:rPr>
      </w:pPr>
      <w:r w:rsidRPr="003153EE">
        <w:rPr>
          <w:rFonts w:ascii="Verdana" w:hAnsi="Verdana" w:cs="Arial"/>
          <w:sz w:val="22"/>
          <w:szCs w:val="22"/>
          <w:lang w:val="es-CO"/>
        </w:rPr>
        <w:t>De forma particular</w:t>
      </w:r>
      <w:r w:rsidRPr="003153EE" w:rsidR="006B784A">
        <w:rPr>
          <w:rFonts w:ascii="Verdana" w:hAnsi="Verdana" w:cs="Arial"/>
          <w:sz w:val="22"/>
          <w:szCs w:val="22"/>
          <w:lang w:val="es-CO"/>
        </w:rPr>
        <w:t xml:space="preserve">, </w:t>
      </w:r>
      <w:r w:rsidRPr="003153EE">
        <w:rPr>
          <w:rFonts w:ascii="Verdana" w:hAnsi="Verdana" w:cs="Arial"/>
          <w:sz w:val="22"/>
          <w:szCs w:val="22"/>
          <w:lang w:val="es-CO"/>
        </w:rPr>
        <w:t xml:space="preserve">el </w:t>
      </w:r>
      <w:r w:rsidRPr="003153EE">
        <w:rPr>
          <w:rFonts w:ascii="Verdana" w:hAnsi="Verdana" w:cs="Arial"/>
          <w:sz w:val="22"/>
          <w:szCs w:val="22"/>
        </w:rPr>
        <w:t xml:space="preserve">artículo </w:t>
      </w:r>
      <w:r w:rsidRPr="003153EE" w:rsidR="00EA1B8E">
        <w:rPr>
          <w:rFonts w:ascii="Verdana" w:hAnsi="Verdana" w:cs="Arial"/>
          <w:sz w:val="22"/>
          <w:szCs w:val="22"/>
        </w:rPr>
        <w:t xml:space="preserve">2.35.8.4.1. </w:t>
      </w:r>
      <w:r w:rsidRPr="003153EE">
        <w:rPr>
          <w:rFonts w:ascii="Verdana" w:hAnsi="Verdana" w:cs="Arial"/>
          <w:sz w:val="22"/>
          <w:szCs w:val="22"/>
        </w:rPr>
        <w:t>del Decreto 2555 de 2010</w:t>
      </w:r>
      <w:r w:rsidRPr="003153EE" w:rsidR="00930D64">
        <w:rPr>
          <w:rFonts w:ascii="Verdana" w:hAnsi="Verdana" w:cs="Arial"/>
          <w:sz w:val="22"/>
          <w:szCs w:val="22"/>
        </w:rPr>
        <w:t>, modificado por el Decreto 0368 de 2026,</w:t>
      </w:r>
      <w:r w:rsidRPr="003153EE">
        <w:rPr>
          <w:rFonts w:ascii="Verdana" w:hAnsi="Verdana" w:cs="Arial"/>
          <w:sz w:val="22"/>
          <w:szCs w:val="22"/>
        </w:rPr>
        <w:t xml:space="preserve"> </w:t>
      </w:r>
      <w:r w:rsidRPr="003153EE" w:rsidR="00930D64">
        <w:rPr>
          <w:rFonts w:ascii="Verdana" w:hAnsi="Verdana" w:cs="Arial"/>
          <w:sz w:val="22"/>
          <w:szCs w:val="22"/>
        </w:rPr>
        <w:t xml:space="preserve">definió lineamientos para el desarrollo de </w:t>
      </w:r>
      <w:r w:rsidRPr="003153EE" w:rsidR="00930D64">
        <w:rPr>
          <w:rFonts w:ascii="Verdana" w:hAnsi="Verdana" w:cs="Arial"/>
          <w:sz w:val="22"/>
          <w:szCs w:val="22"/>
        </w:rPr>
        <w:t xml:space="preserve">estándares que promuevan la interoperabilidad en el marco del sistema de finanzas abiertas. </w:t>
      </w:r>
      <w:r w:rsidRPr="003153EE" w:rsidR="00866262">
        <w:rPr>
          <w:rFonts w:ascii="Verdana" w:hAnsi="Verdana" w:cs="Arial"/>
          <w:sz w:val="22"/>
          <w:szCs w:val="22"/>
        </w:rPr>
        <w:t>En este sentido</w:t>
      </w:r>
      <w:r w:rsidRPr="003153EE" w:rsidR="00572EBE">
        <w:rPr>
          <w:rFonts w:ascii="Verdana" w:hAnsi="Verdana" w:cs="Arial"/>
          <w:sz w:val="22"/>
          <w:szCs w:val="22"/>
        </w:rPr>
        <w:t xml:space="preserve">, </w:t>
      </w:r>
      <w:r w:rsidR="00FB3962">
        <w:rPr>
          <w:rFonts w:ascii="Verdana" w:hAnsi="Verdana" w:cs="Arial"/>
          <w:sz w:val="22"/>
          <w:szCs w:val="22"/>
        </w:rPr>
        <w:t>dicha</w:t>
      </w:r>
      <w:r w:rsidRPr="003153EE" w:rsidR="00FB3962">
        <w:rPr>
          <w:rFonts w:ascii="Verdana" w:hAnsi="Verdana" w:cs="Arial"/>
          <w:sz w:val="22"/>
          <w:szCs w:val="22"/>
        </w:rPr>
        <w:t xml:space="preserve"> </w:t>
      </w:r>
      <w:r w:rsidRPr="003153EE" w:rsidR="00572EBE">
        <w:rPr>
          <w:rFonts w:ascii="Verdana" w:hAnsi="Verdana" w:cs="Arial"/>
          <w:sz w:val="22"/>
          <w:szCs w:val="22"/>
        </w:rPr>
        <w:t>disposición señaló:</w:t>
      </w:r>
      <w:r w:rsidRPr="003153EE" w:rsidR="00930D64">
        <w:rPr>
          <w:rFonts w:ascii="Verdana" w:hAnsi="Verdana" w:cs="Arial"/>
          <w:sz w:val="22"/>
          <w:szCs w:val="22"/>
        </w:rPr>
        <w:t xml:space="preserve"> </w:t>
      </w:r>
    </w:p>
    <w:p w:rsidR="00E741D1" w:rsidRPr="003153EE" w:rsidP="00E741D1" w14:paraId="3D3575A3" w14:textId="77777777">
      <w:pPr>
        <w:jc w:val="both"/>
        <w:rPr>
          <w:rFonts w:ascii="Verdana" w:hAnsi="Verdana" w:cs="Arial"/>
          <w:sz w:val="22"/>
          <w:szCs w:val="22"/>
        </w:rPr>
      </w:pPr>
    </w:p>
    <w:p w:rsidR="009D2DA0" w:rsidRPr="003153EE" w:rsidP="0076736F" w14:paraId="747A747C" w14:textId="72F61759">
      <w:pPr>
        <w:ind w:left="284"/>
        <w:jc w:val="both"/>
        <w:rPr>
          <w:rFonts w:ascii="Verdana" w:hAnsi="Verdana" w:cs="Arial"/>
          <w:i/>
          <w:iCs/>
          <w:sz w:val="22"/>
          <w:szCs w:val="22"/>
        </w:rPr>
      </w:pPr>
      <w:r w:rsidRPr="00B30BD2">
        <w:rPr>
          <w:rFonts w:ascii="Verdana" w:hAnsi="Verdana" w:cs="Arial"/>
          <w:sz w:val="22"/>
          <w:szCs w:val="22"/>
        </w:rPr>
        <w:t>«</w:t>
      </w:r>
      <w:r w:rsidRPr="003153EE" w:rsidR="00C913BA">
        <w:rPr>
          <w:rFonts w:ascii="Verdana" w:hAnsi="Verdana" w:cs="Arial"/>
          <w:i/>
          <w:iCs/>
          <w:sz w:val="22"/>
          <w:szCs w:val="22"/>
        </w:rPr>
        <w:t xml:space="preserve">Artículo 2.35.8.4.1. Estándares. El sistema de finanzas abiertas se regirá por los estándares comunes de obligatoria aplicación definidos por la Superintendencia Financiera de Colombia. Los estándares comprenderán elementos técnicos, tecnológicos, funcionales y operacionales, como aquellos a los que hace referencia el parágrafo 1 del artículo 2.35.8.2.1 y el artículo 2.35.8.3.6 y los demás aspectos que se consideren necesarios para el adecuado funcionamiento del sistema. </w:t>
      </w:r>
    </w:p>
    <w:p w:rsidR="009D2DA0" w:rsidRPr="003153EE" w:rsidP="0076736F" w14:paraId="0D303135" w14:textId="77777777">
      <w:pPr>
        <w:ind w:left="284"/>
        <w:jc w:val="both"/>
        <w:rPr>
          <w:rFonts w:ascii="Verdana" w:hAnsi="Verdana" w:cs="Arial"/>
          <w:i/>
          <w:iCs/>
          <w:sz w:val="22"/>
          <w:szCs w:val="22"/>
        </w:rPr>
      </w:pPr>
    </w:p>
    <w:p w:rsidR="00EA1B8E" w:rsidRPr="003153EE" w:rsidP="0076736F" w14:paraId="1CCF313F" w14:textId="1336285C">
      <w:pPr>
        <w:ind w:left="284"/>
        <w:jc w:val="both"/>
        <w:rPr>
          <w:rFonts w:ascii="Verdana" w:hAnsi="Verdana" w:cs="Arial"/>
          <w:i/>
          <w:iCs/>
          <w:sz w:val="22"/>
          <w:szCs w:val="22"/>
          <w:lang w:val="es-CO"/>
        </w:rPr>
      </w:pPr>
      <w:r w:rsidRPr="003153EE">
        <w:rPr>
          <w:rFonts w:ascii="Verdana" w:hAnsi="Verdana" w:cs="Arial"/>
          <w:i/>
          <w:iCs/>
          <w:sz w:val="22"/>
          <w:szCs w:val="22"/>
        </w:rPr>
        <w:t>La Superintendencia Financiera de Colombia será la entidad encargada de establecer, actualizar y publicar los estándares del sistema de finanzas abiertas y podrá crear grupos de trabajo con la participación del sector privado y otras autoridades para los fines de este artículo</w:t>
      </w:r>
      <w:r w:rsidRPr="00B30BD2" w:rsidR="00FB3962">
        <w:rPr>
          <w:rFonts w:ascii="Verdana" w:hAnsi="Verdana" w:cs="Arial"/>
          <w:sz w:val="22"/>
          <w:szCs w:val="22"/>
        </w:rPr>
        <w:t>»</w:t>
      </w:r>
      <w:r w:rsidRPr="003153EE">
        <w:rPr>
          <w:rFonts w:ascii="Verdana" w:hAnsi="Verdana" w:cs="Arial"/>
          <w:i/>
          <w:iCs/>
          <w:sz w:val="22"/>
          <w:szCs w:val="22"/>
        </w:rPr>
        <w:t>.</w:t>
      </w:r>
    </w:p>
    <w:p w:rsidR="00EA1B8E" w:rsidRPr="003153EE" w:rsidP="004D7AB3" w14:paraId="1E8232D3" w14:textId="77777777">
      <w:pPr>
        <w:rPr>
          <w:rFonts w:ascii="Verdana" w:hAnsi="Verdana" w:cs="Arial"/>
          <w:sz w:val="22"/>
          <w:szCs w:val="22"/>
          <w:lang w:val="es-CO"/>
        </w:rPr>
      </w:pPr>
    </w:p>
    <w:p w:rsidR="00804677" w:rsidRPr="003153EE" w:rsidP="00AB61D2" w14:paraId="4E0587A1" w14:textId="63F1EF25">
      <w:pPr>
        <w:jc w:val="both"/>
        <w:rPr>
          <w:rFonts w:ascii="Verdana" w:hAnsi="Verdana" w:cs="Arial"/>
          <w:sz w:val="22"/>
          <w:szCs w:val="22"/>
          <w:lang w:val="es-CO"/>
        </w:rPr>
      </w:pPr>
      <w:r w:rsidRPr="003153EE">
        <w:rPr>
          <w:rFonts w:ascii="Verdana" w:hAnsi="Verdana" w:cs="Arial"/>
          <w:sz w:val="22"/>
          <w:szCs w:val="22"/>
          <w:lang w:val="es-CO"/>
        </w:rPr>
        <w:t xml:space="preserve">De tal manera, </w:t>
      </w:r>
      <w:r w:rsidRPr="003153EE" w:rsidR="002D71CF">
        <w:rPr>
          <w:rFonts w:ascii="Verdana" w:hAnsi="Verdana" w:cs="Arial"/>
          <w:sz w:val="22"/>
          <w:szCs w:val="22"/>
          <w:lang w:val="es-CO"/>
        </w:rPr>
        <w:t xml:space="preserve">la SFC es la autoridad encargada de establecer los lineamientos </w:t>
      </w:r>
      <w:r w:rsidRPr="003153EE" w:rsidR="00157816">
        <w:rPr>
          <w:rFonts w:ascii="Verdana" w:hAnsi="Verdana" w:cs="Arial"/>
          <w:sz w:val="22"/>
          <w:szCs w:val="22"/>
          <w:lang w:val="es-CO"/>
        </w:rPr>
        <w:t>para el funcionamiento del sistema</w:t>
      </w:r>
      <w:r w:rsidRPr="003153EE" w:rsidR="00AB61D2">
        <w:rPr>
          <w:rFonts w:ascii="Verdana" w:hAnsi="Verdana" w:cs="Arial"/>
          <w:sz w:val="22"/>
          <w:szCs w:val="22"/>
          <w:lang w:val="es-CO"/>
        </w:rPr>
        <w:t xml:space="preserve"> de finanzas abiertas</w:t>
      </w:r>
      <w:r w:rsidRPr="003153EE" w:rsidR="00157816">
        <w:rPr>
          <w:rFonts w:ascii="Verdana" w:hAnsi="Verdana" w:cs="Arial"/>
          <w:sz w:val="22"/>
          <w:szCs w:val="22"/>
          <w:lang w:val="es-CO"/>
        </w:rPr>
        <w:t xml:space="preserve">, incluyendo los </w:t>
      </w:r>
      <w:r w:rsidRPr="003153EE" w:rsidR="00AB61D2">
        <w:rPr>
          <w:rFonts w:ascii="Verdana" w:hAnsi="Verdana" w:cs="Arial"/>
          <w:sz w:val="22"/>
          <w:szCs w:val="22"/>
          <w:lang w:val="es-CO"/>
        </w:rPr>
        <w:t>aspectos señalados en</w:t>
      </w:r>
      <w:r w:rsidRPr="003153EE" w:rsidR="003853BD">
        <w:rPr>
          <w:rFonts w:ascii="Verdana" w:hAnsi="Verdana" w:cs="Arial"/>
          <w:sz w:val="22"/>
          <w:szCs w:val="22"/>
          <w:lang w:val="es-CO"/>
        </w:rPr>
        <w:t xml:space="preserve"> el parágrafo 1 del artículo 2.35.8.2.1 del Decreto 2555 de 2010, el cual </w:t>
      </w:r>
      <w:r w:rsidRPr="003153EE" w:rsidR="007F00B2">
        <w:rPr>
          <w:rFonts w:ascii="Verdana" w:hAnsi="Verdana" w:cs="Arial"/>
          <w:sz w:val="22"/>
          <w:szCs w:val="22"/>
          <w:lang w:val="es-CO"/>
        </w:rPr>
        <w:t>dispone:</w:t>
      </w:r>
    </w:p>
    <w:p w:rsidR="00804677" w:rsidRPr="003153EE" w:rsidP="00AB61D2" w14:paraId="0632E758" w14:textId="77777777">
      <w:pPr>
        <w:jc w:val="both"/>
        <w:rPr>
          <w:rFonts w:ascii="Verdana" w:hAnsi="Verdana" w:cs="Arial"/>
          <w:sz w:val="22"/>
          <w:szCs w:val="22"/>
          <w:lang w:val="es-CO"/>
        </w:rPr>
      </w:pPr>
    </w:p>
    <w:p w:rsidR="004D7AB3" w:rsidRPr="00B30BD2" w:rsidP="00804677" w14:paraId="4D14D7FD" w14:textId="4B7D8FB7">
      <w:pPr>
        <w:ind w:left="284"/>
        <w:jc w:val="both"/>
        <w:rPr>
          <w:rFonts w:ascii="Verdana" w:hAnsi="Verdana"/>
          <w:i/>
          <w:iCs/>
          <w:lang w:val="es-CO"/>
        </w:rPr>
      </w:pPr>
      <w:r w:rsidRPr="00B30BD2">
        <w:rPr>
          <w:rFonts w:ascii="Verdana" w:hAnsi="Verdana" w:cs="Arial"/>
          <w:sz w:val="22"/>
          <w:szCs w:val="22"/>
        </w:rPr>
        <w:t>«</w:t>
      </w:r>
      <w:r w:rsidRPr="003153EE" w:rsidR="00804677">
        <w:rPr>
          <w:rFonts w:ascii="Verdana" w:hAnsi="Verdana" w:cs="Arial"/>
          <w:i/>
          <w:iCs/>
          <w:sz w:val="22"/>
          <w:szCs w:val="22"/>
        </w:rPr>
        <w:t>Parágrafo 1. Los datos específicos de cada una de las categorías de información serán definidos y estandarizados por la Superintendencia Financiera de Colombia. Estos datos podrán ser definidos a partir de casos de uso, los cuales deberán ser pertinentes para dar cumplimiento a los objetivos establecidos en el artículo 2.35.8.1.4 del presente decreto</w:t>
      </w:r>
      <w:r>
        <w:rPr>
          <w:rFonts w:ascii="Verdana" w:hAnsi="Verdana" w:cs="Arial"/>
          <w:sz w:val="22"/>
          <w:szCs w:val="22"/>
        </w:rPr>
        <w:t>»</w:t>
      </w:r>
      <w:r w:rsidRPr="003153EE" w:rsidR="00804677">
        <w:rPr>
          <w:rFonts w:ascii="Verdana" w:hAnsi="Verdana" w:cs="Arial"/>
          <w:i/>
          <w:iCs/>
          <w:sz w:val="22"/>
          <w:szCs w:val="22"/>
        </w:rPr>
        <w:t xml:space="preserve">. </w:t>
      </w:r>
      <w:r w:rsidRPr="003153EE" w:rsidR="00AB61D2">
        <w:rPr>
          <w:rFonts w:ascii="Verdana" w:hAnsi="Verdana" w:cs="Arial"/>
          <w:i/>
          <w:iCs/>
          <w:sz w:val="22"/>
          <w:szCs w:val="22"/>
          <w:lang w:val="es-CO"/>
        </w:rPr>
        <w:t xml:space="preserve">  </w:t>
      </w:r>
    </w:p>
    <w:p w:rsidR="00EA1B8E" w:rsidRPr="003153EE" w:rsidP="008B4EEA" w14:paraId="72FBA74F" w14:textId="77777777">
      <w:pPr>
        <w:jc w:val="both"/>
        <w:rPr>
          <w:rFonts w:ascii="Verdana" w:hAnsi="Verdana" w:cs="Arial"/>
          <w:sz w:val="22"/>
          <w:szCs w:val="22"/>
          <w:lang w:val="es-CO"/>
        </w:rPr>
      </w:pPr>
    </w:p>
    <w:p w:rsidR="00EA1B8E" w:rsidRPr="003153EE" w:rsidP="008B4EEA" w14:paraId="4AD22F95" w14:textId="518BCE80">
      <w:pPr>
        <w:jc w:val="both"/>
        <w:rPr>
          <w:rFonts w:ascii="Verdana" w:hAnsi="Verdana" w:cs="Arial"/>
          <w:sz w:val="22"/>
          <w:szCs w:val="22"/>
          <w:lang w:val="es-CO"/>
        </w:rPr>
      </w:pPr>
      <w:r w:rsidRPr="003153EE">
        <w:rPr>
          <w:rFonts w:ascii="Verdana" w:hAnsi="Verdana" w:cs="Arial"/>
          <w:sz w:val="22"/>
          <w:szCs w:val="22"/>
          <w:lang w:val="es-CO"/>
        </w:rPr>
        <w:t xml:space="preserve">De forma concordante con estas disposiciones, </w:t>
      </w:r>
      <w:r w:rsidRPr="003153EE" w:rsidR="004C2752">
        <w:rPr>
          <w:rFonts w:ascii="Verdana" w:hAnsi="Verdana" w:cs="Arial"/>
          <w:sz w:val="22"/>
          <w:szCs w:val="22"/>
          <w:lang w:val="es-CO"/>
        </w:rPr>
        <w:t xml:space="preserve">el artículo 3 del Decreto 0368 de 2026 </w:t>
      </w:r>
      <w:r w:rsidRPr="003153EE" w:rsidR="00556A20">
        <w:rPr>
          <w:rFonts w:ascii="Verdana" w:hAnsi="Verdana" w:cs="Arial"/>
          <w:sz w:val="22"/>
          <w:szCs w:val="22"/>
          <w:lang w:val="es-CO"/>
        </w:rPr>
        <w:t>indica</w:t>
      </w:r>
      <w:r w:rsidRPr="003153EE" w:rsidR="00866262">
        <w:rPr>
          <w:rFonts w:ascii="Verdana" w:hAnsi="Verdana" w:cs="Arial"/>
          <w:sz w:val="22"/>
          <w:szCs w:val="22"/>
          <w:lang w:val="es-CO"/>
        </w:rPr>
        <w:t xml:space="preserve"> lo siguiente</w:t>
      </w:r>
      <w:r w:rsidRPr="003153EE" w:rsidR="00556A20">
        <w:rPr>
          <w:rFonts w:ascii="Verdana" w:hAnsi="Verdana" w:cs="Arial"/>
          <w:sz w:val="22"/>
          <w:szCs w:val="22"/>
          <w:lang w:val="es-CO"/>
        </w:rPr>
        <w:t>:</w:t>
      </w:r>
    </w:p>
    <w:p w:rsidR="00556A20" w:rsidRPr="003153EE" w:rsidP="008B4EEA" w14:paraId="68D7F386" w14:textId="77777777">
      <w:pPr>
        <w:jc w:val="both"/>
        <w:rPr>
          <w:rFonts w:ascii="Verdana" w:hAnsi="Verdana" w:cs="Arial"/>
          <w:sz w:val="22"/>
          <w:szCs w:val="22"/>
          <w:lang w:val="es-CO"/>
        </w:rPr>
      </w:pPr>
    </w:p>
    <w:p w:rsidR="0009305A" w:rsidRPr="003153EE" w:rsidP="0009305A" w14:paraId="2534B527" w14:textId="1D9BCF46">
      <w:pPr>
        <w:ind w:left="284"/>
        <w:jc w:val="both"/>
        <w:rPr>
          <w:rFonts w:ascii="Verdana" w:hAnsi="Verdana" w:cs="Arial"/>
          <w:i/>
          <w:iCs/>
          <w:sz w:val="22"/>
          <w:szCs w:val="22"/>
        </w:rPr>
      </w:pPr>
      <w:r>
        <w:rPr>
          <w:rFonts w:ascii="Verdana" w:hAnsi="Verdana" w:cs="Arial"/>
          <w:sz w:val="22"/>
          <w:szCs w:val="22"/>
        </w:rPr>
        <w:t>«</w:t>
      </w:r>
      <w:r w:rsidRPr="003153EE" w:rsidR="00556A20">
        <w:rPr>
          <w:rFonts w:ascii="Verdana" w:hAnsi="Verdana" w:cs="Arial"/>
          <w:i/>
          <w:iCs/>
          <w:sz w:val="22"/>
          <w:szCs w:val="22"/>
        </w:rPr>
        <w:t>Artículo 3. Cronograma para la estandarización. La Superintendencia Financiera deberá publicar un cronograma para la expedición de los estándares a los que hace referencia el artículo 2.35.8.4.1 del Decreto 2555 de 2010 incorporado por el artículo 1 del presente decreto. El cronograma incluirá, como mínimo, los estándares para la siguiente información:</w:t>
      </w:r>
    </w:p>
    <w:p w:rsidR="0009305A" w:rsidRPr="003153EE" w:rsidP="0009305A" w14:paraId="5DBAB9C6" w14:textId="77777777">
      <w:pPr>
        <w:ind w:left="284"/>
        <w:jc w:val="both"/>
        <w:rPr>
          <w:rFonts w:ascii="Verdana" w:hAnsi="Verdana" w:cs="Arial"/>
          <w:i/>
          <w:iCs/>
          <w:sz w:val="22"/>
          <w:szCs w:val="22"/>
        </w:rPr>
      </w:pPr>
    </w:p>
    <w:tbl>
      <w:tblPr>
        <w:tblStyle w:val="TableGrid"/>
        <w:tblW w:w="0" w:type="auto"/>
        <w:jc w:val="center"/>
        <w:tblLook w:val="04A0"/>
      </w:tblPr>
      <w:tblGrid>
        <w:gridCol w:w="4956"/>
      </w:tblGrid>
      <w:tr w14:paraId="35FAB627" w14:textId="77777777" w:rsidTr="004647ED">
        <w:tblPrEx>
          <w:tblW w:w="0" w:type="auto"/>
          <w:tblLook w:val="04A0"/>
        </w:tblPrEx>
        <w:tc>
          <w:tcPr>
            <w:tcW w:w="4956" w:type="dxa"/>
          </w:tcPr>
          <w:p w:rsidR="004647ED" w:rsidRPr="003153EE" w:rsidP="004647ED" w14:paraId="6FC6BAD7" w14:textId="234BAF1E">
            <w:pPr>
              <w:jc w:val="center"/>
              <w:rPr>
                <w:rFonts w:ascii="Verdana" w:hAnsi="Verdana" w:cs="Arial"/>
                <w:b/>
                <w:bCs/>
                <w:i/>
                <w:iCs/>
                <w:sz w:val="22"/>
                <w:szCs w:val="22"/>
              </w:rPr>
            </w:pPr>
            <w:r w:rsidRPr="003153EE">
              <w:rPr>
                <w:rFonts w:ascii="Verdana" w:hAnsi="Verdana" w:cs="Arial"/>
                <w:b/>
                <w:bCs/>
                <w:i/>
                <w:iCs/>
                <w:sz w:val="22"/>
                <w:szCs w:val="22"/>
              </w:rPr>
              <w:t>Información o servicio por estandarizar</w:t>
            </w:r>
          </w:p>
        </w:tc>
      </w:tr>
      <w:tr w14:paraId="7B13330D" w14:textId="77777777" w:rsidTr="004647ED">
        <w:tblPrEx>
          <w:tblW w:w="0" w:type="auto"/>
          <w:tblLook w:val="04A0"/>
        </w:tblPrEx>
        <w:tc>
          <w:tcPr>
            <w:tcW w:w="4956" w:type="dxa"/>
          </w:tcPr>
          <w:p w:rsidR="004647ED" w:rsidRPr="003153EE" w:rsidP="0009305A" w14:paraId="6E2ACD4F" w14:textId="1E3CE635">
            <w:pPr>
              <w:jc w:val="both"/>
              <w:rPr>
                <w:rFonts w:ascii="Verdana" w:hAnsi="Verdana" w:cs="Arial"/>
                <w:i/>
                <w:iCs/>
                <w:sz w:val="22"/>
                <w:szCs w:val="22"/>
              </w:rPr>
            </w:pPr>
            <w:r w:rsidRPr="003153EE">
              <w:rPr>
                <w:rFonts w:ascii="Verdana" w:hAnsi="Verdana" w:cs="Arial"/>
                <w:i/>
                <w:iCs/>
                <w:sz w:val="22"/>
                <w:szCs w:val="22"/>
              </w:rPr>
              <w:t>Historial transaccional de los depósitos a la vista que estén a nombre del Titular</w:t>
            </w:r>
          </w:p>
        </w:tc>
      </w:tr>
      <w:tr w14:paraId="02755429" w14:textId="77777777" w:rsidTr="004647ED">
        <w:tblPrEx>
          <w:tblW w:w="0" w:type="auto"/>
          <w:tblLook w:val="04A0"/>
        </w:tblPrEx>
        <w:tc>
          <w:tcPr>
            <w:tcW w:w="4956" w:type="dxa"/>
          </w:tcPr>
          <w:p w:rsidR="004647ED" w:rsidRPr="003153EE" w:rsidP="00F27214" w14:paraId="2A9A7488" w14:textId="619090F6">
            <w:pPr>
              <w:jc w:val="center"/>
              <w:rPr>
                <w:rFonts w:ascii="Verdana" w:hAnsi="Verdana" w:cs="Arial"/>
                <w:i/>
                <w:iCs/>
                <w:sz w:val="22"/>
                <w:szCs w:val="22"/>
              </w:rPr>
            </w:pPr>
            <w:r w:rsidRPr="003153EE">
              <w:rPr>
                <w:rFonts w:ascii="Verdana" w:hAnsi="Verdana" w:cs="Arial"/>
                <w:i/>
                <w:iCs/>
                <w:sz w:val="22"/>
                <w:szCs w:val="22"/>
              </w:rPr>
              <w:t>Historial transaccional de los productos de crédito que estén a nombre del Titular</w:t>
            </w:r>
          </w:p>
        </w:tc>
      </w:tr>
      <w:tr w14:paraId="7599A085" w14:textId="77777777" w:rsidTr="004647ED">
        <w:tblPrEx>
          <w:tblW w:w="0" w:type="auto"/>
          <w:tblLook w:val="04A0"/>
        </w:tblPrEx>
        <w:tc>
          <w:tcPr>
            <w:tcW w:w="4956" w:type="dxa"/>
          </w:tcPr>
          <w:p w:rsidR="004647ED" w:rsidRPr="003153EE" w:rsidP="0009305A" w14:paraId="6A2A58B2" w14:textId="218E83EC">
            <w:pPr>
              <w:jc w:val="both"/>
              <w:rPr>
                <w:rFonts w:ascii="Verdana" w:hAnsi="Verdana" w:cs="Arial"/>
                <w:i/>
                <w:iCs/>
                <w:sz w:val="22"/>
                <w:szCs w:val="22"/>
              </w:rPr>
            </w:pPr>
            <w:r w:rsidRPr="003153EE">
              <w:rPr>
                <w:rFonts w:ascii="Verdana" w:hAnsi="Verdana" w:cs="Arial"/>
                <w:i/>
                <w:iCs/>
                <w:sz w:val="22"/>
                <w:szCs w:val="22"/>
              </w:rPr>
              <w:t>Información asociada al proceso de vinculación del Titular como cliente</w:t>
            </w:r>
          </w:p>
        </w:tc>
      </w:tr>
      <w:tr w14:paraId="794F5FE4" w14:textId="77777777" w:rsidTr="004647ED">
        <w:tblPrEx>
          <w:tblW w:w="0" w:type="auto"/>
          <w:tblLook w:val="04A0"/>
        </w:tblPrEx>
        <w:tc>
          <w:tcPr>
            <w:tcW w:w="4956" w:type="dxa"/>
          </w:tcPr>
          <w:p w:rsidR="004647ED" w:rsidRPr="003153EE" w:rsidP="0009305A" w14:paraId="21B008D4" w14:textId="3F3AC8B5">
            <w:pPr>
              <w:jc w:val="both"/>
              <w:rPr>
                <w:rFonts w:ascii="Verdana" w:hAnsi="Verdana" w:cs="Arial"/>
                <w:i/>
                <w:iCs/>
                <w:sz w:val="22"/>
                <w:szCs w:val="22"/>
              </w:rPr>
            </w:pPr>
            <w:r w:rsidRPr="003153EE">
              <w:rPr>
                <w:rFonts w:ascii="Verdana" w:hAnsi="Verdana" w:cs="Arial"/>
                <w:i/>
                <w:iCs/>
                <w:sz w:val="22"/>
                <w:szCs w:val="22"/>
              </w:rPr>
              <w:t>Información asociada a los productos de depósito a término</w:t>
            </w:r>
          </w:p>
        </w:tc>
      </w:tr>
      <w:tr w14:paraId="313306D4" w14:textId="77777777" w:rsidTr="004647ED">
        <w:tblPrEx>
          <w:tblW w:w="0" w:type="auto"/>
          <w:tblLook w:val="04A0"/>
        </w:tblPrEx>
        <w:tc>
          <w:tcPr>
            <w:tcW w:w="4956" w:type="dxa"/>
          </w:tcPr>
          <w:p w:rsidR="004647ED" w:rsidRPr="003153EE" w:rsidP="0009305A" w14:paraId="751E947A" w14:textId="0B0A62C8">
            <w:pPr>
              <w:jc w:val="both"/>
              <w:rPr>
                <w:rFonts w:ascii="Verdana" w:hAnsi="Verdana" w:cs="Arial"/>
                <w:i/>
                <w:iCs/>
                <w:sz w:val="22"/>
                <w:szCs w:val="22"/>
              </w:rPr>
            </w:pPr>
            <w:r w:rsidRPr="003153EE">
              <w:rPr>
                <w:rFonts w:ascii="Verdana" w:hAnsi="Verdana" w:cs="Arial"/>
                <w:i/>
                <w:iCs/>
                <w:sz w:val="22"/>
                <w:szCs w:val="22"/>
              </w:rPr>
              <w:t>Información sobre las características generales de los productos y servicios ofrecidos por las entidades vigiladas</w:t>
            </w:r>
          </w:p>
        </w:tc>
      </w:tr>
      <w:tr w14:paraId="0FC1EFD2" w14:textId="77777777" w:rsidTr="004647ED">
        <w:tblPrEx>
          <w:tblW w:w="0" w:type="auto"/>
          <w:tblLook w:val="04A0"/>
        </w:tblPrEx>
        <w:tc>
          <w:tcPr>
            <w:tcW w:w="4956" w:type="dxa"/>
          </w:tcPr>
          <w:p w:rsidR="00325AAC" w:rsidRPr="003153EE" w:rsidP="0009305A" w14:paraId="369F13A8" w14:textId="3EF47EA2">
            <w:pPr>
              <w:jc w:val="both"/>
              <w:rPr>
                <w:rFonts w:ascii="Verdana" w:hAnsi="Verdana" w:cs="Arial"/>
                <w:i/>
                <w:iCs/>
                <w:sz w:val="22"/>
                <w:szCs w:val="22"/>
              </w:rPr>
            </w:pPr>
            <w:r w:rsidRPr="003153EE">
              <w:rPr>
                <w:rFonts w:ascii="Verdana" w:hAnsi="Verdana" w:cs="Arial"/>
                <w:i/>
                <w:iCs/>
                <w:sz w:val="22"/>
                <w:szCs w:val="22"/>
              </w:rPr>
              <w:t>Estándares necesarios para los servicios de iniciación de pagos, en los términos del artículo 2.17.4.1.3. del Decreto 2555 de 2010</w:t>
            </w:r>
          </w:p>
        </w:tc>
      </w:tr>
    </w:tbl>
    <w:p w:rsidR="004647ED" w:rsidRPr="003153EE" w:rsidP="00233F89" w14:paraId="0127441C" w14:textId="77777777">
      <w:pPr>
        <w:jc w:val="both"/>
        <w:rPr>
          <w:rFonts w:ascii="Verdana" w:hAnsi="Verdana" w:cs="Arial"/>
          <w:i/>
          <w:iCs/>
          <w:sz w:val="22"/>
          <w:szCs w:val="22"/>
        </w:rPr>
      </w:pPr>
    </w:p>
    <w:p w:rsidR="0009305A" w:rsidRPr="003153EE" w:rsidP="0009305A" w14:paraId="3F090019" w14:textId="50FFAF3E">
      <w:pPr>
        <w:ind w:left="284"/>
        <w:jc w:val="both"/>
        <w:rPr>
          <w:rFonts w:ascii="Verdana" w:hAnsi="Verdana" w:cs="Arial"/>
          <w:i/>
          <w:iCs/>
          <w:sz w:val="22"/>
          <w:szCs w:val="22"/>
          <w:lang w:val="es-CO"/>
        </w:rPr>
      </w:pPr>
      <w:r w:rsidRPr="003153EE">
        <w:rPr>
          <w:rFonts w:ascii="Verdana" w:hAnsi="Verdana" w:cs="Arial"/>
          <w:i/>
          <w:iCs/>
          <w:sz w:val="22"/>
          <w:szCs w:val="22"/>
        </w:rPr>
        <w:t>Los estándares para la circulación de otros datos específicos de cada una de las categorías de información serán expedidos conforme al cronograma de trabajo que sea publicado por la Superintendencia Financiera de Colombia</w:t>
      </w:r>
      <w:r w:rsidR="005D4CE8">
        <w:rPr>
          <w:rFonts w:ascii="Verdana" w:hAnsi="Verdana" w:cs="Arial"/>
          <w:sz w:val="22"/>
          <w:szCs w:val="22"/>
        </w:rPr>
        <w:t>»</w:t>
      </w:r>
      <w:r w:rsidRPr="003153EE">
        <w:rPr>
          <w:rFonts w:ascii="Verdana" w:hAnsi="Verdana" w:cs="Arial"/>
          <w:i/>
          <w:iCs/>
          <w:sz w:val="22"/>
          <w:szCs w:val="22"/>
        </w:rPr>
        <w:t>.</w:t>
      </w:r>
    </w:p>
    <w:p w:rsidR="00EA1B8E" w:rsidRPr="003153EE" w:rsidP="008B4EEA" w14:paraId="650840A6" w14:textId="77777777">
      <w:pPr>
        <w:jc w:val="both"/>
        <w:rPr>
          <w:rFonts w:ascii="Verdana" w:hAnsi="Verdana" w:cs="Arial"/>
          <w:sz w:val="22"/>
          <w:szCs w:val="22"/>
          <w:lang w:val="es-CO"/>
        </w:rPr>
      </w:pPr>
    </w:p>
    <w:p w:rsidR="004D1CA1" w:rsidRPr="003153EE" w:rsidP="008B4EEA" w14:paraId="06AC3A3B" w14:textId="66D5EF4F">
      <w:pPr>
        <w:jc w:val="both"/>
        <w:rPr>
          <w:rFonts w:ascii="Verdana" w:hAnsi="Verdana" w:cs="Arial"/>
          <w:sz w:val="22"/>
          <w:szCs w:val="22"/>
          <w:lang w:val="es-CO"/>
        </w:rPr>
      </w:pPr>
      <w:r w:rsidRPr="003153EE">
        <w:rPr>
          <w:rFonts w:ascii="Verdana" w:hAnsi="Verdana" w:cs="Arial"/>
          <w:sz w:val="22"/>
          <w:szCs w:val="22"/>
          <w:lang w:val="es-CO"/>
        </w:rPr>
        <w:t xml:space="preserve">En consecuencia, la SFC tiene la obligación de </w:t>
      </w:r>
      <w:r w:rsidRPr="003153EE" w:rsidR="005853FE">
        <w:rPr>
          <w:rFonts w:ascii="Verdana" w:hAnsi="Verdana" w:cs="Arial"/>
          <w:sz w:val="22"/>
          <w:szCs w:val="22"/>
          <w:lang w:val="es-CO"/>
        </w:rPr>
        <w:t>expedir</w:t>
      </w:r>
      <w:r w:rsidRPr="003153EE">
        <w:rPr>
          <w:rFonts w:ascii="Verdana" w:hAnsi="Verdana" w:cs="Arial"/>
          <w:sz w:val="22"/>
          <w:szCs w:val="22"/>
          <w:lang w:val="es-CO"/>
        </w:rPr>
        <w:t xml:space="preserve"> los estándares de intercambio de </w:t>
      </w:r>
      <w:r w:rsidRPr="003153EE" w:rsidR="006E7BF8">
        <w:rPr>
          <w:rFonts w:ascii="Verdana" w:hAnsi="Verdana" w:cs="Arial"/>
          <w:sz w:val="22"/>
          <w:szCs w:val="22"/>
          <w:lang w:val="es-CO"/>
        </w:rPr>
        <w:t>información</w:t>
      </w:r>
      <w:r w:rsidRPr="003153EE" w:rsidR="00854DCF">
        <w:rPr>
          <w:rFonts w:ascii="Verdana" w:hAnsi="Verdana" w:cs="Arial"/>
          <w:sz w:val="22"/>
          <w:szCs w:val="22"/>
          <w:lang w:val="es-CO"/>
        </w:rPr>
        <w:t xml:space="preserve">, </w:t>
      </w:r>
      <w:r w:rsidRPr="003153EE" w:rsidR="008B5BD5">
        <w:rPr>
          <w:rFonts w:ascii="Verdana" w:hAnsi="Verdana" w:cs="Arial"/>
          <w:sz w:val="22"/>
          <w:szCs w:val="22"/>
          <w:lang w:val="es-CO"/>
        </w:rPr>
        <w:t>p</w:t>
      </w:r>
      <w:r w:rsidR="008B5BD5">
        <w:rPr>
          <w:rFonts w:ascii="Verdana" w:hAnsi="Verdana" w:cs="Arial"/>
          <w:sz w:val="22"/>
          <w:szCs w:val="22"/>
          <w:lang w:val="es-CO"/>
        </w:rPr>
        <w:t>ara lo cual</w:t>
      </w:r>
      <w:r w:rsidRPr="003153EE" w:rsidR="00854DCF">
        <w:rPr>
          <w:rFonts w:ascii="Verdana" w:hAnsi="Verdana" w:cs="Arial"/>
          <w:sz w:val="22"/>
          <w:szCs w:val="22"/>
          <w:lang w:val="es-CO"/>
        </w:rPr>
        <w:t xml:space="preserve"> debe comunicar al público</w:t>
      </w:r>
      <w:r w:rsidR="00D94083">
        <w:rPr>
          <w:rFonts w:ascii="Verdana" w:hAnsi="Verdana" w:cs="Arial"/>
          <w:sz w:val="22"/>
          <w:szCs w:val="22"/>
          <w:lang w:val="es-CO"/>
        </w:rPr>
        <w:t>, de forma previa,</w:t>
      </w:r>
      <w:r w:rsidRPr="003153EE" w:rsidR="00854DCF">
        <w:rPr>
          <w:rFonts w:ascii="Verdana" w:hAnsi="Verdana" w:cs="Arial"/>
          <w:sz w:val="22"/>
          <w:szCs w:val="22"/>
          <w:lang w:val="es-CO"/>
        </w:rPr>
        <w:t xml:space="preserve"> </w:t>
      </w:r>
      <w:r w:rsidRPr="003153EE" w:rsidR="00B82A9B">
        <w:rPr>
          <w:rFonts w:ascii="Verdana" w:hAnsi="Verdana" w:cs="Arial"/>
          <w:sz w:val="22"/>
          <w:szCs w:val="22"/>
          <w:lang w:val="es-CO"/>
        </w:rPr>
        <w:t xml:space="preserve">un cronograma para la expedición </w:t>
      </w:r>
      <w:r w:rsidRPr="003153EE" w:rsidR="00B1035D">
        <w:rPr>
          <w:rFonts w:ascii="Verdana" w:hAnsi="Verdana" w:cs="Arial"/>
          <w:sz w:val="22"/>
          <w:szCs w:val="22"/>
          <w:lang w:val="es-CO"/>
        </w:rPr>
        <w:t>de los correspondientes estándares, incluyendo como mínimo los tipo</w:t>
      </w:r>
      <w:r w:rsidRPr="003153EE" w:rsidR="0073449D">
        <w:rPr>
          <w:rFonts w:ascii="Verdana" w:hAnsi="Verdana" w:cs="Arial"/>
          <w:sz w:val="22"/>
          <w:szCs w:val="22"/>
          <w:lang w:val="es-CO"/>
        </w:rPr>
        <w:t>s</w:t>
      </w:r>
      <w:r w:rsidRPr="003153EE" w:rsidR="00B1035D">
        <w:rPr>
          <w:rFonts w:ascii="Verdana" w:hAnsi="Verdana" w:cs="Arial"/>
          <w:sz w:val="22"/>
          <w:szCs w:val="22"/>
          <w:lang w:val="es-CO"/>
        </w:rPr>
        <w:t xml:space="preserve"> de información señalados en </w:t>
      </w:r>
      <w:r w:rsidRPr="003153EE" w:rsidR="00AD781F">
        <w:rPr>
          <w:rFonts w:ascii="Verdana" w:hAnsi="Verdana" w:cs="Arial"/>
          <w:sz w:val="22"/>
          <w:szCs w:val="22"/>
          <w:lang w:val="es-CO"/>
        </w:rPr>
        <w:t xml:space="preserve">el artículo 3 </w:t>
      </w:r>
      <w:r w:rsidRPr="003153EE" w:rsidR="00DB1954">
        <w:rPr>
          <w:rFonts w:ascii="Verdana" w:hAnsi="Verdana" w:cs="Arial"/>
          <w:sz w:val="22"/>
          <w:szCs w:val="22"/>
          <w:lang w:val="es-CO"/>
        </w:rPr>
        <w:t>del Decreto 0368 de 202</w:t>
      </w:r>
      <w:r w:rsidR="00D94083">
        <w:rPr>
          <w:rFonts w:ascii="Verdana" w:hAnsi="Verdana" w:cs="Arial"/>
          <w:sz w:val="22"/>
          <w:szCs w:val="22"/>
          <w:lang w:val="es-CO"/>
        </w:rPr>
        <w:t>6</w:t>
      </w:r>
      <w:r w:rsidRPr="003153EE" w:rsidR="00DB1954">
        <w:rPr>
          <w:rFonts w:ascii="Verdana" w:hAnsi="Verdana" w:cs="Arial"/>
          <w:sz w:val="22"/>
          <w:szCs w:val="22"/>
          <w:lang w:val="es-CO"/>
        </w:rPr>
        <w:t xml:space="preserve">. </w:t>
      </w:r>
    </w:p>
    <w:p w:rsidR="004D1CA1" w:rsidRPr="003153EE" w:rsidP="008B4EEA" w14:paraId="4CA1BE4D" w14:textId="77777777">
      <w:pPr>
        <w:jc w:val="both"/>
        <w:rPr>
          <w:rFonts w:ascii="Verdana" w:hAnsi="Verdana" w:cs="Arial"/>
          <w:sz w:val="22"/>
          <w:szCs w:val="22"/>
          <w:lang w:val="es-CO"/>
        </w:rPr>
      </w:pPr>
    </w:p>
    <w:p w:rsidR="00910DB1" w:rsidRPr="003153EE" w:rsidP="00E7431C" w14:paraId="3FCE3FB4" w14:textId="4BE7A0A6">
      <w:pPr>
        <w:jc w:val="both"/>
        <w:rPr>
          <w:rFonts w:ascii="Verdana" w:hAnsi="Verdana" w:cs="Arial"/>
          <w:sz w:val="22"/>
          <w:szCs w:val="22"/>
        </w:rPr>
      </w:pPr>
      <w:r w:rsidRPr="003153EE">
        <w:rPr>
          <w:rFonts w:ascii="Verdana" w:hAnsi="Verdana" w:cs="Arial"/>
          <w:sz w:val="22"/>
          <w:szCs w:val="22"/>
          <w:lang w:val="es-CO"/>
        </w:rPr>
        <w:t xml:space="preserve">Para dar cumplimiento con esta obligación de planeación e información, la SFC consideró </w:t>
      </w:r>
      <w:r w:rsidRPr="003153EE" w:rsidR="003F1D1D">
        <w:rPr>
          <w:rFonts w:ascii="Verdana" w:hAnsi="Verdana" w:cs="Arial"/>
          <w:sz w:val="22"/>
          <w:szCs w:val="22"/>
          <w:lang w:val="es-CO"/>
        </w:rPr>
        <w:t>pertinente adelantar mesas de trabajo con las industria</w:t>
      </w:r>
      <w:r w:rsidRPr="003153EE" w:rsidR="00785B0D">
        <w:rPr>
          <w:rFonts w:ascii="Verdana" w:hAnsi="Verdana" w:cs="Arial"/>
          <w:sz w:val="22"/>
          <w:szCs w:val="22"/>
          <w:lang w:val="es-CO"/>
        </w:rPr>
        <w:t>s supervisadas, con el fin de conocer las capacidades</w:t>
      </w:r>
      <w:r w:rsidRPr="003153EE" w:rsidR="00B36B2B">
        <w:rPr>
          <w:rFonts w:ascii="Verdana" w:hAnsi="Verdana" w:cs="Arial"/>
          <w:sz w:val="22"/>
          <w:szCs w:val="22"/>
          <w:lang w:val="es-CO"/>
        </w:rPr>
        <w:t>, expectativas y oportunidades que tiene el mercado</w:t>
      </w:r>
      <w:r w:rsidRPr="003153EE" w:rsidR="002C31FF">
        <w:rPr>
          <w:rFonts w:ascii="Verdana" w:hAnsi="Verdana" w:cs="Arial"/>
          <w:sz w:val="22"/>
          <w:szCs w:val="22"/>
          <w:lang w:val="es-CO"/>
        </w:rPr>
        <w:t xml:space="preserve"> para adoptar estándares de intercambio de información de forma progresiva y exitosa. </w:t>
      </w:r>
      <w:r w:rsidR="00E7431C">
        <w:rPr>
          <w:rFonts w:ascii="Verdana" w:hAnsi="Verdana" w:cs="Arial"/>
          <w:sz w:val="22"/>
          <w:szCs w:val="22"/>
          <w:lang w:val="es-CO"/>
        </w:rPr>
        <w:t>Para tal fin</w:t>
      </w:r>
      <w:r w:rsidRPr="003153EE" w:rsidR="00DD64C8">
        <w:rPr>
          <w:rFonts w:ascii="Verdana" w:hAnsi="Verdana" w:cs="Arial"/>
          <w:sz w:val="22"/>
          <w:szCs w:val="22"/>
          <w:lang w:val="es-CO"/>
        </w:rPr>
        <w:t>, la SFC</w:t>
      </w:r>
      <w:r w:rsidRPr="003153EE">
        <w:rPr>
          <w:rFonts w:ascii="Verdana" w:hAnsi="Verdana" w:cs="Arial"/>
          <w:sz w:val="22"/>
          <w:szCs w:val="22"/>
          <w:lang w:val="es-CO"/>
        </w:rPr>
        <w:t xml:space="preserve"> </w:t>
      </w:r>
      <w:r w:rsidRPr="003153EE">
        <w:rPr>
          <w:rFonts w:ascii="Verdana" w:hAnsi="Verdana" w:cs="Arial"/>
          <w:sz w:val="22"/>
          <w:szCs w:val="22"/>
        </w:rPr>
        <w:t>desarrolló un ejercicio de diagnóstico y priorización orientado a recopilar evidencia sobre las condiciones de preparación del ecosistema</w:t>
      </w:r>
      <w:r w:rsidR="001B33FC">
        <w:rPr>
          <w:rFonts w:ascii="Verdana" w:hAnsi="Verdana" w:cs="Arial"/>
          <w:sz w:val="22"/>
          <w:szCs w:val="22"/>
        </w:rPr>
        <w:t>,</w:t>
      </w:r>
      <w:r w:rsidRPr="003153EE">
        <w:rPr>
          <w:rFonts w:ascii="Verdana" w:hAnsi="Verdana" w:cs="Arial"/>
          <w:sz w:val="22"/>
          <w:szCs w:val="22"/>
        </w:rPr>
        <w:t xml:space="preserve"> y a obtener insumos técnicos para la definición del cronograma de expedición de los estándares.</w:t>
      </w:r>
    </w:p>
    <w:p w:rsidR="00910DB1" w:rsidRPr="003153EE" w:rsidP="00910DB1" w14:paraId="26EBB28C" w14:textId="77777777">
      <w:pPr>
        <w:jc w:val="both"/>
        <w:rPr>
          <w:rFonts w:ascii="Verdana" w:hAnsi="Verdana" w:cs="Arial"/>
          <w:sz w:val="22"/>
          <w:szCs w:val="22"/>
        </w:rPr>
      </w:pPr>
    </w:p>
    <w:p w:rsidR="00AB1B68" w:rsidP="00910DB1" w14:paraId="070FCFC1" w14:textId="2D906CD3">
      <w:pPr>
        <w:jc w:val="both"/>
        <w:rPr>
          <w:rFonts w:ascii="Verdana" w:hAnsi="Verdana" w:cs="Arial"/>
          <w:sz w:val="22"/>
          <w:szCs w:val="22"/>
          <w:lang w:val="es-CO"/>
        </w:rPr>
      </w:pPr>
      <w:r>
        <w:rPr>
          <w:rFonts w:ascii="Verdana" w:hAnsi="Verdana" w:cs="Arial"/>
          <w:sz w:val="22"/>
          <w:szCs w:val="22"/>
          <w:lang w:val="es-CO"/>
        </w:rPr>
        <w:t xml:space="preserve">Producto de lo anterior, </w:t>
      </w:r>
      <w:r w:rsidRPr="003153EE" w:rsidR="00910DB1">
        <w:rPr>
          <w:rFonts w:ascii="Verdana" w:hAnsi="Verdana" w:cs="Arial"/>
          <w:sz w:val="22"/>
          <w:szCs w:val="22"/>
          <w:lang w:val="es-CO"/>
        </w:rPr>
        <w:t>durante los meses de junio y julio de 2026</w:t>
      </w:r>
      <w:r w:rsidR="00142F10">
        <w:rPr>
          <w:rFonts w:ascii="Verdana" w:hAnsi="Verdana" w:cs="Arial"/>
          <w:sz w:val="22"/>
          <w:szCs w:val="22"/>
          <w:lang w:val="es-CO"/>
        </w:rPr>
        <w:t>, la SFC adelantó</w:t>
      </w:r>
      <w:r w:rsidRPr="003153EE" w:rsidR="00910DB1">
        <w:rPr>
          <w:rFonts w:ascii="Verdana" w:hAnsi="Verdana" w:cs="Arial"/>
          <w:sz w:val="22"/>
          <w:szCs w:val="22"/>
          <w:lang w:val="es-CO"/>
        </w:rPr>
        <w:t xml:space="preserve"> siete (7) mesas técnicas en las que participaron representantes de 157 entidades, </w:t>
      </w:r>
      <w:r w:rsidR="00FF2DDD">
        <w:rPr>
          <w:rFonts w:ascii="Verdana" w:hAnsi="Verdana" w:cs="Arial"/>
          <w:sz w:val="22"/>
          <w:szCs w:val="22"/>
          <w:lang w:val="es-CO"/>
        </w:rPr>
        <w:t>incluidas</w:t>
      </w:r>
      <w:r w:rsidRPr="003153EE" w:rsidR="00910DB1">
        <w:rPr>
          <w:rFonts w:ascii="Verdana" w:hAnsi="Verdana" w:cs="Arial"/>
          <w:sz w:val="22"/>
          <w:szCs w:val="22"/>
          <w:lang w:val="es-CO"/>
        </w:rPr>
        <w:t xml:space="preserve"> entidades vigiladas y actores no vigilados del ecosistema de </w:t>
      </w:r>
    </w:p>
    <w:p w:rsidR="00FF2DDD" w:rsidP="00910DB1" w14:paraId="6E89C110" w14:textId="18ABAC8D">
      <w:pPr>
        <w:jc w:val="both"/>
        <w:rPr>
          <w:rFonts w:ascii="Verdana" w:hAnsi="Verdana" w:cs="Arial"/>
          <w:sz w:val="22"/>
          <w:szCs w:val="22"/>
          <w:lang w:val="es-CO"/>
        </w:rPr>
      </w:pPr>
      <w:r>
        <w:rPr>
          <w:rFonts w:ascii="Verdana" w:hAnsi="Verdana" w:cs="Arial"/>
          <w:sz w:val="22"/>
          <w:szCs w:val="22"/>
          <w:lang w:val="es-CO"/>
        </w:rPr>
        <w:t>f</w:t>
      </w:r>
      <w:r w:rsidRPr="003153EE" w:rsidR="00910DB1">
        <w:rPr>
          <w:rFonts w:ascii="Verdana" w:hAnsi="Verdana" w:cs="Arial"/>
          <w:sz w:val="22"/>
          <w:szCs w:val="22"/>
          <w:lang w:val="es-CO"/>
        </w:rPr>
        <w:t xml:space="preserve">inanzas </w:t>
      </w:r>
      <w:r>
        <w:rPr>
          <w:rFonts w:ascii="Verdana" w:hAnsi="Verdana" w:cs="Arial"/>
          <w:sz w:val="22"/>
          <w:szCs w:val="22"/>
          <w:lang w:val="es-CO"/>
        </w:rPr>
        <w:t>a</w:t>
      </w:r>
      <w:r w:rsidRPr="003153EE" w:rsidR="00910DB1">
        <w:rPr>
          <w:rFonts w:ascii="Verdana" w:hAnsi="Verdana" w:cs="Arial"/>
          <w:sz w:val="22"/>
          <w:szCs w:val="22"/>
          <w:lang w:val="es-CO"/>
        </w:rPr>
        <w:t xml:space="preserve">biertas. </w:t>
      </w:r>
    </w:p>
    <w:p w:rsidR="00FF2DDD" w:rsidP="00910DB1" w14:paraId="18257AA6" w14:textId="77777777">
      <w:pPr>
        <w:jc w:val="both"/>
        <w:rPr>
          <w:rFonts w:ascii="Verdana" w:hAnsi="Verdana" w:cs="Arial"/>
          <w:sz w:val="22"/>
          <w:szCs w:val="22"/>
          <w:lang w:val="es-CO"/>
        </w:rPr>
      </w:pPr>
    </w:p>
    <w:p w:rsidR="00910DB1" w:rsidRPr="003153EE" w:rsidP="00910DB1" w14:paraId="666EC477" w14:textId="3BD3E460">
      <w:pPr>
        <w:jc w:val="both"/>
        <w:rPr>
          <w:rFonts w:ascii="Verdana" w:hAnsi="Verdana" w:cs="Arial"/>
          <w:sz w:val="22"/>
          <w:szCs w:val="22"/>
          <w:lang w:val="es-CO"/>
        </w:rPr>
      </w:pPr>
      <w:r w:rsidRPr="003153EE">
        <w:rPr>
          <w:rFonts w:ascii="Verdana" w:hAnsi="Verdana" w:cs="Arial"/>
          <w:sz w:val="22"/>
          <w:szCs w:val="22"/>
          <w:lang w:val="es-CO"/>
        </w:rPr>
        <w:t xml:space="preserve">La metodología aplicada </w:t>
      </w:r>
      <w:r w:rsidR="00155582">
        <w:rPr>
          <w:rFonts w:ascii="Verdana" w:hAnsi="Verdana" w:cs="Arial"/>
          <w:sz w:val="22"/>
          <w:szCs w:val="22"/>
          <w:lang w:val="es-CO"/>
        </w:rPr>
        <w:t>empleó</w:t>
      </w:r>
      <w:r w:rsidRPr="003153EE">
        <w:rPr>
          <w:rFonts w:ascii="Verdana" w:hAnsi="Verdana" w:cs="Arial"/>
          <w:sz w:val="22"/>
          <w:szCs w:val="22"/>
          <w:lang w:val="es-CO"/>
        </w:rPr>
        <w:t xml:space="preserve"> dos componentes</w:t>
      </w:r>
      <w:r w:rsidR="00D17DC3">
        <w:rPr>
          <w:rFonts w:ascii="Verdana" w:hAnsi="Verdana" w:cs="Arial"/>
          <w:sz w:val="22"/>
          <w:szCs w:val="22"/>
          <w:lang w:val="es-CO"/>
        </w:rPr>
        <w:t>.</w:t>
      </w:r>
      <w:r w:rsidRPr="003153EE">
        <w:rPr>
          <w:rFonts w:ascii="Verdana" w:hAnsi="Verdana" w:cs="Arial"/>
          <w:sz w:val="22"/>
          <w:szCs w:val="22"/>
          <w:lang w:val="es-CO"/>
        </w:rPr>
        <w:t xml:space="preserve"> </w:t>
      </w:r>
      <w:r w:rsidR="00D17DC3">
        <w:rPr>
          <w:rFonts w:ascii="Verdana" w:hAnsi="Verdana" w:cs="Arial"/>
          <w:sz w:val="22"/>
          <w:szCs w:val="22"/>
          <w:lang w:val="es-CO"/>
        </w:rPr>
        <w:t>E</w:t>
      </w:r>
      <w:r w:rsidRPr="003153EE">
        <w:rPr>
          <w:rFonts w:ascii="Verdana" w:hAnsi="Verdana" w:cs="Arial"/>
          <w:sz w:val="22"/>
          <w:szCs w:val="22"/>
          <w:lang w:val="es-CO"/>
        </w:rPr>
        <w:t>l primero correspond</w:t>
      </w:r>
      <w:r w:rsidR="009318FF">
        <w:rPr>
          <w:rFonts w:ascii="Verdana" w:hAnsi="Verdana" w:cs="Arial"/>
          <w:sz w:val="22"/>
          <w:szCs w:val="22"/>
          <w:lang w:val="es-CO"/>
        </w:rPr>
        <w:t>e</w:t>
      </w:r>
      <w:r w:rsidRPr="003153EE">
        <w:rPr>
          <w:rFonts w:ascii="Verdana" w:hAnsi="Verdana" w:cs="Arial"/>
          <w:sz w:val="22"/>
          <w:szCs w:val="22"/>
          <w:lang w:val="es-CO"/>
        </w:rPr>
        <w:t xml:space="preserve"> a un diagnóstico del nivel de madurez del ecosistema, que permitió identificar las principales capacidades, brechas, barreras, riesgos y dependencias de naturaleza tecnológica, operativa, organizacional y de gobierno de la información</w:t>
      </w:r>
      <w:r w:rsidR="007E36DB">
        <w:rPr>
          <w:rFonts w:ascii="Verdana" w:hAnsi="Verdana" w:cs="Arial"/>
          <w:sz w:val="22"/>
          <w:szCs w:val="22"/>
          <w:lang w:val="es-CO"/>
        </w:rPr>
        <w:t>,</w:t>
      </w:r>
      <w:r w:rsidRPr="003153EE">
        <w:rPr>
          <w:rFonts w:ascii="Verdana" w:hAnsi="Verdana" w:cs="Arial"/>
          <w:sz w:val="22"/>
          <w:szCs w:val="22"/>
          <w:lang w:val="es-CO"/>
        </w:rPr>
        <w:t xml:space="preserve"> frente a la implementación del </w:t>
      </w:r>
      <w:r w:rsidR="007E36DB">
        <w:rPr>
          <w:rFonts w:ascii="Verdana" w:hAnsi="Verdana" w:cs="Arial"/>
          <w:sz w:val="22"/>
          <w:szCs w:val="22"/>
          <w:lang w:val="es-CO"/>
        </w:rPr>
        <w:t>s</w:t>
      </w:r>
      <w:r w:rsidRPr="003153EE">
        <w:rPr>
          <w:rFonts w:ascii="Verdana" w:hAnsi="Verdana" w:cs="Arial"/>
          <w:sz w:val="22"/>
          <w:szCs w:val="22"/>
          <w:lang w:val="es-CO"/>
        </w:rPr>
        <w:t xml:space="preserve">istema. El segundo </w:t>
      </w:r>
      <w:r w:rsidR="007E36DB">
        <w:rPr>
          <w:rFonts w:ascii="Verdana" w:hAnsi="Verdana" w:cs="Arial"/>
          <w:sz w:val="22"/>
          <w:szCs w:val="22"/>
          <w:lang w:val="es-CO"/>
        </w:rPr>
        <w:t xml:space="preserve">componente </w:t>
      </w:r>
      <w:r w:rsidRPr="003153EE">
        <w:rPr>
          <w:rFonts w:ascii="Verdana" w:hAnsi="Verdana" w:cs="Arial"/>
          <w:sz w:val="22"/>
          <w:szCs w:val="22"/>
          <w:lang w:val="es-CO"/>
        </w:rPr>
        <w:t>correspond</w:t>
      </w:r>
      <w:r w:rsidR="007E36DB">
        <w:rPr>
          <w:rFonts w:ascii="Verdana" w:hAnsi="Verdana" w:cs="Arial"/>
          <w:sz w:val="22"/>
          <w:szCs w:val="22"/>
          <w:lang w:val="es-CO"/>
        </w:rPr>
        <w:t xml:space="preserve">e </w:t>
      </w:r>
      <w:r w:rsidRPr="003153EE">
        <w:rPr>
          <w:rFonts w:ascii="Verdana" w:hAnsi="Verdana" w:cs="Arial"/>
          <w:sz w:val="22"/>
          <w:szCs w:val="22"/>
          <w:lang w:val="es-CO"/>
        </w:rPr>
        <w:t xml:space="preserve">a un ejercicio de priorización de los tipos de información y servicios previstos en el artículo 3 del Decreto 0368 de 2026, mediante el cual los participantes valoraron su importancia para el desarrollo del </w:t>
      </w:r>
      <w:r w:rsidR="00C3693D">
        <w:rPr>
          <w:rFonts w:ascii="Verdana" w:hAnsi="Verdana" w:cs="Arial"/>
          <w:sz w:val="22"/>
          <w:szCs w:val="22"/>
          <w:lang w:val="es-CO"/>
        </w:rPr>
        <w:t>s</w:t>
      </w:r>
      <w:r w:rsidRPr="003153EE">
        <w:rPr>
          <w:rFonts w:ascii="Verdana" w:hAnsi="Verdana" w:cs="Arial"/>
          <w:sz w:val="22"/>
          <w:szCs w:val="22"/>
          <w:lang w:val="es-CO"/>
        </w:rPr>
        <w:t>istema y su nivel de gobernabilidad para una implementación gradual.</w:t>
      </w:r>
    </w:p>
    <w:p w:rsidR="00910DB1" w:rsidRPr="003153EE" w:rsidP="00910DB1" w14:paraId="4FABA652" w14:textId="77777777">
      <w:pPr>
        <w:jc w:val="both"/>
        <w:rPr>
          <w:rFonts w:ascii="Verdana" w:hAnsi="Verdana" w:cs="Arial"/>
          <w:sz w:val="22"/>
          <w:szCs w:val="22"/>
          <w:lang w:val="es-CO"/>
        </w:rPr>
      </w:pPr>
    </w:p>
    <w:p w:rsidR="00910DB1" w:rsidRPr="003153EE" w:rsidP="00910DB1" w14:paraId="4273EE89" w14:textId="77777777">
      <w:pPr>
        <w:jc w:val="both"/>
        <w:rPr>
          <w:rFonts w:ascii="Verdana" w:hAnsi="Verdana" w:cs="Arial"/>
          <w:sz w:val="22"/>
          <w:szCs w:val="22"/>
          <w:lang w:val="es-CO"/>
        </w:rPr>
      </w:pPr>
      <w:r w:rsidRPr="003153EE">
        <w:rPr>
          <w:rFonts w:ascii="Verdana" w:hAnsi="Verdana" w:cs="Arial"/>
          <w:sz w:val="22"/>
          <w:szCs w:val="22"/>
          <w:lang w:val="es-CO"/>
        </w:rPr>
        <w:t>Como parte de este segundo componente, se aplicó la metodología de Importancia y Gobernabilidad (IGO), con el propósito de identificar, desde la perspectiva de los participantes, los tipos de información que deberían ser considerados en las primeras etapas del proceso de estandarización. Este ejercicio permitió recoger de manera estructurada la percepción de las industrias respecto de la relevancia de cada categoría y de las condiciones existentes para su implementación.</w:t>
      </w:r>
    </w:p>
    <w:p w:rsidR="00910DB1" w:rsidRPr="003153EE" w:rsidP="00910DB1" w14:paraId="77EB06E8" w14:textId="77777777">
      <w:pPr>
        <w:jc w:val="both"/>
        <w:rPr>
          <w:rFonts w:ascii="Verdana" w:hAnsi="Verdana" w:cs="Arial"/>
          <w:sz w:val="22"/>
          <w:szCs w:val="22"/>
          <w:lang w:val="es-CO"/>
        </w:rPr>
      </w:pPr>
    </w:p>
    <w:p w:rsidR="00910DB1" w:rsidRPr="003153EE" w:rsidP="00910DB1" w14:paraId="7492C76C" w14:textId="7830618B">
      <w:pPr>
        <w:jc w:val="both"/>
        <w:rPr>
          <w:rFonts w:ascii="Verdana" w:hAnsi="Verdana" w:cs="Arial"/>
          <w:sz w:val="22"/>
          <w:szCs w:val="22"/>
          <w:lang w:val="es-CO"/>
        </w:rPr>
      </w:pPr>
      <w:r w:rsidRPr="003153EE">
        <w:rPr>
          <w:rFonts w:ascii="Verdana" w:hAnsi="Verdana" w:cs="Arial"/>
          <w:sz w:val="22"/>
          <w:szCs w:val="22"/>
          <w:lang w:val="es-CO"/>
        </w:rPr>
        <w:t xml:space="preserve">Los resultados de las mesas técnicas fueron considerados por la SFC como un insumo técnico para la definición del cronograma. A partir de estos resultados, y en ejercicio de </w:t>
      </w:r>
      <w:r w:rsidRPr="003153EE" w:rsidR="007F6210">
        <w:rPr>
          <w:rFonts w:ascii="Verdana" w:hAnsi="Verdana" w:cs="Arial"/>
          <w:sz w:val="22"/>
          <w:szCs w:val="22"/>
          <w:lang w:val="es-CO"/>
        </w:rPr>
        <w:t xml:space="preserve">sus </w:t>
      </w:r>
      <w:r w:rsidRPr="003153EE">
        <w:rPr>
          <w:rFonts w:ascii="Verdana" w:hAnsi="Verdana" w:cs="Arial"/>
          <w:sz w:val="22"/>
          <w:szCs w:val="22"/>
          <w:lang w:val="es-CO"/>
        </w:rPr>
        <w:t xml:space="preserve">competencias </w:t>
      </w:r>
      <w:r w:rsidRPr="003153EE" w:rsidR="007F6210">
        <w:rPr>
          <w:rFonts w:ascii="Verdana" w:hAnsi="Verdana" w:cs="Arial"/>
          <w:sz w:val="22"/>
          <w:szCs w:val="22"/>
          <w:lang w:val="es-CO"/>
        </w:rPr>
        <w:t>legales</w:t>
      </w:r>
      <w:r w:rsidRPr="003153EE">
        <w:rPr>
          <w:rFonts w:ascii="Verdana" w:hAnsi="Verdana" w:cs="Arial"/>
          <w:sz w:val="22"/>
          <w:szCs w:val="22"/>
          <w:lang w:val="es-CO"/>
        </w:rPr>
        <w:t xml:space="preserve">, la SFC realizó un análisis adicional que incorporó, de manera integral, las necesidades de supervisión, las capacidades institucionales y las necesidades </w:t>
      </w:r>
      <w:r w:rsidR="007B6B75">
        <w:rPr>
          <w:rFonts w:ascii="Verdana" w:hAnsi="Verdana" w:cs="Arial"/>
          <w:sz w:val="22"/>
          <w:szCs w:val="22"/>
          <w:lang w:val="es-CO"/>
        </w:rPr>
        <w:t xml:space="preserve">propias </w:t>
      </w:r>
      <w:r w:rsidRPr="003153EE">
        <w:rPr>
          <w:rFonts w:ascii="Verdana" w:hAnsi="Verdana" w:cs="Arial"/>
          <w:sz w:val="22"/>
          <w:szCs w:val="22"/>
          <w:lang w:val="es-CO"/>
        </w:rPr>
        <w:t xml:space="preserve">del </w:t>
      </w:r>
      <w:r w:rsidR="007B6B75">
        <w:rPr>
          <w:rFonts w:ascii="Verdana" w:hAnsi="Verdana" w:cs="Arial"/>
          <w:sz w:val="22"/>
          <w:szCs w:val="22"/>
          <w:lang w:val="es-CO"/>
        </w:rPr>
        <w:t>s</w:t>
      </w:r>
      <w:r w:rsidRPr="003153EE">
        <w:rPr>
          <w:rFonts w:ascii="Verdana" w:hAnsi="Verdana" w:cs="Arial"/>
          <w:sz w:val="22"/>
          <w:szCs w:val="22"/>
          <w:lang w:val="es-CO"/>
        </w:rPr>
        <w:t xml:space="preserve">istema de </w:t>
      </w:r>
      <w:r w:rsidR="007B6B75">
        <w:rPr>
          <w:rFonts w:ascii="Verdana" w:hAnsi="Verdana" w:cs="Arial"/>
          <w:sz w:val="22"/>
          <w:szCs w:val="22"/>
          <w:lang w:val="es-CO"/>
        </w:rPr>
        <w:t>f</w:t>
      </w:r>
      <w:r w:rsidRPr="003153EE">
        <w:rPr>
          <w:rFonts w:ascii="Verdana" w:hAnsi="Verdana" w:cs="Arial"/>
          <w:sz w:val="22"/>
          <w:szCs w:val="22"/>
          <w:lang w:val="es-CO"/>
        </w:rPr>
        <w:t xml:space="preserve">inanzas </w:t>
      </w:r>
      <w:r w:rsidR="007B6B75">
        <w:rPr>
          <w:rFonts w:ascii="Verdana" w:hAnsi="Verdana" w:cs="Arial"/>
          <w:sz w:val="22"/>
          <w:szCs w:val="22"/>
          <w:lang w:val="es-CO"/>
        </w:rPr>
        <w:t>a</w:t>
      </w:r>
      <w:r w:rsidRPr="003153EE">
        <w:rPr>
          <w:rFonts w:ascii="Verdana" w:hAnsi="Verdana" w:cs="Arial"/>
          <w:sz w:val="22"/>
          <w:szCs w:val="22"/>
          <w:lang w:val="es-CO"/>
        </w:rPr>
        <w:t xml:space="preserve">biertas, </w:t>
      </w:r>
      <w:r w:rsidRPr="003153EE" w:rsidR="00FE432E">
        <w:rPr>
          <w:rFonts w:ascii="Verdana" w:hAnsi="Verdana" w:cs="Arial"/>
          <w:sz w:val="22"/>
          <w:szCs w:val="22"/>
          <w:lang w:val="es-CO"/>
        </w:rPr>
        <w:t xml:space="preserve">de </w:t>
      </w:r>
      <w:r w:rsidR="007B6B75">
        <w:rPr>
          <w:rFonts w:ascii="Verdana" w:hAnsi="Verdana" w:cs="Arial"/>
          <w:sz w:val="22"/>
          <w:szCs w:val="22"/>
          <w:lang w:val="es-CO"/>
        </w:rPr>
        <w:t>conformidad</w:t>
      </w:r>
      <w:r w:rsidRPr="003153EE" w:rsidR="00913E23">
        <w:rPr>
          <w:rFonts w:ascii="Verdana" w:hAnsi="Verdana" w:cs="Arial"/>
          <w:sz w:val="22"/>
          <w:szCs w:val="22"/>
          <w:lang w:val="es-CO"/>
        </w:rPr>
        <w:t xml:space="preserve"> con lo</w:t>
      </w:r>
      <w:r w:rsidRPr="003153EE">
        <w:rPr>
          <w:rFonts w:ascii="Verdana" w:hAnsi="Verdana" w:cs="Arial"/>
          <w:sz w:val="22"/>
          <w:szCs w:val="22"/>
          <w:lang w:val="es-CO"/>
        </w:rPr>
        <w:t xml:space="preserve"> establecido en el parágrafo 2 del artículo 3 del Decreto 0368 de 2026. </w:t>
      </w:r>
    </w:p>
    <w:p w:rsidR="00ED3016" w:rsidRPr="003153EE" w:rsidP="00910DB1" w14:paraId="67A991E2" w14:textId="77777777">
      <w:pPr>
        <w:jc w:val="both"/>
        <w:rPr>
          <w:rFonts w:ascii="Verdana" w:hAnsi="Verdana" w:cs="Arial"/>
          <w:sz w:val="22"/>
          <w:szCs w:val="22"/>
          <w:lang w:val="es-CO"/>
        </w:rPr>
      </w:pPr>
    </w:p>
    <w:p w:rsidR="00ED3016" w:rsidRPr="003153EE" w:rsidP="00910DB1" w14:paraId="143B9936" w14:textId="2DF449C6">
      <w:pPr>
        <w:jc w:val="both"/>
        <w:rPr>
          <w:rFonts w:ascii="Verdana" w:hAnsi="Verdana" w:cs="Arial"/>
          <w:sz w:val="22"/>
          <w:szCs w:val="22"/>
          <w:lang w:val="es-CO"/>
        </w:rPr>
      </w:pPr>
      <w:r w:rsidRPr="003153EE">
        <w:rPr>
          <w:rFonts w:ascii="Verdana" w:hAnsi="Verdana" w:cs="Arial"/>
          <w:sz w:val="22"/>
          <w:szCs w:val="22"/>
          <w:lang w:val="es-CO"/>
        </w:rPr>
        <w:t xml:space="preserve">Ahora bien, </w:t>
      </w:r>
      <w:r w:rsidRPr="003153EE" w:rsidR="007F7549">
        <w:rPr>
          <w:rFonts w:ascii="Verdana" w:hAnsi="Verdana" w:cs="Arial"/>
          <w:sz w:val="22"/>
          <w:szCs w:val="22"/>
          <w:lang w:val="es-CO"/>
        </w:rPr>
        <w:t xml:space="preserve">el 4 de agosto </w:t>
      </w:r>
      <w:r w:rsidRPr="003153EE" w:rsidR="002222A5">
        <w:rPr>
          <w:rFonts w:ascii="Verdana" w:hAnsi="Verdana" w:cs="Arial"/>
          <w:sz w:val="22"/>
          <w:szCs w:val="22"/>
          <w:lang w:val="es-CO"/>
        </w:rPr>
        <w:t xml:space="preserve">de 2026 el Gobierno </w:t>
      </w:r>
      <w:r w:rsidR="007B6B75">
        <w:rPr>
          <w:rFonts w:ascii="Verdana" w:hAnsi="Verdana" w:cs="Arial"/>
          <w:sz w:val="22"/>
          <w:szCs w:val="22"/>
          <w:lang w:val="es-CO"/>
        </w:rPr>
        <w:t>N</w:t>
      </w:r>
      <w:r w:rsidRPr="003153EE" w:rsidR="002222A5">
        <w:rPr>
          <w:rFonts w:ascii="Verdana" w:hAnsi="Verdana" w:cs="Arial"/>
          <w:sz w:val="22"/>
          <w:szCs w:val="22"/>
          <w:lang w:val="es-CO"/>
        </w:rPr>
        <w:t>acional expidió el Decreto</w:t>
      </w:r>
      <w:r w:rsidRPr="003153EE" w:rsidR="0054685E">
        <w:rPr>
          <w:rFonts w:ascii="Verdana" w:hAnsi="Verdana" w:cs="Arial"/>
          <w:sz w:val="22"/>
          <w:szCs w:val="22"/>
          <w:lang w:val="es-CO"/>
        </w:rPr>
        <w:t xml:space="preserve"> 977 de 2026, «</w:t>
      </w:r>
      <w:r w:rsidRPr="00B30BD2" w:rsidR="00BC3518">
        <w:rPr>
          <w:rFonts w:ascii="Verdana" w:hAnsi="Verdana" w:cs="Arial"/>
          <w:i/>
          <w:iCs/>
          <w:sz w:val="22"/>
          <w:szCs w:val="22"/>
          <w:lang w:val="es-CO"/>
        </w:rPr>
        <w:t>[P</w:t>
      </w:r>
      <w:r w:rsidR="00BC3518">
        <w:rPr>
          <w:rFonts w:ascii="Verdana" w:hAnsi="Verdana" w:cs="Arial"/>
          <w:i/>
          <w:iCs/>
          <w:sz w:val="22"/>
          <w:szCs w:val="22"/>
          <w:lang w:val="es-CO"/>
        </w:rPr>
        <w:t>or</w:t>
      </w:r>
      <w:r w:rsidRPr="00B30BD2" w:rsidR="00BC3518">
        <w:rPr>
          <w:rFonts w:ascii="Verdana" w:hAnsi="Verdana" w:cs="Arial"/>
          <w:i/>
          <w:iCs/>
          <w:sz w:val="22"/>
          <w:szCs w:val="22"/>
          <w:lang w:val="es-CO"/>
        </w:rPr>
        <w:t>]</w:t>
      </w:r>
      <w:r w:rsidRPr="00B30BD2" w:rsidR="0054685E">
        <w:rPr>
          <w:rFonts w:ascii="Verdana" w:hAnsi="Verdana" w:cs="Arial"/>
          <w:i/>
          <w:iCs/>
          <w:sz w:val="22"/>
          <w:szCs w:val="22"/>
          <w:lang w:val="es-CO"/>
        </w:rPr>
        <w:t xml:space="preserve"> medio del cual se modifica el Decreto 2555 de 2010 en lo relacionado con el esquema de portabilidad financiera</w:t>
      </w:r>
      <w:r w:rsidRPr="003153EE" w:rsidR="0054685E">
        <w:rPr>
          <w:rFonts w:ascii="Verdana" w:hAnsi="Verdana" w:cs="Arial"/>
          <w:sz w:val="22"/>
          <w:szCs w:val="22"/>
          <w:lang w:val="es-CO"/>
        </w:rPr>
        <w:t>»</w:t>
      </w:r>
      <w:r w:rsidRPr="003153EE" w:rsidR="006265A9">
        <w:rPr>
          <w:rFonts w:ascii="Verdana" w:hAnsi="Verdana" w:cs="Arial"/>
          <w:sz w:val="22"/>
          <w:szCs w:val="22"/>
          <w:lang w:val="es-CO"/>
        </w:rPr>
        <w:t>. A través de este Decreto</w:t>
      </w:r>
      <w:r w:rsidRPr="003153EE" w:rsidR="00793F17">
        <w:rPr>
          <w:rFonts w:ascii="Verdana" w:hAnsi="Verdana" w:cs="Arial"/>
          <w:sz w:val="22"/>
          <w:szCs w:val="22"/>
          <w:lang w:val="es-CO"/>
        </w:rPr>
        <w:t xml:space="preserve">, el Gobierno desarrolló el artículo 97 de la Ley </w:t>
      </w:r>
      <w:r w:rsidRPr="003153EE" w:rsidR="00A53380">
        <w:rPr>
          <w:rFonts w:ascii="Verdana" w:hAnsi="Verdana" w:cs="Arial"/>
          <w:sz w:val="22"/>
          <w:szCs w:val="22"/>
          <w:lang w:val="es-CO"/>
        </w:rPr>
        <w:t xml:space="preserve">2294 de 2023, y definió el marco normativo para el ejercicio del derecho a la portabilidad financiera como un servicio prestado dentro del sistema de finanzas abiertas. Bajo este contexto, el </w:t>
      </w:r>
      <w:r w:rsidRPr="003153EE" w:rsidR="001842DF">
        <w:rPr>
          <w:rFonts w:ascii="Verdana" w:hAnsi="Verdana" w:cs="Arial"/>
          <w:sz w:val="22"/>
          <w:szCs w:val="22"/>
          <w:lang w:val="es-CO"/>
        </w:rPr>
        <w:t>artículo 5</w:t>
      </w:r>
      <w:r w:rsidRPr="003153EE" w:rsidR="007E2080">
        <w:rPr>
          <w:rFonts w:ascii="Verdana" w:hAnsi="Verdana" w:cs="Arial"/>
          <w:sz w:val="22"/>
          <w:szCs w:val="22"/>
          <w:lang w:val="es-CO"/>
        </w:rPr>
        <w:t xml:space="preserve"> del Decreto 977 de 2026 señala:</w:t>
      </w:r>
    </w:p>
    <w:p w:rsidR="007E2080" w:rsidRPr="003153EE" w:rsidP="00910DB1" w14:paraId="32E2BD10" w14:textId="77777777">
      <w:pPr>
        <w:jc w:val="both"/>
        <w:rPr>
          <w:rFonts w:ascii="Verdana" w:hAnsi="Verdana" w:cs="Arial"/>
          <w:sz w:val="22"/>
          <w:szCs w:val="22"/>
          <w:lang w:val="es-CO"/>
        </w:rPr>
      </w:pPr>
    </w:p>
    <w:p w:rsidR="007C5489" w:rsidRPr="00B30BD2" w:rsidP="007C5489" w14:paraId="79612828" w14:textId="4EAE7612">
      <w:pPr>
        <w:ind w:left="284"/>
        <w:jc w:val="both"/>
        <w:rPr>
          <w:rFonts w:ascii="Verdana" w:hAnsi="Verdana" w:cs="Arial"/>
          <w:i/>
          <w:iCs/>
          <w:sz w:val="22"/>
          <w:szCs w:val="22"/>
          <w:lang w:val="es-CO"/>
        </w:rPr>
      </w:pPr>
      <w:r>
        <w:rPr>
          <w:rFonts w:ascii="Verdana" w:hAnsi="Verdana" w:cs="Arial"/>
          <w:sz w:val="22"/>
          <w:szCs w:val="22"/>
        </w:rPr>
        <w:t>«</w:t>
      </w:r>
      <w:r w:rsidRPr="00B30BD2" w:rsidR="007E2080">
        <w:rPr>
          <w:rFonts w:ascii="Verdana" w:hAnsi="Verdana" w:cs="Arial"/>
          <w:i/>
          <w:iCs/>
          <w:sz w:val="22"/>
          <w:szCs w:val="22"/>
        </w:rPr>
        <w:t>Artículo 5. Inclusión e implementación del esquema de portabilidad dentro del cronograma de estandarización. La Superintendencia Financiera de Colombia deberá incluir el esquema de portabilidad financiera dentro del cronograma que publicará para la expedición de los estándares a los que hace referencia el artículo </w:t>
      </w:r>
      <w:hyperlink r:id="rId8" w:anchor="2.35.8.4.1" w:history="1">
        <w:r w:rsidRPr="00B30BD2" w:rsidR="007E2080">
          <w:rPr>
            <w:i/>
            <w:iCs/>
          </w:rPr>
          <w:t>2.35.8.4.1</w:t>
        </w:r>
      </w:hyperlink>
      <w:r w:rsidRPr="00B30BD2" w:rsidR="007E2080">
        <w:rPr>
          <w:rFonts w:ascii="Verdana" w:hAnsi="Verdana" w:cs="Arial"/>
          <w:i/>
          <w:iCs/>
          <w:sz w:val="22"/>
          <w:szCs w:val="22"/>
        </w:rPr>
        <w:t xml:space="preserve"> del Decreto 2555 de 2010 en un plazo máximo </w:t>
      </w:r>
      <w:r w:rsidRPr="00B30BD2" w:rsidR="007E2080">
        <w:rPr>
          <w:rFonts w:ascii="Verdana" w:hAnsi="Verdana" w:cs="Arial"/>
          <w:i/>
          <w:iCs/>
          <w:sz w:val="22"/>
          <w:szCs w:val="22"/>
        </w:rPr>
        <w:t>de dos (2) meses posteriores a la publicación del cronograma de estandarización.</w:t>
      </w:r>
    </w:p>
    <w:p w:rsidR="002222A5" w:rsidRPr="00707EA8" w:rsidP="00B30BD2" w14:paraId="22423A69" w14:textId="23BF92A5">
      <w:pPr>
        <w:ind w:left="284"/>
        <w:jc w:val="both"/>
        <w:rPr>
          <w:rFonts w:ascii="Verdana" w:hAnsi="Verdana" w:cs="Arial"/>
          <w:sz w:val="22"/>
          <w:szCs w:val="22"/>
          <w:lang w:val="es-CO"/>
        </w:rPr>
      </w:pPr>
      <w:r w:rsidRPr="00B30BD2">
        <w:rPr>
          <w:rFonts w:ascii="Verdana" w:hAnsi="Verdana" w:cs="Arial"/>
          <w:i/>
          <w:iCs/>
          <w:sz w:val="22"/>
          <w:szCs w:val="22"/>
          <w:lang w:val="es-CO"/>
        </w:rPr>
        <w:t>[…]</w:t>
      </w:r>
      <w:r w:rsidR="00707EA8">
        <w:rPr>
          <w:rFonts w:ascii="Verdana" w:hAnsi="Verdana" w:cs="Arial"/>
          <w:sz w:val="22"/>
          <w:szCs w:val="22"/>
          <w:lang w:val="es-CO"/>
        </w:rPr>
        <w:t>».</w:t>
      </w:r>
    </w:p>
    <w:p w:rsidR="00107876" w:rsidRPr="003153EE" w:rsidP="002222A5" w14:paraId="15422364" w14:textId="42250506">
      <w:pPr>
        <w:jc w:val="both"/>
        <w:rPr>
          <w:rFonts w:ascii="Verdana" w:hAnsi="Verdana" w:cs="Arial"/>
          <w:sz w:val="22"/>
          <w:szCs w:val="22"/>
          <w:lang w:val="es-CO"/>
        </w:rPr>
      </w:pPr>
    </w:p>
    <w:p w:rsidR="00F90EC8" w:rsidP="002222A5" w14:paraId="0D1B88E0" w14:textId="77777777">
      <w:pPr>
        <w:jc w:val="both"/>
        <w:rPr>
          <w:rFonts w:ascii="Verdana" w:hAnsi="Verdana" w:cs="Arial"/>
          <w:sz w:val="22"/>
          <w:szCs w:val="22"/>
          <w:lang w:val="es-CO"/>
        </w:rPr>
      </w:pPr>
      <w:r w:rsidRPr="003153EE">
        <w:rPr>
          <w:rFonts w:ascii="Verdana" w:hAnsi="Verdana" w:cs="Arial"/>
          <w:sz w:val="22"/>
          <w:szCs w:val="22"/>
          <w:lang w:val="es-CO"/>
        </w:rPr>
        <w:t xml:space="preserve">Por lo tanto, </w:t>
      </w:r>
      <w:r w:rsidRPr="003153EE" w:rsidR="003F6718">
        <w:rPr>
          <w:rFonts w:ascii="Verdana" w:hAnsi="Verdana" w:cs="Arial"/>
          <w:sz w:val="22"/>
          <w:szCs w:val="22"/>
          <w:lang w:val="es-CO"/>
        </w:rPr>
        <w:t xml:space="preserve">la portabilidad financiera configura uno de los </w:t>
      </w:r>
      <w:r w:rsidR="00796709">
        <w:rPr>
          <w:rFonts w:ascii="Verdana" w:hAnsi="Verdana" w:cs="Arial"/>
          <w:sz w:val="22"/>
          <w:szCs w:val="22"/>
          <w:lang w:val="es-CO"/>
        </w:rPr>
        <w:t>casos de uso</w:t>
      </w:r>
      <w:r w:rsidRPr="003153EE" w:rsidR="003F6718">
        <w:rPr>
          <w:rFonts w:ascii="Verdana" w:hAnsi="Verdana" w:cs="Arial"/>
          <w:sz w:val="22"/>
          <w:szCs w:val="22"/>
          <w:lang w:val="es-CO"/>
        </w:rPr>
        <w:t xml:space="preserve"> que deben ser objeto de </w:t>
      </w:r>
      <w:r w:rsidRPr="003153EE" w:rsidR="00702C3C">
        <w:rPr>
          <w:rFonts w:ascii="Verdana" w:hAnsi="Verdana" w:cs="Arial"/>
          <w:sz w:val="22"/>
          <w:szCs w:val="22"/>
          <w:lang w:val="es-CO"/>
        </w:rPr>
        <w:t>estandarización por parte de la SFC</w:t>
      </w:r>
      <w:r w:rsidRPr="003153EE" w:rsidR="00913E23">
        <w:rPr>
          <w:rFonts w:ascii="Verdana" w:hAnsi="Verdana" w:cs="Arial"/>
          <w:sz w:val="22"/>
          <w:szCs w:val="22"/>
          <w:lang w:val="es-CO"/>
        </w:rPr>
        <w:t>,</w:t>
      </w:r>
      <w:r w:rsidRPr="003153EE" w:rsidR="003F6718">
        <w:rPr>
          <w:rFonts w:ascii="Verdana" w:hAnsi="Verdana" w:cs="Arial"/>
          <w:sz w:val="22"/>
          <w:szCs w:val="22"/>
          <w:lang w:val="es-CO"/>
        </w:rPr>
        <w:t xml:space="preserve"> </w:t>
      </w:r>
      <w:r w:rsidRPr="003153EE" w:rsidR="00B71BFE">
        <w:rPr>
          <w:rFonts w:ascii="Verdana" w:hAnsi="Verdana" w:cs="Arial"/>
          <w:sz w:val="22"/>
          <w:szCs w:val="22"/>
          <w:lang w:val="es-CO"/>
        </w:rPr>
        <w:t xml:space="preserve">en el marco del cronograma </w:t>
      </w:r>
      <w:r w:rsidRPr="003153EE" w:rsidR="00913E23">
        <w:rPr>
          <w:rFonts w:ascii="Verdana" w:hAnsi="Verdana" w:cs="Arial"/>
          <w:sz w:val="22"/>
          <w:szCs w:val="22"/>
          <w:lang w:val="es-CO"/>
        </w:rPr>
        <w:t>de que trata</w:t>
      </w:r>
      <w:r w:rsidRPr="003153EE" w:rsidR="005F6842">
        <w:rPr>
          <w:rFonts w:ascii="Verdana" w:hAnsi="Verdana" w:cs="Arial"/>
          <w:sz w:val="22"/>
          <w:szCs w:val="22"/>
          <w:lang w:val="es-CO"/>
        </w:rPr>
        <w:t xml:space="preserve"> el artículo 3 del Decreto 0368 de 2026.</w:t>
      </w:r>
      <w:r w:rsidR="00A16924">
        <w:rPr>
          <w:rFonts w:ascii="Verdana" w:hAnsi="Verdana" w:cs="Arial"/>
          <w:sz w:val="22"/>
          <w:szCs w:val="22"/>
          <w:lang w:val="es-CO"/>
        </w:rPr>
        <w:t xml:space="preserve"> </w:t>
      </w:r>
    </w:p>
    <w:p w:rsidR="00F90EC8" w:rsidP="002222A5" w14:paraId="5E16FC62" w14:textId="77777777">
      <w:pPr>
        <w:jc w:val="both"/>
        <w:rPr>
          <w:rFonts w:ascii="Verdana" w:hAnsi="Verdana" w:cs="Arial"/>
          <w:sz w:val="22"/>
          <w:szCs w:val="22"/>
          <w:lang w:val="es-CO"/>
        </w:rPr>
      </w:pPr>
    </w:p>
    <w:p w:rsidR="00107876" w:rsidRPr="003153EE" w:rsidP="002222A5" w14:paraId="48D9B71D" w14:textId="302A6B62">
      <w:pPr>
        <w:jc w:val="both"/>
        <w:rPr>
          <w:rFonts w:ascii="Verdana" w:hAnsi="Verdana" w:cs="Arial"/>
          <w:sz w:val="22"/>
          <w:szCs w:val="22"/>
          <w:lang w:val="es-CO"/>
        </w:rPr>
      </w:pPr>
      <w:r>
        <w:rPr>
          <w:rFonts w:ascii="Verdana" w:hAnsi="Verdana" w:cs="Arial"/>
          <w:sz w:val="22"/>
          <w:szCs w:val="22"/>
          <w:lang w:val="es-CO"/>
        </w:rPr>
        <w:t>De igual forma</w:t>
      </w:r>
      <w:r w:rsidRPr="003153EE" w:rsidR="00DE358A">
        <w:rPr>
          <w:rFonts w:ascii="Verdana" w:hAnsi="Verdana" w:cs="Arial"/>
          <w:sz w:val="22"/>
          <w:szCs w:val="22"/>
          <w:lang w:val="es-CO"/>
        </w:rPr>
        <w:t>, el proceso de estandarización</w:t>
      </w:r>
      <w:r>
        <w:rPr>
          <w:rFonts w:ascii="Verdana" w:hAnsi="Verdana" w:cs="Arial"/>
          <w:sz w:val="22"/>
          <w:szCs w:val="22"/>
          <w:lang w:val="es-CO"/>
        </w:rPr>
        <w:t xml:space="preserve"> del caso de uso de portabilidad financiera</w:t>
      </w:r>
      <w:r w:rsidRPr="003153EE" w:rsidR="00DE358A">
        <w:rPr>
          <w:rFonts w:ascii="Verdana" w:hAnsi="Verdana" w:cs="Arial"/>
          <w:sz w:val="22"/>
          <w:szCs w:val="22"/>
          <w:lang w:val="es-CO"/>
        </w:rPr>
        <w:t xml:space="preserve"> debe considerar los plazos señalados en el artículo 6 del Decreto 977 de 2026, el cual señala: </w:t>
      </w:r>
    </w:p>
    <w:p w:rsidR="003F6718" w:rsidRPr="003153EE" w:rsidP="002222A5" w14:paraId="0C8A5F04" w14:textId="77777777">
      <w:pPr>
        <w:jc w:val="both"/>
        <w:rPr>
          <w:rFonts w:ascii="Verdana" w:hAnsi="Verdana" w:cs="Arial"/>
          <w:sz w:val="22"/>
          <w:szCs w:val="22"/>
          <w:lang w:val="es-CO"/>
        </w:rPr>
      </w:pPr>
    </w:p>
    <w:p w:rsidR="00537C9A" w:rsidRPr="00B30BD2" w:rsidP="00B30BD2" w14:paraId="58944672" w14:textId="16AA105B">
      <w:pPr>
        <w:ind w:left="284"/>
        <w:jc w:val="both"/>
        <w:rPr>
          <w:rFonts w:ascii="Verdana" w:hAnsi="Verdana" w:cs="Arial"/>
          <w:i/>
          <w:iCs/>
          <w:sz w:val="22"/>
          <w:szCs w:val="22"/>
        </w:rPr>
      </w:pPr>
      <w:r w:rsidRPr="00B30BD2">
        <w:rPr>
          <w:rFonts w:ascii="Verdana" w:hAnsi="Verdana" w:cs="Arial"/>
          <w:i/>
          <w:iCs/>
          <w:sz w:val="22"/>
          <w:szCs w:val="22"/>
        </w:rPr>
        <w:t xml:space="preserve">Artículo 6. Régimen de transición. La Superintendencia Financiera de Colombia publicará los estándares a los que hace referencia el artículo 2.35.8.8.9. del Decreto 2555 de 2010 y definirá la información a ser reportada a la que se refiere el artículo 35.8.8.12. del Decreto 2555 de 2010 en un plazo máximo de veinticuatro (24) meses a partir de la </w:t>
      </w:r>
      <w:r w:rsidRPr="00B30BD2">
        <w:rPr>
          <w:rFonts w:ascii="Verdana" w:hAnsi="Verdana" w:cs="Arial"/>
          <w:i/>
          <w:iCs/>
          <w:sz w:val="22"/>
          <w:szCs w:val="22"/>
        </w:rPr>
        <w:t>entrada en vigencia</w:t>
      </w:r>
      <w:r w:rsidRPr="00B30BD2">
        <w:rPr>
          <w:rFonts w:ascii="Verdana" w:hAnsi="Verdana" w:cs="Arial"/>
          <w:i/>
          <w:iCs/>
          <w:sz w:val="22"/>
          <w:szCs w:val="22"/>
        </w:rPr>
        <w:t xml:space="preserve"> del presente decreto.</w:t>
      </w:r>
    </w:p>
    <w:p w:rsidR="00537C9A" w:rsidRPr="003153EE" w:rsidP="002222A5" w14:paraId="2E22EFC8" w14:textId="77777777">
      <w:pPr>
        <w:jc w:val="both"/>
        <w:rPr>
          <w:rFonts w:ascii="Verdana" w:hAnsi="Verdana" w:cs="Arial"/>
          <w:sz w:val="22"/>
          <w:szCs w:val="22"/>
          <w:lang w:val="es-CO"/>
        </w:rPr>
      </w:pPr>
    </w:p>
    <w:p w:rsidR="00C67933" w:rsidP="008C4E6A" w14:paraId="5C6148AA" w14:textId="282E3D95">
      <w:pPr>
        <w:jc w:val="both"/>
        <w:rPr>
          <w:rFonts w:ascii="Verdana" w:hAnsi="Verdana" w:cs="Arial"/>
          <w:sz w:val="22"/>
          <w:szCs w:val="22"/>
          <w:lang w:val="es-CO"/>
        </w:rPr>
      </w:pPr>
      <w:r w:rsidRPr="003153EE">
        <w:rPr>
          <w:rFonts w:ascii="Verdana" w:hAnsi="Verdana" w:cs="Arial"/>
          <w:sz w:val="22"/>
          <w:szCs w:val="22"/>
          <w:lang w:val="es-CO"/>
        </w:rPr>
        <w:t xml:space="preserve">Así las cosas, </w:t>
      </w:r>
      <w:r>
        <w:rPr>
          <w:rFonts w:ascii="Verdana" w:hAnsi="Verdana" w:cs="Arial"/>
          <w:sz w:val="22"/>
          <w:szCs w:val="22"/>
          <w:lang w:val="es-CO"/>
        </w:rPr>
        <w:t xml:space="preserve">la SFC tiene la obligación de incluir la portabilidad financiera dentro del cronograma de estandarización del sistema de finanzas abiertas, para efectos de lo cual debe considerar un plazo máximo de veinticuatro (24) meses para dicho caso de uso. </w:t>
      </w:r>
    </w:p>
    <w:p w:rsidR="00C67933" w:rsidP="008C4E6A" w14:paraId="105EC922" w14:textId="77777777">
      <w:pPr>
        <w:jc w:val="both"/>
        <w:rPr>
          <w:rFonts w:ascii="Verdana" w:hAnsi="Verdana" w:cs="Arial"/>
          <w:sz w:val="22"/>
          <w:szCs w:val="22"/>
          <w:lang w:val="es-CO"/>
        </w:rPr>
      </w:pPr>
    </w:p>
    <w:p w:rsidR="00E9554B" w:rsidP="008C4E6A" w14:paraId="7AD8ABED" w14:textId="7625E62A">
      <w:pPr>
        <w:jc w:val="both"/>
        <w:rPr>
          <w:rFonts w:ascii="Verdana" w:hAnsi="Verdana" w:cs="Arial"/>
          <w:sz w:val="22"/>
          <w:szCs w:val="22"/>
          <w:lang w:val="es-CO"/>
        </w:rPr>
      </w:pPr>
      <w:r>
        <w:rPr>
          <w:rFonts w:ascii="Verdana" w:hAnsi="Verdana" w:cs="Arial"/>
          <w:sz w:val="22"/>
          <w:szCs w:val="22"/>
          <w:lang w:val="es-CO"/>
        </w:rPr>
        <w:t xml:space="preserve">Por lo anterior, </w:t>
      </w:r>
      <w:r w:rsidRPr="003153EE" w:rsidR="00B63203">
        <w:rPr>
          <w:rFonts w:ascii="Verdana" w:hAnsi="Verdana" w:cs="Arial"/>
          <w:sz w:val="22"/>
          <w:szCs w:val="22"/>
          <w:lang w:val="es-CO"/>
        </w:rPr>
        <w:t xml:space="preserve">la SFC </w:t>
      </w:r>
      <w:r w:rsidR="00D04F12">
        <w:rPr>
          <w:rFonts w:ascii="Verdana" w:hAnsi="Verdana" w:cs="Arial"/>
          <w:sz w:val="22"/>
          <w:szCs w:val="22"/>
          <w:lang w:val="es-CO"/>
        </w:rPr>
        <w:t>definió la</w:t>
      </w:r>
      <w:r w:rsidRPr="003153EE" w:rsidR="002222A5">
        <w:rPr>
          <w:rFonts w:ascii="Verdana" w:hAnsi="Verdana" w:cs="Arial"/>
          <w:sz w:val="22"/>
          <w:szCs w:val="22"/>
          <w:lang w:val="es-CO"/>
        </w:rPr>
        <w:t xml:space="preserve"> priorización que sustenta el cronograma de expedición de estándares presentado en la presente Carta Circular</w:t>
      </w:r>
      <w:r w:rsidR="00D04F12">
        <w:rPr>
          <w:rFonts w:ascii="Verdana" w:hAnsi="Verdana" w:cs="Arial"/>
          <w:sz w:val="22"/>
          <w:szCs w:val="22"/>
          <w:lang w:val="es-CO"/>
        </w:rPr>
        <w:t>,</w:t>
      </w:r>
      <w:r w:rsidRPr="00D04F12" w:rsidR="00D04F12">
        <w:rPr>
          <w:rFonts w:ascii="Verdana" w:hAnsi="Verdana" w:cs="Arial"/>
          <w:sz w:val="22"/>
          <w:szCs w:val="22"/>
          <w:lang w:val="es-CO"/>
        </w:rPr>
        <w:t xml:space="preserve"> </w:t>
      </w:r>
      <w:r w:rsidRPr="003153EE" w:rsidR="00D04F12">
        <w:rPr>
          <w:rFonts w:ascii="Verdana" w:hAnsi="Verdana" w:cs="Arial"/>
          <w:sz w:val="22"/>
          <w:szCs w:val="22"/>
          <w:lang w:val="es-CO"/>
        </w:rPr>
        <w:t>a partir de los insumos recopilados en las mesas técnicas</w:t>
      </w:r>
      <w:r w:rsidR="00D04F12">
        <w:rPr>
          <w:rFonts w:ascii="Verdana" w:hAnsi="Verdana" w:cs="Arial"/>
          <w:sz w:val="22"/>
          <w:szCs w:val="22"/>
          <w:lang w:val="es-CO"/>
        </w:rPr>
        <w:t>, los</w:t>
      </w:r>
      <w:r w:rsidRPr="003153EE" w:rsidR="00D04F12">
        <w:rPr>
          <w:rFonts w:ascii="Verdana" w:hAnsi="Verdana" w:cs="Arial"/>
          <w:sz w:val="22"/>
          <w:szCs w:val="22"/>
          <w:lang w:val="es-CO"/>
        </w:rPr>
        <w:t xml:space="preserve"> análisis realizados al interior de la SFC, y</w:t>
      </w:r>
      <w:r w:rsidR="00D04F12">
        <w:rPr>
          <w:rFonts w:ascii="Verdana" w:hAnsi="Verdana" w:cs="Arial"/>
          <w:sz w:val="22"/>
          <w:szCs w:val="22"/>
          <w:lang w:val="es-CO"/>
        </w:rPr>
        <w:t xml:space="preserve"> </w:t>
      </w:r>
      <w:r w:rsidRPr="003153EE" w:rsidR="00D04F12">
        <w:rPr>
          <w:rFonts w:ascii="Verdana" w:hAnsi="Verdana" w:cs="Arial"/>
          <w:sz w:val="22"/>
          <w:szCs w:val="22"/>
          <w:lang w:val="es-CO"/>
        </w:rPr>
        <w:t>los plazos de adopción definidos por el Gobierno</w:t>
      </w:r>
      <w:r w:rsidR="005D3D62">
        <w:rPr>
          <w:rFonts w:ascii="Verdana" w:hAnsi="Verdana" w:cs="Arial"/>
          <w:sz w:val="22"/>
          <w:szCs w:val="22"/>
          <w:lang w:val="es-CO"/>
        </w:rPr>
        <w:t xml:space="preserve"> Nacional</w:t>
      </w:r>
      <w:r w:rsidRPr="003153EE" w:rsidR="00D04F12">
        <w:rPr>
          <w:rFonts w:ascii="Verdana" w:hAnsi="Verdana" w:cs="Arial"/>
          <w:sz w:val="22"/>
          <w:szCs w:val="22"/>
          <w:lang w:val="es-CO"/>
        </w:rPr>
        <w:t xml:space="preserve"> para la implementación de la portabilidad financiera</w:t>
      </w:r>
      <w:r w:rsidR="00D04F12">
        <w:rPr>
          <w:rFonts w:ascii="Verdana" w:hAnsi="Verdana" w:cs="Arial"/>
          <w:sz w:val="22"/>
          <w:szCs w:val="22"/>
          <w:lang w:val="es-CO"/>
        </w:rPr>
        <w:t>.</w:t>
      </w:r>
      <w:r>
        <w:rPr>
          <w:rFonts w:ascii="Verdana" w:hAnsi="Verdana" w:cs="Arial"/>
          <w:sz w:val="22"/>
          <w:szCs w:val="22"/>
          <w:lang w:val="es-CO"/>
        </w:rPr>
        <w:t xml:space="preserve"> </w:t>
      </w:r>
    </w:p>
    <w:p w:rsidR="00E9554B" w:rsidP="008C4E6A" w14:paraId="4CE4A6FC" w14:textId="77777777">
      <w:pPr>
        <w:jc w:val="both"/>
        <w:rPr>
          <w:rFonts w:ascii="Verdana" w:hAnsi="Verdana" w:cs="Arial"/>
          <w:sz w:val="22"/>
          <w:szCs w:val="22"/>
          <w:lang w:val="es-CO"/>
        </w:rPr>
      </w:pPr>
    </w:p>
    <w:p w:rsidR="002222A5" w:rsidRPr="003153EE" w:rsidP="008C4E6A" w14:paraId="4953CA79" w14:textId="18C99DFB">
      <w:pPr>
        <w:jc w:val="both"/>
        <w:rPr>
          <w:rFonts w:ascii="Verdana" w:hAnsi="Verdana" w:cs="Arial"/>
          <w:sz w:val="22"/>
          <w:szCs w:val="22"/>
          <w:lang w:val="es-CO"/>
        </w:rPr>
      </w:pPr>
      <w:r>
        <w:rPr>
          <w:rFonts w:ascii="Verdana" w:hAnsi="Verdana" w:cs="Arial"/>
          <w:sz w:val="22"/>
          <w:szCs w:val="22"/>
          <w:lang w:val="es-CO"/>
        </w:rPr>
        <w:t xml:space="preserve">Sobre este punto, </w:t>
      </w:r>
      <w:r w:rsidRPr="003153EE">
        <w:rPr>
          <w:rFonts w:ascii="Verdana" w:hAnsi="Verdana" w:cs="Arial"/>
          <w:sz w:val="22"/>
          <w:szCs w:val="22"/>
          <w:lang w:val="es-CO"/>
        </w:rPr>
        <w:t>la publicación del cronograma de expedición de estándares,</w:t>
      </w:r>
      <w:r w:rsidR="008D39EA">
        <w:rPr>
          <w:rFonts w:ascii="Verdana" w:hAnsi="Verdana" w:cs="Arial"/>
          <w:sz w:val="22"/>
          <w:szCs w:val="22"/>
          <w:lang w:val="es-CO"/>
        </w:rPr>
        <w:t xml:space="preserve"> que corresponde </w:t>
      </w:r>
      <w:r w:rsidR="006D2D6F">
        <w:rPr>
          <w:rFonts w:ascii="Verdana" w:hAnsi="Verdana" w:cs="Arial"/>
          <w:sz w:val="22"/>
          <w:szCs w:val="22"/>
          <w:lang w:val="es-CO"/>
        </w:rPr>
        <w:t>a</w:t>
      </w:r>
      <w:r w:rsidRPr="003153EE" w:rsidR="008D39EA">
        <w:rPr>
          <w:rFonts w:ascii="Verdana" w:hAnsi="Verdana" w:cs="Arial"/>
          <w:sz w:val="22"/>
          <w:szCs w:val="22"/>
          <w:lang w:val="es-CO"/>
        </w:rPr>
        <w:t>l primer hito asignado a la SFC en el Decreto 0368 de 2026</w:t>
      </w:r>
      <w:r w:rsidR="000F21BA">
        <w:rPr>
          <w:rFonts w:ascii="Verdana" w:hAnsi="Verdana" w:cs="Arial"/>
          <w:sz w:val="22"/>
          <w:szCs w:val="22"/>
          <w:lang w:val="es-CO"/>
        </w:rPr>
        <w:t xml:space="preserve">, </w:t>
      </w:r>
      <w:r w:rsidRPr="003153EE">
        <w:rPr>
          <w:rFonts w:ascii="Verdana" w:hAnsi="Verdana" w:cs="Arial"/>
          <w:sz w:val="22"/>
          <w:szCs w:val="22"/>
          <w:lang w:val="es-CO"/>
        </w:rPr>
        <w:t xml:space="preserve">no comporta instrucciones aplicables a las entidades vigiladas, sino </w:t>
      </w:r>
      <w:r w:rsidR="00C03AEE">
        <w:rPr>
          <w:rFonts w:ascii="Verdana" w:hAnsi="Verdana" w:cs="Arial"/>
          <w:sz w:val="22"/>
          <w:szCs w:val="22"/>
          <w:lang w:val="es-CO"/>
        </w:rPr>
        <w:t xml:space="preserve">que obedece a </w:t>
      </w:r>
      <w:r w:rsidRPr="003153EE">
        <w:rPr>
          <w:rFonts w:ascii="Verdana" w:hAnsi="Verdana" w:cs="Arial"/>
          <w:sz w:val="22"/>
          <w:szCs w:val="22"/>
          <w:lang w:val="es-CO"/>
        </w:rPr>
        <w:t>la definición de una hoja de ruta para la expedición posterior de estándares vinculantes</w:t>
      </w:r>
      <w:r>
        <w:rPr>
          <w:rFonts w:ascii="Verdana" w:hAnsi="Verdana" w:cs="Arial"/>
          <w:sz w:val="22"/>
          <w:szCs w:val="22"/>
          <w:lang w:val="es-CO"/>
        </w:rPr>
        <w:t>.</w:t>
      </w:r>
    </w:p>
    <w:p w:rsidR="002222A5" w:rsidRPr="003153EE" w:rsidP="00910DB1" w14:paraId="19C1F385" w14:textId="77777777">
      <w:pPr>
        <w:jc w:val="both"/>
        <w:rPr>
          <w:rFonts w:ascii="Verdana" w:hAnsi="Verdana" w:cs="Arial"/>
          <w:sz w:val="22"/>
          <w:szCs w:val="22"/>
          <w:lang w:val="es-CO"/>
        </w:rPr>
      </w:pPr>
    </w:p>
    <w:p w:rsidR="000E16F7" w:rsidRPr="003153EE" w:rsidP="008B4EEA" w14:paraId="42E1F39B" w14:textId="11015FA6">
      <w:pPr>
        <w:jc w:val="both"/>
        <w:rPr>
          <w:rFonts w:ascii="Verdana" w:hAnsi="Verdana" w:cs="Arial"/>
          <w:sz w:val="22"/>
          <w:szCs w:val="22"/>
          <w:lang w:val="es-CO"/>
        </w:rPr>
      </w:pPr>
      <w:r w:rsidRPr="003153EE">
        <w:rPr>
          <w:rFonts w:ascii="Verdana" w:hAnsi="Verdana" w:cs="Arial"/>
          <w:sz w:val="22"/>
          <w:szCs w:val="22"/>
          <w:lang w:val="es-CO"/>
        </w:rPr>
        <w:t xml:space="preserve">En virtud de lo expuesto, </w:t>
      </w:r>
      <w:r w:rsidRPr="003153EE" w:rsidR="00307B19">
        <w:rPr>
          <w:rFonts w:ascii="Verdana" w:hAnsi="Verdana" w:cs="Arial"/>
          <w:sz w:val="22"/>
          <w:szCs w:val="22"/>
          <w:lang w:val="es-CO"/>
        </w:rPr>
        <w:t>en cumplimiento del artículo 3 del Decreto 0368 de 202</w:t>
      </w:r>
      <w:r w:rsidR="00FE0BFF">
        <w:rPr>
          <w:rFonts w:ascii="Verdana" w:hAnsi="Verdana" w:cs="Arial"/>
          <w:sz w:val="22"/>
          <w:szCs w:val="22"/>
          <w:lang w:val="es-CO"/>
        </w:rPr>
        <w:t xml:space="preserve">6 y del artículo 5 del Decreto 977 de 2026, </w:t>
      </w:r>
      <w:r w:rsidRPr="003153EE" w:rsidR="00FE0BFF">
        <w:rPr>
          <w:rFonts w:ascii="Verdana" w:hAnsi="Verdana" w:cs="Arial"/>
          <w:sz w:val="22"/>
          <w:szCs w:val="22"/>
          <w:lang w:val="es-CO"/>
        </w:rPr>
        <w:t xml:space="preserve">la SFC se permite informar el cronograma </w:t>
      </w:r>
      <w:r w:rsidR="00FE0BFF">
        <w:rPr>
          <w:rFonts w:ascii="Verdana" w:hAnsi="Verdana" w:cs="Arial"/>
          <w:sz w:val="22"/>
          <w:szCs w:val="22"/>
          <w:lang w:val="es-CO"/>
        </w:rPr>
        <w:t>de estandarización del sistema de fi</w:t>
      </w:r>
      <w:r w:rsidR="00C03AEE">
        <w:rPr>
          <w:rFonts w:ascii="Verdana" w:hAnsi="Verdana" w:cs="Arial"/>
          <w:sz w:val="22"/>
          <w:szCs w:val="22"/>
          <w:lang w:val="es-CO"/>
        </w:rPr>
        <w:t>n</w:t>
      </w:r>
      <w:r w:rsidR="00FE0BFF">
        <w:rPr>
          <w:rFonts w:ascii="Verdana" w:hAnsi="Verdana" w:cs="Arial"/>
          <w:sz w:val="22"/>
          <w:szCs w:val="22"/>
          <w:lang w:val="es-CO"/>
        </w:rPr>
        <w:t>anzas abiertas</w:t>
      </w:r>
      <w:r w:rsidRPr="003153EE">
        <w:rPr>
          <w:rFonts w:ascii="Verdana" w:hAnsi="Verdana" w:cs="Arial"/>
          <w:sz w:val="22"/>
          <w:szCs w:val="22"/>
          <w:lang w:val="es-CO"/>
        </w:rPr>
        <w:t>:</w:t>
      </w:r>
    </w:p>
    <w:p w:rsidR="000E16F7" w:rsidRPr="003153EE" w:rsidP="008B4EEA" w14:paraId="5A8713F1" w14:textId="77777777">
      <w:pPr>
        <w:jc w:val="both"/>
        <w:rPr>
          <w:rFonts w:ascii="Verdana" w:hAnsi="Verdana" w:cs="Arial"/>
          <w:sz w:val="22"/>
          <w:szCs w:val="22"/>
          <w:lang w:val="es-CO"/>
        </w:rPr>
      </w:pPr>
    </w:p>
    <w:tbl>
      <w:tblPr>
        <w:tblW w:w="8926" w:type="dxa"/>
        <w:tblCellMar>
          <w:top w:w="15" w:type="dxa"/>
          <w:left w:w="70" w:type="dxa"/>
          <w:bottom w:w="15" w:type="dxa"/>
          <w:right w:w="70" w:type="dxa"/>
        </w:tblCellMar>
        <w:tblLook w:val="04A0"/>
      </w:tblPr>
      <w:tblGrid>
        <w:gridCol w:w="6091"/>
        <w:gridCol w:w="2835"/>
      </w:tblGrid>
      <w:tr w14:paraId="7E50D1EB" w14:textId="77777777" w:rsidTr="00B30BD2">
        <w:tblPrEx>
          <w:tblW w:w="8926" w:type="dxa"/>
          <w:tblLook w:val="04A0"/>
        </w:tblPrEx>
        <w:trPr>
          <w:trHeight w:val="511"/>
        </w:trPr>
        <w:tc>
          <w:tcPr>
            <w:tcW w:w="6091" w:type="dxa"/>
            <w:tcBorders>
              <w:top w:val="single" w:sz="4" w:space="0" w:color="auto"/>
              <w:left w:val="single" w:sz="4" w:space="0" w:color="auto"/>
              <w:bottom w:val="single" w:sz="4" w:space="0" w:color="auto"/>
              <w:right w:val="single" w:sz="4" w:space="0" w:color="auto"/>
            </w:tcBorders>
            <w:noWrap/>
            <w:vAlign w:val="center"/>
            <w:hideMark/>
          </w:tcPr>
          <w:p w:rsidR="00910DB1" w:rsidRPr="00B30BD2" w:rsidP="00B30BD2" w14:paraId="1D45D90A" w14:textId="2781B01F">
            <w:pPr>
              <w:jc w:val="center"/>
              <w:rPr>
                <w:rFonts w:ascii="Verdana" w:eastAsia="Times New Roman" w:hAnsi="Verdana" w:cs="Calibri"/>
                <w:b/>
                <w:bCs/>
                <w:color w:val="000000"/>
                <w:sz w:val="18"/>
                <w:szCs w:val="18"/>
                <w:lang w:val="es-CO" w:eastAsia="es-CO"/>
              </w:rPr>
            </w:pPr>
            <w:r w:rsidRPr="00B30BD2">
              <w:rPr>
                <w:rFonts w:ascii="Verdana" w:eastAsia="Times New Roman" w:hAnsi="Verdana" w:cs="Calibri"/>
                <w:b/>
                <w:bCs/>
                <w:color w:val="000000"/>
                <w:sz w:val="18"/>
                <w:szCs w:val="18"/>
                <w:lang w:val="es-CO" w:eastAsia="es-CO"/>
              </w:rPr>
              <w:t>Tipos de Información</w:t>
            </w:r>
          </w:p>
        </w:tc>
        <w:tc>
          <w:tcPr>
            <w:tcW w:w="2835" w:type="dxa"/>
            <w:tcBorders>
              <w:top w:val="single" w:sz="4" w:space="0" w:color="auto"/>
              <w:left w:val="single" w:sz="4" w:space="0" w:color="auto"/>
              <w:bottom w:val="single" w:sz="4" w:space="0" w:color="auto"/>
              <w:right w:val="single" w:sz="4" w:space="0" w:color="auto"/>
            </w:tcBorders>
            <w:noWrap/>
            <w:vAlign w:val="center"/>
            <w:hideMark/>
          </w:tcPr>
          <w:p w:rsidR="00910DB1" w:rsidRPr="00B30BD2" w:rsidP="00910DB1" w14:paraId="1BA40497" w14:textId="600FA7F5">
            <w:pPr>
              <w:jc w:val="center"/>
              <w:rPr>
                <w:rFonts w:ascii="Verdana" w:eastAsia="Times New Roman" w:hAnsi="Verdana" w:cs="Calibri"/>
                <w:b/>
                <w:bCs/>
                <w:color w:val="000000"/>
                <w:sz w:val="18"/>
                <w:szCs w:val="18"/>
                <w:lang w:val="es-CO" w:eastAsia="es-CO"/>
              </w:rPr>
            </w:pPr>
            <w:r w:rsidRPr="00B30BD2">
              <w:rPr>
                <w:rFonts w:ascii="Verdana" w:eastAsia="Times New Roman" w:hAnsi="Verdana" w:cs="Calibri"/>
                <w:b/>
                <w:bCs/>
                <w:color w:val="000000"/>
                <w:sz w:val="18"/>
                <w:szCs w:val="18"/>
                <w:lang w:val="es-CO" w:eastAsia="es-CO"/>
              </w:rPr>
              <w:t xml:space="preserve">Plazo máximo de expedición desde la fecha de publicación del </w:t>
            </w:r>
            <w:r w:rsidR="00F77F5B">
              <w:rPr>
                <w:rFonts w:ascii="Verdana" w:eastAsia="Times New Roman" w:hAnsi="Verdana" w:cs="Calibri"/>
                <w:b/>
                <w:bCs/>
                <w:color w:val="000000"/>
                <w:sz w:val="18"/>
                <w:szCs w:val="18"/>
                <w:lang w:val="es-CO" w:eastAsia="es-CO"/>
              </w:rPr>
              <w:t>c</w:t>
            </w:r>
            <w:r w:rsidRPr="00B30BD2">
              <w:rPr>
                <w:rFonts w:ascii="Verdana" w:eastAsia="Times New Roman" w:hAnsi="Verdana" w:cs="Calibri"/>
                <w:b/>
                <w:bCs/>
                <w:color w:val="000000"/>
                <w:sz w:val="18"/>
                <w:szCs w:val="18"/>
                <w:lang w:val="es-CO" w:eastAsia="es-CO"/>
              </w:rPr>
              <w:t>ronograma (meses)</w:t>
            </w:r>
          </w:p>
        </w:tc>
      </w:tr>
      <w:tr w14:paraId="5C5D6480" w14:textId="77777777" w:rsidTr="00B30BD2">
        <w:tblPrEx>
          <w:tblW w:w="8926" w:type="dxa"/>
          <w:tblLook w:val="04A0"/>
        </w:tblPrEx>
        <w:trPr>
          <w:trHeight w:val="285"/>
        </w:trPr>
        <w:tc>
          <w:tcPr>
            <w:tcW w:w="6091" w:type="dxa"/>
            <w:tcBorders>
              <w:top w:val="single" w:sz="4" w:space="0" w:color="auto"/>
              <w:left w:val="single" w:sz="4" w:space="0" w:color="auto"/>
              <w:bottom w:val="single" w:sz="4" w:space="0" w:color="auto"/>
              <w:right w:val="single" w:sz="4" w:space="0" w:color="auto"/>
            </w:tcBorders>
            <w:noWrap/>
            <w:vAlign w:val="bottom"/>
          </w:tcPr>
          <w:p w:rsidR="00910DB1" w:rsidRPr="00B30BD2" w:rsidP="00910DB1" w14:paraId="5D7ADD44" w14:textId="53AB5CE3">
            <w:pPr>
              <w:rPr>
                <w:rFonts w:ascii="Verdana" w:eastAsia="Times New Roman" w:hAnsi="Verdana" w:cs="Calibri"/>
                <w:color w:val="000000"/>
                <w:sz w:val="18"/>
                <w:szCs w:val="18"/>
                <w:lang w:val="es-CO" w:eastAsia="es-CO"/>
              </w:rPr>
            </w:pPr>
            <w:r w:rsidRPr="00B30BD2">
              <w:rPr>
                <w:rFonts w:ascii="Verdana" w:eastAsia="Times New Roman" w:hAnsi="Verdana" w:cs="Calibri"/>
                <w:color w:val="000000"/>
                <w:sz w:val="18"/>
                <w:szCs w:val="18"/>
                <w:lang w:val="es-CO" w:eastAsia="es-CO"/>
              </w:rPr>
              <w:t xml:space="preserve">Portabilidad </w:t>
            </w:r>
            <w:r w:rsidR="00C94229">
              <w:rPr>
                <w:rFonts w:ascii="Verdana" w:eastAsia="Times New Roman" w:hAnsi="Verdana" w:cs="Calibri"/>
                <w:color w:val="000000"/>
                <w:sz w:val="18"/>
                <w:szCs w:val="18"/>
                <w:lang w:val="es-CO" w:eastAsia="es-CO"/>
              </w:rPr>
              <w:t>f</w:t>
            </w:r>
            <w:r w:rsidRPr="00B30BD2">
              <w:rPr>
                <w:rFonts w:ascii="Verdana" w:eastAsia="Times New Roman" w:hAnsi="Verdana" w:cs="Calibri"/>
                <w:color w:val="000000"/>
                <w:sz w:val="18"/>
                <w:szCs w:val="18"/>
                <w:lang w:val="es-CO" w:eastAsia="es-CO"/>
              </w:rPr>
              <w:t>inanciera crédito consumo</w:t>
            </w:r>
          </w:p>
        </w:tc>
        <w:tc>
          <w:tcPr>
            <w:tcW w:w="2835" w:type="dxa"/>
            <w:tcBorders>
              <w:top w:val="single" w:sz="4" w:space="0" w:color="auto"/>
              <w:left w:val="single" w:sz="4" w:space="0" w:color="auto"/>
              <w:bottom w:val="single" w:sz="4" w:space="0" w:color="auto"/>
              <w:right w:val="single" w:sz="4" w:space="0" w:color="auto"/>
            </w:tcBorders>
            <w:noWrap/>
            <w:vAlign w:val="bottom"/>
          </w:tcPr>
          <w:p w:rsidR="00910DB1" w:rsidRPr="00B30BD2" w:rsidP="00B30BD2" w14:paraId="4D875890" w14:textId="2347EA4F">
            <w:pPr>
              <w:jc w:val="center"/>
              <w:rPr>
                <w:rFonts w:ascii="Verdana" w:eastAsia="Times New Roman" w:hAnsi="Verdana" w:cs="Calibri"/>
                <w:color w:val="000000"/>
                <w:sz w:val="18"/>
                <w:szCs w:val="18"/>
                <w:lang w:val="es-CO" w:eastAsia="es-CO"/>
              </w:rPr>
            </w:pPr>
            <w:r w:rsidRPr="00B30BD2">
              <w:rPr>
                <w:rFonts w:ascii="Verdana" w:eastAsia="Times New Roman" w:hAnsi="Verdana" w:cs="Calibri"/>
                <w:color w:val="000000"/>
                <w:sz w:val="18"/>
                <w:szCs w:val="18"/>
                <w:lang w:val="es-CO" w:eastAsia="es-CO"/>
              </w:rPr>
              <w:t>8</w:t>
            </w:r>
          </w:p>
        </w:tc>
      </w:tr>
      <w:tr w14:paraId="2A806708" w14:textId="77777777" w:rsidTr="00B30BD2">
        <w:tblPrEx>
          <w:tblW w:w="8926" w:type="dxa"/>
          <w:tblLook w:val="04A0"/>
        </w:tblPrEx>
        <w:trPr>
          <w:trHeight w:val="285"/>
        </w:trPr>
        <w:tc>
          <w:tcPr>
            <w:tcW w:w="6091" w:type="dxa"/>
            <w:tcBorders>
              <w:top w:val="single" w:sz="4" w:space="0" w:color="auto"/>
              <w:left w:val="single" w:sz="4" w:space="0" w:color="auto"/>
              <w:bottom w:val="single" w:sz="4" w:space="0" w:color="auto"/>
              <w:right w:val="single" w:sz="4" w:space="0" w:color="auto"/>
            </w:tcBorders>
            <w:noWrap/>
            <w:vAlign w:val="bottom"/>
            <w:hideMark/>
          </w:tcPr>
          <w:p w:rsidR="00720C4F" w:rsidRPr="00B30BD2" w:rsidP="00720C4F" w14:paraId="7D9225FE" w14:textId="7017461B">
            <w:pPr>
              <w:rPr>
                <w:rFonts w:ascii="Verdana" w:eastAsia="Times New Roman" w:hAnsi="Verdana" w:cs="Calibri"/>
                <w:color w:val="000000"/>
                <w:sz w:val="18"/>
                <w:szCs w:val="18"/>
                <w:lang w:val="es-CO" w:eastAsia="es-CO"/>
              </w:rPr>
            </w:pPr>
            <w:r w:rsidRPr="00B30BD2">
              <w:rPr>
                <w:rFonts w:ascii="Verdana" w:eastAsia="Times New Roman" w:hAnsi="Verdana" w:cs="Calibri"/>
                <w:color w:val="000000"/>
                <w:sz w:val="18"/>
                <w:szCs w:val="18"/>
                <w:lang w:val="es-CO" w:eastAsia="es-CO"/>
              </w:rPr>
              <w:t xml:space="preserve">Portabilidad </w:t>
            </w:r>
            <w:r w:rsidR="00C94229">
              <w:rPr>
                <w:rFonts w:ascii="Verdana" w:eastAsia="Times New Roman" w:hAnsi="Verdana" w:cs="Calibri"/>
                <w:color w:val="000000"/>
                <w:sz w:val="18"/>
                <w:szCs w:val="18"/>
                <w:lang w:val="es-CO" w:eastAsia="es-CO"/>
              </w:rPr>
              <w:t>f</w:t>
            </w:r>
            <w:r w:rsidRPr="00B30BD2">
              <w:rPr>
                <w:rFonts w:ascii="Verdana" w:eastAsia="Times New Roman" w:hAnsi="Verdana" w:cs="Calibri"/>
                <w:color w:val="000000"/>
                <w:sz w:val="18"/>
                <w:szCs w:val="18"/>
                <w:lang w:val="es-CO" w:eastAsia="es-CO"/>
              </w:rPr>
              <w:t>inanciera crédito hipotecario</w:t>
            </w:r>
          </w:p>
        </w:tc>
        <w:tc>
          <w:tcPr>
            <w:tcW w:w="2835" w:type="dxa"/>
            <w:tcBorders>
              <w:top w:val="single" w:sz="4" w:space="0" w:color="auto"/>
              <w:left w:val="single" w:sz="4" w:space="0" w:color="auto"/>
              <w:bottom w:val="single" w:sz="4" w:space="0" w:color="auto"/>
              <w:right w:val="single" w:sz="4" w:space="0" w:color="auto"/>
            </w:tcBorders>
            <w:noWrap/>
            <w:vAlign w:val="bottom"/>
          </w:tcPr>
          <w:p w:rsidR="00720C4F" w:rsidRPr="00B30BD2" w:rsidP="00B30BD2" w14:paraId="6AC88AC4" w14:textId="47E96B40">
            <w:pPr>
              <w:jc w:val="center"/>
              <w:rPr>
                <w:rFonts w:ascii="Verdana" w:eastAsia="Times New Roman" w:hAnsi="Verdana" w:cs="Calibri"/>
                <w:color w:val="000000"/>
                <w:sz w:val="18"/>
                <w:szCs w:val="18"/>
                <w:lang w:val="es-CO" w:eastAsia="es-CO"/>
              </w:rPr>
            </w:pPr>
            <w:r w:rsidRPr="00B30BD2">
              <w:rPr>
                <w:rFonts w:ascii="Verdana" w:hAnsi="Verdana"/>
                <w:color w:val="000000"/>
                <w:sz w:val="18"/>
                <w:szCs w:val="18"/>
              </w:rPr>
              <w:t>16</w:t>
            </w:r>
          </w:p>
        </w:tc>
      </w:tr>
      <w:tr w14:paraId="7DD92525" w14:textId="77777777" w:rsidTr="00B30BD2">
        <w:tblPrEx>
          <w:tblW w:w="8926" w:type="dxa"/>
          <w:tblLook w:val="04A0"/>
        </w:tblPrEx>
        <w:trPr>
          <w:trHeight w:val="285"/>
        </w:trPr>
        <w:tc>
          <w:tcPr>
            <w:tcW w:w="6091" w:type="dxa"/>
            <w:tcBorders>
              <w:top w:val="single" w:sz="4" w:space="0" w:color="auto"/>
              <w:left w:val="single" w:sz="4" w:space="0" w:color="auto"/>
              <w:bottom w:val="single" w:sz="4" w:space="0" w:color="auto"/>
              <w:right w:val="single" w:sz="4" w:space="0" w:color="auto"/>
            </w:tcBorders>
            <w:noWrap/>
            <w:vAlign w:val="bottom"/>
            <w:hideMark/>
          </w:tcPr>
          <w:p w:rsidR="00720C4F" w:rsidRPr="00B30BD2" w:rsidP="00720C4F" w14:paraId="1AFD720E" w14:textId="60C45063">
            <w:pPr>
              <w:rPr>
                <w:rFonts w:ascii="Verdana" w:eastAsia="Times New Roman" w:hAnsi="Verdana" w:cs="Calibri"/>
                <w:color w:val="000000"/>
                <w:sz w:val="18"/>
                <w:szCs w:val="18"/>
                <w:lang w:val="es-CO" w:eastAsia="es-CO"/>
              </w:rPr>
            </w:pPr>
            <w:r w:rsidRPr="00B30BD2">
              <w:rPr>
                <w:rFonts w:ascii="Verdana" w:eastAsia="Times New Roman" w:hAnsi="Verdana" w:cs="Calibri"/>
                <w:color w:val="000000"/>
                <w:sz w:val="18"/>
                <w:szCs w:val="18"/>
                <w:lang w:val="es-CO" w:eastAsia="es-CO"/>
              </w:rPr>
              <w:t xml:space="preserve">Portabilidad </w:t>
            </w:r>
            <w:r w:rsidR="00C94229">
              <w:rPr>
                <w:rFonts w:ascii="Verdana" w:eastAsia="Times New Roman" w:hAnsi="Verdana" w:cs="Calibri"/>
                <w:color w:val="000000"/>
                <w:sz w:val="18"/>
                <w:szCs w:val="18"/>
                <w:lang w:val="es-CO" w:eastAsia="es-CO"/>
              </w:rPr>
              <w:t>f</w:t>
            </w:r>
            <w:r w:rsidRPr="00B30BD2">
              <w:rPr>
                <w:rFonts w:ascii="Verdana" w:eastAsia="Times New Roman" w:hAnsi="Verdana" w:cs="Calibri"/>
                <w:color w:val="000000"/>
                <w:sz w:val="18"/>
                <w:szCs w:val="18"/>
                <w:lang w:val="es-CO" w:eastAsia="es-CO"/>
              </w:rPr>
              <w:t>inanciera crédito comercial</w:t>
            </w:r>
          </w:p>
        </w:tc>
        <w:tc>
          <w:tcPr>
            <w:tcW w:w="2835" w:type="dxa"/>
            <w:tcBorders>
              <w:top w:val="single" w:sz="4" w:space="0" w:color="auto"/>
              <w:left w:val="single" w:sz="4" w:space="0" w:color="auto"/>
              <w:bottom w:val="single" w:sz="4" w:space="0" w:color="auto"/>
              <w:right w:val="single" w:sz="4" w:space="0" w:color="auto"/>
            </w:tcBorders>
            <w:noWrap/>
            <w:vAlign w:val="bottom"/>
          </w:tcPr>
          <w:p w:rsidR="00720C4F" w:rsidRPr="00B30BD2" w:rsidP="00B30BD2" w14:paraId="080D35E4" w14:textId="664CD382">
            <w:pPr>
              <w:jc w:val="center"/>
              <w:rPr>
                <w:rFonts w:ascii="Verdana" w:eastAsia="Times New Roman" w:hAnsi="Verdana" w:cs="Calibri"/>
                <w:color w:val="000000"/>
                <w:sz w:val="18"/>
                <w:szCs w:val="18"/>
                <w:lang w:val="es-CO" w:eastAsia="es-CO"/>
              </w:rPr>
            </w:pPr>
            <w:r w:rsidRPr="00B30BD2">
              <w:rPr>
                <w:rFonts w:ascii="Verdana" w:hAnsi="Verdana"/>
                <w:color w:val="000000"/>
                <w:sz w:val="18"/>
                <w:szCs w:val="18"/>
              </w:rPr>
              <w:t>24</w:t>
            </w:r>
          </w:p>
        </w:tc>
      </w:tr>
      <w:tr w14:paraId="626A37F0" w14:textId="77777777" w:rsidTr="00B30BD2">
        <w:tblPrEx>
          <w:tblW w:w="8926" w:type="dxa"/>
          <w:tblLook w:val="04A0"/>
        </w:tblPrEx>
        <w:trPr>
          <w:trHeight w:val="285"/>
        </w:trPr>
        <w:tc>
          <w:tcPr>
            <w:tcW w:w="6091" w:type="dxa"/>
            <w:tcBorders>
              <w:top w:val="single" w:sz="4" w:space="0" w:color="auto"/>
              <w:left w:val="single" w:sz="4" w:space="0" w:color="auto"/>
              <w:bottom w:val="single" w:sz="4" w:space="0" w:color="auto"/>
              <w:right w:val="single" w:sz="4" w:space="0" w:color="auto"/>
            </w:tcBorders>
            <w:noWrap/>
            <w:vAlign w:val="bottom"/>
            <w:hideMark/>
          </w:tcPr>
          <w:p w:rsidR="00720C4F" w:rsidRPr="00B30BD2" w:rsidP="00720C4F" w14:paraId="0E72FAEC" w14:textId="335DECB6">
            <w:pPr>
              <w:rPr>
                <w:rFonts w:ascii="Verdana" w:eastAsia="Times New Roman" w:hAnsi="Verdana" w:cs="Calibri"/>
                <w:color w:val="000000"/>
                <w:sz w:val="18"/>
                <w:szCs w:val="18"/>
                <w:lang w:val="es-CO" w:eastAsia="es-CO"/>
              </w:rPr>
            </w:pPr>
            <w:r w:rsidRPr="00B30BD2">
              <w:rPr>
                <w:rFonts w:ascii="Verdana" w:eastAsia="Times New Roman" w:hAnsi="Verdana" w:cs="Calibri"/>
                <w:color w:val="000000"/>
                <w:sz w:val="18"/>
                <w:szCs w:val="18"/>
                <w:lang w:val="es-CO" w:eastAsia="es-CO"/>
              </w:rPr>
              <w:t xml:space="preserve">Información sobre las características generales </w:t>
            </w:r>
            <w:r w:rsidR="000E323D">
              <w:rPr>
                <w:rFonts w:ascii="Verdana" w:eastAsia="Times New Roman" w:hAnsi="Verdana" w:cs="Calibri"/>
                <w:color w:val="000000"/>
                <w:sz w:val="18"/>
                <w:szCs w:val="18"/>
                <w:lang w:val="es-CO" w:eastAsia="es-CO"/>
              </w:rPr>
              <w:t xml:space="preserve">de los </w:t>
            </w:r>
            <w:r w:rsidRPr="00B30BD2">
              <w:rPr>
                <w:rFonts w:ascii="Verdana" w:eastAsia="Times New Roman" w:hAnsi="Verdana" w:cs="Calibri"/>
                <w:color w:val="000000"/>
                <w:sz w:val="18"/>
                <w:szCs w:val="18"/>
                <w:lang w:val="es-CO" w:eastAsia="es-CO"/>
              </w:rPr>
              <w:t>productos y servicios de crédito ofrecidos por las entidades vigiladas</w:t>
            </w:r>
          </w:p>
        </w:tc>
        <w:tc>
          <w:tcPr>
            <w:tcW w:w="2835" w:type="dxa"/>
            <w:tcBorders>
              <w:top w:val="single" w:sz="4" w:space="0" w:color="auto"/>
              <w:left w:val="single" w:sz="4" w:space="0" w:color="auto"/>
              <w:bottom w:val="single" w:sz="4" w:space="0" w:color="auto"/>
              <w:right w:val="single" w:sz="4" w:space="0" w:color="auto"/>
            </w:tcBorders>
            <w:noWrap/>
            <w:vAlign w:val="bottom"/>
          </w:tcPr>
          <w:p w:rsidR="00720C4F" w:rsidRPr="00B30BD2" w:rsidP="00B30BD2" w14:paraId="6C10FA96" w14:textId="2C5B117F">
            <w:pPr>
              <w:jc w:val="center"/>
              <w:rPr>
                <w:rFonts w:ascii="Verdana" w:eastAsia="Times New Roman" w:hAnsi="Verdana" w:cs="Calibri"/>
                <w:color w:val="000000"/>
                <w:sz w:val="18"/>
                <w:szCs w:val="18"/>
                <w:lang w:val="es-CO" w:eastAsia="es-CO"/>
              </w:rPr>
            </w:pPr>
            <w:r w:rsidRPr="00B30BD2">
              <w:rPr>
                <w:rFonts w:ascii="Verdana" w:hAnsi="Verdana"/>
                <w:color w:val="000000"/>
                <w:sz w:val="18"/>
                <w:szCs w:val="18"/>
              </w:rPr>
              <w:t>36</w:t>
            </w:r>
          </w:p>
        </w:tc>
      </w:tr>
      <w:tr w14:paraId="27DBD6B2" w14:textId="77777777" w:rsidTr="00B30BD2">
        <w:tblPrEx>
          <w:tblW w:w="8926" w:type="dxa"/>
          <w:tblLook w:val="04A0"/>
        </w:tblPrEx>
        <w:trPr>
          <w:trHeight w:val="285"/>
        </w:trPr>
        <w:tc>
          <w:tcPr>
            <w:tcW w:w="6091" w:type="dxa"/>
            <w:tcBorders>
              <w:top w:val="single" w:sz="4" w:space="0" w:color="auto"/>
              <w:left w:val="single" w:sz="4" w:space="0" w:color="auto"/>
              <w:bottom w:val="single" w:sz="4" w:space="0" w:color="auto"/>
              <w:right w:val="single" w:sz="4" w:space="0" w:color="auto"/>
            </w:tcBorders>
            <w:noWrap/>
            <w:vAlign w:val="bottom"/>
            <w:hideMark/>
          </w:tcPr>
          <w:p w:rsidR="00720C4F" w:rsidRPr="00B30BD2" w:rsidP="00720C4F" w14:paraId="1FF0DE50" w14:textId="4B74A440">
            <w:pPr>
              <w:rPr>
                <w:rFonts w:ascii="Verdana" w:eastAsia="Times New Roman" w:hAnsi="Verdana" w:cs="Calibri"/>
                <w:color w:val="000000"/>
                <w:sz w:val="18"/>
                <w:szCs w:val="18"/>
                <w:lang w:val="es-CO" w:eastAsia="es-CO"/>
              </w:rPr>
            </w:pPr>
            <w:r w:rsidRPr="00B30BD2">
              <w:rPr>
                <w:rFonts w:ascii="Verdana" w:eastAsia="Times New Roman" w:hAnsi="Verdana" w:cs="Calibri"/>
                <w:color w:val="000000"/>
                <w:sz w:val="18"/>
                <w:szCs w:val="18"/>
                <w:lang w:val="es-CO" w:eastAsia="es-CO"/>
              </w:rPr>
              <w:t xml:space="preserve">Información sobre las características generales </w:t>
            </w:r>
            <w:r w:rsidR="000E323D">
              <w:rPr>
                <w:rFonts w:ascii="Verdana" w:eastAsia="Times New Roman" w:hAnsi="Verdana" w:cs="Calibri"/>
                <w:color w:val="000000"/>
                <w:sz w:val="18"/>
                <w:szCs w:val="18"/>
                <w:lang w:val="es-CO" w:eastAsia="es-CO"/>
              </w:rPr>
              <w:t xml:space="preserve">de los </w:t>
            </w:r>
            <w:r w:rsidRPr="00B30BD2">
              <w:rPr>
                <w:rFonts w:ascii="Verdana" w:eastAsia="Times New Roman" w:hAnsi="Verdana" w:cs="Calibri"/>
                <w:color w:val="000000"/>
                <w:sz w:val="18"/>
                <w:szCs w:val="18"/>
                <w:lang w:val="es-CO" w:eastAsia="es-CO"/>
              </w:rPr>
              <w:t>productos y servicios de captación ofrecidos por las entidades vigiladas</w:t>
            </w:r>
          </w:p>
        </w:tc>
        <w:tc>
          <w:tcPr>
            <w:tcW w:w="2835" w:type="dxa"/>
            <w:tcBorders>
              <w:top w:val="single" w:sz="4" w:space="0" w:color="auto"/>
              <w:left w:val="single" w:sz="4" w:space="0" w:color="auto"/>
              <w:bottom w:val="single" w:sz="4" w:space="0" w:color="auto"/>
              <w:right w:val="single" w:sz="4" w:space="0" w:color="auto"/>
            </w:tcBorders>
            <w:noWrap/>
            <w:vAlign w:val="bottom"/>
          </w:tcPr>
          <w:p w:rsidR="00720C4F" w:rsidRPr="00B30BD2" w:rsidP="00B30BD2" w14:paraId="768D5AA8" w14:textId="3CBB04DC">
            <w:pPr>
              <w:jc w:val="center"/>
              <w:rPr>
                <w:rFonts w:ascii="Verdana" w:eastAsia="Times New Roman" w:hAnsi="Verdana" w:cs="Calibri"/>
                <w:color w:val="000000"/>
                <w:sz w:val="18"/>
                <w:szCs w:val="18"/>
                <w:lang w:val="es-CO" w:eastAsia="es-CO"/>
              </w:rPr>
            </w:pPr>
            <w:r w:rsidRPr="00B30BD2">
              <w:rPr>
                <w:rFonts w:ascii="Verdana" w:hAnsi="Verdana"/>
                <w:color w:val="000000"/>
                <w:sz w:val="18"/>
                <w:szCs w:val="18"/>
              </w:rPr>
              <w:t>48</w:t>
            </w:r>
          </w:p>
        </w:tc>
      </w:tr>
      <w:tr w14:paraId="289E2A8D" w14:textId="77777777" w:rsidTr="00B30BD2">
        <w:tblPrEx>
          <w:tblW w:w="8926" w:type="dxa"/>
          <w:tblLook w:val="04A0"/>
        </w:tblPrEx>
        <w:trPr>
          <w:trHeight w:val="285"/>
        </w:trPr>
        <w:tc>
          <w:tcPr>
            <w:tcW w:w="6091" w:type="dxa"/>
            <w:tcBorders>
              <w:top w:val="single" w:sz="4" w:space="0" w:color="auto"/>
              <w:left w:val="single" w:sz="4" w:space="0" w:color="auto"/>
              <w:bottom w:val="single" w:sz="4" w:space="0" w:color="auto"/>
              <w:right w:val="single" w:sz="4" w:space="0" w:color="auto"/>
            </w:tcBorders>
            <w:noWrap/>
            <w:vAlign w:val="bottom"/>
            <w:hideMark/>
          </w:tcPr>
          <w:p w:rsidR="00720C4F" w:rsidRPr="00B30BD2" w:rsidP="00720C4F" w14:paraId="37C8214A" w14:textId="520B983F">
            <w:pPr>
              <w:rPr>
                <w:rFonts w:ascii="Verdana" w:eastAsia="Times New Roman" w:hAnsi="Verdana" w:cs="Calibri"/>
                <w:color w:val="000000"/>
                <w:sz w:val="18"/>
                <w:szCs w:val="18"/>
                <w:lang w:val="es-CO" w:eastAsia="es-CO"/>
              </w:rPr>
            </w:pPr>
            <w:r w:rsidRPr="00B30BD2">
              <w:rPr>
                <w:rFonts w:ascii="Verdana" w:eastAsia="Times New Roman" w:hAnsi="Verdana" w:cs="Calibri"/>
                <w:color w:val="000000"/>
                <w:sz w:val="18"/>
                <w:szCs w:val="18"/>
                <w:lang w:val="es-CO" w:eastAsia="es-CO"/>
              </w:rPr>
              <w:t>Información sobre las características generales</w:t>
            </w:r>
            <w:r w:rsidR="000E323D">
              <w:rPr>
                <w:rFonts w:ascii="Verdana" w:eastAsia="Times New Roman" w:hAnsi="Verdana" w:cs="Calibri"/>
                <w:color w:val="000000"/>
                <w:sz w:val="18"/>
                <w:szCs w:val="18"/>
                <w:lang w:val="es-CO" w:eastAsia="es-CO"/>
              </w:rPr>
              <w:t xml:space="preserve"> de los</w:t>
            </w:r>
            <w:r w:rsidRPr="00B30BD2">
              <w:rPr>
                <w:rFonts w:ascii="Verdana" w:eastAsia="Times New Roman" w:hAnsi="Verdana" w:cs="Calibri"/>
                <w:color w:val="000000"/>
                <w:sz w:val="18"/>
                <w:szCs w:val="18"/>
                <w:lang w:val="es-CO" w:eastAsia="es-CO"/>
              </w:rPr>
              <w:t xml:space="preserve"> productos y servicios de seguros ofrecidos por las entidades vigiladas</w:t>
            </w:r>
          </w:p>
        </w:tc>
        <w:tc>
          <w:tcPr>
            <w:tcW w:w="2835" w:type="dxa"/>
            <w:tcBorders>
              <w:top w:val="single" w:sz="4" w:space="0" w:color="auto"/>
              <w:left w:val="single" w:sz="4" w:space="0" w:color="auto"/>
              <w:bottom w:val="single" w:sz="4" w:space="0" w:color="auto"/>
              <w:right w:val="single" w:sz="4" w:space="0" w:color="auto"/>
            </w:tcBorders>
            <w:noWrap/>
            <w:vAlign w:val="bottom"/>
          </w:tcPr>
          <w:p w:rsidR="00720C4F" w:rsidRPr="00B30BD2" w:rsidP="00B30BD2" w14:paraId="13B1D752" w14:textId="6DB64FF3">
            <w:pPr>
              <w:jc w:val="center"/>
              <w:rPr>
                <w:rFonts w:ascii="Verdana" w:eastAsia="Times New Roman" w:hAnsi="Verdana" w:cs="Calibri"/>
                <w:color w:val="000000"/>
                <w:sz w:val="18"/>
                <w:szCs w:val="18"/>
                <w:lang w:val="es-CO" w:eastAsia="es-CO"/>
              </w:rPr>
            </w:pPr>
            <w:r w:rsidRPr="00B30BD2">
              <w:rPr>
                <w:rFonts w:ascii="Verdana" w:hAnsi="Verdana"/>
                <w:color w:val="000000"/>
                <w:sz w:val="18"/>
                <w:szCs w:val="18"/>
              </w:rPr>
              <w:t>60</w:t>
            </w:r>
          </w:p>
        </w:tc>
      </w:tr>
      <w:tr w14:paraId="79014666" w14:textId="77777777" w:rsidTr="00B30BD2">
        <w:tblPrEx>
          <w:tblW w:w="8926" w:type="dxa"/>
          <w:tblLook w:val="04A0"/>
        </w:tblPrEx>
        <w:trPr>
          <w:trHeight w:val="285"/>
        </w:trPr>
        <w:tc>
          <w:tcPr>
            <w:tcW w:w="6091" w:type="dxa"/>
            <w:tcBorders>
              <w:top w:val="single" w:sz="4" w:space="0" w:color="auto"/>
              <w:left w:val="single" w:sz="4" w:space="0" w:color="auto"/>
              <w:bottom w:val="single" w:sz="4" w:space="0" w:color="auto"/>
              <w:right w:val="single" w:sz="4" w:space="0" w:color="auto"/>
            </w:tcBorders>
            <w:noWrap/>
            <w:vAlign w:val="bottom"/>
            <w:hideMark/>
          </w:tcPr>
          <w:p w:rsidR="00720C4F" w:rsidRPr="00B30BD2" w:rsidP="00720C4F" w14:paraId="56D31AD2" w14:textId="2562BC12">
            <w:pPr>
              <w:rPr>
                <w:rFonts w:ascii="Verdana" w:eastAsia="Times New Roman" w:hAnsi="Verdana" w:cs="Calibri"/>
                <w:color w:val="000000"/>
                <w:sz w:val="18"/>
                <w:szCs w:val="18"/>
                <w:lang w:val="es-CO" w:eastAsia="es-CO"/>
              </w:rPr>
            </w:pPr>
            <w:r w:rsidRPr="00B30BD2">
              <w:rPr>
                <w:rFonts w:ascii="Verdana" w:eastAsia="Times New Roman" w:hAnsi="Verdana" w:cs="Calibri"/>
                <w:color w:val="000000"/>
                <w:sz w:val="18"/>
                <w:szCs w:val="18"/>
                <w:lang w:val="es-CO" w:eastAsia="es-CO"/>
              </w:rPr>
              <w:t>Información sobre las características generales de</w:t>
            </w:r>
            <w:r w:rsidR="000E323D">
              <w:rPr>
                <w:rFonts w:ascii="Verdana" w:eastAsia="Times New Roman" w:hAnsi="Verdana" w:cs="Calibri"/>
                <w:color w:val="000000"/>
                <w:sz w:val="18"/>
                <w:szCs w:val="18"/>
                <w:lang w:val="es-CO" w:eastAsia="es-CO"/>
              </w:rPr>
              <w:t xml:space="preserve"> los</w:t>
            </w:r>
            <w:r w:rsidRPr="00B30BD2">
              <w:rPr>
                <w:rFonts w:ascii="Verdana" w:eastAsia="Times New Roman" w:hAnsi="Verdana" w:cs="Calibri"/>
                <w:color w:val="000000"/>
                <w:sz w:val="18"/>
                <w:szCs w:val="18"/>
                <w:lang w:val="es-CO" w:eastAsia="es-CO"/>
              </w:rPr>
              <w:t xml:space="preserve"> productos y servicios de inversión ofrecidos por las entidades vigiladas</w:t>
            </w:r>
          </w:p>
        </w:tc>
        <w:tc>
          <w:tcPr>
            <w:tcW w:w="2835" w:type="dxa"/>
            <w:tcBorders>
              <w:top w:val="single" w:sz="4" w:space="0" w:color="auto"/>
              <w:left w:val="single" w:sz="4" w:space="0" w:color="auto"/>
              <w:bottom w:val="single" w:sz="4" w:space="0" w:color="auto"/>
              <w:right w:val="single" w:sz="4" w:space="0" w:color="auto"/>
            </w:tcBorders>
            <w:noWrap/>
            <w:vAlign w:val="bottom"/>
          </w:tcPr>
          <w:p w:rsidR="00720C4F" w:rsidRPr="00B30BD2" w:rsidP="00B30BD2" w14:paraId="7BB8BB95" w14:textId="062609ED">
            <w:pPr>
              <w:jc w:val="center"/>
              <w:rPr>
                <w:rFonts w:ascii="Verdana" w:eastAsia="Times New Roman" w:hAnsi="Verdana" w:cs="Calibri"/>
                <w:color w:val="000000"/>
                <w:sz w:val="18"/>
                <w:szCs w:val="18"/>
                <w:lang w:val="es-CO" w:eastAsia="es-CO"/>
              </w:rPr>
            </w:pPr>
            <w:r w:rsidRPr="00B30BD2">
              <w:rPr>
                <w:rFonts w:ascii="Verdana" w:hAnsi="Verdana"/>
                <w:color w:val="000000"/>
                <w:sz w:val="18"/>
                <w:szCs w:val="18"/>
              </w:rPr>
              <w:t>72</w:t>
            </w:r>
          </w:p>
        </w:tc>
      </w:tr>
      <w:tr w14:paraId="3218AC72" w14:textId="77777777" w:rsidTr="00B30BD2">
        <w:tblPrEx>
          <w:tblW w:w="8926" w:type="dxa"/>
          <w:tblLook w:val="04A0"/>
        </w:tblPrEx>
        <w:trPr>
          <w:trHeight w:val="285"/>
        </w:trPr>
        <w:tc>
          <w:tcPr>
            <w:tcW w:w="6091" w:type="dxa"/>
            <w:tcBorders>
              <w:top w:val="single" w:sz="4" w:space="0" w:color="auto"/>
              <w:left w:val="single" w:sz="4" w:space="0" w:color="auto"/>
              <w:bottom w:val="single" w:sz="4" w:space="0" w:color="auto"/>
              <w:right w:val="single" w:sz="4" w:space="0" w:color="auto"/>
            </w:tcBorders>
            <w:noWrap/>
            <w:vAlign w:val="bottom"/>
            <w:hideMark/>
          </w:tcPr>
          <w:p w:rsidR="00720C4F" w:rsidRPr="00B30BD2" w:rsidP="00720C4F" w14:paraId="40F6C040" w14:textId="7C578B42">
            <w:pPr>
              <w:rPr>
                <w:rFonts w:ascii="Verdana" w:eastAsia="Times New Roman" w:hAnsi="Verdana" w:cs="Calibri"/>
                <w:color w:val="000000"/>
                <w:sz w:val="18"/>
                <w:szCs w:val="18"/>
                <w:lang w:val="es-CO" w:eastAsia="es-CO"/>
              </w:rPr>
            </w:pPr>
            <w:r w:rsidRPr="00B30BD2">
              <w:rPr>
                <w:rFonts w:ascii="Verdana" w:eastAsia="Times New Roman" w:hAnsi="Verdana" w:cs="Calibri"/>
                <w:color w:val="000000"/>
                <w:sz w:val="18"/>
                <w:szCs w:val="18"/>
                <w:lang w:val="es-CO" w:eastAsia="es-CO"/>
              </w:rPr>
              <w:t xml:space="preserve">Historial transaccional de productos de crédito que estén a nombre del </w:t>
            </w:r>
            <w:r w:rsidR="002F3F05">
              <w:rPr>
                <w:rFonts w:ascii="Verdana" w:eastAsia="Times New Roman" w:hAnsi="Verdana" w:cs="Calibri"/>
                <w:color w:val="000000"/>
                <w:sz w:val="18"/>
                <w:szCs w:val="18"/>
                <w:lang w:val="es-CO" w:eastAsia="es-CO"/>
              </w:rPr>
              <w:t>T</w:t>
            </w:r>
            <w:r w:rsidRPr="00B30BD2">
              <w:rPr>
                <w:rFonts w:ascii="Verdana" w:eastAsia="Times New Roman" w:hAnsi="Verdana" w:cs="Calibri"/>
                <w:color w:val="000000"/>
                <w:sz w:val="18"/>
                <w:szCs w:val="18"/>
                <w:lang w:val="es-CO" w:eastAsia="es-CO"/>
              </w:rPr>
              <w:t>itular</w:t>
            </w:r>
          </w:p>
        </w:tc>
        <w:tc>
          <w:tcPr>
            <w:tcW w:w="2835" w:type="dxa"/>
            <w:tcBorders>
              <w:top w:val="single" w:sz="4" w:space="0" w:color="auto"/>
              <w:left w:val="single" w:sz="4" w:space="0" w:color="auto"/>
              <w:bottom w:val="single" w:sz="4" w:space="0" w:color="auto"/>
              <w:right w:val="single" w:sz="4" w:space="0" w:color="auto"/>
            </w:tcBorders>
            <w:noWrap/>
            <w:vAlign w:val="bottom"/>
          </w:tcPr>
          <w:p w:rsidR="00720C4F" w:rsidRPr="00B30BD2" w:rsidP="00B30BD2" w14:paraId="553A2134" w14:textId="45864BBA">
            <w:pPr>
              <w:jc w:val="center"/>
              <w:rPr>
                <w:rFonts w:ascii="Verdana" w:eastAsia="Times New Roman" w:hAnsi="Verdana" w:cs="Calibri"/>
                <w:color w:val="000000"/>
                <w:sz w:val="18"/>
                <w:szCs w:val="18"/>
                <w:lang w:val="es-CO" w:eastAsia="es-CO"/>
              </w:rPr>
            </w:pPr>
            <w:r w:rsidRPr="00B30BD2">
              <w:rPr>
                <w:rFonts w:ascii="Verdana" w:hAnsi="Verdana"/>
                <w:color w:val="000000"/>
                <w:sz w:val="18"/>
                <w:szCs w:val="18"/>
              </w:rPr>
              <w:t>84</w:t>
            </w:r>
          </w:p>
        </w:tc>
      </w:tr>
      <w:tr w14:paraId="77C4493F" w14:textId="77777777" w:rsidTr="00B30BD2">
        <w:tblPrEx>
          <w:tblW w:w="8926" w:type="dxa"/>
          <w:tblLook w:val="04A0"/>
        </w:tblPrEx>
        <w:trPr>
          <w:trHeight w:val="285"/>
        </w:trPr>
        <w:tc>
          <w:tcPr>
            <w:tcW w:w="6091" w:type="dxa"/>
            <w:tcBorders>
              <w:top w:val="single" w:sz="4" w:space="0" w:color="auto"/>
              <w:left w:val="single" w:sz="4" w:space="0" w:color="auto"/>
              <w:bottom w:val="single" w:sz="4" w:space="0" w:color="auto"/>
              <w:right w:val="single" w:sz="4" w:space="0" w:color="auto"/>
            </w:tcBorders>
            <w:noWrap/>
            <w:vAlign w:val="bottom"/>
            <w:hideMark/>
          </w:tcPr>
          <w:p w:rsidR="00720C4F" w:rsidRPr="00B30BD2" w:rsidP="00720C4F" w14:paraId="779C621C" w14:textId="4C13F603">
            <w:pPr>
              <w:rPr>
                <w:rFonts w:ascii="Verdana" w:eastAsia="Times New Roman" w:hAnsi="Verdana" w:cs="Calibri"/>
                <w:color w:val="000000"/>
                <w:sz w:val="18"/>
                <w:szCs w:val="18"/>
                <w:lang w:val="es-CO" w:eastAsia="es-CO"/>
              </w:rPr>
            </w:pPr>
            <w:r w:rsidRPr="00B30BD2">
              <w:rPr>
                <w:rFonts w:ascii="Verdana" w:eastAsia="Times New Roman" w:hAnsi="Verdana" w:cs="Calibri"/>
                <w:color w:val="000000"/>
                <w:sz w:val="18"/>
                <w:szCs w:val="18"/>
                <w:lang w:val="es-CO" w:eastAsia="es-CO"/>
              </w:rPr>
              <w:t xml:space="preserve">Historial transaccional de depósitos a la vista que estén a nombre del </w:t>
            </w:r>
            <w:r w:rsidR="002F3F05">
              <w:rPr>
                <w:rFonts w:ascii="Verdana" w:eastAsia="Times New Roman" w:hAnsi="Verdana" w:cs="Calibri"/>
                <w:color w:val="000000"/>
                <w:sz w:val="18"/>
                <w:szCs w:val="18"/>
                <w:lang w:val="es-CO" w:eastAsia="es-CO"/>
              </w:rPr>
              <w:t>T</w:t>
            </w:r>
            <w:r w:rsidRPr="00B30BD2">
              <w:rPr>
                <w:rFonts w:ascii="Verdana" w:eastAsia="Times New Roman" w:hAnsi="Verdana" w:cs="Calibri"/>
                <w:color w:val="000000"/>
                <w:sz w:val="18"/>
                <w:szCs w:val="18"/>
                <w:lang w:val="es-CO" w:eastAsia="es-CO"/>
              </w:rPr>
              <w:t>itular</w:t>
            </w:r>
          </w:p>
        </w:tc>
        <w:tc>
          <w:tcPr>
            <w:tcW w:w="2835" w:type="dxa"/>
            <w:tcBorders>
              <w:top w:val="single" w:sz="4" w:space="0" w:color="auto"/>
              <w:left w:val="single" w:sz="4" w:space="0" w:color="auto"/>
              <w:bottom w:val="single" w:sz="4" w:space="0" w:color="auto"/>
              <w:right w:val="single" w:sz="4" w:space="0" w:color="auto"/>
            </w:tcBorders>
            <w:noWrap/>
            <w:vAlign w:val="bottom"/>
          </w:tcPr>
          <w:p w:rsidR="00720C4F" w:rsidRPr="00B30BD2" w:rsidP="00B30BD2" w14:paraId="456CBE10" w14:textId="34D1A9F5">
            <w:pPr>
              <w:jc w:val="center"/>
              <w:rPr>
                <w:rFonts w:ascii="Verdana" w:eastAsia="Times New Roman" w:hAnsi="Verdana" w:cs="Calibri"/>
                <w:color w:val="000000"/>
                <w:sz w:val="18"/>
                <w:szCs w:val="18"/>
                <w:lang w:val="es-CO" w:eastAsia="es-CO"/>
              </w:rPr>
            </w:pPr>
            <w:r w:rsidRPr="00B30BD2">
              <w:rPr>
                <w:rFonts w:ascii="Verdana" w:hAnsi="Verdana"/>
                <w:color w:val="000000"/>
                <w:sz w:val="18"/>
                <w:szCs w:val="18"/>
              </w:rPr>
              <w:t>96</w:t>
            </w:r>
          </w:p>
        </w:tc>
      </w:tr>
      <w:tr w14:paraId="5E66D956" w14:textId="77777777" w:rsidTr="00B30BD2">
        <w:tblPrEx>
          <w:tblW w:w="8926" w:type="dxa"/>
          <w:tblLook w:val="04A0"/>
        </w:tblPrEx>
        <w:trPr>
          <w:trHeight w:val="285"/>
        </w:trPr>
        <w:tc>
          <w:tcPr>
            <w:tcW w:w="6091" w:type="dxa"/>
            <w:tcBorders>
              <w:top w:val="single" w:sz="4" w:space="0" w:color="auto"/>
              <w:left w:val="single" w:sz="4" w:space="0" w:color="auto"/>
              <w:bottom w:val="single" w:sz="4" w:space="0" w:color="auto"/>
              <w:right w:val="single" w:sz="4" w:space="0" w:color="auto"/>
            </w:tcBorders>
            <w:noWrap/>
            <w:vAlign w:val="bottom"/>
            <w:hideMark/>
          </w:tcPr>
          <w:p w:rsidR="00720C4F" w:rsidRPr="00B30BD2" w:rsidP="00720C4F" w14:paraId="403AE322" w14:textId="3DDCF6CE">
            <w:pPr>
              <w:rPr>
                <w:rFonts w:ascii="Verdana" w:eastAsia="Times New Roman" w:hAnsi="Verdana" w:cs="Calibri"/>
                <w:color w:val="000000"/>
                <w:sz w:val="18"/>
                <w:szCs w:val="18"/>
                <w:lang w:val="es-CO" w:eastAsia="es-CO"/>
              </w:rPr>
            </w:pPr>
            <w:r w:rsidRPr="00B30BD2">
              <w:rPr>
                <w:rFonts w:ascii="Verdana" w:eastAsia="Times New Roman" w:hAnsi="Verdana" w:cs="Calibri"/>
                <w:color w:val="000000"/>
                <w:sz w:val="18"/>
                <w:szCs w:val="18"/>
                <w:lang w:val="es-CO" w:eastAsia="es-CO"/>
              </w:rPr>
              <w:t>Información asociada al proceso de vinculación del Titular como cliente</w:t>
            </w:r>
          </w:p>
        </w:tc>
        <w:tc>
          <w:tcPr>
            <w:tcW w:w="2835" w:type="dxa"/>
            <w:tcBorders>
              <w:top w:val="single" w:sz="4" w:space="0" w:color="auto"/>
              <w:left w:val="single" w:sz="4" w:space="0" w:color="auto"/>
              <w:bottom w:val="single" w:sz="4" w:space="0" w:color="auto"/>
              <w:right w:val="single" w:sz="4" w:space="0" w:color="auto"/>
            </w:tcBorders>
            <w:noWrap/>
            <w:vAlign w:val="bottom"/>
          </w:tcPr>
          <w:p w:rsidR="00720C4F" w:rsidRPr="00B30BD2" w:rsidP="00B30BD2" w14:paraId="2E2862E6" w14:textId="6A71DFD0">
            <w:pPr>
              <w:jc w:val="center"/>
              <w:rPr>
                <w:rFonts w:ascii="Verdana" w:eastAsia="Times New Roman" w:hAnsi="Verdana" w:cs="Calibri"/>
                <w:color w:val="000000"/>
                <w:sz w:val="18"/>
                <w:szCs w:val="18"/>
                <w:lang w:val="es-CO" w:eastAsia="es-CO"/>
              </w:rPr>
            </w:pPr>
            <w:r w:rsidRPr="00B30BD2">
              <w:rPr>
                <w:rFonts w:ascii="Verdana" w:hAnsi="Verdana"/>
                <w:color w:val="000000"/>
                <w:sz w:val="18"/>
                <w:szCs w:val="18"/>
              </w:rPr>
              <w:t>108</w:t>
            </w:r>
          </w:p>
        </w:tc>
      </w:tr>
      <w:tr w14:paraId="3B7E3BB5" w14:textId="77777777" w:rsidTr="00B30BD2">
        <w:tblPrEx>
          <w:tblW w:w="8926" w:type="dxa"/>
          <w:tblLook w:val="04A0"/>
        </w:tblPrEx>
        <w:trPr>
          <w:trHeight w:val="285"/>
        </w:trPr>
        <w:tc>
          <w:tcPr>
            <w:tcW w:w="6091" w:type="dxa"/>
            <w:tcBorders>
              <w:top w:val="single" w:sz="4" w:space="0" w:color="auto"/>
              <w:left w:val="single" w:sz="4" w:space="0" w:color="auto"/>
              <w:bottom w:val="single" w:sz="4" w:space="0" w:color="auto"/>
              <w:right w:val="single" w:sz="4" w:space="0" w:color="auto"/>
            </w:tcBorders>
            <w:noWrap/>
            <w:vAlign w:val="bottom"/>
            <w:hideMark/>
          </w:tcPr>
          <w:p w:rsidR="00720C4F" w:rsidRPr="00B30BD2" w:rsidP="00720C4F" w14:paraId="2AAC9288" w14:textId="24732584">
            <w:pPr>
              <w:rPr>
                <w:rFonts w:ascii="Verdana" w:eastAsia="Times New Roman" w:hAnsi="Verdana" w:cs="Calibri"/>
                <w:color w:val="000000"/>
                <w:sz w:val="18"/>
                <w:szCs w:val="18"/>
                <w:lang w:val="es-CO" w:eastAsia="es-CO"/>
              </w:rPr>
            </w:pPr>
            <w:r w:rsidRPr="00B30BD2">
              <w:rPr>
                <w:rFonts w:ascii="Verdana" w:eastAsia="Times New Roman" w:hAnsi="Verdana" w:cs="Calibri"/>
                <w:color w:val="000000"/>
                <w:sz w:val="18"/>
                <w:szCs w:val="18"/>
                <w:lang w:val="es-CO" w:eastAsia="es-CO"/>
              </w:rPr>
              <w:t>Información asociada a los productos de depósito a término</w:t>
            </w:r>
          </w:p>
        </w:tc>
        <w:tc>
          <w:tcPr>
            <w:tcW w:w="2835" w:type="dxa"/>
            <w:tcBorders>
              <w:top w:val="single" w:sz="4" w:space="0" w:color="auto"/>
              <w:left w:val="single" w:sz="4" w:space="0" w:color="auto"/>
              <w:bottom w:val="single" w:sz="4" w:space="0" w:color="auto"/>
              <w:right w:val="single" w:sz="4" w:space="0" w:color="auto"/>
            </w:tcBorders>
            <w:noWrap/>
            <w:vAlign w:val="bottom"/>
          </w:tcPr>
          <w:p w:rsidR="00720C4F" w:rsidRPr="00B30BD2" w:rsidP="00B30BD2" w14:paraId="397E4087" w14:textId="2DA4172A">
            <w:pPr>
              <w:jc w:val="center"/>
              <w:rPr>
                <w:rFonts w:ascii="Verdana" w:eastAsia="Times New Roman" w:hAnsi="Verdana" w:cs="Calibri"/>
                <w:color w:val="000000"/>
                <w:sz w:val="18"/>
                <w:szCs w:val="18"/>
                <w:lang w:val="es-CO" w:eastAsia="es-CO"/>
              </w:rPr>
            </w:pPr>
            <w:r w:rsidRPr="00B30BD2">
              <w:rPr>
                <w:rFonts w:ascii="Verdana" w:hAnsi="Verdana"/>
                <w:color w:val="000000"/>
                <w:sz w:val="18"/>
                <w:szCs w:val="18"/>
              </w:rPr>
              <w:t>120</w:t>
            </w:r>
          </w:p>
        </w:tc>
      </w:tr>
      <w:tr w14:paraId="6C122FF5" w14:textId="77777777" w:rsidTr="00B30BD2">
        <w:tblPrEx>
          <w:tblW w:w="8926" w:type="dxa"/>
          <w:tblLook w:val="04A0"/>
        </w:tblPrEx>
        <w:trPr>
          <w:trHeight w:val="285"/>
        </w:trPr>
        <w:tc>
          <w:tcPr>
            <w:tcW w:w="6091" w:type="dxa"/>
            <w:tcBorders>
              <w:top w:val="single" w:sz="4" w:space="0" w:color="auto"/>
              <w:left w:val="single" w:sz="4" w:space="0" w:color="auto"/>
              <w:bottom w:val="single" w:sz="4" w:space="0" w:color="auto"/>
              <w:right w:val="single" w:sz="4" w:space="0" w:color="auto"/>
            </w:tcBorders>
            <w:noWrap/>
            <w:vAlign w:val="bottom"/>
            <w:hideMark/>
          </w:tcPr>
          <w:p w:rsidR="00720C4F" w:rsidRPr="00B30BD2" w:rsidP="00720C4F" w14:paraId="74C55F39" w14:textId="5B109A05">
            <w:pPr>
              <w:rPr>
                <w:rFonts w:ascii="Verdana" w:eastAsia="Times New Roman" w:hAnsi="Verdana" w:cs="Calibri"/>
                <w:color w:val="000000"/>
                <w:sz w:val="18"/>
                <w:szCs w:val="18"/>
                <w:lang w:val="es-CO" w:eastAsia="es-CO"/>
              </w:rPr>
            </w:pPr>
            <w:r w:rsidRPr="00B30BD2">
              <w:rPr>
                <w:rFonts w:ascii="Verdana" w:eastAsia="Times New Roman" w:hAnsi="Verdana" w:cs="Calibri"/>
                <w:color w:val="000000"/>
                <w:sz w:val="18"/>
                <w:szCs w:val="18"/>
                <w:lang w:val="es-CO" w:eastAsia="es-CO"/>
              </w:rPr>
              <w:t>Servicios de iniciación de pagos</w:t>
            </w:r>
          </w:p>
        </w:tc>
        <w:tc>
          <w:tcPr>
            <w:tcW w:w="2835" w:type="dxa"/>
            <w:tcBorders>
              <w:top w:val="single" w:sz="4" w:space="0" w:color="auto"/>
              <w:left w:val="single" w:sz="4" w:space="0" w:color="auto"/>
              <w:bottom w:val="single" w:sz="4" w:space="0" w:color="auto"/>
              <w:right w:val="single" w:sz="4" w:space="0" w:color="auto"/>
            </w:tcBorders>
            <w:noWrap/>
            <w:vAlign w:val="bottom"/>
          </w:tcPr>
          <w:p w:rsidR="00720C4F" w:rsidRPr="00B30BD2" w:rsidP="00B30BD2" w14:paraId="52E3110E" w14:textId="0B196F9E">
            <w:pPr>
              <w:jc w:val="center"/>
              <w:rPr>
                <w:rFonts w:ascii="Verdana" w:eastAsia="Times New Roman" w:hAnsi="Verdana" w:cs="Calibri"/>
                <w:color w:val="000000"/>
                <w:sz w:val="18"/>
                <w:szCs w:val="18"/>
                <w:lang w:val="es-CO" w:eastAsia="es-CO"/>
              </w:rPr>
            </w:pPr>
            <w:r w:rsidRPr="00B30BD2">
              <w:rPr>
                <w:rFonts w:ascii="Verdana" w:hAnsi="Verdana"/>
                <w:color w:val="000000"/>
                <w:sz w:val="18"/>
                <w:szCs w:val="18"/>
              </w:rPr>
              <w:t>132</w:t>
            </w:r>
          </w:p>
        </w:tc>
      </w:tr>
    </w:tbl>
    <w:p w:rsidR="00F035E4" w:rsidRPr="003153EE" w:rsidP="00F035E4" w14:paraId="190CA438" w14:textId="77777777">
      <w:pPr>
        <w:jc w:val="both"/>
        <w:rPr>
          <w:rFonts w:ascii="Verdana" w:hAnsi="Verdana" w:cs="Arial"/>
        </w:rPr>
      </w:pPr>
    </w:p>
    <w:p w:rsidR="003A026F" w:rsidP="00F035E4" w14:paraId="07E116CF" w14:textId="123F7CD3">
      <w:pPr>
        <w:jc w:val="both"/>
        <w:rPr>
          <w:rFonts w:ascii="Verdana" w:hAnsi="Verdana" w:cs="Arial"/>
          <w:sz w:val="22"/>
          <w:szCs w:val="22"/>
        </w:rPr>
      </w:pPr>
      <w:r>
        <w:rPr>
          <w:rFonts w:ascii="Verdana" w:hAnsi="Verdana" w:cs="Arial"/>
          <w:sz w:val="22"/>
          <w:szCs w:val="22"/>
        </w:rPr>
        <w:t>E</w:t>
      </w:r>
      <w:r w:rsidR="00A347CB">
        <w:rPr>
          <w:rFonts w:ascii="Verdana" w:hAnsi="Verdana" w:cs="Arial"/>
          <w:sz w:val="22"/>
          <w:szCs w:val="22"/>
        </w:rPr>
        <w:t>l presente</w:t>
      </w:r>
      <w:r>
        <w:rPr>
          <w:rFonts w:ascii="Verdana" w:hAnsi="Verdana" w:cs="Arial"/>
          <w:sz w:val="22"/>
          <w:szCs w:val="22"/>
        </w:rPr>
        <w:t xml:space="preserve"> cronograma podrá ser objeto de revisiones posteriores, de acuerdo con los desarrollos normativos, las capacidades de adopción </w:t>
      </w:r>
      <w:r w:rsidR="00A347CB">
        <w:rPr>
          <w:rFonts w:ascii="Verdana" w:hAnsi="Verdana" w:cs="Arial"/>
          <w:sz w:val="22"/>
          <w:szCs w:val="22"/>
        </w:rPr>
        <w:t>d</w:t>
      </w:r>
      <w:r>
        <w:rPr>
          <w:rFonts w:ascii="Verdana" w:hAnsi="Verdana" w:cs="Arial"/>
          <w:sz w:val="22"/>
          <w:szCs w:val="22"/>
        </w:rPr>
        <w:t>el sistema, y de</w:t>
      </w:r>
      <w:r w:rsidR="00EA5A7A">
        <w:rPr>
          <w:rFonts w:ascii="Verdana" w:hAnsi="Verdana" w:cs="Arial"/>
          <w:sz w:val="22"/>
          <w:szCs w:val="22"/>
        </w:rPr>
        <w:t xml:space="preserve"> conformidad</w:t>
      </w:r>
      <w:r>
        <w:rPr>
          <w:rFonts w:ascii="Verdana" w:hAnsi="Verdana" w:cs="Arial"/>
          <w:sz w:val="22"/>
          <w:szCs w:val="22"/>
        </w:rPr>
        <w:t xml:space="preserve"> con lo dispuesto </w:t>
      </w:r>
      <w:r w:rsidRPr="003153EE">
        <w:rPr>
          <w:rFonts w:ascii="Verdana" w:hAnsi="Verdana" w:cs="Arial"/>
          <w:sz w:val="22"/>
          <w:szCs w:val="22"/>
          <w:lang w:val="es-CO"/>
        </w:rPr>
        <w:t>en el parágrafo 2 del artículo 3 del Decreto 0368 de 2026</w:t>
      </w:r>
      <w:r>
        <w:rPr>
          <w:rFonts w:ascii="Verdana" w:hAnsi="Verdana" w:cs="Arial"/>
          <w:sz w:val="22"/>
          <w:szCs w:val="22"/>
          <w:lang w:val="es-CO"/>
        </w:rPr>
        <w:t>.</w:t>
      </w:r>
    </w:p>
    <w:p w:rsidR="003A026F" w:rsidP="00F035E4" w14:paraId="45631185" w14:textId="77777777">
      <w:pPr>
        <w:jc w:val="both"/>
        <w:rPr>
          <w:rFonts w:ascii="Verdana" w:hAnsi="Verdana" w:cs="Arial"/>
          <w:sz w:val="22"/>
          <w:szCs w:val="22"/>
        </w:rPr>
      </w:pPr>
    </w:p>
    <w:p w:rsidR="003A026F" w:rsidP="00F035E4" w14:paraId="34B6472E" w14:textId="77777777">
      <w:pPr>
        <w:jc w:val="both"/>
        <w:rPr>
          <w:rFonts w:ascii="Verdana" w:hAnsi="Verdana" w:cs="Arial"/>
          <w:sz w:val="22"/>
          <w:szCs w:val="22"/>
        </w:rPr>
      </w:pPr>
    </w:p>
    <w:p w:rsidR="00F035E4" w:rsidRPr="003153EE" w:rsidP="00F035E4" w14:paraId="1504C5AC" w14:textId="0C5DDC82">
      <w:pPr>
        <w:jc w:val="both"/>
        <w:rPr>
          <w:rFonts w:ascii="Verdana" w:hAnsi="Verdana" w:cs="Arial"/>
          <w:sz w:val="22"/>
          <w:szCs w:val="22"/>
        </w:rPr>
      </w:pPr>
      <w:r w:rsidRPr="003153EE">
        <w:rPr>
          <w:rFonts w:ascii="Verdana" w:hAnsi="Verdana" w:cs="Arial"/>
          <w:sz w:val="22"/>
          <w:szCs w:val="22"/>
        </w:rPr>
        <w:t>Cordialmente,</w:t>
      </w:r>
    </w:p>
    <w:p w:rsidR="00F035E4" w:rsidRPr="003153EE" w:rsidP="00F035E4" w14:paraId="73201C57" w14:textId="77777777">
      <w:pPr>
        <w:jc w:val="both"/>
        <w:rPr>
          <w:rFonts w:ascii="Verdana" w:hAnsi="Verdana" w:cs="Arial"/>
        </w:rPr>
      </w:pPr>
    </w:p>
    <w:p w:rsidR="00F035E4" w:rsidRPr="003153EE" w:rsidP="00F035E4" w14:paraId="31EC3309" w14:textId="77777777">
      <w:pPr>
        <w:jc w:val="both"/>
        <w:rPr>
          <w:rFonts w:ascii="Verdana" w:hAnsi="Verdana" w:cs="Arial"/>
        </w:rPr>
      </w:pPr>
    </w:p>
    <w:p w:rsidR="00F035E4" w:rsidRPr="003153EE" w:rsidP="00F035E4" w14:paraId="4D6EBCCE" w14:textId="77777777">
      <w:pPr>
        <w:jc w:val="both"/>
        <w:rPr>
          <w:rFonts w:ascii="Verdana" w:hAnsi="Verdana" w:cs="Arial"/>
        </w:rPr>
      </w:pPr>
    </w:p>
    <w:p w:rsidR="00F035E4" w:rsidRPr="003153EE" w:rsidP="00F035E4" w14:paraId="2C4E1131" w14:textId="77777777">
      <w:pPr>
        <w:jc w:val="both"/>
        <w:rPr>
          <w:rFonts w:ascii="Verdana" w:hAnsi="Verdana" w:cs="Arial"/>
        </w:rPr>
      </w:pPr>
    </w:p>
    <w:p w:rsidR="00F035E4" w:rsidRPr="003153EE" w:rsidP="00F035E4" w14:paraId="49F63CEC" w14:textId="77777777">
      <w:pPr>
        <w:jc w:val="both"/>
        <w:rPr>
          <w:rFonts w:ascii="Verdana" w:hAnsi="Verdana" w:cs="Arial"/>
        </w:rPr>
      </w:pPr>
    </w:p>
    <w:p w:rsidR="00CA0BB0" w:rsidRPr="003153EE" w:rsidP="00CA0BB0" w14:paraId="2F54B412" w14:textId="1190004C">
      <w:pPr>
        <w:pStyle w:val="NoSpacing"/>
        <w:jc w:val="both"/>
        <w:rPr>
          <w:rFonts w:ascii="Verdana" w:hAnsi="Verdana" w:cs="Arial"/>
          <w:b/>
          <w:bCs/>
        </w:rPr>
      </w:pPr>
      <w:r w:rsidRPr="003153EE">
        <w:rPr>
          <w:rFonts w:ascii="Verdana" w:hAnsi="Verdana" w:cs="Arial"/>
          <w:b/>
          <w:bCs/>
        </w:rPr>
        <w:t>PABLO ANDRÉS RIVAS HERAZO</w:t>
      </w:r>
    </w:p>
    <w:p w:rsidR="00CA0BB0" w:rsidRPr="003153EE" w:rsidP="00CA0BB0" w14:paraId="5F8CDF98" w14:textId="77777777">
      <w:pPr>
        <w:pStyle w:val="NoSpacing"/>
        <w:jc w:val="both"/>
        <w:rPr>
          <w:rFonts w:ascii="Verdana" w:hAnsi="Verdana" w:cs="Arial"/>
        </w:rPr>
      </w:pPr>
      <w:r w:rsidRPr="003153EE">
        <w:rPr>
          <w:rFonts w:ascii="Verdana" w:hAnsi="Verdana" w:cs="Arial"/>
        </w:rPr>
        <w:t>Superintendente Financiero de Colombia</w:t>
      </w:r>
    </w:p>
    <w:p w:rsidR="001F6900" w:rsidP="001F6900" w14:paraId="632C7B44" w14:textId="684A9059">
      <w:pPr>
        <w:jc w:val="both"/>
        <w:rPr>
          <w:rFonts w:ascii="Verdana" w:hAnsi="Verdana" w:cs="Arial"/>
          <w:color w:val="808080"/>
          <w:sz w:val="22"/>
          <w:szCs w:val="22"/>
        </w:rPr>
      </w:pPr>
      <w:r>
        <w:rPr>
          <w:rFonts w:ascii="Verdana" w:hAnsi="Verdana" w:cs="Arial"/>
          <w:color w:val="808080"/>
          <w:sz w:val="22"/>
          <w:szCs w:val="22"/>
        </w:rPr>
        <w:t>50000</w:t>
      </w:r>
    </w:p>
    <w:p w:rsidR="00F035E4" w:rsidRPr="00B30BD2" w:rsidP="00F035E4" w14:paraId="068C0573" w14:textId="77777777">
      <w:pPr>
        <w:jc w:val="both"/>
        <w:rPr>
          <w:rFonts w:ascii="Verdana" w:hAnsi="Verdana" w:cs="Arial"/>
          <w:sz w:val="16"/>
          <w:szCs w:val="16"/>
        </w:rPr>
      </w:pPr>
    </w:p>
    <w:p w:rsidR="00AD4AC1" w:rsidRPr="003153EE" w:rsidP="00AD4AC1" w14:paraId="7791F9B5" w14:textId="0C281558">
      <w:pPr>
        <w:tabs>
          <w:tab w:val="left" w:pos="1440"/>
        </w:tabs>
        <w:rPr>
          <w:rFonts w:ascii="Verdana" w:hAnsi="Verdana" w:cs="Arial"/>
          <w:sz w:val="22"/>
          <w:szCs w:val="22"/>
        </w:rPr>
      </w:pPr>
    </w:p>
    <w:sectPr w:rsidSect="005D7E1B">
      <w:headerReference w:type="default" r:id="rId9"/>
      <w:footerReference w:type="default" r:id="rId10"/>
      <w:pgSz w:w="12240" w:h="20160" w:code="120"/>
      <w:pgMar w:top="212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rFonts w:ascii="Verdana" w:hAnsi="Verdana"/>
        <w:lang w:val="es-ES"/>
      </w:rPr>
      <w:id w:val="-1071572585"/>
      <w:docPartObj>
        <w:docPartGallery w:val="Page Numbers (Bottom of Page)"/>
        <w:docPartUnique/>
      </w:docPartObj>
    </w:sdtPr>
    <w:sdtContent>
      <w:p w:rsidR="00D34D20" w:rsidRPr="00160630" w14:paraId="324BE145" w14:textId="6A7E2C22">
        <w:pPr>
          <w:pStyle w:val="Footer"/>
          <w:jc w:val="right"/>
          <w:rPr>
            <w:rFonts w:ascii="Verdana" w:hAnsi="Verdana"/>
          </w:rPr>
        </w:pPr>
        <w:r w:rsidRPr="00160630">
          <w:rPr>
            <w:rFonts w:ascii="Verdana" w:hAnsi="Verdana"/>
            <w:noProof/>
            <w:lang w:eastAsia="es-CO"/>
          </w:rPr>
          <mc:AlternateContent>
            <mc:Choice Requires="wps">
              <w:drawing>
                <wp:anchor distT="0" distB="0" distL="114300" distR="114300" simplePos="0" relativeHeight="251658240" behindDoc="0" locked="0" layoutInCell="1" allowOverlap="1">
                  <wp:simplePos x="0" y="0"/>
                  <wp:positionH relativeFrom="margin">
                    <wp:posOffset>-95885</wp:posOffset>
                  </wp:positionH>
                  <wp:positionV relativeFrom="paragraph">
                    <wp:posOffset>-245745</wp:posOffset>
                  </wp:positionV>
                  <wp:extent cx="6019800" cy="1229995"/>
                  <wp:effectExtent l="0" t="0" r="0" b="0"/>
                  <wp:wrapNone/>
                  <wp:docPr id="1223101586" name="Cuadro de texto 1"/>
                  <wp:cNvGraphicFramePr/>
                  <a:graphic xmlns:a="http://schemas.openxmlformats.org/drawingml/2006/main">
                    <a:graphicData uri="http://schemas.microsoft.com/office/word/2010/wordprocessingShape">
                      <wps:wsp xmlns:wps="http://schemas.microsoft.com/office/word/2010/wordprocessingShape">
                        <wps:cNvSpPr txBox="1"/>
                        <wps:spPr>
                          <a:xfrm>
                            <a:off x="0" y="0"/>
                            <a:ext cx="6019800" cy="1229995"/>
                          </a:xfrm>
                          <a:prstGeom prst="rect">
                            <a:avLst/>
                          </a:prstGeom>
                          <a:noFill/>
                          <a:ln w="6350">
                            <a:noFill/>
                          </a:ln>
                        </wps:spPr>
                        <wps:txbx>
                          <w:txbxContent>
                            <w:p w:rsidR="00D34D20" w:rsidRPr="00256928" w:rsidP="00D34D20" w14:textId="296032C4">
                              <w:pPr>
                                <w:spacing w:line="276" w:lineRule="auto"/>
                                <w:jc w:val="both"/>
                                <w:rPr>
                                  <w:rFonts w:ascii="Helvetica" w:hAnsi="Helvetica"/>
                                  <w:sz w:val="20"/>
                                  <w:szCs w:val="20"/>
                                </w:rPr>
                              </w:pPr>
                              <w:r w:rsidRPr="00256928">
                                <w:rPr>
                                  <w:rFonts w:ascii="Helvetica" w:hAnsi="Helvetica"/>
                                  <w:sz w:val="20"/>
                                  <w:szCs w:val="20"/>
                                </w:rPr>
                                <w:t>________________________________________________________________________</w:t>
                              </w:r>
                              <w:r w:rsidR="00160630">
                                <w:rPr>
                                  <w:rFonts w:ascii="Helvetica" w:hAnsi="Helvetica"/>
                                  <w:sz w:val="20"/>
                                  <w:szCs w:val="20"/>
                                </w:rPr>
                                <w:t>________</w:t>
                              </w:r>
                            </w:p>
                            <w:p w:rsidR="00160630" w:rsidRPr="00160630" w:rsidP="00D34D20" w14:textId="77777777">
                              <w:pPr>
                                <w:spacing w:line="276" w:lineRule="auto"/>
                                <w:jc w:val="both"/>
                                <w:rPr>
                                  <w:rFonts w:ascii="Verdana" w:hAnsi="Verdana"/>
                                  <w:sz w:val="4"/>
                                  <w:szCs w:val="4"/>
                                </w:rPr>
                              </w:pPr>
                            </w:p>
                            <w:p w:rsidR="00D34D20" w:rsidRPr="00284759" w:rsidP="00D34D20" w14:textId="7B84F351">
                              <w:pPr>
                                <w:spacing w:line="276" w:lineRule="auto"/>
                                <w:jc w:val="both"/>
                                <w:rPr>
                                  <w:rFonts w:ascii="Verdana" w:hAnsi="Verdana"/>
                                  <w:sz w:val="20"/>
                                  <w:szCs w:val="20"/>
                                </w:rPr>
                              </w:pPr>
                              <w:r w:rsidRPr="00284759">
                                <w:rPr>
                                  <w:rFonts w:ascii="Verdana" w:hAnsi="Verdana"/>
                                  <w:sz w:val="20"/>
                                  <w:szCs w:val="20"/>
                                </w:rPr>
                                <w:t xml:space="preserve">Dirección: </w:t>
                              </w:r>
                              <w:r w:rsidRPr="00AA1AA8" w:rsidR="00F8640E">
                                <w:rPr>
                                  <w:rFonts w:ascii="Verdana" w:hAnsi="Verdana" w:cs="Arial"/>
                                  <w:bCs/>
                                  <w:sz w:val="20"/>
                                  <w:szCs w:val="20"/>
                                  <w:lang w:val="es-MX"/>
                                </w:rPr>
                                <w:t xml:space="preserve">Calle 7 No. 4 - </w:t>
                              </w:r>
                              <w:r w:rsidRPr="00AA1AA8" w:rsidR="00F8640E">
                                <w:rPr>
                                  <w:rFonts w:ascii="Verdana" w:hAnsi="Verdana" w:cs="Arial"/>
                                  <w:bCs/>
                                  <w:sz w:val="20"/>
                                  <w:szCs w:val="20"/>
                                  <w:lang w:val="es-MX"/>
                                </w:rPr>
                                <w:t xml:space="preserve">49  </w:t>
                              </w:r>
                              <w:r w:rsidRPr="00284759">
                                <w:rPr>
                                  <w:rFonts w:ascii="Verdana" w:hAnsi="Verdana"/>
                                  <w:sz w:val="20"/>
                                  <w:szCs w:val="20"/>
                                </w:rPr>
                                <w:t>Bogotá</w:t>
                              </w:r>
                              <w:r w:rsidRPr="00284759">
                                <w:rPr>
                                  <w:rFonts w:ascii="Verdana" w:hAnsi="Verdana"/>
                                  <w:sz w:val="20"/>
                                  <w:szCs w:val="20"/>
                                </w:rPr>
                                <w:t xml:space="preserve"> D.C., Colombia</w:t>
                              </w:r>
                            </w:p>
                            <w:p w:rsidR="00D34D20" w:rsidRPr="00284759" w:rsidP="00D34D20" w14:textId="7B8EEA77">
                              <w:pPr>
                                <w:spacing w:line="276" w:lineRule="auto"/>
                                <w:jc w:val="both"/>
                                <w:rPr>
                                  <w:rFonts w:ascii="Verdana" w:hAnsi="Verdana"/>
                                  <w:sz w:val="20"/>
                                  <w:szCs w:val="20"/>
                                </w:rPr>
                              </w:pPr>
                              <w:r w:rsidRPr="00284759">
                                <w:rPr>
                                  <w:rFonts w:ascii="Verdana" w:hAnsi="Verdana"/>
                                  <w:sz w:val="20"/>
                                  <w:szCs w:val="20"/>
                                </w:rPr>
                                <w:t>Conmutador: (+57) 601 5</w:t>
                              </w:r>
                              <w:r w:rsidR="00F8640E">
                                <w:rPr>
                                  <w:rFonts w:ascii="Verdana" w:hAnsi="Verdana"/>
                                  <w:sz w:val="20"/>
                                  <w:szCs w:val="20"/>
                                </w:rPr>
                                <w:t>94</w:t>
                              </w:r>
                              <w:r w:rsidRPr="00284759">
                                <w:rPr>
                                  <w:rFonts w:ascii="Verdana" w:hAnsi="Verdana"/>
                                  <w:sz w:val="20"/>
                                  <w:szCs w:val="20"/>
                                </w:rPr>
                                <w:t xml:space="preserve"> </w:t>
                              </w:r>
                              <w:r w:rsidR="00F8640E">
                                <w:rPr>
                                  <w:rFonts w:ascii="Verdana" w:hAnsi="Verdana"/>
                                  <w:sz w:val="20"/>
                                  <w:szCs w:val="20"/>
                                </w:rPr>
                                <w:t>02</w:t>
                              </w:r>
                              <w:r w:rsidRPr="00284759">
                                <w:rPr>
                                  <w:rFonts w:ascii="Verdana" w:hAnsi="Verdana"/>
                                  <w:sz w:val="20"/>
                                  <w:szCs w:val="20"/>
                                </w:rPr>
                                <w:t xml:space="preserve">00 - 601 </w:t>
                              </w:r>
                              <w:r w:rsidR="00F8640E">
                                <w:rPr>
                                  <w:rFonts w:ascii="Verdana" w:hAnsi="Verdana"/>
                                  <w:sz w:val="20"/>
                                  <w:szCs w:val="20"/>
                                </w:rPr>
                                <w:t>594</w:t>
                              </w:r>
                              <w:r w:rsidRPr="00284759">
                                <w:rPr>
                                  <w:rFonts w:ascii="Verdana" w:hAnsi="Verdana"/>
                                  <w:sz w:val="20"/>
                                  <w:szCs w:val="20"/>
                                </w:rPr>
                                <w:t xml:space="preserve"> </w:t>
                              </w:r>
                              <w:r w:rsidR="00F8640E">
                                <w:rPr>
                                  <w:rFonts w:ascii="Verdana" w:hAnsi="Verdana"/>
                                  <w:sz w:val="20"/>
                                  <w:szCs w:val="20"/>
                                </w:rPr>
                                <w:t>0201</w:t>
                              </w:r>
                            </w:p>
                            <w:p w:rsidR="00D34D20" w:rsidRPr="00284759" w:rsidP="00F8640E" w14:textId="56361C4F">
                              <w:pPr>
                                <w:spacing w:line="276" w:lineRule="auto"/>
                                <w:jc w:val="both"/>
                                <w:rPr>
                                  <w:rFonts w:ascii="Verdana" w:hAnsi="Verdana"/>
                                  <w:sz w:val="20"/>
                                  <w:szCs w:val="20"/>
                                </w:rPr>
                              </w:pPr>
                              <w:r w:rsidRPr="00F8640E">
                                <w:rPr>
                                  <w:rFonts w:ascii="Verdana" w:hAnsi="Verdana"/>
                                  <w:sz w:val="20"/>
                                  <w:szCs w:val="20"/>
                                </w:rPr>
                                <w:t>www.superfinanciera.gov.co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1" o:spid="_x0000_s2049" type="#_x0000_t202" style="width:474pt;height:96.85pt;margin-top:-19.35pt;margin-left:-7.55pt;mso-height-percent:0;mso-height-relative:margin;mso-position-horizontal-relative:margin;mso-width-percent:0;mso-width-relative:margin;mso-wrap-distance-bottom:0;mso-wrap-distance-left:9pt;mso-wrap-distance-right:9pt;mso-wrap-distance-top:0;mso-wrap-style:square;position:absolute;visibility:visible;v-text-anchor:top;z-index:251659264" filled="f" stroked="f" strokeweight="0.5pt">
                  <v:textbox>
                    <w:txbxContent>
                      <w:p w:rsidR="00D34D20" w:rsidRPr="00256928" w:rsidP="00D34D20" w14:paraId="79D92C5A" w14:textId="296032C4">
                        <w:pPr>
                          <w:spacing w:line="276" w:lineRule="auto"/>
                          <w:jc w:val="both"/>
                          <w:rPr>
                            <w:rFonts w:ascii="Helvetica" w:hAnsi="Helvetica"/>
                            <w:sz w:val="20"/>
                            <w:szCs w:val="20"/>
                          </w:rPr>
                        </w:pPr>
                        <w:r w:rsidRPr="00256928">
                          <w:rPr>
                            <w:rFonts w:ascii="Helvetica" w:hAnsi="Helvetica"/>
                            <w:sz w:val="20"/>
                            <w:szCs w:val="20"/>
                          </w:rPr>
                          <w:t>________________________________________________________________________</w:t>
                        </w:r>
                        <w:r w:rsidR="00160630">
                          <w:rPr>
                            <w:rFonts w:ascii="Helvetica" w:hAnsi="Helvetica"/>
                            <w:sz w:val="20"/>
                            <w:szCs w:val="20"/>
                          </w:rPr>
                          <w:t>________</w:t>
                        </w:r>
                      </w:p>
                      <w:p w:rsidR="00160630" w:rsidRPr="00160630" w:rsidP="00D34D20" w14:paraId="36776589" w14:textId="77777777">
                        <w:pPr>
                          <w:spacing w:line="276" w:lineRule="auto"/>
                          <w:jc w:val="both"/>
                          <w:rPr>
                            <w:rFonts w:ascii="Verdana" w:hAnsi="Verdana"/>
                            <w:sz w:val="4"/>
                            <w:szCs w:val="4"/>
                          </w:rPr>
                        </w:pPr>
                      </w:p>
                      <w:p w:rsidR="00D34D20" w:rsidRPr="00284759" w:rsidP="00D34D20" w14:paraId="3453229D" w14:textId="7B84F351">
                        <w:pPr>
                          <w:spacing w:line="276" w:lineRule="auto"/>
                          <w:jc w:val="both"/>
                          <w:rPr>
                            <w:rFonts w:ascii="Verdana" w:hAnsi="Verdana"/>
                            <w:sz w:val="20"/>
                            <w:szCs w:val="20"/>
                          </w:rPr>
                        </w:pPr>
                        <w:r w:rsidRPr="00284759">
                          <w:rPr>
                            <w:rFonts w:ascii="Verdana" w:hAnsi="Verdana"/>
                            <w:sz w:val="20"/>
                            <w:szCs w:val="20"/>
                          </w:rPr>
                          <w:t xml:space="preserve">Dirección: </w:t>
                        </w:r>
                        <w:r w:rsidRPr="00AA1AA8" w:rsidR="00F8640E">
                          <w:rPr>
                            <w:rFonts w:ascii="Verdana" w:hAnsi="Verdana" w:cs="Arial"/>
                            <w:bCs/>
                            <w:sz w:val="20"/>
                            <w:szCs w:val="20"/>
                            <w:lang w:val="es-MX"/>
                          </w:rPr>
                          <w:t xml:space="preserve">Calle 7 No. 4 - </w:t>
                        </w:r>
                        <w:r w:rsidRPr="00AA1AA8" w:rsidR="00F8640E">
                          <w:rPr>
                            <w:rFonts w:ascii="Verdana" w:hAnsi="Verdana" w:cs="Arial"/>
                            <w:bCs/>
                            <w:sz w:val="20"/>
                            <w:szCs w:val="20"/>
                            <w:lang w:val="es-MX"/>
                          </w:rPr>
                          <w:t xml:space="preserve">49  </w:t>
                        </w:r>
                        <w:r w:rsidRPr="00284759">
                          <w:rPr>
                            <w:rFonts w:ascii="Verdana" w:hAnsi="Verdana"/>
                            <w:sz w:val="20"/>
                            <w:szCs w:val="20"/>
                          </w:rPr>
                          <w:t>Bogotá</w:t>
                        </w:r>
                        <w:r w:rsidRPr="00284759">
                          <w:rPr>
                            <w:rFonts w:ascii="Verdana" w:hAnsi="Verdana"/>
                            <w:sz w:val="20"/>
                            <w:szCs w:val="20"/>
                          </w:rPr>
                          <w:t xml:space="preserve"> D.C., Colombia</w:t>
                        </w:r>
                      </w:p>
                      <w:p w:rsidR="00D34D20" w:rsidRPr="00284759" w:rsidP="00D34D20" w14:paraId="7463B94C" w14:textId="7B8EEA77">
                        <w:pPr>
                          <w:spacing w:line="276" w:lineRule="auto"/>
                          <w:jc w:val="both"/>
                          <w:rPr>
                            <w:rFonts w:ascii="Verdana" w:hAnsi="Verdana"/>
                            <w:sz w:val="20"/>
                            <w:szCs w:val="20"/>
                          </w:rPr>
                        </w:pPr>
                        <w:r w:rsidRPr="00284759">
                          <w:rPr>
                            <w:rFonts w:ascii="Verdana" w:hAnsi="Verdana"/>
                            <w:sz w:val="20"/>
                            <w:szCs w:val="20"/>
                          </w:rPr>
                          <w:t>Conmutador: (+57) 601 5</w:t>
                        </w:r>
                        <w:r w:rsidR="00F8640E">
                          <w:rPr>
                            <w:rFonts w:ascii="Verdana" w:hAnsi="Verdana"/>
                            <w:sz w:val="20"/>
                            <w:szCs w:val="20"/>
                          </w:rPr>
                          <w:t>94</w:t>
                        </w:r>
                        <w:r w:rsidRPr="00284759">
                          <w:rPr>
                            <w:rFonts w:ascii="Verdana" w:hAnsi="Verdana"/>
                            <w:sz w:val="20"/>
                            <w:szCs w:val="20"/>
                          </w:rPr>
                          <w:t xml:space="preserve"> </w:t>
                        </w:r>
                        <w:r w:rsidR="00F8640E">
                          <w:rPr>
                            <w:rFonts w:ascii="Verdana" w:hAnsi="Verdana"/>
                            <w:sz w:val="20"/>
                            <w:szCs w:val="20"/>
                          </w:rPr>
                          <w:t>02</w:t>
                        </w:r>
                        <w:r w:rsidRPr="00284759">
                          <w:rPr>
                            <w:rFonts w:ascii="Verdana" w:hAnsi="Verdana"/>
                            <w:sz w:val="20"/>
                            <w:szCs w:val="20"/>
                          </w:rPr>
                          <w:t xml:space="preserve">00 - 601 </w:t>
                        </w:r>
                        <w:r w:rsidR="00F8640E">
                          <w:rPr>
                            <w:rFonts w:ascii="Verdana" w:hAnsi="Verdana"/>
                            <w:sz w:val="20"/>
                            <w:szCs w:val="20"/>
                          </w:rPr>
                          <w:t>594</w:t>
                        </w:r>
                        <w:r w:rsidRPr="00284759">
                          <w:rPr>
                            <w:rFonts w:ascii="Verdana" w:hAnsi="Verdana"/>
                            <w:sz w:val="20"/>
                            <w:szCs w:val="20"/>
                          </w:rPr>
                          <w:t xml:space="preserve"> </w:t>
                        </w:r>
                        <w:r w:rsidR="00F8640E">
                          <w:rPr>
                            <w:rFonts w:ascii="Verdana" w:hAnsi="Verdana"/>
                            <w:sz w:val="20"/>
                            <w:szCs w:val="20"/>
                          </w:rPr>
                          <w:t>0201</w:t>
                        </w:r>
                      </w:p>
                      <w:p w:rsidR="00D34D20" w:rsidRPr="00284759" w:rsidP="00F8640E" w14:paraId="3F743D65" w14:textId="56361C4F">
                        <w:pPr>
                          <w:spacing w:line="276" w:lineRule="auto"/>
                          <w:jc w:val="both"/>
                          <w:rPr>
                            <w:rFonts w:ascii="Verdana" w:hAnsi="Verdana"/>
                            <w:sz w:val="20"/>
                            <w:szCs w:val="20"/>
                          </w:rPr>
                        </w:pPr>
                        <w:r w:rsidRPr="00F8640E">
                          <w:rPr>
                            <w:rFonts w:ascii="Verdana" w:hAnsi="Verdana"/>
                            <w:sz w:val="20"/>
                            <w:szCs w:val="20"/>
                          </w:rPr>
                          <w:t>www.superfinanciera.gov.co</w:t>
                        </w:r>
                      </w:p>
                    </w:txbxContent>
                  </v:textbox>
                  <w10:wrap anchorx="margin"/>
                </v:shape>
              </w:pict>
            </mc:Fallback>
          </mc:AlternateContent>
        </w:r>
        <w:r w:rsidRPr="00160630">
          <w:rPr>
            <w:rFonts w:ascii="Verdana" w:hAnsi="Verdana"/>
            <w:lang w:val="es-ES"/>
          </w:rPr>
          <w:t xml:space="preserve">Página | </w:t>
        </w:r>
        <w:r w:rsidRPr="00160630">
          <w:rPr>
            <w:rFonts w:ascii="Verdana" w:hAnsi="Verdana"/>
          </w:rPr>
          <w:fldChar w:fldCharType="begin"/>
        </w:r>
        <w:r w:rsidRPr="00160630">
          <w:rPr>
            <w:rFonts w:ascii="Verdana" w:hAnsi="Verdana"/>
          </w:rPr>
          <w:instrText>PAGE   \* MERGEFORMAT</w:instrText>
        </w:r>
        <w:r w:rsidRPr="00160630">
          <w:rPr>
            <w:rFonts w:ascii="Verdana" w:hAnsi="Verdana"/>
          </w:rPr>
          <w:fldChar w:fldCharType="separate"/>
        </w:r>
        <w:r w:rsidRPr="00160630" w:rsidR="00284759">
          <w:rPr>
            <w:rFonts w:ascii="Verdana" w:hAnsi="Verdana"/>
            <w:noProof/>
            <w:lang w:val="es-ES"/>
          </w:rPr>
          <w:t>1</w:t>
        </w:r>
        <w:r w:rsidRPr="00160630">
          <w:rPr>
            <w:rFonts w:ascii="Verdana" w:hAnsi="Verdana"/>
          </w:rPr>
          <w:fldChar w:fldCharType="end"/>
        </w:r>
        <w:r w:rsidRPr="00160630">
          <w:rPr>
            <w:rFonts w:ascii="Verdana" w:hAnsi="Verdana"/>
            <w:lang w:val="es-ES"/>
          </w:rPr>
          <w:t xml:space="preserve"> </w:t>
        </w:r>
      </w:p>
    </w:sdtContent>
  </w:sdt>
  <w:p w:rsidR="00D34D20" w:rsidRPr="00D34D20" w:rsidP="00D34D20" w14:paraId="409F4B9A" w14:textId="79830460">
    <w:pPr>
      <w:spacing w:line="276" w:lineRule="auto"/>
      <w:jc w:val="both"/>
      <w:rPr>
        <w:rFonts w:ascii="Helvetica" w:hAnsi="Helvetica"/>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57B36" w:rsidP="002532CE" w14:paraId="5FF8CE25" w14:textId="3F707162">
    <w:pPr>
      <w:pStyle w:val="Header"/>
      <w:jc w:val="center"/>
    </w:pPr>
    <w:r>
      <w:rPr>
        <w:noProof/>
      </w:rPr>
      <w:drawing>
        <wp:inline distT="0" distB="0" distL="0" distR="0">
          <wp:extent cx="2020126" cy="885825"/>
          <wp:effectExtent l="0" t="0" r="0" b="0"/>
          <wp:docPr id="29210434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104347" name="Imagen 2"/>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2021359" cy="886366"/>
                  </a:xfrm>
                  <a:prstGeom prst="rect">
                    <a:avLst/>
                  </a:prstGeom>
                </pic:spPr>
              </pic:pic>
            </a:graphicData>
          </a:graphic>
        </wp:inline>
      </w:drawing>
    </w:r>
  </w:p>
  <w:p w:rsidR="002532CE" w:rsidP="002532CE" w14:paraId="0CFB1B4A" w14:textId="77777777">
    <w:pPr>
      <w:pStyle w:val="Header"/>
      <w:jc w:val="center"/>
    </w:pPr>
  </w:p>
  <w:p w:rsidR="002532CE" w:rsidP="002532CE" w14:paraId="35B7FA3D" w14:textId="77777777">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02940984"/>
    <w:multiLevelType w:val="hybridMultilevel"/>
    <w:tmpl w:val="755E322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2716231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7B36"/>
    <w:rsid w:val="00010A4B"/>
    <w:rsid w:val="00016866"/>
    <w:rsid w:val="000227E7"/>
    <w:rsid w:val="00083847"/>
    <w:rsid w:val="000924BB"/>
    <w:rsid w:val="0009305A"/>
    <w:rsid w:val="000943F8"/>
    <w:rsid w:val="000B0715"/>
    <w:rsid w:val="000E16F7"/>
    <w:rsid w:val="000E323D"/>
    <w:rsid w:val="000F21BA"/>
    <w:rsid w:val="000F4381"/>
    <w:rsid w:val="00106E3C"/>
    <w:rsid w:val="00107876"/>
    <w:rsid w:val="00134DF5"/>
    <w:rsid w:val="00142F10"/>
    <w:rsid w:val="00147D0F"/>
    <w:rsid w:val="00155582"/>
    <w:rsid w:val="00157816"/>
    <w:rsid w:val="00160312"/>
    <w:rsid w:val="00160630"/>
    <w:rsid w:val="001771F5"/>
    <w:rsid w:val="00180906"/>
    <w:rsid w:val="00183B80"/>
    <w:rsid w:val="001842DF"/>
    <w:rsid w:val="001A5EE2"/>
    <w:rsid w:val="001A764C"/>
    <w:rsid w:val="001B33FC"/>
    <w:rsid w:val="001F6900"/>
    <w:rsid w:val="00221EC0"/>
    <w:rsid w:val="002222A5"/>
    <w:rsid w:val="00233F89"/>
    <w:rsid w:val="002422DE"/>
    <w:rsid w:val="002532CE"/>
    <w:rsid w:val="00255542"/>
    <w:rsid w:val="00256928"/>
    <w:rsid w:val="00264D9E"/>
    <w:rsid w:val="00284759"/>
    <w:rsid w:val="00290BE0"/>
    <w:rsid w:val="002930CC"/>
    <w:rsid w:val="00294313"/>
    <w:rsid w:val="002954E8"/>
    <w:rsid w:val="002A205A"/>
    <w:rsid w:val="002B0536"/>
    <w:rsid w:val="002C31FF"/>
    <w:rsid w:val="002D11CD"/>
    <w:rsid w:val="002D71CF"/>
    <w:rsid w:val="002E02DB"/>
    <w:rsid w:val="002F3F05"/>
    <w:rsid w:val="002F6BE2"/>
    <w:rsid w:val="0030489C"/>
    <w:rsid w:val="00307B19"/>
    <w:rsid w:val="003153EE"/>
    <w:rsid w:val="00325AAC"/>
    <w:rsid w:val="00334B8A"/>
    <w:rsid w:val="00351F23"/>
    <w:rsid w:val="00362792"/>
    <w:rsid w:val="003853BD"/>
    <w:rsid w:val="0039087D"/>
    <w:rsid w:val="003977CD"/>
    <w:rsid w:val="003A026F"/>
    <w:rsid w:val="003D3CB6"/>
    <w:rsid w:val="003E0A13"/>
    <w:rsid w:val="003E49A2"/>
    <w:rsid w:val="003F1D1D"/>
    <w:rsid w:val="003F6718"/>
    <w:rsid w:val="00403929"/>
    <w:rsid w:val="004174EE"/>
    <w:rsid w:val="00420427"/>
    <w:rsid w:val="00432460"/>
    <w:rsid w:val="00436E05"/>
    <w:rsid w:val="00445FF8"/>
    <w:rsid w:val="00446C1E"/>
    <w:rsid w:val="00447DDF"/>
    <w:rsid w:val="004607F3"/>
    <w:rsid w:val="004647ED"/>
    <w:rsid w:val="00464B57"/>
    <w:rsid w:val="004A0B78"/>
    <w:rsid w:val="004B70FA"/>
    <w:rsid w:val="004C2752"/>
    <w:rsid w:val="004C4FF9"/>
    <w:rsid w:val="004C6302"/>
    <w:rsid w:val="004D1CA1"/>
    <w:rsid w:val="004D2630"/>
    <w:rsid w:val="004D6F3A"/>
    <w:rsid w:val="004D7955"/>
    <w:rsid w:val="004D7AB3"/>
    <w:rsid w:val="004E3CFF"/>
    <w:rsid w:val="004F5A9D"/>
    <w:rsid w:val="0050328D"/>
    <w:rsid w:val="0050609D"/>
    <w:rsid w:val="005209EF"/>
    <w:rsid w:val="00523984"/>
    <w:rsid w:val="00537C9A"/>
    <w:rsid w:val="0054685E"/>
    <w:rsid w:val="00552199"/>
    <w:rsid w:val="00555401"/>
    <w:rsid w:val="00556A20"/>
    <w:rsid w:val="00572EBE"/>
    <w:rsid w:val="005853FE"/>
    <w:rsid w:val="005953DF"/>
    <w:rsid w:val="005972B4"/>
    <w:rsid w:val="005C04D1"/>
    <w:rsid w:val="005C3421"/>
    <w:rsid w:val="005D3D62"/>
    <w:rsid w:val="005D4CE8"/>
    <w:rsid w:val="005D7E1B"/>
    <w:rsid w:val="005F4D80"/>
    <w:rsid w:val="005F6842"/>
    <w:rsid w:val="00617535"/>
    <w:rsid w:val="006239E0"/>
    <w:rsid w:val="006265A9"/>
    <w:rsid w:val="00634E2D"/>
    <w:rsid w:val="00636F79"/>
    <w:rsid w:val="00640238"/>
    <w:rsid w:val="00674E18"/>
    <w:rsid w:val="006832D2"/>
    <w:rsid w:val="00691004"/>
    <w:rsid w:val="00697E70"/>
    <w:rsid w:val="006A59F6"/>
    <w:rsid w:val="006B784A"/>
    <w:rsid w:val="006C04C1"/>
    <w:rsid w:val="006C27EB"/>
    <w:rsid w:val="006C2C7D"/>
    <w:rsid w:val="006C6A27"/>
    <w:rsid w:val="006D2D6F"/>
    <w:rsid w:val="006D48C3"/>
    <w:rsid w:val="006D65C4"/>
    <w:rsid w:val="006D7F2A"/>
    <w:rsid w:val="006E63D2"/>
    <w:rsid w:val="006E770C"/>
    <w:rsid w:val="006E7BF8"/>
    <w:rsid w:val="00702C3C"/>
    <w:rsid w:val="00707EA8"/>
    <w:rsid w:val="00720C4F"/>
    <w:rsid w:val="0073449D"/>
    <w:rsid w:val="007453F6"/>
    <w:rsid w:val="00745CFA"/>
    <w:rsid w:val="00757B36"/>
    <w:rsid w:val="0076125A"/>
    <w:rsid w:val="007621EF"/>
    <w:rsid w:val="0076371D"/>
    <w:rsid w:val="0076736F"/>
    <w:rsid w:val="00785B0D"/>
    <w:rsid w:val="00787EAE"/>
    <w:rsid w:val="00793F17"/>
    <w:rsid w:val="00796709"/>
    <w:rsid w:val="007973E1"/>
    <w:rsid w:val="007B6B75"/>
    <w:rsid w:val="007C5489"/>
    <w:rsid w:val="007E2080"/>
    <w:rsid w:val="007E36DB"/>
    <w:rsid w:val="007E69A9"/>
    <w:rsid w:val="007E6B49"/>
    <w:rsid w:val="007F00B2"/>
    <w:rsid w:val="007F1B73"/>
    <w:rsid w:val="007F2860"/>
    <w:rsid w:val="007F6210"/>
    <w:rsid w:val="007F7549"/>
    <w:rsid w:val="00804677"/>
    <w:rsid w:val="00821080"/>
    <w:rsid w:val="008221F2"/>
    <w:rsid w:val="00827182"/>
    <w:rsid w:val="00832D3D"/>
    <w:rsid w:val="00835CA0"/>
    <w:rsid w:val="0084627E"/>
    <w:rsid w:val="00853E3D"/>
    <w:rsid w:val="00854DCF"/>
    <w:rsid w:val="00857A8B"/>
    <w:rsid w:val="00861055"/>
    <w:rsid w:val="00866262"/>
    <w:rsid w:val="00875094"/>
    <w:rsid w:val="008821A8"/>
    <w:rsid w:val="008A5D93"/>
    <w:rsid w:val="008A6011"/>
    <w:rsid w:val="008B48EB"/>
    <w:rsid w:val="008B4EEA"/>
    <w:rsid w:val="008B5BD5"/>
    <w:rsid w:val="008B7500"/>
    <w:rsid w:val="008C4E6A"/>
    <w:rsid w:val="008C64BB"/>
    <w:rsid w:val="008D39EA"/>
    <w:rsid w:val="008E0EC3"/>
    <w:rsid w:val="008F0D79"/>
    <w:rsid w:val="008F31AE"/>
    <w:rsid w:val="009029FB"/>
    <w:rsid w:val="009060A9"/>
    <w:rsid w:val="00910DB1"/>
    <w:rsid w:val="00913E23"/>
    <w:rsid w:val="00922A8F"/>
    <w:rsid w:val="00927AC0"/>
    <w:rsid w:val="00930D64"/>
    <w:rsid w:val="009318FF"/>
    <w:rsid w:val="00960307"/>
    <w:rsid w:val="009662F5"/>
    <w:rsid w:val="00976CB6"/>
    <w:rsid w:val="009773EF"/>
    <w:rsid w:val="00985498"/>
    <w:rsid w:val="009873AA"/>
    <w:rsid w:val="009B18D4"/>
    <w:rsid w:val="009C395C"/>
    <w:rsid w:val="009D2DA0"/>
    <w:rsid w:val="009E55A2"/>
    <w:rsid w:val="00A16924"/>
    <w:rsid w:val="00A2548E"/>
    <w:rsid w:val="00A25B5F"/>
    <w:rsid w:val="00A347CB"/>
    <w:rsid w:val="00A52ACB"/>
    <w:rsid w:val="00A53380"/>
    <w:rsid w:val="00A62B20"/>
    <w:rsid w:val="00A6551A"/>
    <w:rsid w:val="00A763B6"/>
    <w:rsid w:val="00AA1AA8"/>
    <w:rsid w:val="00AB1B68"/>
    <w:rsid w:val="00AB61D2"/>
    <w:rsid w:val="00AC61EF"/>
    <w:rsid w:val="00AD4AC1"/>
    <w:rsid w:val="00AD781F"/>
    <w:rsid w:val="00AE0F16"/>
    <w:rsid w:val="00AE5513"/>
    <w:rsid w:val="00AF144C"/>
    <w:rsid w:val="00AF7EA3"/>
    <w:rsid w:val="00B1035D"/>
    <w:rsid w:val="00B3040C"/>
    <w:rsid w:val="00B30BD2"/>
    <w:rsid w:val="00B32F57"/>
    <w:rsid w:val="00B36B2B"/>
    <w:rsid w:val="00B43681"/>
    <w:rsid w:val="00B45538"/>
    <w:rsid w:val="00B52E43"/>
    <w:rsid w:val="00B54A49"/>
    <w:rsid w:val="00B55052"/>
    <w:rsid w:val="00B56EC6"/>
    <w:rsid w:val="00B6316E"/>
    <w:rsid w:val="00B63203"/>
    <w:rsid w:val="00B63FA9"/>
    <w:rsid w:val="00B704C1"/>
    <w:rsid w:val="00B71BFE"/>
    <w:rsid w:val="00B82A9B"/>
    <w:rsid w:val="00B97441"/>
    <w:rsid w:val="00BA703E"/>
    <w:rsid w:val="00BB69DE"/>
    <w:rsid w:val="00BC3518"/>
    <w:rsid w:val="00BC42A0"/>
    <w:rsid w:val="00BD1425"/>
    <w:rsid w:val="00BD25D7"/>
    <w:rsid w:val="00BE14D1"/>
    <w:rsid w:val="00BF24D5"/>
    <w:rsid w:val="00C03A8A"/>
    <w:rsid w:val="00C03AEE"/>
    <w:rsid w:val="00C14CB9"/>
    <w:rsid w:val="00C20459"/>
    <w:rsid w:val="00C331CE"/>
    <w:rsid w:val="00C34CB7"/>
    <w:rsid w:val="00C368DF"/>
    <w:rsid w:val="00C3693D"/>
    <w:rsid w:val="00C56A1B"/>
    <w:rsid w:val="00C60470"/>
    <w:rsid w:val="00C67933"/>
    <w:rsid w:val="00C7497C"/>
    <w:rsid w:val="00C913BA"/>
    <w:rsid w:val="00C94229"/>
    <w:rsid w:val="00CA0BB0"/>
    <w:rsid w:val="00CA69AE"/>
    <w:rsid w:val="00CB40AC"/>
    <w:rsid w:val="00CC4179"/>
    <w:rsid w:val="00CD1ADA"/>
    <w:rsid w:val="00D04F12"/>
    <w:rsid w:val="00D11D41"/>
    <w:rsid w:val="00D17DC3"/>
    <w:rsid w:val="00D224FE"/>
    <w:rsid w:val="00D336F3"/>
    <w:rsid w:val="00D34D20"/>
    <w:rsid w:val="00D52C9C"/>
    <w:rsid w:val="00D56AF5"/>
    <w:rsid w:val="00D62D3E"/>
    <w:rsid w:val="00D65DF3"/>
    <w:rsid w:val="00D7011D"/>
    <w:rsid w:val="00D75E8A"/>
    <w:rsid w:val="00D83EAE"/>
    <w:rsid w:val="00D94083"/>
    <w:rsid w:val="00DB1954"/>
    <w:rsid w:val="00DB39A8"/>
    <w:rsid w:val="00DB7E7A"/>
    <w:rsid w:val="00DC6272"/>
    <w:rsid w:val="00DD64C8"/>
    <w:rsid w:val="00DE358A"/>
    <w:rsid w:val="00DF05E4"/>
    <w:rsid w:val="00E15992"/>
    <w:rsid w:val="00E3221D"/>
    <w:rsid w:val="00E326B3"/>
    <w:rsid w:val="00E433CF"/>
    <w:rsid w:val="00E43BE2"/>
    <w:rsid w:val="00E47D68"/>
    <w:rsid w:val="00E53857"/>
    <w:rsid w:val="00E741D1"/>
    <w:rsid w:val="00E7431C"/>
    <w:rsid w:val="00E9554B"/>
    <w:rsid w:val="00EA0E99"/>
    <w:rsid w:val="00EA1B8E"/>
    <w:rsid w:val="00EA5A7A"/>
    <w:rsid w:val="00EB2D75"/>
    <w:rsid w:val="00ED3016"/>
    <w:rsid w:val="00EE427F"/>
    <w:rsid w:val="00EF2025"/>
    <w:rsid w:val="00F035E4"/>
    <w:rsid w:val="00F107DA"/>
    <w:rsid w:val="00F10B57"/>
    <w:rsid w:val="00F260A6"/>
    <w:rsid w:val="00F27214"/>
    <w:rsid w:val="00F34D05"/>
    <w:rsid w:val="00F77F5B"/>
    <w:rsid w:val="00F8640E"/>
    <w:rsid w:val="00F90EC8"/>
    <w:rsid w:val="00F94BA0"/>
    <w:rsid w:val="00FA0785"/>
    <w:rsid w:val="00FA71B9"/>
    <w:rsid w:val="00FB3962"/>
    <w:rsid w:val="00FC2896"/>
    <w:rsid w:val="00FE0BFF"/>
    <w:rsid w:val="00FE3FA9"/>
    <w:rsid w:val="00FE432E"/>
    <w:rsid w:val="00FF2DDD"/>
  </w:rsids>
  <m:mathPr>
    <m:mathFont m:val="Cambria Math"/>
  </m:mathPr>
  <w:themeFontLang w:val="es-CO"/>
  <w:clrSchemeMapping w:bg1="light1" w:t1="dark1" w:bg2="light2" w:t2="dark2" w:accent1="accent1" w:accent2="accent2" w:accent3="accent3" w:accent4="accent4" w:accent5="accent5" w:accent6="accent6" w:hyperlink="hyperlink" w:followedHyperlink="followedHyperlink"/>
  <w14:docId w14:val="019C4308"/>
  <w15:chartTrackingRefBased/>
  <w15:docId w15:val="{82F1AF6E-31FF-4CFD-85E0-BEF35F908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8640E"/>
    <w:pPr>
      <w:spacing w:after="0" w:line="240" w:lineRule="auto"/>
    </w:pPr>
    <w:rPr>
      <w:rFonts w:ascii="Times New Roman" w:eastAsia="MS Mincho" w:hAnsi="Times New Roman" w:cs="Times New Roman"/>
      <w:kern w:val="0"/>
      <w:sz w:val="24"/>
      <w:szCs w:val="24"/>
      <w:lang w:val="es-ES" w:eastAsia="es-E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EncabezadoCar"/>
    <w:unhideWhenUsed/>
    <w:rsid w:val="00757B36"/>
    <w:pPr>
      <w:tabs>
        <w:tab w:val="center" w:pos="4419"/>
        <w:tab w:val="right" w:pos="8838"/>
      </w:tabs>
    </w:pPr>
    <w:rPr>
      <w:rFonts w:asciiTheme="minorHAnsi" w:eastAsiaTheme="minorHAnsi" w:hAnsiTheme="minorHAnsi" w:cstheme="minorBidi"/>
      <w:kern w:val="2"/>
      <w:sz w:val="22"/>
      <w:szCs w:val="22"/>
      <w:lang w:val="es-CO" w:eastAsia="en-US"/>
      <w14:ligatures w14:val="standardContextual"/>
    </w:rPr>
  </w:style>
  <w:style w:type="character" w:customStyle="1" w:styleId="EncabezadoCar">
    <w:name w:val="Encabezado Car"/>
    <w:basedOn w:val="DefaultParagraphFont"/>
    <w:link w:val="Header"/>
    <w:rsid w:val="00757B36"/>
  </w:style>
  <w:style w:type="paragraph" w:styleId="Footer">
    <w:name w:val="footer"/>
    <w:basedOn w:val="Normal"/>
    <w:link w:val="PiedepginaCar"/>
    <w:uiPriority w:val="99"/>
    <w:unhideWhenUsed/>
    <w:rsid w:val="00757B36"/>
    <w:pPr>
      <w:tabs>
        <w:tab w:val="center" w:pos="4419"/>
        <w:tab w:val="right" w:pos="8838"/>
      </w:tabs>
    </w:pPr>
    <w:rPr>
      <w:rFonts w:asciiTheme="minorHAnsi" w:eastAsiaTheme="minorHAnsi" w:hAnsiTheme="minorHAnsi" w:cstheme="minorBidi"/>
      <w:kern w:val="2"/>
      <w:sz w:val="22"/>
      <w:szCs w:val="22"/>
      <w:lang w:val="es-CO" w:eastAsia="en-US"/>
      <w14:ligatures w14:val="standardContextual"/>
    </w:rPr>
  </w:style>
  <w:style w:type="character" w:customStyle="1" w:styleId="PiedepginaCar">
    <w:name w:val="Pie de página Car"/>
    <w:basedOn w:val="DefaultParagraphFont"/>
    <w:link w:val="Footer"/>
    <w:uiPriority w:val="99"/>
    <w:rsid w:val="00757B36"/>
  </w:style>
  <w:style w:type="character" w:styleId="Hyperlink">
    <w:name w:val="Hyperlink"/>
    <w:basedOn w:val="DefaultParagraphFont"/>
    <w:uiPriority w:val="99"/>
    <w:unhideWhenUsed/>
    <w:rsid w:val="00757B36"/>
    <w:rPr>
      <w:color w:val="0563C1" w:themeColor="hyperlink"/>
      <w:u w:val="single"/>
    </w:rPr>
  </w:style>
  <w:style w:type="character" w:customStyle="1" w:styleId="Mencinsinresolver1">
    <w:name w:val="Mención sin resolver1"/>
    <w:basedOn w:val="DefaultParagraphFont"/>
    <w:uiPriority w:val="99"/>
    <w:semiHidden/>
    <w:unhideWhenUsed/>
    <w:rsid w:val="00757B36"/>
    <w:rPr>
      <w:color w:val="605E5C"/>
      <w:shd w:val="clear" w:color="auto" w:fill="E1DFDD"/>
    </w:rPr>
  </w:style>
  <w:style w:type="paragraph" w:styleId="ListParagraph">
    <w:name w:val="List Paragraph"/>
    <w:basedOn w:val="Normal"/>
    <w:uiPriority w:val="34"/>
    <w:qFormat/>
    <w:rsid w:val="00757B36"/>
    <w:pPr>
      <w:spacing w:after="160" w:line="259" w:lineRule="auto"/>
      <w:ind w:left="720"/>
      <w:contextualSpacing/>
    </w:pPr>
    <w:rPr>
      <w:rFonts w:asciiTheme="minorHAnsi" w:eastAsiaTheme="minorHAnsi" w:hAnsiTheme="minorHAnsi" w:cstheme="minorBidi"/>
      <w:kern w:val="2"/>
      <w:sz w:val="22"/>
      <w:szCs w:val="22"/>
      <w:lang w:val="es-CO" w:eastAsia="en-US"/>
      <w14:ligatures w14:val="standardContextual"/>
    </w:rPr>
  </w:style>
  <w:style w:type="table" w:styleId="TableGrid">
    <w:name w:val="Table Grid"/>
    <w:basedOn w:val="TableNormal"/>
    <w:uiPriority w:val="39"/>
    <w:rsid w:val="008F0D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Textoindependiente3Car"/>
    <w:rsid w:val="00F8640E"/>
    <w:pPr>
      <w:jc w:val="both"/>
    </w:pPr>
    <w:rPr>
      <w:rFonts w:ascii="Arial" w:eastAsia="Times New Roman" w:hAnsi="Arial"/>
      <w:b/>
      <w:sz w:val="22"/>
      <w:szCs w:val="20"/>
    </w:rPr>
  </w:style>
  <w:style w:type="character" w:customStyle="1" w:styleId="Textoindependiente3Car">
    <w:name w:val="Texto independiente 3 Car"/>
    <w:basedOn w:val="DefaultParagraphFont"/>
    <w:link w:val="BodyText3"/>
    <w:rsid w:val="00F8640E"/>
    <w:rPr>
      <w:rFonts w:ascii="Arial" w:eastAsia="Times New Roman" w:hAnsi="Arial" w:cs="Times New Roman"/>
      <w:b/>
      <w:kern w:val="0"/>
      <w:szCs w:val="20"/>
      <w:lang w:val="es-ES" w:eastAsia="es-ES"/>
      <w14:ligatures w14:val="none"/>
    </w:rPr>
  </w:style>
  <w:style w:type="paragraph" w:styleId="BodyText">
    <w:name w:val="Body Text"/>
    <w:basedOn w:val="Normal"/>
    <w:link w:val="TextoindependienteCar"/>
    <w:uiPriority w:val="99"/>
    <w:semiHidden/>
    <w:unhideWhenUsed/>
    <w:rsid w:val="00F035E4"/>
    <w:pPr>
      <w:spacing w:after="120"/>
    </w:pPr>
  </w:style>
  <w:style w:type="character" w:customStyle="1" w:styleId="TextoindependienteCar">
    <w:name w:val="Texto independiente Car"/>
    <w:basedOn w:val="DefaultParagraphFont"/>
    <w:link w:val="BodyText"/>
    <w:uiPriority w:val="99"/>
    <w:semiHidden/>
    <w:rsid w:val="00F035E4"/>
    <w:rPr>
      <w:rFonts w:ascii="Times New Roman" w:eastAsia="MS Mincho" w:hAnsi="Times New Roman" w:cs="Times New Roman"/>
      <w:kern w:val="0"/>
      <w:sz w:val="24"/>
      <w:szCs w:val="24"/>
      <w:lang w:val="es-ES" w:eastAsia="es-ES"/>
      <w14:ligatures w14:val="none"/>
    </w:rPr>
  </w:style>
  <w:style w:type="paragraph" w:styleId="NoSpacing">
    <w:name w:val="No Spacing"/>
    <w:uiPriority w:val="1"/>
    <w:qFormat/>
    <w:rsid w:val="00CA0BB0"/>
    <w:pPr>
      <w:spacing w:after="0" w:line="240" w:lineRule="auto"/>
    </w:pPr>
    <w:rPr>
      <w:kern w:val="0"/>
      <w14:ligatures w14:val="none"/>
    </w:rPr>
  </w:style>
  <w:style w:type="paragraph" w:styleId="Revision">
    <w:name w:val="Revision"/>
    <w:hidden/>
    <w:uiPriority w:val="99"/>
    <w:semiHidden/>
    <w:rsid w:val="00C368DF"/>
    <w:pPr>
      <w:spacing w:after="0" w:line="240" w:lineRule="auto"/>
    </w:pPr>
    <w:rPr>
      <w:rFonts w:ascii="Times New Roman" w:eastAsia="MS Mincho" w:hAnsi="Times New Roman" w:cs="Times New Roman"/>
      <w:kern w:val="0"/>
      <w:sz w:val="24"/>
      <w:szCs w:val="24"/>
      <w:lang w:val="es-ES" w:eastAsia="es-ES"/>
      <w14:ligatures w14:val="none"/>
    </w:rPr>
  </w:style>
  <w:style w:type="character" w:styleId="CommentReference">
    <w:name w:val="annotation reference"/>
    <w:basedOn w:val="DefaultParagraphFont"/>
    <w:uiPriority w:val="99"/>
    <w:semiHidden/>
    <w:unhideWhenUsed/>
    <w:rsid w:val="00A763B6"/>
    <w:rPr>
      <w:sz w:val="16"/>
      <w:szCs w:val="16"/>
    </w:rPr>
  </w:style>
  <w:style w:type="paragraph" w:styleId="CommentText">
    <w:name w:val="annotation text"/>
    <w:basedOn w:val="Normal"/>
    <w:link w:val="TextocomentarioCar"/>
    <w:uiPriority w:val="99"/>
    <w:unhideWhenUsed/>
    <w:rsid w:val="00A763B6"/>
    <w:rPr>
      <w:sz w:val="20"/>
      <w:szCs w:val="20"/>
    </w:rPr>
  </w:style>
  <w:style w:type="character" w:customStyle="1" w:styleId="TextocomentarioCar">
    <w:name w:val="Texto comentario Car"/>
    <w:basedOn w:val="DefaultParagraphFont"/>
    <w:link w:val="CommentText"/>
    <w:uiPriority w:val="99"/>
    <w:rsid w:val="00A763B6"/>
    <w:rPr>
      <w:rFonts w:ascii="Times New Roman" w:eastAsia="MS Mincho" w:hAnsi="Times New Roman" w:cs="Times New Roman"/>
      <w:kern w:val="0"/>
      <w:sz w:val="20"/>
      <w:szCs w:val="20"/>
      <w:lang w:val="es-ES" w:eastAsia="es-ES"/>
      <w14:ligatures w14:val="none"/>
    </w:rPr>
  </w:style>
  <w:style w:type="paragraph" w:styleId="CommentSubject">
    <w:name w:val="annotation subject"/>
    <w:basedOn w:val="CommentText"/>
    <w:next w:val="CommentText"/>
    <w:link w:val="AsuntodelcomentarioCar"/>
    <w:uiPriority w:val="99"/>
    <w:semiHidden/>
    <w:unhideWhenUsed/>
    <w:rsid w:val="00A763B6"/>
    <w:rPr>
      <w:b/>
      <w:bCs/>
    </w:rPr>
  </w:style>
  <w:style w:type="character" w:customStyle="1" w:styleId="AsuntodelcomentarioCar">
    <w:name w:val="Asunto del comentario Car"/>
    <w:basedOn w:val="TextocomentarioCar"/>
    <w:link w:val="CommentSubject"/>
    <w:uiPriority w:val="99"/>
    <w:semiHidden/>
    <w:rsid w:val="00A763B6"/>
    <w:rPr>
      <w:rFonts w:ascii="Times New Roman" w:eastAsia="MS Mincho" w:hAnsi="Times New Roman" w:cs="Times New Roman"/>
      <w:b/>
      <w:bCs/>
      <w:kern w:val="0"/>
      <w:sz w:val="20"/>
      <w:szCs w:val="20"/>
      <w:lang w:val="es-ES" w:eastAsia="es-ES"/>
      <w14:ligatures w14:val="none"/>
    </w:rPr>
  </w:style>
  <w:style w:type="character" w:styleId="UnresolvedMention">
    <w:name w:val="Unresolved Mention"/>
    <w:basedOn w:val="DefaultParagraphFont"/>
    <w:uiPriority w:val="99"/>
    <w:semiHidden/>
    <w:unhideWhenUsed/>
    <w:rsid w:val="005468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protect.checkpoint.com/v2/r01/___https://www.alcaldiabogota.gov.co/xnxozwdstwrfxdStwrf6.oxu?iy=X&amp;n=95587___.Y3AxOnN1cmE6YzpvZmZpY2UzNjVfZW1haWxzX2F0dGFjaG1lbnQ6M2QzMTdiODU5MTg4MWMxNTdkNTFlZmQ3YzU4NWMxMzc6NzowYjhlOjU5M2RmMTJjODk1OTAxOTQ0NDQ3NDE2M2I3NWM0YTlmMTZlNjk0YmE5MWU1MjllYjE3YmNmMDg1M2E2M2VhZTA6cDpUOlQ" TargetMode="External" /><Relationship Id="rId9" Type="http://schemas.openxmlformats.org/officeDocument/2006/relationships/header" Target="header1.xml" /></Relationships>
</file>

<file path=word/_rels/header1.xml.rels><?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F290EDD85D54448945021AB426BB1AA" ma:contentTypeVersion="4" ma:contentTypeDescription="Create a new document." ma:contentTypeScope="" ma:versionID="098e3706ed5979f7f6c2f0831e6d0d1f">
  <xsd:schema xmlns:xsd="http://www.w3.org/2001/XMLSchema" xmlns:xs="http://www.w3.org/2001/XMLSchema" xmlns:p="http://schemas.microsoft.com/office/2006/metadata/properties" xmlns:ns2="2a2b5300-3ccb-49f7-9f7a-17baa5e872e9" targetNamespace="http://schemas.microsoft.com/office/2006/metadata/properties" ma:root="true" ma:fieldsID="123272e75384d636ca165b462bc20b7d" ns2:_="">
    <xsd:import namespace="2a2b5300-3ccb-49f7-9f7a-17baa5e872e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2b5300-3ccb-49f7-9f7a-17baa5e872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5D9343-687D-409E-9429-1BE19E978E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2b5300-3ccb-49f7-9f7a-17baa5e872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C4EF8C4-E4A6-4D5B-AFCC-53290D9B0E2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873A36B-7B64-4BDC-B50C-7BBB82169FC5}">
  <ds:schemaRefs>
    <ds:schemaRef ds:uri="http://schemas.microsoft.com/sharepoint/v3/contenttype/forms"/>
  </ds:schemaRefs>
</ds:datastoreItem>
</file>

<file path=customXml/itemProps4.xml><?xml version="1.0" encoding="utf-8"?>
<ds:datastoreItem xmlns:ds="http://schemas.openxmlformats.org/officeDocument/2006/customXml" ds:itemID="{D61F580A-4A48-4A1D-BF33-A3E77B52B8EF}">
  <ds:schemaRefs>
    <ds:schemaRef ds:uri="http://schemas.openxmlformats.org/officeDocument/2006/bibliography"/>
  </ds:schemaRefs>
</ds:datastoreItem>
</file>

<file path=docMetadata/LabelInfo.xml><?xml version="1.0" encoding="utf-8"?>
<clbl:labelList xmlns:clbl="http://schemas.microsoft.com/office/2020/mipLabelMetadata">
  <clbl:label id="{54ce047a-5408-4222-b374-baf2709ff49a}" enabled="1" method="Standard" siteId="{eafff98e-79a5-4bb5-918f-0a7a14c4bbef}" removed="0"/>
</clbl:labelList>
</file>

<file path=docProps/app.xml><?xml version="1.0" encoding="utf-8"?>
<Properties xmlns="http://schemas.openxmlformats.org/officeDocument/2006/extended-properties" xmlns:vt="http://schemas.openxmlformats.org/officeDocument/2006/docPropsVTypes">
  <Template>Normal</Template>
  <TotalTime>1</TotalTime>
  <Pages>5</Pages>
  <Words>2024</Words>
  <Characters>11136</Characters>
  <Application>Microsoft Office Word</Application>
  <DocSecurity>0</DocSecurity>
  <Lines>92</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William Camilo  Baracaldo Godoy</dc:creator>
  <cp:lastModifiedBy>Ana Maria Perez Herran</cp:lastModifiedBy>
  <cp:revision>2</cp:revision>
  <cp:lastPrinted>2023-06-02T18:00:00Z</cp:lastPrinted>
  <dcterms:created xsi:type="dcterms:W3CDTF">2026-08-31T22:26:00Z</dcterms:created>
  <dcterms:modified xsi:type="dcterms:W3CDTF">2026-08-31T22:26:00Z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0x0101003F290EDD85D54448945021AB426BB1AA</vt:lpwstr>
  </property>
</Properties>
</file>