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DDB1" w14:textId="0156C48F" w:rsidR="00000B7E" w:rsidRPr="00E04254" w:rsidRDefault="007A4E05" w:rsidP="00D339BB">
      <w:pPr>
        <w:pStyle w:val="Ttulo1"/>
        <w:numPr>
          <w:ilvl w:val="0"/>
          <w:numId w:val="19"/>
        </w:numPr>
        <w:spacing w:before="0" w:after="240" w:line="240" w:lineRule="auto"/>
        <w:ind w:left="284"/>
        <w:jc w:val="both"/>
        <w:rPr>
          <w:rFonts w:cstheme="majorHAnsi"/>
          <w:sz w:val="26"/>
          <w:szCs w:val="26"/>
        </w:rPr>
      </w:pPr>
      <w:r w:rsidRPr="00E04254">
        <w:rPr>
          <w:rFonts w:cstheme="majorHAnsi"/>
          <w:sz w:val="26"/>
          <w:szCs w:val="26"/>
        </w:rPr>
        <w:t>Objetivo</w:t>
      </w:r>
      <w:r w:rsidR="00000B7E" w:rsidRPr="00E04254">
        <w:rPr>
          <w:rFonts w:cstheme="majorHAnsi"/>
          <w:sz w:val="26"/>
          <w:szCs w:val="26"/>
        </w:rPr>
        <w:t xml:space="preserve">: </w:t>
      </w:r>
      <w:r w:rsidR="5D5E3D6F" w:rsidRPr="00E04254">
        <w:rPr>
          <w:rFonts w:eastAsiaTheme="minorEastAsia" w:cstheme="majorHAnsi"/>
          <w:b w:val="0"/>
          <w:bCs w:val="0"/>
          <w:color w:val="auto"/>
          <w:sz w:val="22"/>
          <w:szCs w:val="22"/>
        </w:rPr>
        <w:t xml:space="preserve">Esta guía </w:t>
      </w:r>
      <w:r w:rsidR="00EA576C" w:rsidRPr="00E04254">
        <w:rPr>
          <w:rFonts w:eastAsiaTheme="minorEastAsia" w:cstheme="majorHAnsi"/>
          <w:b w:val="0"/>
          <w:bCs w:val="0"/>
          <w:color w:val="auto"/>
          <w:sz w:val="22"/>
          <w:szCs w:val="22"/>
        </w:rPr>
        <w:t xml:space="preserve">brinda </w:t>
      </w:r>
      <w:r w:rsidR="00547234" w:rsidRPr="00E04254">
        <w:rPr>
          <w:rFonts w:eastAsiaTheme="minorEastAsia" w:cstheme="majorHAnsi"/>
          <w:b w:val="0"/>
          <w:bCs w:val="0"/>
          <w:color w:val="auto"/>
          <w:sz w:val="22"/>
          <w:szCs w:val="22"/>
        </w:rPr>
        <w:t xml:space="preserve">criterios </w:t>
      </w:r>
      <w:r w:rsidR="00FF118C" w:rsidRPr="00E04254">
        <w:rPr>
          <w:rFonts w:eastAsiaTheme="minorEastAsia" w:cstheme="majorHAnsi"/>
          <w:b w:val="0"/>
          <w:bCs w:val="0"/>
          <w:color w:val="auto"/>
          <w:sz w:val="22"/>
          <w:szCs w:val="22"/>
        </w:rPr>
        <w:t xml:space="preserve">orientadores </w:t>
      </w:r>
      <w:r w:rsidR="008367E6" w:rsidRPr="00E04254">
        <w:rPr>
          <w:rFonts w:eastAsiaTheme="minorEastAsia" w:cstheme="majorHAnsi"/>
          <w:b w:val="0"/>
          <w:bCs w:val="0"/>
          <w:color w:val="auto"/>
          <w:sz w:val="22"/>
          <w:szCs w:val="22"/>
        </w:rPr>
        <w:t xml:space="preserve">jurídicos y </w:t>
      </w:r>
      <w:r w:rsidR="004A1631" w:rsidRPr="00E04254">
        <w:rPr>
          <w:rFonts w:eastAsiaTheme="minorEastAsia" w:cstheme="majorHAnsi"/>
          <w:b w:val="0"/>
          <w:bCs w:val="0"/>
          <w:color w:val="auto"/>
          <w:sz w:val="22"/>
          <w:szCs w:val="22"/>
        </w:rPr>
        <w:t xml:space="preserve">operativos </w:t>
      </w:r>
      <w:r w:rsidR="00363AA2" w:rsidRPr="00E04254">
        <w:rPr>
          <w:rFonts w:eastAsiaTheme="minorEastAsia" w:cstheme="majorHAnsi"/>
          <w:b w:val="0"/>
          <w:bCs w:val="0"/>
          <w:color w:val="auto"/>
          <w:sz w:val="22"/>
          <w:szCs w:val="22"/>
        </w:rPr>
        <w:t>frente</w:t>
      </w:r>
      <w:r w:rsidR="00FF118C" w:rsidRPr="00E04254">
        <w:rPr>
          <w:rFonts w:eastAsiaTheme="minorEastAsia" w:cstheme="majorHAnsi"/>
          <w:b w:val="0"/>
          <w:bCs w:val="0"/>
          <w:color w:val="auto"/>
          <w:sz w:val="22"/>
          <w:szCs w:val="22"/>
        </w:rPr>
        <w:t xml:space="preserve"> a las</w:t>
      </w:r>
      <w:r w:rsidR="5D5E3D6F" w:rsidRPr="00E04254">
        <w:rPr>
          <w:rFonts w:eastAsiaTheme="minorEastAsia" w:cstheme="majorHAnsi"/>
          <w:b w:val="0"/>
          <w:bCs w:val="0"/>
          <w:color w:val="auto"/>
          <w:sz w:val="22"/>
          <w:szCs w:val="22"/>
        </w:rPr>
        <w:t xml:space="preserve"> reclamaciones derivadas del </w:t>
      </w:r>
      <w:r w:rsidR="009D3987" w:rsidRPr="00E04254">
        <w:rPr>
          <w:rFonts w:eastAsiaTheme="minorEastAsia" w:cstheme="majorHAnsi"/>
          <w:b w:val="0"/>
          <w:bCs w:val="0"/>
          <w:color w:val="auto"/>
          <w:sz w:val="22"/>
          <w:szCs w:val="22"/>
        </w:rPr>
        <w:t xml:space="preserve">terremoto </w:t>
      </w:r>
      <w:r w:rsidR="5D5E3D6F" w:rsidRPr="00E04254">
        <w:rPr>
          <w:rFonts w:eastAsiaTheme="minorEastAsia" w:cstheme="majorHAnsi"/>
          <w:b w:val="0"/>
          <w:bCs w:val="0"/>
          <w:color w:val="auto"/>
          <w:sz w:val="22"/>
          <w:szCs w:val="22"/>
        </w:rPr>
        <w:t xml:space="preserve">del 10 de agosto de 2026 cuando existan varias pólizas </w:t>
      </w:r>
      <w:r w:rsidR="002833C3" w:rsidRPr="00E04254">
        <w:rPr>
          <w:rFonts w:eastAsiaTheme="minorEastAsia" w:cstheme="majorHAnsi"/>
          <w:b w:val="0"/>
          <w:bCs w:val="0"/>
          <w:color w:val="auto"/>
          <w:sz w:val="22"/>
          <w:szCs w:val="22"/>
        </w:rPr>
        <w:t>que confluyan</w:t>
      </w:r>
      <w:r w:rsidR="0099694E" w:rsidRPr="00E04254">
        <w:rPr>
          <w:rFonts w:eastAsiaTheme="minorEastAsia" w:cstheme="majorHAnsi"/>
          <w:b w:val="0"/>
          <w:bCs w:val="0"/>
          <w:color w:val="auto"/>
          <w:sz w:val="22"/>
          <w:szCs w:val="22"/>
        </w:rPr>
        <w:t xml:space="preserve"> sobre bienes e intereses afectados</w:t>
      </w:r>
      <w:r w:rsidR="5D5E3D6F" w:rsidRPr="00E04254">
        <w:rPr>
          <w:rFonts w:eastAsiaTheme="minorEastAsia" w:cstheme="majorHAnsi"/>
          <w:b w:val="0"/>
          <w:bCs w:val="0"/>
          <w:color w:val="auto"/>
          <w:sz w:val="22"/>
          <w:szCs w:val="22"/>
        </w:rPr>
        <w:t xml:space="preserve">. Su propósito es facilitar una decisión rápida entre compañías, </w:t>
      </w:r>
      <w:r w:rsidR="00BE4D93" w:rsidRPr="00E04254">
        <w:rPr>
          <w:rFonts w:eastAsiaTheme="minorEastAsia" w:cstheme="majorHAnsi"/>
          <w:b w:val="0"/>
          <w:bCs w:val="0"/>
          <w:color w:val="auto"/>
          <w:sz w:val="22"/>
          <w:szCs w:val="22"/>
        </w:rPr>
        <w:t xml:space="preserve">una respuesta oportuna </w:t>
      </w:r>
      <w:r w:rsidR="5D5E3D6F" w:rsidRPr="00E04254">
        <w:rPr>
          <w:rFonts w:eastAsiaTheme="minorEastAsia" w:cstheme="majorHAnsi"/>
          <w:b w:val="0"/>
          <w:bCs w:val="0"/>
          <w:color w:val="auto"/>
          <w:sz w:val="22"/>
          <w:szCs w:val="22"/>
        </w:rPr>
        <w:t xml:space="preserve">al consumidor y </w:t>
      </w:r>
      <w:r w:rsidR="00C47F29" w:rsidRPr="00E04254">
        <w:rPr>
          <w:rFonts w:eastAsiaTheme="minorEastAsia" w:cstheme="majorHAnsi"/>
          <w:b w:val="0"/>
          <w:bCs w:val="0"/>
          <w:color w:val="auto"/>
          <w:sz w:val="22"/>
          <w:szCs w:val="22"/>
        </w:rPr>
        <w:t>preservar la seguridad jurídica de las decisiones</w:t>
      </w:r>
      <w:r w:rsidR="006B73F3" w:rsidRPr="00E04254">
        <w:rPr>
          <w:rFonts w:eastAsiaTheme="minorEastAsia" w:cstheme="majorHAnsi"/>
          <w:b w:val="0"/>
          <w:bCs w:val="0"/>
          <w:color w:val="auto"/>
          <w:sz w:val="22"/>
          <w:szCs w:val="22"/>
        </w:rPr>
        <w:t xml:space="preserve"> de cada aseguradora</w:t>
      </w:r>
      <w:r w:rsidR="5D5E3D6F" w:rsidRPr="00E04254" w:rsidDel="006B73F3">
        <w:rPr>
          <w:rFonts w:eastAsiaTheme="minorEastAsia" w:cstheme="majorHAnsi"/>
          <w:b w:val="0"/>
          <w:bCs w:val="0"/>
          <w:color w:val="auto"/>
          <w:sz w:val="22"/>
          <w:szCs w:val="22"/>
        </w:rPr>
        <w:t>,</w:t>
      </w:r>
      <w:r w:rsidR="5D5E3D6F" w:rsidRPr="00E04254">
        <w:rPr>
          <w:rFonts w:eastAsiaTheme="minorEastAsia" w:cstheme="majorHAnsi"/>
          <w:b w:val="0"/>
          <w:bCs w:val="0"/>
          <w:color w:val="auto"/>
          <w:sz w:val="22"/>
          <w:szCs w:val="22"/>
        </w:rPr>
        <w:t xml:space="preserve"> sin sustituir el análisis de las condiciones particulares de cada contrato</w:t>
      </w:r>
      <w:r w:rsidR="0045650B" w:rsidRPr="00E04254">
        <w:rPr>
          <w:rFonts w:eastAsiaTheme="minorEastAsia" w:cstheme="majorHAnsi"/>
          <w:b w:val="0"/>
          <w:bCs w:val="0"/>
          <w:color w:val="auto"/>
          <w:sz w:val="22"/>
          <w:szCs w:val="22"/>
        </w:rPr>
        <w:t>.</w:t>
      </w:r>
    </w:p>
    <w:p w14:paraId="3E5DA72D" w14:textId="4B7A49E5" w:rsidR="0073464A" w:rsidRPr="00E04254" w:rsidRDefault="000654D3" w:rsidP="00FA4F81">
      <w:pPr>
        <w:pStyle w:val="Ttulo1"/>
        <w:numPr>
          <w:ilvl w:val="0"/>
          <w:numId w:val="19"/>
        </w:numPr>
        <w:spacing w:before="0" w:after="240" w:line="240" w:lineRule="auto"/>
        <w:ind w:left="284"/>
        <w:jc w:val="both"/>
        <w:rPr>
          <w:rFonts w:cstheme="majorHAnsi"/>
          <w:sz w:val="26"/>
          <w:szCs w:val="26"/>
        </w:rPr>
      </w:pPr>
      <w:r w:rsidRPr="00E04254">
        <w:rPr>
          <w:rFonts w:cstheme="majorHAnsi"/>
          <w:sz w:val="26"/>
          <w:szCs w:val="26"/>
        </w:rPr>
        <w:t>P</w:t>
      </w:r>
      <w:r w:rsidR="007A4E05" w:rsidRPr="00E04254">
        <w:rPr>
          <w:rFonts w:cstheme="majorHAnsi"/>
          <w:sz w:val="26"/>
          <w:szCs w:val="26"/>
        </w:rPr>
        <w:t>rincipio</w:t>
      </w:r>
      <w:r w:rsidRPr="00E04254">
        <w:rPr>
          <w:rFonts w:cstheme="majorHAnsi"/>
          <w:sz w:val="26"/>
          <w:szCs w:val="26"/>
        </w:rPr>
        <w:t>s</w:t>
      </w:r>
      <w:r w:rsidR="007A4E05" w:rsidRPr="00E04254">
        <w:rPr>
          <w:rFonts w:cstheme="majorHAnsi"/>
          <w:sz w:val="26"/>
          <w:szCs w:val="26"/>
        </w:rPr>
        <w:t xml:space="preserve"> </w:t>
      </w:r>
      <w:r w:rsidRPr="00E04254">
        <w:rPr>
          <w:rFonts w:cstheme="majorHAnsi"/>
          <w:sz w:val="26"/>
          <w:szCs w:val="26"/>
        </w:rPr>
        <w:t>o</w:t>
      </w:r>
      <w:r w:rsidR="007A4E05" w:rsidRPr="00E04254">
        <w:rPr>
          <w:rFonts w:cstheme="majorHAnsi"/>
          <w:sz w:val="26"/>
          <w:szCs w:val="26"/>
        </w:rPr>
        <w:t>rientadores</w:t>
      </w:r>
    </w:p>
    <w:p w14:paraId="3C7C07E1" w14:textId="621C05CD" w:rsidR="0073464A" w:rsidRPr="00E04254" w:rsidRDefault="0073464A" w:rsidP="001E5028">
      <w:pPr>
        <w:pStyle w:val="Ttulo1"/>
        <w:numPr>
          <w:ilvl w:val="0"/>
          <w:numId w:val="23"/>
        </w:numPr>
        <w:spacing w:before="0" w:after="240" w:line="240" w:lineRule="auto"/>
        <w:ind w:left="284"/>
        <w:jc w:val="both"/>
        <w:rPr>
          <w:rFonts w:cstheme="majorHAnsi"/>
          <w:sz w:val="24"/>
          <w:szCs w:val="24"/>
        </w:rPr>
      </w:pPr>
      <w:r w:rsidRPr="00E04254">
        <w:rPr>
          <w:rFonts w:cstheme="majorHAnsi"/>
          <w:sz w:val="24"/>
          <w:szCs w:val="24"/>
        </w:rPr>
        <w:t xml:space="preserve">Protección del reclamante y continuidad del trámite: </w:t>
      </w:r>
      <w:r w:rsidR="008108E8" w:rsidRPr="00E04254">
        <w:rPr>
          <w:rFonts w:eastAsiaTheme="minorEastAsia" w:cstheme="majorHAnsi"/>
          <w:b w:val="0"/>
          <w:bCs w:val="0"/>
          <w:color w:val="auto"/>
          <w:sz w:val="22"/>
          <w:szCs w:val="22"/>
        </w:rPr>
        <w:t xml:space="preserve">Cuando existan varias pólizas relacionadas con un mismo evento, el asegurado, beneficiario o reclamante no debería asumir la carga de definir cómo se relacionan entre sí las aseguradoras. </w:t>
      </w:r>
    </w:p>
    <w:p w14:paraId="459018BF" w14:textId="77777777" w:rsidR="0073464A" w:rsidRPr="00E04254" w:rsidRDefault="008108E8" w:rsidP="001E5028">
      <w:pPr>
        <w:pStyle w:val="Ttulo1"/>
        <w:numPr>
          <w:ilvl w:val="0"/>
          <w:numId w:val="23"/>
        </w:numPr>
        <w:spacing w:before="0" w:after="240" w:line="240" w:lineRule="auto"/>
        <w:ind w:left="284"/>
        <w:jc w:val="both"/>
        <w:rPr>
          <w:rFonts w:cstheme="majorHAnsi"/>
          <w:sz w:val="24"/>
          <w:szCs w:val="24"/>
        </w:rPr>
      </w:pPr>
      <w:r w:rsidRPr="00E04254">
        <w:rPr>
          <w:rFonts w:cstheme="majorHAnsi"/>
          <w:sz w:val="24"/>
          <w:szCs w:val="24"/>
        </w:rPr>
        <w:t>Verificación técnica de la coexistencia</w:t>
      </w:r>
      <w:r w:rsidR="0073464A" w:rsidRPr="00E04254">
        <w:rPr>
          <w:rFonts w:cstheme="majorHAnsi"/>
          <w:sz w:val="24"/>
          <w:szCs w:val="24"/>
        </w:rPr>
        <w:t xml:space="preserve">: </w:t>
      </w:r>
      <w:r w:rsidRPr="00E04254">
        <w:rPr>
          <w:rFonts w:eastAsiaTheme="minorEastAsia" w:cstheme="majorHAnsi"/>
          <w:b w:val="0"/>
          <w:bCs w:val="0"/>
          <w:color w:val="auto"/>
          <w:sz w:val="22"/>
          <w:szCs w:val="22"/>
        </w:rPr>
        <w:t>La coexistencia de seguros no se configura por la sola coincidencia física de varias pólizas sobre un mismo inmueble ni por la ocurrencia de un mismo evento catastrófico. Para que exista coexistencia técnica deben verificarse, de manera expresa y concurrente, los requisitos previstos en el artículo 1094 del Código de Comercio, en especial la identidad de asegurado, interés asegurable y riesgo.</w:t>
      </w:r>
    </w:p>
    <w:p w14:paraId="1D90BF9A" w14:textId="0D194C40" w:rsidR="001E5028" w:rsidRPr="00E04254" w:rsidRDefault="008108E8" w:rsidP="001E5028">
      <w:pPr>
        <w:pStyle w:val="Ttulo1"/>
        <w:numPr>
          <w:ilvl w:val="0"/>
          <w:numId w:val="23"/>
        </w:numPr>
        <w:spacing w:before="0" w:after="240" w:line="240" w:lineRule="auto"/>
        <w:ind w:left="284"/>
        <w:jc w:val="both"/>
        <w:rPr>
          <w:rFonts w:eastAsiaTheme="minorEastAsia" w:cstheme="majorHAnsi"/>
          <w:b w:val="0"/>
          <w:bCs w:val="0"/>
          <w:color w:val="auto"/>
          <w:sz w:val="22"/>
          <w:szCs w:val="22"/>
        </w:rPr>
      </w:pPr>
      <w:r w:rsidRPr="00E04254">
        <w:rPr>
          <w:rFonts w:cstheme="majorHAnsi"/>
          <w:sz w:val="24"/>
          <w:szCs w:val="24"/>
        </w:rPr>
        <w:t>Independencia de coberturas cuando no exista coexistencia</w:t>
      </w:r>
      <w:r w:rsidR="0073464A" w:rsidRPr="00E04254">
        <w:rPr>
          <w:rFonts w:cstheme="majorHAnsi"/>
          <w:sz w:val="24"/>
          <w:szCs w:val="24"/>
        </w:rPr>
        <w:t xml:space="preserve">: </w:t>
      </w:r>
      <w:r w:rsidRPr="00E04254">
        <w:rPr>
          <w:rFonts w:eastAsiaTheme="minorEastAsia" w:cstheme="majorHAnsi"/>
          <w:b w:val="0"/>
          <w:bCs w:val="0"/>
          <w:color w:val="auto"/>
          <w:sz w:val="22"/>
          <w:szCs w:val="22"/>
        </w:rPr>
        <w:t xml:space="preserve">Cuando no se cumplan las identidades exigidas para configurar la coexistencia, las pólizas deberán analizarse como coberturas independientes o complementarias. </w:t>
      </w:r>
    </w:p>
    <w:p w14:paraId="24BAEC1D" w14:textId="77777777" w:rsidR="001E5028" w:rsidRPr="00E04254" w:rsidRDefault="008108E8" w:rsidP="001E5028">
      <w:pPr>
        <w:pStyle w:val="Ttulo1"/>
        <w:numPr>
          <w:ilvl w:val="0"/>
          <w:numId w:val="23"/>
        </w:numPr>
        <w:spacing w:before="0" w:after="240" w:line="240" w:lineRule="auto"/>
        <w:ind w:left="284"/>
        <w:jc w:val="both"/>
        <w:rPr>
          <w:rFonts w:cstheme="majorHAnsi"/>
          <w:sz w:val="24"/>
          <w:szCs w:val="24"/>
        </w:rPr>
      </w:pPr>
      <w:r w:rsidRPr="00E04254">
        <w:rPr>
          <w:rFonts w:cstheme="majorHAnsi"/>
          <w:sz w:val="24"/>
          <w:szCs w:val="24"/>
        </w:rPr>
        <w:t>Respeto del principio indemnizatorio</w:t>
      </w:r>
      <w:r w:rsidR="001E5028" w:rsidRPr="00E04254">
        <w:rPr>
          <w:rFonts w:cstheme="majorHAnsi"/>
          <w:sz w:val="24"/>
          <w:szCs w:val="24"/>
        </w:rPr>
        <w:t xml:space="preserve">: </w:t>
      </w:r>
      <w:r w:rsidRPr="00E04254">
        <w:rPr>
          <w:rFonts w:eastAsiaTheme="minorEastAsia" w:cstheme="majorHAnsi"/>
          <w:b w:val="0"/>
          <w:bCs w:val="0"/>
          <w:color w:val="auto"/>
          <w:sz w:val="22"/>
          <w:szCs w:val="22"/>
        </w:rPr>
        <w:t>En todos los escenarios debe observarse el carácter indemnizatorio propio de los seguros de daños. Por ello, debe evitarse el doble pago sobre un mismo interés asegurado, sin desconocer que pueden existir prestaciones independientes cuando las pólizas protejan intereses, riesgos, bienes o personas distintas.</w:t>
      </w:r>
    </w:p>
    <w:p w14:paraId="3115570F" w14:textId="77777777" w:rsidR="001E5028" w:rsidRPr="00E04254" w:rsidRDefault="008108E8" w:rsidP="008108E8">
      <w:pPr>
        <w:pStyle w:val="Ttulo1"/>
        <w:numPr>
          <w:ilvl w:val="0"/>
          <w:numId w:val="23"/>
        </w:numPr>
        <w:spacing w:before="0" w:after="240" w:line="240" w:lineRule="auto"/>
        <w:ind w:left="284"/>
        <w:jc w:val="both"/>
        <w:rPr>
          <w:rFonts w:eastAsiaTheme="minorEastAsia" w:cstheme="majorHAnsi"/>
          <w:b w:val="0"/>
          <w:bCs w:val="0"/>
          <w:color w:val="auto"/>
          <w:sz w:val="22"/>
          <w:szCs w:val="22"/>
        </w:rPr>
      </w:pPr>
      <w:r w:rsidRPr="00E04254">
        <w:rPr>
          <w:rFonts w:cstheme="majorHAnsi"/>
          <w:sz w:val="24"/>
          <w:szCs w:val="24"/>
        </w:rPr>
        <w:t>Tratamiento limitado de coincidencias parciales</w:t>
      </w:r>
      <w:r w:rsidR="001E5028" w:rsidRPr="00E04254">
        <w:rPr>
          <w:rFonts w:cstheme="majorHAnsi"/>
          <w:sz w:val="24"/>
          <w:szCs w:val="24"/>
        </w:rPr>
        <w:t xml:space="preserve">: </w:t>
      </w:r>
      <w:r w:rsidRPr="00E04254">
        <w:rPr>
          <w:rFonts w:eastAsiaTheme="minorEastAsia" w:cstheme="majorHAnsi"/>
          <w:b w:val="0"/>
          <w:bCs w:val="0"/>
          <w:color w:val="auto"/>
          <w:sz w:val="22"/>
          <w:szCs w:val="22"/>
        </w:rPr>
        <w:t>Cuando se identifique una posible coincidencia parcial entre coberturas, el análisis debe limitarse a esa porción específica. La existencia de una coincidencia puntual no convierte automáticamente toda la relación entre pólizas en un supuesto de coexistencia generalizada.</w:t>
      </w:r>
    </w:p>
    <w:p w14:paraId="29F56345" w14:textId="77777777" w:rsidR="002C3D97" w:rsidRPr="00E04254" w:rsidRDefault="008108E8" w:rsidP="008108E8">
      <w:pPr>
        <w:pStyle w:val="Ttulo1"/>
        <w:numPr>
          <w:ilvl w:val="0"/>
          <w:numId w:val="23"/>
        </w:numPr>
        <w:spacing w:before="0" w:after="240" w:line="240" w:lineRule="auto"/>
        <w:ind w:left="284"/>
        <w:jc w:val="both"/>
        <w:rPr>
          <w:rFonts w:eastAsiaTheme="minorEastAsia" w:cstheme="majorHAnsi"/>
          <w:b w:val="0"/>
          <w:bCs w:val="0"/>
          <w:color w:val="auto"/>
          <w:sz w:val="22"/>
          <w:szCs w:val="22"/>
        </w:rPr>
      </w:pPr>
      <w:r w:rsidRPr="00E04254">
        <w:rPr>
          <w:rFonts w:cstheme="majorHAnsi"/>
          <w:sz w:val="24"/>
          <w:szCs w:val="24"/>
        </w:rPr>
        <w:t>Coordinación operativa entre aseguradoras</w:t>
      </w:r>
      <w:r w:rsidR="001E5028" w:rsidRPr="00E04254">
        <w:rPr>
          <w:rFonts w:cstheme="majorHAnsi"/>
          <w:sz w:val="24"/>
          <w:szCs w:val="24"/>
        </w:rPr>
        <w:t xml:space="preserve">: </w:t>
      </w:r>
      <w:r w:rsidRPr="00E04254">
        <w:rPr>
          <w:rFonts w:eastAsiaTheme="minorEastAsia" w:cstheme="majorHAnsi"/>
          <w:b w:val="0"/>
          <w:bCs w:val="0"/>
          <w:color w:val="auto"/>
          <w:sz w:val="22"/>
          <w:szCs w:val="22"/>
        </w:rPr>
        <w:t xml:space="preserve">En los eventos en que proceda una contribución, recobro, compensación o coordinación entre aseguradoras, esta gestión debería surtirse directamente entre las compañías involucradas. </w:t>
      </w:r>
    </w:p>
    <w:p w14:paraId="17FFC9BD" w14:textId="37BA61AE" w:rsidR="002C3D97" w:rsidRPr="00E04254" w:rsidRDefault="008108E8" w:rsidP="008108E8">
      <w:pPr>
        <w:pStyle w:val="Ttulo1"/>
        <w:numPr>
          <w:ilvl w:val="0"/>
          <w:numId w:val="23"/>
        </w:numPr>
        <w:spacing w:before="0" w:after="240" w:line="240" w:lineRule="auto"/>
        <w:ind w:left="284"/>
        <w:jc w:val="both"/>
        <w:rPr>
          <w:rFonts w:cstheme="majorHAnsi"/>
          <w:sz w:val="24"/>
          <w:szCs w:val="24"/>
        </w:rPr>
      </w:pPr>
      <w:r w:rsidRPr="00E04254">
        <w:rPr>
          <w:rFonts w:cstheme="majorHAnsi"/>
          <w:sz w:val="24"/>
          <w:szCs w:val="24"/>
        </w:rPr>
        <w:t>Trazabilidad y soporte de la decisión</w:t>
      </w:r>
      <w:r w:rsidR="002C3D97" w:rsidRPr="00E04254">
        <w:rPr>
          <w:rFonts w:cstheme="majorHAnsi"/>
          <w:sz w:val="24"/>
          <w:szCs w:val="24"/>
        </w:rPr>
        <w:t xml:space="preserve">: </w:t>
      </w:r>
      <w:r w:rsidRPr="00E04254">
        <w:rPr>
          <w:rFonts w:eastAsiaTheme="minorEastAsia" w:cstheme="majorHAnsi"/>
          <w:b w:val="0"/>
          <w:bCs w:val="0"/>
          <w:color w:val="auto"/>
          <w:sz w:val="22"/>
          <w:szCs w:val="22"/>
        </w:rPr>
        <w:t xml:space="preserve">El diagnóstico jurídico y operativo sobre la existencia o no de coexistencia, concurrencia de intereses, convergencia operativa o independencia de coberturas debe quedar adecuadamente documentado en el expediente. </w:t>
      </w:r>
    </w:p>
    <w:p w14:paraId="6C2FCE48" w14:textId="77777777" w:rsidR="002C3D97" w:rsidRPr="00E04254" w:rsidRDefault="008108E8" w:rsidP="008108E8">
      <w:pPr>
        <w:pStyle w:val="Ttulo1"/>
        <w:numPr>
          <w:ilvl w:val="0"/>
          <w:numId w:val="23"/>
        </w:numPr>
        <w:spacing w:before="0" w:after="240" w:line="240" w:lineRule="auto"/>
        <w:ind w:left="284"/>
        <w:jc w:val="both"/>
        <w:rPr>
          <w:rFonts w:cstheme="majorHAnsi"/>
          <w:sz w:val="24"/>
          <w:szCs w:val="24"/>
        </w:rPr>
      </w:pPr>
      <w:r w:rsidRPr="00E04254">
        <w:rPr>
          <w:rFonts w:cstheme="majorHAnsi"/>
          <w:sz w:val="24"/>
          <w:szCs w:val="24"/>
        </w:rPr>
        <w:t>Uso eficiente de la información probatori</w:t>
      </w:r>
      <w:r w:rsidR="002C3D97" w:rsidRPr="00E04254">
        <w:rPr>
          <w:rFonts w:cstheme="majorHAnsi"/>
          <w:sz w:val="24"/>
          <w:szCs w:val="24"/>
        </w:rPr>
        <w:t>a:</w:t>
      </w:r>
      <w:r w:rsidR="002C3D97" w:rsidRPr="00E04254">
        <w:rPr>
          <w:rFonts w:eastAsiaTheme="minorEastAsia" w:cstheme="majorHAnsi"/>
          <w:b w:val="0"/>
          <w:bCs w:val="0"/>
          <w:color w:val="auto"/>
          <w:sz w:val="22"/>
          <w:szCs w:val="22"/>
        </w:rPr>
        <w:t xml:space="preserve"> </w:t>
      </w:r>
      <w:r w:rsidRPr="00E04254">
        <w:rPr>
          <w:rFonts w:eastAsiaTheme="minorEastAsia" w:cstheme="majorHAnsi"/>
          <w:b w:val="0"/>
          <w:bCs w:val="0"/>
          <w:color w:val="auto"/>
          <w:sz w:val="22"/>
          <w:szCs w:val="22"/>
        </w:rPr>
        <w:t>Las aseguradoras deberían valorar y utilizar los soportes técnicos, inspecciones, documentos e información disponible para evitar duplicidades probatorias innecesarias, especialmente en eventos catastróficos de conocimiento público. Lo anterior no excluye la necesidad de acreditar la ocurrencia, cuantía y cobertura del siniestro, pero sí permite una gestión más coordinada, razonable y eficiente.</w:t>
      </w:r>
    </w:p>
    <w:p w14:paraId="060E7B11" w14:textId="04420EEE" w:rsidR="002C3D97" w:rsidRPr="00E04254" w:rsidRDefault="008108E8" w:rsidP="008108E8">
      <w:pPr>
        <w:pStyle w:val="Ttulo1"/>
        <w:numPr>
          <w:ilvl w:val="0"/>
          <w:numId w:val="23"/>
        </w:numPr>
        <w:spacing w:before="0" w:after="240" w:line="240" w:lineRule="auto"/>
        <w:ind w:left="284"/>
        <w:jc w:val="both"/>
        <w:rPr>
          <w:rFonts w:eastAsiaTheme="minorEastAsia" w:cstheme="majorHAnsi"/>
          <w:b w:val="0"/>
          <w:color w:val="auto"/>
          <w:sz w:val="22"/>
          <w:szCs w:val="22"/>
        </w:rPr>
      </w:pPr>
      <w:r w:rsidRPr="00E04254">
        <w:rPr>
          <w:rFonts w:cstheme="majorHAnsi"/>
          <w:sz w:val="24"/>
          <w:szCs w:val="24"/>
        </w:rPr>
        <w:lastRenderedPageBreak/>
        <w:t>Buena fe y análisis caso a caso</w:t>
      </w:r>
      <w:r w:rsidR="002C3D97" w:rsidRPr="00E04254">
        <w:rPr>
          <w:rFonts w:cstheme="majorHAnsi"/>
          <w:sz w:val="24"/>
          <w:szCs w:val="24"/>
        </w:rPr>
        <w:t xml:space="preserve">: </w:t>
      </w:r>
      <w:r w:rsidRPr="00E04254">
        <w:rPr>
          <w:rFonts w:eastAsiaTheme="minorEastAsia" w:cstheme="majorHAnsi"/>
          <w:b w:val="0"/>
          <w:bCs w:val="0"/>
          <w:color w:val="auto"/>
          <w:sz w:val="22"/>
          <w:szCs w:val="22"/>
        </w:rPr>
        <w:t>El análisis de pluralidad de pólizas debe partir de la buena fe del asegurado, salvo prueba en contrario. La omisión involuntaria de información sobre otros seguros no debería asimilarse automáticamente a una conducta maliciosa. En todo caso, la definición sobre coexistencia, concurrencia, convergencia o independencia debe realizarse a partir de las condiciones particulares de cada contrato y de las circunstancias concretas del siniestro</w:t>
      </w:r>
      <w:r w:rsidR="00AD75B0" w:rsidRPr="00E04254">
        <w:rPr>
          <w:rFonts w:eastAsiaTheme="minorEastAsia" w:cstheme="majorHAnsi"/>
          <w:b w:val="0"/>
          <w:bCs w:val="0"/>
          <w:color w:val="auto"/>
          <w:sz w:val="22"/>
          <w:szCs w:val="22"/>
        </w:rPr>
        <w:t>.</w:t>
      </w:r>
    </w:p>
    <w:p w14:paraId="20A29534" w14:textId="24328F40" w:rsidR="00A46DF1" w:rsidRPr="00E04254" w:rsidRDefault="00231DDA" w:rsidP="00AD75B0">
      <w:pPr>
        <w:pStyle w:val="Ttulo1"/>
        <w:numPr>
          <w:ilvl w:val="0"/>
          <w:numId w:val="19"/>
        </w:numPr>
        <w:spacing w:before="0" w:line="240" w:lineRule="auto"/>
        <w:ind w:left="284"/>
        <w:jc w:val="both"/>
        <w:rPr>
          <w:rFonts w:cstheme="majorHAnsi"/>
          <w:sz w:val="24"/>
          <w:szCs w:val="24"/>
        </w:rPr>
      </w:pPr>
      <w:r w:rsidRPr="00E04254">
        <w:rPr>
          <w:rFonts w:cstheme="majorHAnsi"/>
          <w:sz w:val="26"/>
          <w:szCs w:val="26"/>
        </w:rPr>
        <w:t>Test de Coexistenci</w:t>
      </w:r>
      <w:r w:rsidR="00F24D82" w:rsidRPr="00E04254">
        <w:rPr>
          <w:rFonts w:cstheme="majorHAnsi"/>
          <w:sz w:val="26"/>
          <w:szCs w:val="26"/>
        </w:rPr>
        <w:t>a</w:t>
      </w:r>
    </w:p>
    <w:p w14:paraId="4450735D" w14:textId="4A233D82" w:rsidR="00F24D82" w:rsidRPr="00E04254" w:rsidRDefault="00392C55"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3A843026" wp14:editId="3E0AA29D">
                <wp:simplePos x="0" y="0"/>
                <wp:positionH relativeFrom="column">
                  <wp:posOffset>-584835</wp:posOffset>
                </wp:positionH>
                <wp:positionV relativeFrom="paragraph">
                  <wp:posOffset>201930</wp:posOffset>
                </wp:positionV>
                <wp:extent cx="3155950" cy="450850"/>
                <wp:effectExtent l="0" t="0" r="25400" b="25400"/>
                <wp:wrapNone/>
                <wp:docPr id="287937505" name="Rectángulo: esquinas redondeadas 91"/>
                <wp:cNvGraphicFramePr/>
                <a:graphic xmlns:a="http://schemas.openxmlformats.org/drawingml/2006/main">
                  <a:graphicData uri="http://schemas.microsoft.com/office/word/2010/wordprocessingShape">
                    <wps:wsp>
                      <wps:cNvSpPr/>
                      <wps:spPr>
                        <a:xfrm>
                          <a:off x="0" y="0"/>
                          <a:ext cx="3155950" cy="450850"/>
                        </a:xfrm>
                        <a:prstGeom prst="roundRect">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0EAECE" w14:textId="77777777" w:rsidR="00F24D82" w:rsidRPr="00392C55" w:rsidRDefault="00F24D82" w:rsidP="00D8367A">
                            <w:pPr>
                              <w:spacing w:after="0"/>
                              <w:jc w:val="center"/>
                              <w:rPr>
                                <w:rFonts w:asciiTheme="majorHAnsi" w:hAnsiTheme="majorHAnsi" w:cstheme="majorHAnsi"/>
                                <w:b/>
                                <w:color w:val="FFFFFF"/>
                                <w:kern w:val="24"/>
                              </w:rPr>
                            </w:pPr>
                            <w:r w:rsidRPr="00392C55">
                              <w:rPr>
                                <w:rFonts w:asciiTheme="majorHAnsi" w:hAnsiTheme="majorHAnsi" w:cstheme="majorHAnsi"/>
                                <w:b/>
                                <w:color w:val="FFFFFF"/>
                                <w:kern w:val="24"/>
                              </w:rPr>
                              <w:t>INICIO</w:t>
                            </w:r>
                          </w:p>
                          <w:p w14:paraId="73550F7E" w14:textId="77777777" w:rsidR="00F24D82" w:rsidRPr="00392C55" w:rsidRDefault="00F24D82" w:rsidP="00D8367A">
                            <w:pPr>
                              <w:spacing w:before="40" w:after="0"/>
                              <w:jc w:val="center"/>
                              <w:rPr>
                                <w:rFonts w:asciiTheme="majorHAnsi" w:hAnsiTheme="majorHAnsi" w:cstheme="majorHAnsi"/>
                                <w:color w:val="FFFFFF"/>
                                <w:kern w:val="24"/>
                                <w:sz w:val="16"/>
                                <w:szCs w:val="16"/>
                              </w:rPr>
                            </w:pPr>
                            <w:r w:rsidRPr="00392C55">
                              <w:rPr>
                                <w:rFonts w:asciiTheme="majorHAnsi" w:hAnsiTheme="majorHAnsi" w:cstheme="majorHAnsi"/>
                                <w:color w:val="FFFFFF"/>
                                <w:kern w:val="24"/>
                                <w:sz w:val="16"/>
                                <w:szCs w:val="16"/>
                              </w:rPr>
                              <w:t>¿Existen dos o más pólizas relacionadas con el mismo evento?</w:t>
                            </w:r>
                          </w:p>
                          <w:p w14:paraId="21403BE1"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43026" id="Rectángulo: esquinas redondeadas 91" o:spid="_x0000_s1026" style="position:absolute;margin-left:-46.05pt;margin-top:15.9pt;width:248.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" fillcolor="#002060" strokecolor="#002060" strokeweight="2pt">
                <v:textbox>
                  <w:txbxContent>
                    <w:p w14:paraId="690EAECE" w14:textId="77777777" w:rsidR="00F24D82" w:rsidRPr="00392C55" w:rsidRDefault="00F24D82" w:rsidP="00D8367A">
                      <w:pPr>
                        <w:spacing w:after="0"/>
                        <w:jc w:val="center"/>
                        <w:rPr>
                          <w:rFonts w:asciiTheme="majorHAnsi" w:hAnsiTheme="majorHAnsi" w:cstheme="majorHAnsi"/>
                          <w:b/>
                          <w:color w:val="FFFFFF"/>
                          <w:kern w:val="24"/>
                        </w:rPr>
                      </w:pPr>
                      <w:r w:rsidRPr="00392C55">
                        <w:rPr>
                          <w:rFonts w:asciiTheme="majorHAnsi" w:hAnsiTheme="majorHAnsi" w:cstheme="majorHAnsi"/>
                          <w:b/>
                          <w:color w:val="FFFFFF"/>
                          <w:kern w:val="24"/>
                        </w:rPr>
                        <w:t>INICIO</w:t>
                      </w:r>
                    </w:p>
                    <w:p w14:paraId="73550F7E" w14:textId="77777777" w:rsidR="00F24D82" w:rsidRPr="00392C55" w:rsidRDefault="00F24D82" w:rsidP="00D8367A">
                      <w:pPr>
                        <w:spacing w:before="40" w:after="0"/>
                        <w:jc w:val="center"/>
                        <w:rPr>
                          <w:rFonts w:asciiTheme="majorHAnsi" w:hAnsiTheme="majorHAnsi" w:cstheme="majorHAnsi"/>
                          <w:color w:val="FFFFFF"/>
                          <w:kern w:val="24"/>
                          <w:sz w:val="16"/>
                          <w:szCs w:val="16"/>
                        </w:rPr>
                      </w:pPr>
                      <w:r w:rsidRPr="00392C55">
                        <w:rPr>
                          <w:rFonts w:asciiTheme="majorHAnsi" w:hAnsiTheme="majorHAnsi" w:cstheme="majorHAnsi"/>
                          <w:color w:val="FFFFFF"/>
                          <w:kern w:val="24"/>
                          <w:sz w:val="16"/>
                          <w:szCs w:val="16"/>
                        </w:rPr>
                        <w:t>¿Existen dos o más pólizas relacionadas con el mismo evento?</w:t>
                      </w:r>
                    </w:p>
                    <w:p w14:paraId="21403BE1" w14:textId="77777777" w:rsidR="00F24D82" w:rsidRDefault="00F24D82" w:rsidP="00F24D82">
                      <w:pPr>
                        <w:jc w:val="center"/>
                      </w:pPr>
                    </w:p>
                  </w:txbxContent>
                </v:textbox>
              </v:roundrect>
            </w:pict>
          </mc:Fallback>
        </mc:AlternateContent>
      </w:r>
    </w:p>
    <w:p w14:paraId="5D668070" w14:textId="50624615" w:rsidR="00F24D82" w:rsidRPr="00E04254" w:rsidRDefault="00D8367A"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45" behindDoc="0" locked="0" layoutInCell="1" allowOverlap="1" wp14:anchorId="40A50475" wp14:editId="7A52A30B">
                <wp:simplePos x="0" y="0"/>
                <wp:positionH relativeFrom="column">
                  <wp:posOffset>3349625</wp:posOffset>
                </wp:positionH>
                <wp:positionV relativeFrom="paragraph">
                  <wp:posOffset>57150</wp:posOffset>
                </wp:positionV>
                <wp:extent cx="2663190" cy="298450"/>
                <wp:effectExtent l="0" t="0" r="22860" b="25400"/>
                <wp:wrapNone/>
                <wp:docPr id="7172892" name="Rectángulo: esquinas redondeadas 89"/>
                <wp:cNvGraphicFramePr/>
                <a:graphic xmlns:a="http://schemas.openxmlformats.org/drawingml/2006/main">
                  <a:graphicData uri="http://schemas.microsoft.com/office/word/2010/wordprocessingShape">
                    <wps:wsp>
                      <wps:cNvSpPr/>
                      <wps:spPr>
                        <a:xfrm>
                          <a:off x="0" y="0"/>
                          <a:ext cx="2663190" cy="298450"/>
                        </a:xfrm>
                        <a:prstGeom prst="roundRect">
                          <a:avLst/>
                        </a:prstGeom>
                        <a:solidFill>
                          <a:schemeClr val="accent2">
                            <a:lumMod val="20000"/>
                            <a:lumOff val="80000"/>
                          </a:schemeClr>
                        </a:solidFill>
                        <a:ln>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82492EB" w14:textId="77777777" w:rsidR="00F24D82" w:rsidRPr="00D8367A" w:rsidRDefault="00F24D82" w:rsidP="00F24D82">
                            <w:pPr>
                              <w:rPr>
                                <w:rFonts w:asciiTheme="majorHAnsi" w:hAnsiTheme="majorHAnsi" w:cstheme="majorHAnsi"/>
                                <w:b/>
                                <w:color w:val="7F5F00"/>
                                <w:kern w:val="24"/>
                              </w:rPr>
                            </w:pPr>
                            <w:r w:rsidRPr="00D8367A">
                              <w:rPr>
                                <w:rFonts w:asciiTheme="majorHAnsi" w:hAnsiTheme="majorHAnsi" w:cstheme="majorHAnsi"/>
                                <w:b/>
                                <w:color w:val="7F5F00"/>
                                <w:kern w:val="24"/>
                              </w:rPr>
                              <w:t>NO → Cada póliza sigue su trámite ordinario.</w:t>
                            </w:r>
                          </w:p>
                          <w:p w14:paraId="7E24E914"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50475" id="Rectángulo: esquinas redondeadas 89" o:spid="_x0000_s1027" style="position:absolute;margin-left:263.75pt;margin-top:4.5pt;width:209.7pt;height:2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" fillcolor="#f2dbdb [661]" strokecolor="#943634 [2405]" strokeweight="2pt">
                <v:textbox>
                  <w:txbxContent>
                    <w:p w14:paraId="082492EB" w14:textId="77777777" w:rsidR="00F24D82" w:rsidRPr="00D8367A" w:rsidRDefault="00F24D82" w:rsidP="00F24D82">
                      <w:pPr>
                        <w:rPr>
                          <w:rFonts w:asciiTheme="majorHAnsi" w:hAnsiTheme="majorHAnsi" w:cstheme="majorHAnsi"/>
                          <w:b/>
                          <w:color w:val="7F5F00"/>
                          <w:kern w:val="24"/>
                        </w:rPr>
                      </w:pPr>
                      <w:r w:rsidRPr="00D8367A">
                        <w:rPr>
                          <w:rFonts w:asciiTheme="majorHAnsi" w:hAnsiTheme="majorHAnsi" w:cstheme="majorHAnsi"/>
                          <w:b/>
                          <w:color w:val="7F5F00"/>
                          <w:kern w:val="24"/>
                        </w:rPr>
                        <w:t>NO → Cada póliza sigue su trámite ordinario.</w:t>
                      </w:r>
                    </w:p>
                    <w:p w14:paraId="7E24E914" w14:textId="77777777" w:rsidR="00F24D82" w:rsidRDefault="00F24D82" w:rsidP="00F24D82">
                      <w:pPr>
                        <w:jc w:val="center"/>
                      </w:pPr>
                    </w:p>
                  </w:txbxContent>
                </v:textbox>
              </v:roundrect>
            </w:pict>
          </mc:Fallback>
        </mc:AlternateContent>
      </w:r>
      <w:r w:rsidR="00F24D82" w:rsidRPr="00E04254">
        <w:rPr>
          <w:rFonts w:asciiTheme="majorHAnsi" w:hAnsiTheme="majorHAnsi" w:cstheme="majorHAnsi"/>
          <w:noProof/>
        </w:rPr>
        <mc:AlternateContent>
          <mc:Choice Requires="wps">
            <w:drawing>
              <wp:anchor distT="0" distB="0" distL="114300" distR="114300" simplePos="0" relativeHeight="251658261" behindDoc="0" locked="0" layoutInCell="1" allowOverlap="1" wp14:anchorId="0AAEEEAA" wp14:editId="179F6DAB">
                <wp:simplePos x="0" y="0"/>
                <wp:positionH relativeFrom="margin">
                  <wp:posOffset>2647784</wp:posOffset>
                </wp:positionH>
                <wp:positionV relativeFrom="paragraph">
                  <wp:posOffset>-746</wp:posOffset>
                </wp:positionV>
                <wp:extent cx="548640" cy="237490"/>
                <wp:effectExtent l="0" t="0" r="0" b="0"/>
                <wp:wrapNone/>
                <wp:docPr id="1564262435" name="Rectángulo 88"/>
                <wp:cNvGraphicFramePr/>
                <a:graphic xmlns:a="http://schemas.openxmlformats.org/drawingml/2006/main">
                  <a:graphicData uri="http://schemas.microsoft.com/office/word/2010/wordprocessingShape">
                    <wps:wsp>
                      <wps:cNvSpPr/>
                      <wps:spPr>
                        <a:xfrm>
                          <a:off x="0" y="0"/>
                          <a:ext cx="548640" cy="237490"/>
                        </a:xfrm>
                        <a:prstGeom prst="rect">
                          <a:avLst/>
                        </a:prstGeom>
                        <a:noFill/>
                      </wps:spPr>
                      <wps:txbx>
                        <w:txbxContent>
                          <w:p w14:paraId="1D4F596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0AAEEEAA" id="Rectángulo 88" o:spid="_x0000_s1028" style="position:absolute;margin-left:208.5pt;margin-top:-.05pt;width:43.2pt;height:18.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" filled="f" stroked="f">
                <v:textbox inset="2mm,1mm,2mm,1mm">
                  <w:txbxContent>
                    <w:p w14:paraId="1D4F596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v:textbox>
                <w10:wrap anchorx="margin"/>
              </v:rect>
            </w:pict>
          </mc:Fallback>
        </mc:AlternateContent>
      </w:r>
      <w:r w:rsidR="00F24D82" w:rsidRPr="00E04254">
        <w:rPr>
          <w:rFonts w:asciiTheme="majorHAnsi" w:hAnsiTheme="majorHAnsi" w:cstheme="majorHAnsi"/>
          <w:noProof/>
        </w:rPr>
        <mc:AlternateContent>
          <mc:Choice Requires="wps">
            <w:drawing>
              <wp:anchor distT="0" distB="0" distL="114300" distR="114300" simplePos="0" relativeHeight="251658252" behindDoc="0" locked="0" layoutInCell="1" allowOverlap="1" wp14:anchorId="07B290F9" wp14:editId="4980F0FB">
                <wp:simplePos x="0" y="0"/>
                <wp:positionH relativeFrom="column">
                  <wp:posOffset>2593368</wp:posOffset>
                </wp:positionH>
                <wp:positionV relativeFrom="paragraph">
                  <wp:posOffset>213388</wp:posOffset>
                </wp:positionV>
                <wp:extent cx="683812" cy="7951"/>
                <wp:effectExtent l="0" t="76200" r="21590" b="87630"/>
                <wp:wrapNone/>
                <wp:docPr id="847040004" name="Conector recto de flecha 90"/>
                <wp:cNvGraphicFramePr/>
                <a:graphic xmlns:a="http://schemas.openxmlformats.org/drawingml/2006/main">
                  <a:graphicData uri="http://schemas.microsoft.com/office/word/2010/wordprocessingShape">
                    <wps:wsp>
                      <wps:cNvCnPr/>
                      <wps:spPr>
                        <a:xfrm flipV="1">
                          <a:off x="0" y="0"/>
                          <a:ext cx="683812" cy="7951"/>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7FCA189" id="_x0000_t32" coordsize="21600,21600" o:spt="32" o:oned="t" path="m,l21600,21600e" filled="f">
                <v:path arrowok="t" fillok="f" o:connecttype="none"/>
                <o:lock v:ext="edit" shapetype="t"/>
              </v:shapetype>
              <v:shape id="Conector recto de flecha 90" o:spid="_x0000_s1026" type="#_x0000_t32" style="position:absolute;margin-left:204.2pt;margin-top:16.8pt;width:53.85pt;height:.65pt;flip: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" strokecolor="#c00000" strokeweight="2pt">
                <v:stroke endarrow="block"/>
                <v:shadow on="t" color="black" opacity="24903f" origin=",.5" offset="0,.55556mm"/>
              </v:shape>
            </w:pict>
          </mc:Fallback>
        </mc:AlternateContent>
      </w:r>
    </w:p>
    <w:p w14:paraId="405A37BB" w14:textId="6E5CA4F8" w:rsidR="00F24D82" w:rsidRPr="00E04254" w:rsidRDefault="00D8367A"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0A5BFF04" wp14:editId="5EB1BB82">
                <wp:simplePos x="0" y="0"/>
                <wp:positionH relativeFrom="column">
                  <wp:posOffset>-508635</wp:posOffset>
                </wp:positionH>
                <wp:positionV relativeFrom="paragraph">
                  <wp:posOffset>167005</wp:posOffset>
                </wp:positionV>
                <wp:extent cx="3028315" cy="285750"/>
                <wp:effectExtent l="0" t="0" r="19685" b="19050"/>
                <wp:wrapNone/>
                <wp:docPr id="301162521" name="Rectángulo: esquinas redondeadas 92"/>
                <wp:cNvGraphicFramePr/>
                <a:graphic xmlns:a="http://schemas.openxmlformats.org/drawingml/2006/main">
                  <a:graphicData uri="http://schemas.microsoft.com/office/word/2010/wordprocessingShape">
                    <wps:wsp>
                      <wps:cNvSpPr/>
                      <wps:spPr>
                        <a:xfrm>
                          <a:off x="0" y="0"/>
                          <a:ext cx="3028315" cy="285750"/>
                        </a:xfrm>
                        <a:prstGeom prst="roundRect">
                          <a:avLst/>
                        </a:prstGeom>
                        <a:solidFill>
                          <a:schemeClr val="accent6">
                            <a:lumMod val="20000"/>
                            <a:lumOff val="80000"/>
                          </a:schemeClr>
                        </a:solidFill>
                        <a:ln>
                          <a:solidFill>
                            <a:schemeClr val="accent3">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845D7D1" w14:textId="77777777" w:rsidR="00F24D82" w:rsidRPr="00392C55" w:rsidRDefault="00F24D82" w:rsidP="00F24D82">
                            <w:pPr>
                              <w:jc w:val="center"/>
                              <w:rPr>
                                <w:rFonts w:asciiTheme="majorHAnsi" w:hAnsiTheme="majorHAnsi" w:cstheme="majorHAnsi"/>
                                <w:b/>
                                <w:color w:val="1F4E79"/>
                                <w:kern w:val="24"/>
                                <w:sz w:val="16"/>
                                <w:szCs w:val="16"/>
                              </w:rPr>
                            </w:pPr>
                            <w:r w:rsidRPr="00392C55">
                              <w:rPr>
                                <w:rFonts w:asciiTheme="majorHAnsi" w:hAnsiTheme="majorHAnsi" w:cstheme="majorHAnsi"/>
                                <w:b/>
                                <w:color w:val="1F4E79"/>
                                <w:kern w:val="24"/>
                                <w:sz w:val="16"/>
                                <w:szCs w:val="16"/>
                              </w:rPr>
                              <w:t>SÍ ↓ Identificar asegurado, interés y riesgo de cada póliza</w:t>
                            </w:r>
                          </w:p>
                          <w:p w14:paraId="6A7545CA"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BFF04" id="Rectángulo: esquinas redondeadas 92" o:spid="_x0000_s1029" style="position:absolute;margin-left:-40.05pt;margin-top:13.15pt;width:238.4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" fillcolor="#fde9d9 [665]" strokecolor="#76923c [2406]" strokeweight="2pt">
                <v:textbox>
                  <w:txbxContent>
                    <w:p w14:paraId="3845D7D1" w14:textId="77777777" w:rsidR="00F24D82" w:rsidRPr="00392C55" w:rsidRDefault="00F24D82" w:rsidP="00F24D82">
                      <w:pPr>
                        <w:jc w:val="center"/>
                        <w:rPr>
                          <w:rFonts w:asciiTheme="majorHAnsi" w:hAnsiTheme="majorHAnsi" w:cstheme="majorHAnsi"/>
                          <w:b/>
                          <w:color w:val="1F4E79"/>
                          <w:kern w:val="24"/>
                          <w:sz w:val="16"/>
                          <w:szCs w:val="16"/>
                        </w:rPr>
                      </w:pPr>
                      <w:r w:rsidRPr="00392C55">
                        <w:rPr>
                          <w:rFonts w:asciiTheme="majorHAnsi" w:hAnsiTheme="majorHAnsi" w:cstheme="majorHAnsi"/>
                          <w:b/>
                          <w:color w:val="1F4E79"/>
                          <w:kern w:val="24"/>
                          <w:sz w:val="16"/>
                          <w:szCs w:val="16"/>
                        </w:rPr>
                        <w:t>SÍ ↓ Identificar asegurado, interés y riesgo de cada póliza</w:t>
                      </w:r>
                    </w:p>
                    <w:p w14:paraId="6A7545CA" w14:textId="77777777" w:rsidR="00F24D82" w:rsidRDefault="00F24D82" w:rsidP="00F24D82">
                      <w:pPr>
                        <w:jc w:val="center"/>
                      </w:pPr>
                    </w:p>
                  </w:txbxContent>
                </v:textbox>
              </v:roundrect>
            </w:pict>
          </mc:Fallback>
        </mc:AlternateContent>
      </w:r>
    </w:p>
    <w:p w14:paraId="6018E21D" w14:textId="11D9613B" w:rsidR="00F24D82" w:rsidRPr="00E04254" w:rsidRDefault="00D8367A"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68" behindDoc="0" locked="0" layoutInCell="1" allowOverlap="1" wp14:anchorId="34BA66EE" wp14:editId="791F8F80">
                <wp:simplePos x="0" y="0"/>
                <wp:positionH relativeFrom="column">
                  <wp:posOffset>1053465</wp:posOffset>
                </wp:positionH>
                <wp:positionV relativeFrom="paragraph">
                  <wp:posOffset>218440</wp:posOffset>
                </wp:positionV>
                <wp:extent cx="317500" cy="196850"/>
                <wp:effectExtent l="0" t="0" r="25400" b="12700"/>
                <wp:wrapNone/>
                <wp:docPr id="1587001802" name="Rectángulo 93"/>
                <wp:cNvGraphicFramePr/>
                <a:graphic xmlns:a="http://schemas.openxmlformats.org/drawingml/2006/main">
                  <a:graphicData uri="http://schemas.microsoft.com/office/word/2010/wordprocessingShape">
                    <wps:wsp>
                      <wps:cNvSpPr/>
                      <wps:spPr>
                        <a:xfrm>
                          <a:off x="0" y="0"/>
                          <a:ext cx="317500" cy="196850"/>
                        </a:xfrm>
                        <a:prstGeom prst="rect">
                          <a:avLst/>
                        </a:prstGeom>
                        <a:noFill/>
                        <a:ln>
                          <a:solidFill>
                            <a:schemeClr val="bg1"/>
                          </a:solidFill>
                        </a:ln>
                      </wps:spPr>
                      <wps:txbx>
                        <w:txbxContent>
                          <w:p w14:paraId="3003408F"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wps:txbx>
                      <wps:bodyPr wrap="square" lIns="72000" tIns="36000" rIns="72000" bIns="36000" anchor="ctr">
                        <a:noAutofit/>
                      </wps:bodyPr>
                    </wps:wsp>
                  </a:graphicData>
                </a:graphic>
                <wp14:sizeRelH relativeFrom="margin">
                  <wp14:pctWidth>0</wp14:pctWidth>
                </wp14:sizeRelH>
                <wp14:sizeRelV relativeFrom="margin">
                  <wp14:pctHeight>0</wp14:pctHeight>
                </wp14:sizeRelV>
              </wp:anchor>
            </w:drawing>
          </mc:Choice>
          <mc:Fallback>
            <w:pict>
              <v:rect w14:anchorId="34BA66EE" id="Rectángulo 93" o:spid="_x0000_s1030" style="position:absolute;margin-left:82.95pt;margin-top:17.2pt;width:25pt;height:15.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" filled="f" strokecolor="white [3212]">
                <v:textbox inset="2mm,1mm,2mm,1mm">
                  <w:txbxContent>
                    <w:p w14:paraId="3003408F"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v:textbox>
              </v: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51" behindDoc="0" locked="0" layoutInCell="1" allowOverlap="1" wp14:anchorId="7CD1D468" wp14:editId="4F620ADB">
                <wp:simplePos x="0" y="0"/>
                <wp:positionH relativeFrom="column">
                  <wp:posOffset>993140</wp:posOffset>
                </wp:positionH>
                <wp:positionV relativeFrom="paragraph">
                  <wp:posOffset>187325</wp:posOffset>
                </wp:positionV>
                <wp:extent cx="0" cy="262396"/>
                <wp:effectExtent l="76200" t="0" r="57150" b="61595"/>
                <wp:wrapNone/>
                <wp:docPr id="397230220" name="Conector recto de flecha 97"/>
                <wp:cNvGraphicFramePr/>
                <a:graphic xmlns:a="http://schemas.openxmlformats.org/drawingml/2006/main">
                  <a:graphicData uri="http://schemas.microsoft.com/office/word/2010/wordprocessingShape">
                    <wps:wsp>
                      <wps:cNvCnPr/>
                      <wps:spPr>
                        <a:xfrm>
                          <a:off x="0" y="0"/>
                          <a:ext cx="0" cy="262396"/>
                        </a:xfrm>
                        <a:prstGeom prst="straightConnector1">
                          <a:avLst/>
                        </a:prstGeom>
                        <a:ln>
                          <a:solidFill>
                            <a:schemeClr val="accent3">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shape w14:anchorId="5E1CAB22" id="Conector recto de flecha 97" o:spid="_x0000_s1026" type="#_x0000_t32" style="position:absolute;margin-left:78.2pt;margin-top:14.75pt;width:0;height:20.6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" strokecolor="#76923c [2406]">
                <v:stroke endarrow="block"/>
              </v:shape>
            </w:pict>
          </mc:Fallback>
        </mc:AlternateContent>
      </w:r>
    </w:p>
    <w:p w14:paraId="35A762EE" w14:textId="39B03D44" w:rsidR="00F24D82" w:rsidRPr="00E04254" w:rsidRDefault="00EE3502" w:rsidP="00F24D82">
      <w:pPr>
        <w:rPr>
          <w:rFonts w:asciiTheme="majorHAnsi" w:hAnsiTheme="majorHAnsi" w:cstheme="majorHAnsi"/>
        </w:rPr>
      </w:pPr>
      <w:r>
        <w:rPr>
          <w:noProof/>
        </w:rPr>
        <mc:AlternateContent>
          <mc:Choice Requires="wps">
            <w:drawing>
              <wp:anchor distT="0" distB="0" distL="114300" distR="114300" simplePos="0" relativeHeight="251658248" behindDoc="0" locked="0" layoutInCell="1" allowOverlap="1" wp14:anchorId="189AC58F" wp14:editId="0E4D6619">
                <wp:simplePos x="0" y="0"/>
                <wp:positionH relativeFrom="column">
                  <wp:posOffset>3402966</wp:posOffset>
                </wp:positionH>
                <wp:positionV relativeFrom="paragraph">
                  <wp:posOffset>46990</wp:posOffset>
                </wp:positionV>
                <wp:extent cx="2584450" cy="457200"/>
                <wp:effectExtent l="0" t="0" r="25400" b="19050"/>
                <wp:wrapNone/>
                <wp:docPr id="1508174826" name="Rectángulo: esquinas redondeadas 95"/>
                <wp:cNvGraphicFramePr/>
                <a:graphic xmlns:a="http://schemas.openxmlformats.org/drawingml/2006/main">
                  <a:graphicData uri="http://schemas.microsoft.com/office/word/2010/wordprocessingShape">
                    <wps:wsp>
                      <wps:cNvSpPr/>
                      <wps:spPr>
                        <a:xfrm>
                          <a:off x="0" y="0"/>
                          <a:ext cx="2584450" cy="457200"/>
                        </a:xfrm>
                        <a:prstGeom prst="roundRect">
                          <a:avLst/>
                        </a:prstGeom>
                        <a:solidFill>
                          <a:schemeClr val="accent2">
                            <a:lumMod val="20000"/>
                            <a:lumOff val="80000"/>
                          </a:schemeClr>
                        </a:solidFill>
                        <a:ln>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626CAACA"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7DE100EA" w14:textId="54CFE423"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liquida y paga.</w:t>
                            </w:r>
                          </w:p>
                          <w:p w14:paraId="3BED02AD"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AC58F" id="Rectángulo: esquinas redondeadas 95" o:spid="_x0000_s1031" style="position:absolute;margin-left:267.95pt;margin-top:3.7pt;width:203.5pt;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" fillcolor="#f2dbdb [661]" strokecolor="#943634 [2405]" strokeweight="2pt">
                <v:textbox>
                  <w:txbxContent>
                    <w:p w14:paraId="626CAACA"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7DE100EA" w14:textId="54CFE423"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liquida y paga.</w:t>
                      </w:r>
                    </w:p>
                    <w:p w14:paraId="3BED02AD" w14:textId="77777777" w:rsidR="00F24D82" w:rsidRDefault="00F24D82" w:rsidP="00F24D82">
                      <w:pPr>
                        <w:jc w:val="center"/>
                      </w:pPr>
                    </w:p>
                  </w:txbxContent>
                </v:textbox>
              </v:round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62" behindDoc="0" locked="0" layoutInCell="1" allowOverlap="1" wp14:anchorId="4B8E35F0" wp14:editId="19BDC7CB">
                <wp:simplePos x="0" y="0"/>
                <wp:positionH relativeFrom="margin">
                  <wp:posOffset>2672715</wp:posOffset>
                </wp:positionH>
                <wp:positionV relativeFrom="paragraph">
                  <wp:posOffset>41275</wp:posOffset>
                </wp:positionV>
                <wp:extent cx="548640" cy="237490"/>
                <wp:effectExtent l="0" t="0" r="0" b="0"/>
                <wp:wrapNone/>
                <wp:docPr id="1834296805" name="Rectángulo 94"/>
                <wp:cNvGraphicFramePr/>
                <a:graphic xmlns:a="http://schemas.openxmlformats.org/drawingml/2006/main">
                  <a:graphicData uri="http://schemas.microsoft.com/office/word/2010/wordprocessingShape">
                    <wps:wsp>
                      <wps:cNvSpPr/>
                      <wps:spPr>
                        <a:xfrm>
                          <a:off x="0" y="0"/>
                          <a:ext cx="548640" cy="237490"/>
                        </a:xfrm>
                        <a:prstGeom prst="rect">
                          <a:avLst/>
                        </a:prstGeom>
                        <a:noFill/>
                      </wps:spPr>
                      <wps:txbx>
                        <w:txbxContent>
                          <w:p w14:paraId="07D0703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4B8E35F0" id="Rectángulo 94" o:spid="_x0000_s1032" style="position:absolute;margin-left:210.45pt;margin-top:3.25pt;width:43.2pt;height:18.7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" filled="f" stroked="f">
                <v:textbox inset="2mm,1mm,2mm,1mm">
                  <w:txbxContent>
                    <w:p w14:paraId="07D0703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v:textbox>
                <w10:wrap anchorx="margin"/>
              </v:rect>
            </w:pict>
          </mc:Fallback>
        </mc:AlternateContent>
      </w:r>
      <w:r w:rsidR="00D8367A" w:rsidRPr="00E04254">
        <w:rPr>
          <w:rFonts w:asciiTheme="majorHAnsi" w:hAnsiTheme="majorHAnsi" w:cstheme="majorHAnsi"/>
          <w:noProof/>
        </w:rPr>
        <mc:AlternateContent>
          <mc:Choice Requires="wps">
            <w:drawing>
              <wp:anchor distT="0" distB="0" distL="114300" distR="114300" simplePos="0" relativeHeight="251658242" behindDoc="0" locked="0" layoutInCell="1" allowOverlap="1" wp14:anchorId="18840415" wp14:editId="6077B67A">
                <wp:simplePos x="0" y="0"/>
                <wp:positionH relativeFrom="column">
                  <wp:posOffset>-593090</wp:posOffset>
                </wp:positionH>
                <wp:positionV relativeFrom="paragraph">
                  <wp:posOffset>167640</wp:posOffset>
                </wp:positionV>
                <wp:extent cx="3180080" cy="294005"/>
                <wp:effectExtent l="0" t="0" r="20320" b="10795"/>
                <wp:wrapNone/>
                <wp:docPr id="1597296390" name="Rectángulo: esquinas redondeadas 96"/>
                <wp:cNvGraphicFramePr/>
                <a:graphic xmlns:a="http://schemas.openxmlformats.org/drawingml/2006/main">
                  <a:graphicData uri="http://schemas.microsoft.com/office/word/2010/wordprocessingShape">
                    <wps:wsp>
                      <wps:cNvSpPr/>
                      <wps:spPr>
                        <a:xfrm>
                          <a:off x="0" y="0"/>
                          <a:ext cx="3180080" cy="294005"/>
                        </a:xfrm>
                        <a:prstGeom prst="roundRect">
                          <a:avLst/>
                        </a:prstGeom>
                        <a:solidFill>
                          <a:schemeClr val="accent4">
                            <a:lumMod val="50000"/>
                          </a:schemeClr>
                        </a:solidFill>
                        <a:ln>
                          <a:solidFill>
                            <a:schemeClr val="accent4">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C6F75" w14:textId="77777777" w:rsidR="00F24D82" w:rsidRPr="00392C55" w:rsidRDefault="00F24D82" w:rsidP="00F24D82">
                            <w:pPr>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1 ¿Las pólizas protegen a el MISMO ASEGURADO?</w:t>
                            </w:r>
                          </w:p>
                          <w:p w14:paraId="3C9C8F5B"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40415" id="Rectángulo: esquinas redondeadas 96" o:spid="_x0000_s1033" style="position:absolute;margin-left:-46.7pt;margin-top:13.2pt;width:250.4pt;height:23.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" fillcolor="#3f3151 [1607]" strokecolor="#3f3151 [1607]" strokeweight="2pt">
                <v:textbox>
                  <w:txbxContent>
                    <w:p w14:paraId="0E8C6F75" w14:textId="77777777" w:rsidR="00F24D82" w:rsidRPr="00392C55" w:rsidRDefault="00F24D82" w:rsidP="00F24D82">
                      <w:pPr>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1 ¿Las pólizas protegen a el MISMO ASEGURADO?</w:t>
                      </w:r>
                    </w:p>
                    <w:p w14:paraId="3C9C8F5B" w14:textId="77777777" w:rsidR="00F24D82" w:rsidRDefault="00F24D82" w:rsidP="00F24D82">
                      <w:pPr>
                        <w:jc w:val="center"/>
                      </w:pPr>
                    </w:p>
                  </w:txbxContent>
                </v:textbox>
              </v:roundrect>
            </w:pict>
          </mc:Fallback>
        </mc:AlternateContent>
      </w:r>
    </w:p>
    <w:p w14:paraId="718B099E" w14:textId="62B2FCA6"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53" behindDoc="0" locked="0" layoutInCell="1" allowOverlap="1" wp14:anchorId="4A82D872" wp14:editId="5E9C9EA2">
                <wp:simplePos x="0" y="0"/>
                <wp:positionH relativeFrom="column">
                  <wp:posOffset>2640330</wp:posOffset>
                </wp:positionH>
                <wp:positionV relativeFrom="paragraph">
                  <wp:posOffset>22860</wp:posOffset>
                </wp:positionV>
                <wp:extent cx="683812" cy="7951"/>
                <wp:effectExtent l="0" t="76200" r="21590" b="87630"/>
                <wp:wrapNone/>
                <wp:docPr id="2140259800" name="Conector recto de flecha 98"/>
                <wp:cNvGraphicFramePr/>
                <a:graphic xmlns:a="http://schemas.openxmlformats.org/drawingml/2006/main">
                  <a:graphicData uri="http://schemas.microsoft.com/office/word/2010/wordprocessingShape">
                    <wps:wsp>
                      <wps:cNvCnPr/>
                      <wps:spPr>
                        <a:xfrm flipV="1">
                          <a:off x="0" y="0"/>
                          <a:ext cx="683812" cy="7951"/>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360768" id="Conector recto de flecha 98" o:spid="_x0000_s1026" type="#_x0000_t32" style="position:absolute;margin-left:207.9pt;margin-top:1.8pt;width:53.85pt;height:.6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" strokecolor="#c00000" strokeweight="2pt">
                <v:stroke endarrow="block"/>
                <v:shadow on="t" color="black" opacity="24903f" origin=",.5" offset="0,.55556mm"/>
              </v:shape>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69" behindDoc="0" locked="0" layoutInCell="1" allowOverlap="1" wp14:anchorId="2AA0C365" wp14:editId="5B2FA982">
                <wp:simplePos x="0" y="0"/>
                <wp:positionH relativeFrom="column">
                  <wp:posOffset>958850</wp:posOffset>
                </wp:positionH>
                <wp:positionV relativeFrom="paragraph">
                  <wp:posOffset>196850</wp:posOffset>
                </wp:positionV>
                <wp:extent cx="457200" cy="274320"/>
                <wp:effectExtent l="0" t="0" r="0" b="0"/>
                <wp:wrapNone/>
                <wp:docPr id="1821682786" name="Rectángulo 99"/>
                <wp:cNvGraphicFramePr/>
                <a:graphic xmlns:a="http://schemas.openxmlformats.org/drawingml/2006/main">
                  <a:graphicData uri="http://schemas.microsoft.com/office/word/2010/wordprocessingShape">
                    <wps:wsp>
                      <wps:cNvSpPr/>
                      <wps:spPr>
                        <a:xfrm>
                          <a:off x="0" y="0"/>
                          <a:ext cx="457200" cy="274320"/>
                        </a:xfrm>
                        <a:prstGeom prst="rect">
                          <a:avLst/>
                        </a:prstGeom>
                        <a:noFill/>
                      </wps:spPr>
                      <wps:txbx>
                        <w:txbxContent>
                          <w:p w14:paraId="392B363E"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2AA0C365" id="Rectángulo 99" o:spid="_x0000_s1034" style="position:absolute;margin-left:75.5pt;margin-top:15.5pt;width:36pt;height:21.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" filled="f" stroked="f">
                <v:textbox inset="2mm,1mm,2mm,1mm">
                  <w:txbxContent>
                    <w:p w14:paraId="392B363E"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v:textbox>
              </v:rect>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54" behindDoc="0" locked="0" layoutInCell="1" allowOverlap="1" wp14:anchorId="40BE7BC2" wp14:editId="62BE3E3C">
                <wp:simplePos x="0" y="0"/>
                <wp:positionH relativeFrom="column">
                  <wp:posOffset>998855</wp:posOffset>
                </wp:positionH>
                <wp:positionV relativeFrom="paragraph">
                  <wp:posOffset>195580</wp:posOffset>
                </wp:positionV>
                <wp:extent cx="0" cy="262396"/>
                <wp:effectExtent l="76200" t="0" r="57150" b="61595"/>
                <wp:wrapNone/>
                <wp:docPr id="438627824" name="Conector recto de flecha 100"/>
                <wp:cNvGraphicFramePr/>
                <a:graphic xmlns:a="http://schemas.openxmlformats.org/drawingml/2006/main">
                  <a:graphicData uri="http://schemas.microsoft.com/office/word/2010/wordprocessingShape">
                    <wps:wsp>
                      <wps:cNvCnPr/>
                      <wps:spPr>
                        <a:xfrm>
                          <a:off x="0" y="0"/>
                          <a:ext cx="0" cy="262396"/>
                        </a:xfrm>
                        <a:prstGeom prst="straightConnector1">
                          <a:avLst/>
                        </a:prstGeom>
                        <a:ln>
                          <a:solidFill>
                            <a:schemeClr val="accent3">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shape w14:anchorId="244B6883" id="Conector recto de flecha 100" o:spid="_x0000_s1026" type="#_x0000_t32" style="position:absolute;margin-left:78.65pt;margin-top:15.4pt;width:0;height:20.6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" strokecolor="#76923c [2406]">
                <v:stroke endarrow="block"/>
              </v:shape>
            </w:pict>
          </mc:Fallback>
        </mc:AlternateContent>
      </w:r>
    </w:p>
    <w:p w14:paraId="7DFCE556" w14:textId="4B698813"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47" behindDoc="0" locked="0" layoutInCell="1" allowOverlap="1" wp14:anchorId="1D669468" wp14:editId="14A24F43">
                <wp:simplePos x="0" y="0"/>
                <wp:positionH relativeFrom="column">
                  <wp:posOffset>3415665</wp:posOffset>
                </wp:positionH>
                <wp:positionV relativeFrom="paragraph">
                  <wp:posOffset>165100</wp:posOffset>
                </wp:positionV>
                <wp:extent cx="2599690" cy="520700"/>
                <wp:effectExtent l="0" t="0" r="10160" b="12700"/>
                <wp:wrapNone/>
                <wp:docPr id="1035417028" name="Rectángulo: esquinas redondeadas 102"/>
                <wp:cNvGraphicFramePr/>
                <a:graphic xmlns:a="http://schemas.openxmlformats.org/drawingml/2006/main">
                  <a:graphicData uri="http://schemas.microsoft.com/office/word/2010/wordprocessingShape">
                    <wps:wsp>
                      <wps:cNvSpPr/>
                      <wps:spPr>
                        <a:xfrm>
                          <a:off x="0" y="0"/>
                          <a:ext cx="2599690" cy="520700"/>
                        </a:xfrm>
                        <a:prstGeom prst="roundRect">
                          <a:avLst/>
                        </a:prstGeom>
                        <a:solidFill>
                          <a:schemeClr val="accent2">
                            <a:lumMod val="20000"/>
                            <a:lumOff val="80000"/>
                          </a:schemeClr>
                        </a:solidFill>
                        <a:ln>
                          <a:solidFill>
                            <a:schemeClr val="accent2">
                              <a:lumMod val="50000"/>
                            </a:schemeClr>
                          </a:solidFill>
                        </a:ln>
                      </wps:spPr>
                      <wps:style>
                        <a:lnRef idx="2">
                          <a:schemeClr val="accent2"/>
                        </a:lnRef>
                        <a:fillRef idx="1">
                          <a:schemeClr val="lt1"/>
                        </a:fillRef>
                        <a:effectRef idx="0">
                          <a:schemeClr val="accent2"/>
                        </a:effectRef>
                        <a:fontRef idx="minor">
                          <a:schemeClr val="dk1"/>
                        </a:fontRef>
                      </wps:style>
                      <wps:txbx>
                        <w:txbxContent>
                          <w:p w14:paraId="555AC773"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16A25B99" w14:textId="77777777"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liquida y paga según su propio contrato.</w:t>
                            </w:r>
                          </w:p>
                          <w:p w14:paraId="6DA0C7BC"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69468" id="Rectángulo: esquinas redondeadas 102" o:spid="_x0000_s1035" style="position:absolute;margin-left:268.95pt;margin-top:13pt;width:204.7pt;height:4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" fillcolor="#f2dbdb [661]" strokecolor="#622423 [1605]" strokeweight="2pt">
                <v:textbox>
                  <w:txbxContent>
                    <w:p w14:paraId="555AC773"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16A25B99" w14:textId="77777777"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liquida y paga según su propio contrato.</w:t>
                      </w:r>
                    </w:p>
                    <w:p w14:paraId="6DA0C7BC" w14:textId="77777777" w:rsidR="00F24D82" w:rsidRDefault="00F24D82" w:rsidP="00F24D82">
                      <w:pPr>
                        <w:jc w:val="center"/>
                      </w:pPr>
                    </w:p>
                  </w:txbxContent>
                </v:textbox>
              </v:round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63" behindDoc="0" locked="0" layoutInCell="1" allowOverlap="1" wp14:anchorId="6FF26A7D" wp14:editId="36FBB8FE">
                <wp:simplePos x="0" y="0"/>
                <wp:positionH relativeFrom="margin">
                  <wp:posOffset>2658745</wp:posOffset>
                </wp:positionH>
                <wp:positionV relativeFrom="paragraph">
                  <wp:posOffset>135890</wp:posOffset>
                </wp:positionV>
                <wp:extent cx="548640" cy="237490"/>
                <wp:effectExtent l="0" t="0" r="0" b="0"/>
                <wp:wrapNone/>
                <wp:docPr id="988492692" name="Rectángulo 101"/>
                <wp:cNvGraphicFramePr/>
                <a:graphic xmlns:a="http://schemas.openxmlformats.org/drawingml/2006/main">
                  <a:graphicData uri="http://schemas.microsoft.com/office/word/2010/wordprocessingShape">
                    <wps:wsp>
                      <wps:cNvSpPr/>
                      <wps:spPr>
                        <a:xfrm>
                          <a:off x="0" y="0"/>
                          <a:ext cx="548640" cy="237490"/>
                        </a:xfrm>
                        <a:prstGeom prst="rect">
                          <a:avLst/>
                        </a:prstGeom>
                        <a:noFill/>
                      </wps:spPr>
                      <wps:txbx>
                        <w:txbxContent>
                          <w:p w14:paraId="4C1B584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6FF26A7D" id="Rectángulo 101" o:spid="_x0000_s1036" style="position:absolute;margin-left:209.35pt;margin-top:10.7pt;width:43.2pt;height:18.7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" filled="f" stroked="f">
                <v:textbox inset="2mm,1mm,2mm,1mm">
                  <w:txbxContent>
                    <w:p w14:paraId="4C1B5841"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v:textbox>
                <w10:wrap anchorx="margin"/>
              </v:rect>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43" behindDoc="0" locked="0" layoutInCell="1" allowOverlap="1" wp14:anchorId="6D218031" wp14:editId="20F5ACE9">
                <wp:simplePos x="0" y="0"/>
                <wp:positionH relativeFrom="column">
                  <wp:posOffset>-584835</wp:posOffset>
                </wp:positionH>
                <wp:positionV relativeFrom="paragraph">
                  <wp:posOffset>285750</wp:posOffset>
                </wp:positionV>
                <wp:extent cx="3180080" cy="317500"/>
                <wp:effectExtent l="0" t="0" r="20320" b="25400"/>
                <wp:wrapNone/>
                <wp:docPr id="1751762359" name="Rectángulo: esquinas redondeadas 104"/>
                <wp:cNvGraphicFramePr/>
                <a:graphic xmlns:a="http://schemas.openxmlformats.org/drawingml/2006/main">
                  <a:graphicData uri="http://schemas.microsoft.com/office/word/2010/wordprocessingShape">
                    <wps:wsp>
                      <wps:cNvSpPr/>
                      <wps:spPr>
                        <a:xfrm>
                          <a:off x="0" y="0"/>
                          <a:ext cx="3180080" cy="317500"/>
                        </a:xfrm>
                        <a:prstGeom prst="roundRect">
                          <a:avLst/>
                        </a:prstGeom>
                        <a:solidFill>
                          <a:schemeClr val="accent4">
                            <a:lumMod val="50000"/>
                          </a:schemeClr>
                        </a:solidFill>
                        <a:ln>
                          <a:solidFill>
                            <a:schemeClr val="accent4">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961C9E" w14:textId="77777777" w:rsidR="00F24D82" w:rsidRPr="00392C55" w:rsidRDefault="00F24D82" w:rsidP="00F24D82">
                            <w:pPr>
                              <w:pStyle w:val="Prrafodelista"/>
                              <w:numPr>
                                <w:ilvl w:val="0"/>
                                <w:numId w:val="21"/>
                              </w:numPr>
                              <w:spacing w:after="160" w:line="278" w:lineRule="auto"/>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¿Las pólizas protegen el MISMO INTERÉS ASEGURABLE?</w:t>
                            </w:r>
                          </w:p>
                          <w:p w14:paraId="5BD49976"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218031" id="Rectángulo: esquinas redondeadas 104" o:spid="_x0000_s1037" style="position:absolute;margin-left:-46.05pt;margin-top:22.5pt;width:250.4pt;height: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" fillcolor="#3f3151 [1607]" strokecolor="#3f3151 [1607]" strokeweight="2pt">
                <v:textbox>
                  <w:txbxContent>
                    <w:p w14:paraId="2A961C9E" w14:textId="77777777" w:rsidR="00F24D82" w:rsidRPr="00392C55" w:rsidRDefault="00F24D82" w:rsidP="00F24D82">
                      <w:pPr>
                        <w:pStyle w:val="Prrafodelista"/>
                        <w:numPr>
                          <w:ilvl w:val="0"/>
                          <w:numId w:val="21"/>
                        </w:numPr>
                        <w:spacing w:after="160" w:line="278" w:lineRule="auto"/>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¿Las pólizas protegen el MISMO INTERÉS ASEGURABLE?</w:t>
                      </w:r>
                    </w:p>
                    <w:p w14:paraId="5BD49976" w14:textId="77777777" w:rsidR="00F24D82" w:rsidRDefault="00F24D82" w:rsidP="00F24D82">
                      <w:pPr>
                        <w:jc w:val="center"/>
                      </w:pPr>
                    </w:p>
                  </w:txbxContent>
                </v:textbox>
              </v:roundrect>
            </w:pict>
          </mc:Fallback>
        </mc:AlternateContent>
      </w:r>
    </w:p>
    <w:p w14:paraId="69F706A8" w14:textId="4865E611"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56" behindDoc="0" locked="0" layoutInCell="1" allowOverlap="1" wp14:anchorId="67AD645B" wp14:editId="0C925B88">
                <wp:simplePos x="0" y="0"/>
                <wp:positionH relativeFrom="column">
                  <wp:posOffset>2656205</wp:posOffset>
                </wp:positionH>
                <wp:positionV relativeFrom="paragraph">
                  <wp:posOffset>173990</wp:posOffset>
                </wp:positionV>
                <wp:extent cx="683812" cy="7951"/>
                <wp:effectExtent l="0" t="76200" r="21590" b="87630"/>
                <wp:wrapNone/>
                <wp:docPr id="1082334693" name="Conector recto de flecha 103"/>
                <wp:cNvGraphicFramePr/>
                <a:graphic xmlns:a="http://schemas.openxmlformats.org/drawingml/2006/main">
                  <a:graphicData uri="http://schemas.microsoft.com/office/word/2010/wordprocessingShape">
                    <wps:wsp>
                      <wps:cNvCnPr/>
                      <wps:spPr>
                        <a:xfrm flipV="1">
                          <a:off x="0" y="0"/>
                          <a:ext cx="683812" cy="7951"/>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7D3067" id="Conector recto de flecha 103" o:spid="_x0000_s1026" type="#_x0000_t32" style="position:absolute;margin-left:209.15pt;margin-top:13.7pt;width:53.85pt;height:.65pt;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" strokecolor="#c00000" strokeweight="2pt">
                <v:stroke endarrow="block"/>
                <v:shadow on="t" color="black" opacity="24903f" origin=",.5" offset="0,.55556mm"/>
              </v:shape>
            </w:pict>
          </mc:Fallback>
        </mc:AlternateContent>
      </w:r>
    </w:p>
    <w:p w14:paraId="44C742F5" w14:textId="39249D89" w:rsidR="00F24D82" w:rsidRPr="00E04254" w:rsidRDefault="00A06480"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66" behindDoc="0" locked="0" layoutInCell="1" allowOverlap="1" wp14:anchorId="5F184097" wp14:editId="2901F351">
                <wp:simplePos x="0" y="0"/>
                <wp:positionH relativeFrom="column">
                  <wp:posOffset>990600</wp:posOffset>
                </wp:positionH>
                <wp:positionV relativeFrom="paragraph">
                  <wp:posOffset>68580</wp:posOffset>
                </wp:positionV>
                <wp:extent cx="457200" cy="274320"/>
                <wp:effectExtent l="0" t="0" r="0" b="0"/>
                <wp:wrapNone/>
                <wp:docPr id="1459631735" name="Rectángulo 105"/>
                <wp:cNvGraphicFramePr/>
                <a:graphic xmlns:a="http://schemas.openxmlformats.org/drawingml/2006/main">
                  <a:graphicData uri="http://schemas.microsoft.com/office/word/2010/wordprocessingShape">
                    <wps:wsp>
                      <wps:cNvSpPr/>
                      <wps:spPr>
                        <a:xfrm>
                          <a:off x="0" y="0"/>
                          <a:ext cx="457200" cy="274320"/>
                        </a:xfrm>
                        <a:prstGeom prst="rect">
                          <a:avLst/>
                        </a:prstGeom>
                        <a:noFill/>
                      </wps:spPr>
                      <wps:txbx>
                        <w:txbxContent>
                          <w:p w14:paraId="528DEE4F"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5F184097" id="Rectángulo 105" o:spid="_x0000_s1038" style="position:absolute;margin-left:78pt;margin-top:5.4pt;width:36pt;height:21.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" filled="f" stroked="f">
                <v:textbox inset="2mm,1mm,2mm,1mm">
                  <w:txbxContent>
                    <w:p w14:paraId="528DEE4F"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v:textbox>
              </v: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55" behindDoc="0" locked="0" layoutInCell="1" allowOverlap="1" wp14:anchorId="0CFDEA01" wp14:editId="48C9BDB9">
                <wp:simplePos x="0" y="0"/>
                <wp:positionH relativeFrom="column">
                  <wp:posOffset>980440</wp:posOffset>
                </wp:positionH>
                <wp:positionV relativeFrom="paragraph">
                  <wp:posOffset>69850</wp:posOffset>
                </wp:positionV>
                <wp:extent cx="0" cy="288636"/>
                <wp:effectExtent l="76200" t="0" r="57150" b="54610"/>
                <wp:wrapNone/>
                <wp:docPr id="159478111" name="Conector recto de flecha 106"/>
                <wp:cNvGraphicFramePr/>
                <a:graphic xmlns:a="http://schemas.openxmlformats.org/drawingml/2006/main">
                  <a:graphicData uri="http://schemas.microsoft.com/office/word/2010/wordprocessingShape">
                    <wps:wsp>
                      <wps:cNvCnPr/>
                      <wps:spPr>
                        <a:xfrm>
                          <a:off x="0" y="0"/>
                          <a:ext cx="0" cy="288636"/>
                        </a:xfrm>
                        <a:prstGeom prst="straightConnector1">
                          <a:avLst/>
                        </a:prstGeom>
                        <a:ln>
                          <a:solidFill>
                            <a:schemeClr val="accent3">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68AE0E" id="Conector recto de flecha 106" o:spid="_x0000_s1026" type="#_x0000_t32" style="position:absolute;margin-left:77.2pt;margin-top:5.5pt;width:0;height:22.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" strokecolor="#76923c [2406]">
                <v:stroke endarrow="block"/>
              </v:shape>
            </w:pict>
          </mc:Fallback>
        </mc:AlternateContent>
      </w:r>
    </w:p>
    <w:p w14:paraId="2B60885F" w14:textId="369B7CD0"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49" behindDoc="0" locked="0" layoutInCell="1" allowOverlap="1" wp14:anchorId="3B3C5236" wp14:editId="0A15D0FA">
                <wp:simplePos x="0" y="0"/>
                <wp:positionH relativeFrom="column">
                  <wp:posOffset>3396615</wp:posOffset>
                </wp:positionH>
                <wp:positionV relativeFrom="paragraph">
                  <wp:posOffset>81915</wp:posOffset>
                </wp:positionV>
                <wp:extent cx="2647315" cy="469900"/>
                <wp:effectExtent l="0" t="0" r="19685" b="25400"/>
                <wp:wrapNone/>
                <wp:docPr id="1289202945" name="Rectángulo: esquinas redondeadas 108"/>
                <wp:cNvGraphicFramePr/>
                <a:graphic xmlns:a="http://schemas.openxmlformats.org/drawingml/2006/main">
                  <a:graphicData uri="http://schemas.microsoft.com/office/word/2010/wordprocessingShape">
                    <wps:wsp>
                      <wps:cNvSpPr/>
                      <wps:spPr>
                        <a:xfrm>
                          <a:off x="0" y="0"/>
                          <a:ext cx="2647315" cy="469900"/>
                        </a:xfrm>
                        <a:prstGeom prst="roundRect">
                          <a:avLst/>
                        </a:prstGeom>
                        <a:solidFill>
                          <a:schemeClr val="accent2">
                            <a:lumMod val="20000"/>
                            <a:lumOff val="80000"/>
                          </a:schemeClr>
                        </a:solidFill>
                        <a:ln>
                          <a:solidFill>
                            <a:schemeClr val="accent2">
                              <a:lumMod val="50000"/>
                            </a:schemeClr>
                          </a:solidFill>
                        </a:ln>
                      </wps:spPr>
                      <wps:style>
                        <a:lnRef idx="2">
                          <a:schemeClr val="accent2"/>
                        </a:lnRef>
                        <a:fillRef idx="1">
                          <a:schemeClr val="lt1"/>
                        </a:fillRef>
                        <a:effectRef idx="0">
                          <a:schemeClr val="accent2"/>
                        </a:effectRef>
                        <a:fontRef idx="minor">
                          <a:schemeClr val="dk1"/>
                        </a:fontRef>
                      </wps:style>
                      <wps:txbx>
                        <w:txbxContent>
                          <w:p w14:paraId="5D7D343F"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274A413C" w14:textId="77777777"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atiende el amparo que corresponda.</w:t>
                            </w:r>
                          </w:p>
                          <w:p w14:paraId="66B5674C"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3C5236" id="Rectángulo: esquinas redondeadas 108" o:spid="_x0000_s1039" style="position:absolute;margin-left:267.45pt;margin-top:6.45pt;width:208.45pt;height:37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" fillcolor="#f2dbdb [661]" strokecolor="#622423 [1605]" strokeweight="2pt">
                <v:textbox>
                  <w:txbxContent>
                    <w:p w14:paraId="5D7D343F" w14:textId="77777777" w:rsidR="00F24D82" w:rsidRPr="00D8367A" w:rsidRDefault="00F24D82" w:rsidP="00D8367A">
                      <w:pPr>
                        <w:spacing w:after="0" w:line="240" w:lineRule="auto"/>
                        <w:rPr>
                          <w:rFonts w:asciiTheme="majorHAnsi" w:hAnsiTheme="majorHAnsi" w:cstheme="majorHAnsi"/>
                          <w:b/>
                          <w:color w:val="7F5F00"/>
                          <w:kern w:val="24"/>
                        </w:rPr>
                      </w:pPr>
                      <w:r w:rsidRPr="00D8367A">
                        <w:rPr>
                          <w:rFonts w:asciiTheme="majorHAnsi" w:hAnsiTheme="majorHAnsi" w:cstheme="majorHAnsi"/>
                          <w:b/>
                          <w:color w:val="7F5F00"/>
                          <w:kern w:val="24"/>
                        </w:rPr>
                        <w:t>NO → COBERTURAS INDEPENDIENTES</w:t>
                      </w:r>
                    </w:p>
                    <w:p w14:paraId="274A413C" w14:textId="77777777" w:rsidR="00F24D82" w:rsidRPr="00D8367A" w:rsidRDefault="00F24D82" w:rsidP="00D8367A">
                      <w:pPr>
                        <w:spacing w:before="30" w:after="0" w:line="240" w:lineRule="auto"/>
                        <w:rPr>
                          <w:rFonts w:asciiTheme="majorHAnsi" w:hAnsiTheme="majorHAnsi" w:cstheme="majorHAnsi"/>
                          <w:color w:val="7F5F00"/>
                          <w:kern w:val="24"/>
                          <w:sz w:val="15"/>
                          <w:szCs w:val="15"/>
                        </w:rPr>
                      </w:pPr>
                      <w:r w:rsidRPr="00D8367A">
                        <w:rPr>
                          <w:rFonts w:asciiTheme="majorHAnsi" w:hAnsiTheme="majorHAnsi" w:cstheme="majorHAnsi"/>
                          <w:color w:val="7F5F00"/>
                          <w:kern w:val="24"/>
                          <w:sz w:val="15"/>
                          <w:szCs w:val="15"/>
                        </w:rPr>
                        <w:t>Cada aseguradora atiende el amparo que corresponda.</w:t>
                      </w:r>
                    </w:p>
                    <w:p w14:paraId="66B5674C" w14:textId="77777777" w:rsidR="00F24D82" w:rsidRDefault="00F24D82" w:rsidP="00F24D82">
                      <w:pPr>
                        <w:jc w:val="center"/>
                      </w:pPr>
                    </w:p>
                  </w:txbxContent>
                </v:textbox>
              </v:round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64" behindDoc="0" locked="0" layoutInCell="1" allowOverlap="1" wp14:anchorId="14974B04" wp14:editId="7C71BBC3">
                <wp:simplePos x="0" y="0"/>
                <wp:positionH relativeFrom="margin">
                  <wp:posOffset>2650490</wp:posOffset>
                </wp:positionH>
                <wp:positionV relativeFrom="paragraph">
                  <wp:posOffset>50165</wp:posOffset>
                </wp:positionV>
                <wp:extent cx="548640" cy="237490"/>
                <wp:effectExtent l="0" t="0" r="0" b="0"/>
                <wp:wrapNone/>
                <wp:docPr id="252468819" name="Rectángulo 107"/>
                <wp:cNvGraphicFramePr/>
                <a:graphic xmlns:a="http://schemas.openxmlformats.org/drawingml/2006/main">
                  <a:graphicData uri="http://schemas.microsoft.com/office/word/2010/wordprocessingShape">
                    <wps:wsp>
                      <wps:cNvSpPr/>
                      <wps:spPr>
                        <a:xfrm>
                          <a:off x="0" y="0"/>
                          <a:ext cx="548640" cy="237490"/>
                        </a:xfrm>
                        <a:prstGeom prst="rect">
                          <a:avLst/>
                        </a:prstGeom>
                        <a:noFill/>
                      </wps:spPr>
                      <wps:txbx>
                        <w:txbxContent>
                          <w:p w14:paraId="29FC35E6"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14974B04" id="Rectángulo 107" o:spid="_x0000_s1040" style="position:absolute;margin-left:208.7pt;margin-top:3.95pt;width:43.2pt;height:18.7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" filled="f" stroked="f">
                <v:textbox inset="2mm,1mm,2mm,1mm">
                  <w:txbxContent>
                    <w:p w14:paraId="29FC35E6"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v:textbox>
                <w10:wrap anchorx="margin"/>
              </v:rect>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46" behindDoc="0" locked="0" layoutInCell="1" allowOverlap="1" wp14:anchorId="43F6853D" wp14:editId="7E96CCA3">
                <wp:simplePos x="0" y="0"/>
                <wp:positionH relativeFrom="column">
                  <wp:posOffset>-572135</wp:posOffset>
                </wp:positionH>
                <wp:positionV relativeFrom="paragraph">
                  <wp:posOffset>155575</wp:posOffset>
                </wp:positionV>
                <wp:extent cx="3116580" cy="304800"/>
                <wp:effectExtent l="0" t="0" r="26670" b="19050"/>
                <wp:wrapNone/>
                <wp:docPr id="1646590584" name="Rectángulo: esquinas redondeadas 109"/>
                <wp:cNvGraphicFramePr/>
                <a:graphic xmlns:a="http://schemas.openxmlformats.org/drawingml/2006/main">
                  <a:graphicData uri="http://schemas.microsoft.com/office/word/2010/wordprocessingShape">
                    <wps:wsp>
                      <wps:cNvSpPr/>
                      <wps:spPr>
                        <a:xfrm>
                          <a:off x="0" y="0"/>
                          <a:ext cx="3116580" cy="304800"/>
                        </a:xfrm>
                        <a:prstGeom prst="roundRect">
                          <a:avLst/>
                        </a:prstGeom>
                        <a:solidFill>
                          <a:schemeClr val="accent4">
                            <a:lumMod val="50000"/>
                          </a:schemeClr>
                        </a:solidFill>
                        <a:ln>
                          <a:solidFill>
                            <a:schemeClr val="accent4">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48B9E8" w14:textId="77777777" w:rsidR="00F24D82" w:rsidRPr="00392C55" w:rsidRDefault="00F24D82" w:rsidP="00F24D82">
                            <w:pPr>
                              <w:jc w:val="center"/>
                              <w:rPr>
                                <w:rFonts w:asciiTheme="majorHAnsi" w:hAnsiTheme="majorHAnsi" w:cstheme="majorHAnsi"/>
                              </w:rPr>
                            </w:pPr>
                            <w:r w:rsidRPr="00392C55">
                              <w:rPr>
                                <w:rFonts w:asciiTheme="majorHAnsi" w:hAnsiTheme="majorHAnsi" w:cstheme="majorHAnsi"/>
                                <w:b/>
                                <w:color w:val="FFFFFF"/>
                                <w:kern w:val="24"/>
                                <w:sz w:val="16"/>
                                <w:szCs w:val="16"/>
                              </w:rPr>
                              <w:t>3 ¿Amparan el MISMO RIESGO y la MISMA CLASE DE PÉRDIDA?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6853D" id="Rectángulo: esquinas redondeadas 109" o:spid="_x0000_s1041" style="position:absolute;margin-left:-45.05pt;margin-top:12.25pt;width:245.4pt;height: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" fillcolor="#3f3151 [1607]" strokecolor="#3f3151 [1607]" strokeweight="2pt">
                <v:textbox>
                  <w:txbxContent>
                    <w:p w14:paraId="5848B9E8" w14:textId="77777777" w:rsidR="00F24D82" w:rsidRPr="00392C55" w:rsidRDefault="00F24D82" w:rsidP="00F24D82">
                      <w:pPr>
                        <w:jc w:val="center"/>
                        <w:rPr>
                          <w:rFonts w:asciiTheme="majorHAnsi" w:hAnsiTheme="majorHAnsi" w:cstheme="majorHAnsi"/>
                        </w:rPr>
                      </w:pPr>
                      <w:r w:rsidRPr="00392C55">
                        <w:rPr>
                          <w:rFonts w:asciiTheme="majorHAnsi" w:hAnsiTheme="majorHAnsi" w:cstheme="majorHAnsi"/>
                          <w:b/>
                          <w:color w:val="FFFFFF"/>
                          <w:kern w:val="24"/>
                          <w:sz w:val="16"/>
                          <w:szCs w:val="16"/>
                        </w:rPr>
                        <w:t>3 ¿Amparan el MISMO RIESGO y la MISMA CLASE DE PÉRDIDA?</w:t>
                      </w:r>
                    </w:p>
                  </w:txbxContent>
                </v:textbox>
              </v:roundrect>
            </w:pict>
          </mc:Fallback>
        </mc:AlternateContent>
      </w:r>
    </w:p>
    <w:p w14:paraId="315C7669" w14:textId="17E1CBA7"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57" behindDoc="0" locked="0" layoutInCell="1" allowOverlap="1" wp14:anchorId="4F3550E2" wp14:editId="40CDFEB8">
                <wp:simplePos x="0" y="0"/>
                <wp:positionH relativeFrom="column">
                  <wp:posOffset>2607310</wp:posOffset>
                </wp:positionH>
                <wp:positionV relativeFrom="paragraph">
                  <wp:posOffset>22225</wp:posOffset>
                </wp:positionV>
                <wp:extent cx="683812" cy="7951"/>
                <wp:effectExtent l="0" t="76200" r="21590" b="87630"/>
                <wp:wrapNone/>
                <wp:docPr id="1989145473" name="Conector recto de flecha 110"/>
                <wp:cNvGraphicFramePr/>
                <a:graphic xmlns:a="http://schemas.openxmlformats.org/drawingml/2006/main">
                  <a:graphicData uri="http://schemas.microsoft.com/office/word/2010/wordprocessingShape">
                    <wps:wsp>
                      <wps:cNvCnPr/>
                      <wps:spPr>
                        <a:xfrm flipV="1">
                          <a:off x="0" y="0"/>
                          <a:ext cx="683812" cy="7951"/>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31115C" id="Conector recto de flecha 110" o:spid="_x0000_s1026" type="#_x0000_t32" style="position:absolute;margin-left:205.3pt;margin-top:1.75pt;width:53.85pt;height:.65pt;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" strokecolor="#c00000" strokeweight="2pt">
                <v:stroke endarrow="block"/>
                <v:shadow on="t" color="black" opacity="24903f" origin=",.5" offset="0,.55556mm"/>
              </v:shape>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58" behindDoc="0" locked="0" layoutInCell="1" allowOverlap="1" wp14:anchorId="088114B2" wp14:editId="48BB5A0D">
                <wp:simplePos x="0" y="0"/>
                <wp:positionH relativeFrom="column">
                  <wp:posOffset>986790</wp:posOffset>
                </wp:positionH>
                <wp:positionV relativeFrom="paragraph">
                  <wp:posOffset>180340</wp:posOffset>
                </wp:positionV>
                <wp:extent cx="0" cy="262255"/>
                <wp:effectExtent l="76200" t="0" r="57150" b="61595"/>
                <wp:wrapNone/>
                <wp:docPr id="1499638052" name="Conector recto de flecha 112"/>
                <wp:cNvGraphicFramePr/>
                <a:graphic xmlns:a="http://schemas.openxmlformats.org/drawingml/2006/main">
                  <a:graphicData uri="http://schemas.microsoft.com/office/word/2010/wordprocessingShape">
                    <wps:wsp>
                      <wps:cNvCnPr/>
                      <wps:spPr>
                        <a:xfrm>
                          <a:off x="0" y="0"/>
                          <a:ext cx="0" cy="262255"/>
                        </a:xfrm>
                        <a:prstGeom prst="straightConnector1">
                          <a:avLst/>
                        </a:prstGeom>
                        <a:ln>
                          <a:solidFill>
                            <a:schemeClr val="accent3">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352FC" id="Conector recto de flecha 112" o:spid="_x0000_s1026" type="#_x0000_t32" style="position:absolute;margin-left:77.7pt;margin-top:14.2pt;width:0;height:20.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" strokecolor="#76923c [2406]">
                <v:stroke endarrow="block"/>
              </v:shape>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67" behindDoc="0" locked="0" layoutInCell="1" allowOverlap="1" wp14:anchorId="2A6CB5A0" wp14:editId="136B34D9">
                <wp:simplePos x="0" y="0"/>
                <wp:positionH relativeFrom="column">
                  <wp:posOffset>982345</wp:posOffset>
                </wp:positionH>
                <wp:positionV relativeFrom="paragraph">
                  <wp:posOffset>163195</wp:posOffset>
                </wp:positionV>
                <wp:extent cx="457200" cy="274320"/>
                <wp:effectExtent l="0" t="0" r="0" b="0"/>
                <wp:wrapNone/>
                <wp:docPr id="1073656426" name="Rectángulo 111"/>
                <wp:cNvGraphicFramePr/>
                <a:graphic xmlns:a="http://schemas.openxmlformats.org/drawingml/2006/main">
                  <a:graphicData uri="http://schemas.microsoft.com/office/word/2010/wordprocessingShape">
                    <wps:wsp>
                      <wps:cNvSpPr/>
                      <wps:spPr>
                        <a:xfrm>
                          <a:off x="0" y="0"/>
                          <a:ext cx="457200" cy="274320"/>
                        </a:xfrm>
                        <a:prstGeom prst="rect">
                          <a:avLst/>
                        </a:prstGeom>
                        <a:noFill/>
                      </wps:spPr>
                      <wps:txbx>
                        <w:txbxContent>
                          <w:p w14:paraId="061005DE"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2A6CB5A0" id="Rectángulo 111" o:spid="_x0000_s1042" style="position:absolute;margin-left:77.35pt;margin-top:12.85pt;width:36pt;height:21.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" filled="f" stroked="f">
                <v:textbox inset="2mm,1mm,2mm,1mm">
                  <w:txbxContent>
                    <w:p w14:paraId="061005DE"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v:textbox>
              </v:rect>
            </w:pict>
          </mc:Fallback>
        </mc:AlternateContent>
      </w:r>
    </w:p>
    <w:p w14:paraId="43376213" w14:textId="1DC88E96"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50" behindDoc="0" locked="0" layoutInCell="1" allowOverlap="1" wp14:anchorId="27641C6A" wp14:editId="1818433C">
                <wp:simplePos x="0" y="0"/>
                <wp:positionH relativeFrom="column">
                  <wp:posOffset>3377565</wp:posOffset>
                </wp:positionH>
                <wp:positionV relativeFrom="paragraph">
                  <wp:posOffset>139065</wp:posOffset>
                </wp:positionV>
                <wp:extent cx="2647315" cy="571500"/>
                <wp:effectExtent l="0" t="0" r="19685" b="19050"/>
                <wp:wrapNone/>
                <wp:docPr id="44741325" name="Rectángulo: esquinas redondeadas 114"/>
                <wp:cNvGraphicFramePr/>
                <a:graphic xmlns:a="http://schemas.openxmlformats.org/drawingml/2006/main">
                  <a:graphicData uri="http://schemas.microsoft.com/office/word/2010/wordprocessingShape">
                    <wps:wsp>
                      <wps:cNvSpPr/>
                      <wps:spPr>
                        <a:xfrm>
                          <a:off x="0" y="0"/>
                          <a:ext cx="2647315" cy="571500"/>
                        </a:xfrm>
                        <a:prstGeom prst="roundRect">
                          <a:avLst/>
                        </a:prstGeom>
                        <a:solidFill>
                          <a:schemeClr val="accent2">
                            <a:lumMod val="20000"/>
                            <a:lumOff val="80000"/>
                            <a:alpha val="94118"/>
                          </a:schemeClr>
                        </a:solid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14:paraId="3A6F2DBC" w14:textId="77777777" w:rsidR="00D8367A" w:rsidRDefault="00F24D82" w:rsidP="00D8367A">
                            <w:pPr>
                              <w:spacing w:after="0" w:line="240" w:lineRule="auto"/>
                              <w:rPr>
                                <w:rFonts w:asciiTheme="majorHAnsi" w:hAnsiTheme="majorHAnsi" w:cstheme="majorHAnsi"/>
                                <w:b/>
                                <w:color w:val="9C0000"/>
                                <w:kern w:val="24"/>
                              </w:rPr>
                            </w:pPr>
                            <w:r w:rsidRPr="00D8367A">
                              <w:rPr>
                                <w:rFonts w:asciiTheme="majorHAnsi" w:hAnsiTheme="majorHAnsi" w:cstheme="majorHAnsi"/>
                                <w:b/>
                                <w:color w:val="9C0000"/>
                                <w:kern w:val="24"/>
                              </w:rPr>
                              <w:t>NO → NO HAY COEXISTENCIA TÉCNICA</w:t>
                            </w:r>
                          </w:p>
                          <w:p w14:paraId="563A4941" w14:textId="77777777" w:rsidR="00F24D82" w:rsidRPr="00D8367A" w:rsidRDefault="00F24D82" w:rsidP="00D8367A">
                            <w:pPr>
                              <w:spacing w:after="0" w:line="240" w:lineRule="auto"/>
                              <w:rPr>
                                <w:rFonts w:asciiTheme="majorHAnsi" w:hAnsiTheme="majorHAnsi" w:cstheme="majorHAnsi"/>
                                <w:b/>
                                <w:color w:val="9C0000"/>
                                <w:kern w:val="24"/>
                              </w:rPr>
                            </w:pPr>
                            <w:r w:rsidRPr="00D8367A">
                              <w:rPr>
                                <w:rFonts w:asciiTheme="majorHAnsi" w:hAnsiTheme="majorHAnsi" w:cstheme="majorHAnsi"/>
                                <w:color w:val="9C0000"/>
                                <w:kern w:val="24"/>
                                <w:sz w:val="15"/>
                                <w:szCs w:val="15"/>
                              </w:rPr>
                              <w:t>Liquidación independiente, salvo que exista una zona específica de traslape.</w:t>
                            </w:r>
                          </w:p>
                          <w:p w14:paraId="15193927"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641C6A" id="Rectángulo: esquinas redondeadas 114" o:spid="_x0000_s1043" style="position:absolute;margin-left:265.95pt;margin-top:10.95pt;width:208.45pt;height:4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" fillcolor="#f2dbdb [661]" strokecolor="#c00000" strokeweight="2pt">
                <v:fill opacity="61680f"/>
                <v:textbox>
                  <w:txbxContent>
                    <w:p w14:paraId="3A6F2DBC" w14:textId="77777777" w:rsidR="00D8367A" w:rsidRDefault="00F24D82" w:rsidP="00D8367A">
                      <w:pPr>
                        <w:spacing w:after="0" w:line="240" w:lineRule="auto"/>
                        <w:rPr>
                          <w:rFonts w:asciiTheme="majorHAnsi" w:hAnsiTheme="majorHAnsi" w:cstheme="majorHAnsi"/>
                          <w:b/>
                          <w:color w:val="9C0000"/>
                          <w:kern w:val="24"/>
                        </w:rPr>
                      </w:pPr>
                      <w:r w:rsidRPr="00D8367A">
                        <w:rPr>
                          <w:rFonts w:asciiTheme="majorHAnsi" w:hAnsiTheme="majorHAnsi" w:cstheme="majorHAnsi"/>
                          <w:b/>
                          <w:color w:val="9C0000"/>
                          <w:kern w:val="24"/>
                        </w:rPr>
                        <w:t>NO → NO HAY COEXISTENCIA TÉCNICA</w:t>
                      </w:r>
                    </w:p>
                    <w:p w14:paraId="563A4941" w14:textId="77777777" w:rsidR="00F24D82" w:rsidRPr="00D8367A" w:rsidRDefault="00F24D82" w:rsidP="00D8367A">
                      <w:pPr>
                        <w:spacing w:after="0" w:line="240" w:lineRule="auto"/>
                        <w:rPr>
                          <w:rFonts w:asciiTheme="majorHAnsi" w:hAnsiTheme="majorHAnsi" w:cstheme="majorHAnsi"/>
                          <w:b/>
                          <w:color w:val="9C0000"/>
                          <w:kern w:val="24"/>
                        </w:rPr>
                      </w:pPr>
                      <w:r w:rsidRPr="00D8367A">
                        <w:rPr>
                          <w:rFonts w:asciiTheme="majorHAnsi" w:hAnsiTheme="majorHAnsi" w:cstheme="majorHAnsi"/>
                          <w:color w:val="9C0000"/>
                          <w:kern w:val="24"/>
                          <w:sz w:val="15"/>
                          <w:szCs w:val="15"/>
                        </w:rPr>
                        <w:t>Liquidación independiente, salvo que exista una zona específica de traslape.</w:t>
                      </w:r>
                    </w:p>
                    <w:p w14:paraId="15193927" w14:textId="77777777" w:rsidR="00F24D82" w:rsidRDefault="00F24D82" w:rsidP="00F24D82">
                      <w:pPr>
                        <w:jc w:val="center"/>
                      </w:pPr>
                    </w:p>
                  </w:txbxContent>
                </v:textbox>
              </v:round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65" behindDoc="0" locked="0" layoutInCell="1" allowOverlap="1" wp14:anchorId="33C001A4" wp14:editId="047D2B93">
                <wp:simplePos x="0" y="0"/>
                <wp:positionH relativeFrom="margin">
                  <wp:posOffset>2634615</wp:posOffset>
                </wp:positionH>
                <wp:positionV relativeFrom="paragraph">
                  <wp:posOffset>142240</wp:posOffset>
                </wp:positionV>
                <wp:extent cx="548640" cy="237490"/>
                <wp:effectExtent l="0" t="0" r="0" b="0"/>
                <wp:wrapNone/>
                <wp:docPr id="1655184746" name="Rectángulo 113"/>
                <wp:cNvGraphicFramePr/>
                <a:graphic xmlns:a="http://schemas.openxmlformats.org/drawingml/2006/main">
                  <a:graphicData uri="http://schemas.microsoft.com/office/word/2010/wordprocessingShape">
                    <wps:wsp>
                      <wps:cNvSpPr/>
                      <wps:spPr>
                        <a:xfrm>
                          <a:off x="0" y="0"/>
                          <a:ext cx="548640" cy="237490"/>
                        </a:xfrm>
                        <a:prstGeom prst="rect">
                          <a:avLst/>
                        </a:prstGeom>
                        <a:noFill/>
                      </wps:spPr>
                      <wps:txbx>
                        <w:txbxContent>
                          <w:p w14:paraId="03B24E49"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33C001A4" id="Rectángulo 113" o:spid="_x0000_s1044" style="position:absolute;margin-left:207.45pt;margin-top:11.2pt;width:43.2pt;height:18.7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" filled="f" stroked="f">
                <v:textbox inset="2mm,1mm,2mm,1mm">
                  <w:txbxContent>
                    <w:p w14:paraId="03B24E49" w14:textId="77777777" w:rsidR="00F24D82" w:rsidRPr="00EE3502" w:rsidRDefault="00F24D82" w:rsidP="00F24D82">
                      <w:pPr>
                        <w:jc w:val="center"/>
                        <w:rPr>
                          <w:rFonts w:asciiTheme="majorHAnsi" w:hAnsiTheme="majorHAnsi" w:cstheme="majorHAnsi"/>
                          <w:b/>
                          <w:color w:val="9C0000"/>
                          <w:kern w:val="24"/>
                          <w:sz w:val="20"/>
                          <w:szCs w:val="20"/>
                        </w:rPr>
                      </w:pPr>
                      <w:r w:rsidRPr="00EE3502">
                        <w:rPr>
                          <w:rFonts w:asciiTheme="majorHAnsi" w:hAnsiTheme="majorHAnsi" w:cstheme="majorHAnsi"/>
                          <w:b/>
                          <w:color w:val="9C0000"/>
                          <w:kern w:val="24"/>
                          <w:sz w:val="20"/>
                          <w:szCs w:val="20"/>
                        </w:rPr>
                        <w:t>NO</w:t>
                      </w:r>
                    </w:p>
                  </w:txbxContent>
                </v:textbox>
                <w10:wrap anchorx="margin"/>
              </v:rect>
            </w:pict>
          </mc:Fallback>
        </mc:AlternateContent>
      </w:r>
      <w:r w:rsidR="00A06480" w:rsidRPr="00E04254">
        <w:rPr>
          <w:rFonts w:asciiTheme="majorHAnsi" w:hAnsiTheme="majorHAnsi" w:cstheme="majorHAnsi"/>
          <w:noProof/>
        </w:rPr>
        <mc:AlternateContent>
          <mc:Choice Requires="wps">
            <w:drawing>
              <wp:anchor distT="0" distB="0" distL="114300" distR="114300" simplePos="0" relativeHeight="251658244" behindDoc="0" locked="0" layoutInCell="1" allowOverlap="1" wp14:anchorId="720917E4" wp14:editId="747FE28A">
                <wp:simplePos x="0" y="0"/>
                <wp:positionH relativeFrom="column">
                  <wp:posOffset>-572135</wp:posOffset>
                </wp:positionH>
                <wp:positionV relativeFrom="paragraph">
                  <wp:posOffset>179705</wp:posOffset>
                </wp:positionV>
                <wp:extent cx="3140075" cy="609600"/>
                <wp:effectExtent l="0" t="0" r="22225" b="19050"/>
                <wp:wrapNone/>
                <wp:docPr id="430602347" name="Rectángulo: esquinas redondeadas 115"/>
                <wp:cNvGraphicFramePr/>
                <a:graphic xmlns:a="http://schemas.openxmlformats.org/drawingml/2006/main">
                  <a:graphicData uri="http://schemas.microsoft.com/office/word/2010/wordprocessingShape">
                    <wps:wsp>
                      <wps:cNvSpPr/>
                      <wps:spPr>
                        <a:xfrm>
                          <a:off x="0" y="0"/>
                          <a:ext cx="3140075" cy="609600"/>
                        </a:xfrm>
                        <a:prstGeom prst="roundRect">
                          <a:avLst/>
                        </a:prstGeom>
                        <a:solidFill>
                          <a:schemeClr val="accent4">
                            <a:lumMod val="50000"/>
                          </a:schemeClr>
                        </a:solidFill>
                        <a:ln>
                          <a:solidFill>
                            <a:schemeClr val="accent4">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12CB63" w14:textId="77777777" w:rsidR="00F24D82" w:rsidRPr="00392C55" w:rsidRDefault="00F24D82" w:rsidP="00D8367A">
                            <w:pPr>
                              <w:spacing w:after="0" w:line="240" w:lineRule="auto"/>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4. ¿Se cumplen las 4 identidades del art. 1094 C. Co.?</w:t>
                            </w:r>
                          </w:p>
                          <w:p w14:paraId="161165F7" w14:textId="77777777" w:rsidR="00F24D82" w:rsidRPr="00392C55" w:rsidRDefault="00F24D82" w:rsidP="00D8367A">
                            <w:pPr>
                              <w:spacing w:before="60" w:after="0" w:line="240" w:lineRule="auto"/>
                              <w:jc w:val="center"/>
                              <w:rPr>
                                <w:rFonts w:asciiTheme="majorHAnsi" w:hAnsiTheme="majorHAnsi" w:cstheme="majorHAnsi"/>
                                <w:color w:val="CFE0F3"/>
                                <w:kern w:val="24"/>
                                <w:sz w:val="14"/>
                                <w:szCs w:val="14"/>
                              </w:rPr>
                            </w:pPr>
                            <w:r w:rsidRPr="00392C55">
                              <w:rPr>
                                <w:rFonts w:asciiTheme="majorHAnsi" w:hAnsiTheme="majorHAnsi" w:cstheme="majorHAnsi"/>
                                <w:color w:val="CFE0F3"/>
                                <w:kern w:val="24"/>
                                <w:sz w:val="14"/>
                                <w:szCs w:val="14"/>
                              </w:rPr>
                              <w:t>1. Aseguradores distintos   2. Mismo asegurado</w:t>
                            </w:r>
                          </w:p>
                          <w:p w14:paraId="348175C5" w14:textId="77777777" w:rsidR="00F24D82" w:rsidRPr="00350C89" w:rsidRDefault="00F24D82" w:rsidP="00D8367A">
                            <w:pPr>
                              <w:spacing w:before="20" w:after="0" w:line="240" w:lineRule="auto"/>
                              <w:jc w:val="center"/>
                              <w:rPr>
                                <w:rFonts w:cs="Arial"/>
                                <w:color w:val="CFE0F3"/>
                                <w:kern w:val="24"/>
                                <w:sz w:val="14"/>
                                <w:szCs w:val="14"/>
                              </w:rPr>
                            </w:pPr>
                            <w:r w:rsidRPr="00350C89">
                              <w:rPr>
                                <w:rFonts w:cs="Arial"/>
                                <w:color w:val="CFE0F3"/>
                                <w:kern w:val="24"/>
                                <w:sz w:val="14"/>
                                <w:szCs w:val="14"/>
                              </w:rPr>
                              <w:t>3. Mismo interés   4. Mismo riesgo</w:t>
                            </w:r>
                          </w:p>
                          <w:p w14:paraId="658FD384" w14:textId="77777777" w:rsidR="00F24D82" w:rsidRDefault="00F24D82" w:rsidP="00F24D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917E4" id="Rectángulo: esquinas redondeadas 115" o:spid="_x0000_s1045" style="position:absolute;margin-left:-45.05pt;margin-top:14.15pt;width:247.25pt;height: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" fillcolor="#3f3151 [1607]" strokecolor="#3f3151 [1607]" strokeweight="2pt">
                <v:textbox>
                  <w:txbxContent>
                    <w:p w14:paraId="3212CB63" w14:textId="77777777" w:rsidR="00F24D82" w:rsidRPr="00392C55" w:rsidRDefault="00F24D82" w:rsidP="00D8367A">
                      <w:pPr>
                        <w:spacing w:after="0" w:line="240" w:lineRule="auto"/>
                        <w:jc w:val="center"/>
                        <w:rPr>
                          <w:rFonts w:asciiTheme="majorHAnsi" w:hAnsiTheme="majorHAnsi" w:cstheme="majorHAnsi"/>
                          <w:b/>
                          <w:color w:val="FFFFFF"/>
                          <w:kern w:val="24"/>
                          <w:sz w:val="16"/>
                          <w:szCs w:val="16"/>
                        </w:rPr>
                      </w:pPr>
                      <w:r w:rsidRPr="00392C55">
                        <w:rPr>
                          <w:rFonts w:asciiTheme="majorHAnsi" w:hAnsiTheme="majorHAnsi" w:cstheme="majorHAnsi"/>
                          <w:b/>
                          <w:color w:val="FFFFFF"/>
                          <w:kern w:val="24"/>
                          <w:sz w:val="16"/>
                          <w:szCs w:val="16"/>
                        </w:rPr>
                        <w:t>4. ¿Se cumplen las 4 identidades del art. 1094 C. Co.?</w:t>
                      </w:r>
                    </w:p>
                    <w:p w14:paraId="161165F7" w14:textId="77777777" w:rsidR="00F24D82" w:rsidRPr="00392C55" w:rsidRDefault="00F24D82" w:rsidP="00D8367A">
                      <w:pPr>
                        <w:spacing w:before="60" w:after="0" w:line="240" w:lineRule="auto"/>
                        <w:jc w:val="center"/>
                        <w:rPr>
                          <w:rFonts w:asciiTheme="majorHAnsi" w:hAnsiTheme="majorHAnsi" w:cstheme="majorHAnsi"/>
                          <w:color w:val="CFE0F3"/>
                          <w:kern w:val="24"/>
                          <w:sz w:val="14"/>
                          <w:szCs w:val="14"/>
                        </w:rPr>
                      </w:pPr>
                      <w:r w:rsidRPr="00392C55">
                        <w:rPr>
                          <w:rFonts w:asciiTheme="majorHAnsi" w:hAnsiTheme="majorHAnsi" w:cstheme="majorHAnsi"/>
                          <w:color w:val="CFE0F3"/>
                          <w:kern w:val="24"/>
                          <w:sz w:val="14"/>
                          <w:szCs w:val="14"/>
                        </w:rPr>
                        <w:t>1. Aseguradores distintos   2. Mismo asegurado</w:t>
                      </w:r>
                    </w:p>
                    <w:p w14:paraId="348175C5" w14:textId="77777777" w:rsidR="00F24D82" w:rsidRPr="00350C89" w:rsidRDefault="00F24D82" w:rsidP="00D8367A">
                      <w:pPr>
                        <w:spacing w:before="20" w:after="0" w:line="240" w:lineRule="auto"/>
                        <w:jc w:val="center"/>
                        <w:rPr>
                          <w:rFonts w:cs="Arial"/>
                          <w:color w:val="CFE0F3"/>
                          <w:kern w:val="24"/>
                          <w:sz w:val="14"/>
                          <w:szCs w:val="14"/>
                        </w:rPr>
                      </w:pPr>
                      <w:r w:rsidRPr="00350C89">
                        <w:rPr>
                          <w:rFonts w:cs="Arial"/>
                          <w:color w:val="CFE0F3"/>
                          <w:kern w:val="24"/>
                          <w:sz w:val="14"/>
                          <w:szCs w:val="14"/>
                        </w:rPr>
                        <w:t>3. Mismo interés   4. Mismo riesgo</w:t>
                      </w:r>
                    </w:p>
                    <w:p w14:paraId="658FD384" w14:textId="77777777" w:rsidR="00F24D82" w:rsidRDefault="00F24D82" w:rsidP="00F24D82">
                      <w:pPr>
                        <w:jc w:val="center"/>
                      </w:pPr>
                    </w:p>
                  </w:txbxContent>
                </v:textbox>
              </v:roundrect>
            </w:pict>
          </mc:Fallback>
        </mc:AlternateContent>
      </w:r>
    </w:p>
    <w:p w14:paraId="3EBA5B21" w14:textId="57BFFAC1" w:rsidR="00F24D82" w:rsidRPr="00E04254" w:rsidRDefault="00EE3502"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59" behindDoc="0" locked="0" layoutInCell="1" allowOverlap="1" wp14:anchorId="610D30F8" wp14:editId="5D1F8794">
                <wp:simplePos x="0" y="0"/>
                <wp:positionH relativeFrom="column">
                  <wp:posOffset>2624455</wp:posOffset>
                </wp:positionH>
                <wp:positionV relativeFrom="paragraph">
                  <wp:posOffset>186690</wp:posOffset>
                </wp:positionV>
                <wp:extent cx="683812" cy="7951"/>
                <wp:effectExtent l="0" t="76200" r="21590" b="87630"/>
                <wp:wrapNone/>
                <wp:docPr id="819917839" name="Conector recto de flecha 116"/>
                <wp:cNvGraphicFramePr/>
                <a:graphic xmlns:a="http://schemas.openxmlformats.org/drawingml/2006/main">
                  <a:graphicData uri="http://schemas.microsoft.com/office/word/2010/wordprocessingShape">
                    <wps:wsp>
                      <wps:cNvCnPr/>
                      <wps:spPr>
                        <a:xfrm flipV="1">
                          <a:off x="0" y="0"/>
                          <a:ext cx="683812" cy="7951"/>
                        </a:xfrm>
                        <a:prstGeom prst="straightConnector1">
                          <a:avLst/>
                        </a:prstGeom>
                        <a:ln>
                          <a:solidFill>
                            <a:srgbClr val="C0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BCDE63" id="Conector recto de flecha 116" o:spid="_x0000_s1026" type="#_x0000_t32" style="position:absolute;margin-left:206.65pt;margin-top:14.7pt;width:53.85pt;height:.65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" strokecolor="#c00000" strokeweight="2pt">
                <v:stroke endarrow="block"/>
                <v:shadow on="t" color="black" opacity="24903f" origin=",.5" offset="0,.55556mm"/>
              </v:shape>
            </w:pict>
          </mc:Fallback>
        </mc:AlternateContent>
      </w:r>
    </w:p>
    <w:p w14:paraId="0E46CDDE" w14:textId="270CE48D" w:rsidR="00F24D82" w:rsidRPr="00E04254" w:rsidRDefault="00F24D82" w:rsidP="00F24D82">
      <w:pPr>
        <w:rPr>
          <w:rFonts w:asciiTheme="majorHAnsi" w:hAnsiTheme="majorHAnsi" w:cstheme="majorHAnsi"/>
        </w:rPr>
      </w:pPr>
    </w:p>
    <w:p w14:paraId="4D547F0F" w14:textId="7AEEC213" w:rsidR="00F24D82" w:rsidRPr="00E04254" w:rsidRDefault="00A06480" w:rsidP="00F24D82">
      <w:pPr>
        <w:rPr>
          <w:rFonts w:asciiTheme="majorHAnsi" w:hAnsiTheme="majorHAnsi" w:cstheme="majorHAnsi"/>
        </w:rPr>
      </w:pPr>
      <w:r w:rsidRPr="00E04254">
        <w:rPr>
          <w:rFonts w:asciiTheme="majorHAnsi" w:hAnsiTheme="majorHAnsi" w:cstheme="majorHAnsi"/>
          <w:noProof/>
        </w:rPr>
        <mc:AlternateContent>
          <mc:Choice Requires="wps">
            <w:drawing>
              <wp:anchor distT="0" distB="0" distL="114300" distR="114300" simplePos="0" relativeHeight="251658271" behindDoc="0" locked="0" layoutInCell="1" allowOverlap="1" wp14:anchorId="33A61E46" wp14:editId="55954114">
                <wp:simplePos x="0" y="0"/>
                <wp:positionH relativeFrom="column">
                  <wp:posOffset>-502285</wp:posOffset>
                </wp:positionH>
                <wp:positionV relativeFrom="paragraph">
                  <wp:posOffset>332740</wp:posOffset>
                </wp:positionV>
                <wp:extent cx="2972877" cy="647700"/>
                <wp:effectExtent l="0" t="0" r="18415" b="19050"/>
                <wp:wrapNone/>
                <wp:docPr id="450218336" name="Rectángulo: esquinas redondeadas 119"/>
                <wp:cNvGraphicFramePr/>
                <a:graphic xmlns:a="http://schemas.openxmlformats.org/drawingml/2006/main">
                  <a:graphicData uri="http://schemas.microsoft.com/office/word/2010/wordprocessingShape">
                    <wps:wsp>
                      <wps:cNvSpPr/>
                      <wps:spPr>
                        <a:xfrm>
                          <a:off x="0" y="0"/>
                          <a:ext cx="2972877" cy="647700"/>
                        </a:xfrm>
                        <a:prstGeom prst="roundRect">
                          <a:avLst/>
                        </a:prstGeom>
                        <a:solidFill>
                          <a:schemeClr val="accent3">
                            <a:lumMod val="20000"/>
                            <a:lumOff val="80000"/>
                          </a:schemeClr>
                        </a:solidFill>
                        <a:ln>
                          <a:solidFill>
                            <a:schemeClr val="accent3">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6562161" w14:textId="77777777" w:rsidR="00C41F79" w:rsidRPr="00392C55" w:rsidRDefault="00C41F79" w:rsidP="00D8367A">
                            <w:pPr>
                              <w:spacing w:after="0"/>
                              <w:jc w:val="center"/>
                              <w:rPr>
                                <w:rFonts w:asciiTheme="majorHAnsi" w:hAnsiTheme="majorHAnsi" w:cstheme="majorHAnsi"/>
                                <w:b/>
                                <w:color w:val="375623"/>
                                <w:kern w:val="24"/>
                              </w:rPr>
                            </w:pPr>
                            <w:r w:rsidRPr="00392C55">
                              <w:rPr>
                                <w:rFonts w:asciiTheme="majorHAnsi" w:hAnsiTheme="majorHAnsi" w:cstheme="majorHAnsi"/>
                                <w:b/>
                                <w:color w:val="375623"/>
                                <w:kern w:val="24"/>
                              </w:rPr>
                              <w:t>SÍ → COEXISTENCIA TÉCNICA</w:t>
                            </w:r>
                          </w:p>
                          <w:p w14:paraId="414B57FC" w14:textId="77777777" w:rsidR="00C41F79" w:rsidRPr="00392C55" w:rsidRDefault="00C41F79" w:rsidP="00D8367A">
                            <w:pPr>
                              <w:spacing w:before="40" w:after="0"/>
                              <w:jc w:val="center"/>
                              <w:rPr>
                                <w:rFonts w:asciiTheme="majorHAnsi" w:hAnsiTheme="majorHAnsi" w:cstheme="majorHAnsi"/>
                                <w:color w:val="375623"/>
                                <w:kern w:val="24"/>
                                <w:sz w:val="16"/>
                                <w:szCs w:val="16"/>
                              </w:rPr>
                            </w:pPr>
                            <w:r w:rsidRPr="00392C55">
                              <w:rPr>
                                <w:rFonts w:asciiTheme="majorHAnsi" w:hAnsiTheme="majorHAnsi" w:cstheme="majorHAnsi"/>
                                <w:color w:val="375623"/>
                                <w:kern w:val="24"/>
                                <w:sz w:val="16"/>
                                <w:szCs w:val="16"/>
                              </w:rPr>
                              <w:t>Una sola pérdida indemnizable + contribución proporcional entre aseguradoras (art. 1092 C. Co.).</w:t>
                            </w:r>
                          </w:p>
                          <w:p w14:paraId="027B3EE9" w14:textId="77777777" w:rsidR="00C41F79" w:rsidRDefault="00C41F79" w:rsidP="00C41F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61E46" id="Rectángulo: esquinas redondeadas 119" o:spid="_x0000_s1046" style="position:absolute;margin-left:-39.55pt;margin-top:26.2pt;width:234.1pt;height:5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" fillcolor="#eaf1dd [662]" strokecolor="#76923c [2406]" strokeweight="2pt">
                <v:textbox>
                  <w:txbxContent>
                    <w:p w14:paraId="56562161" w14:textId="77777777" w:rsidR="00C41F79" w:rsidRPr="00392C55" w:rsidRDefault="00C41F79" w:rsidP="00D8367A">
                      <w:pPr>
                        <w:spacing w:after="0"/>
                        <w:jc w:val="center"/>
                        <w:rPr>
                          <w:rFonts w:asciiTheme="majorHAnsi" w:hAnsiTheme="majorHAnsi" w:cstheme="majorHAnsi"/>
                          <w:b/>
                          <w:color w:val="375623"/>
                          <w:kern w:val="24"/>
                        </w:rPr>
                      </w:pPr>
                      <w:r w:rsidRPr="00392C55">
                        <w:rPr>
                          <w:rFonts w:asciiTheme="majorHAnsi" w:hAnsiTheme="majorHAnsi" w:cstheme="majorHAnsi"/>
                          <w:b/>
                          <w:color w:val="375623"/>
                          <w:kern w:val="24"/>
                        </w:rPr>
                        <w:t>SÍ → COEXISTENCIA TÉCNICA</w:t>
                      </w:r>
                    </w:p>
                    <w:p w14:paraId="414B57FC" w14:textId="77777777" w:rsidR="00C41F79" w:rsidRPr="00392C55" w:rsidRDefault="00C41F79" w:rsidP="00D8367A">
                      <w:pPr>
                        <w:spacing w:before="40" w:after="0"/>
                        <w:jc w:val="center"/>
                        <w:rPr>
                          <w:rFonts w:asciiTheme="majorHAnsi" w:hAnsiTheme="majorHAnsi" w:cstheme="majorHAnsi"/>
                          <w:color w:val="375623"/>
                          <w:kern w:val="24"/>
                          <w:sz w:val="16"/>
                          <w:szCs w:val="16"/>
                        </w:rPr>
                      </w:pPr>
                      <w:r w:rsidRPr="00392C55">
                        <w:rPr>
                          <w:rFonts w:asciiTheme="majorHAnsi" w:hAnsiTheme="majorHAnsi" w:cstheme="majorHAnsi"/>
                          <w:color w:val="375623"/>
                          <w:kern w:val="24"/>
                          <w:sz w:val="16"/>
                          <w:szCs w:val="16"/>
                        </w:rPr>
                        <w:t>Una sola pérdida indemnizable + contribución proporcional entre aseguradoras (art. 1092 C. Co.).</w:t>
                      </w:r>
                    </w:p>
                    <w:p w14:paraId="027B3EE9" w14:textId="77777777" w:rsidR="00C41F79" w:rsidRDefault="00C41F79" w:rsidP="00C41F79">
                      <w:pPr>
                        <w:jc w:val="center"/>
                      </w:pPr>
                    </w:p>
                  </w:txbxContent>
                </v:textbox>
              </v:round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70" behindDoc="0" locked="0" layoutInCell="1" allowOverlap="1" wp14:anchorId="29EE7A1C" wp14:editId="383D4092">
                <wp:simplePos x="0" y="0"/>
                <wp:positionH relativeFrom="column">
                  <wp:posOffset>963295</wp:posOffset>
                </wp:positionH>
                <wp:positionV relativeFrom="paragraph">
                  <wp:posOffset>6985</wp:posOffset>
                </wp:positionV>
                <wp:extent cx="457200" cy="274320"/>
                <wp:effectExtent l="0" t="0" r="0" b="0"/>
                <wp:wrapNone/>
                <wp:docPr id="350343990" name="Rectángulo 117"/>
                <wp:cNvGraphicFramePr/>
                <a:graphic xmlns:a="http://schemas.openxmlformats.org/drawingml/2006/main">
                  <a:graphicData uri="http://schemas.microsoft.com/office/word/2010/wordprocessingShape">
                    <wps:wsp>
                      <wps:cNvSpPr/>
                      <wps:spPr>
                        <a:xfrm>
                          <a:off x="0" y="0"/>
                          <a:ext cx="457200" cy="274320"/>
                        </a:xfrm>
                        <a:prstGeom prst="rect">
                          <a:avLst/>
                        </a:prstGeom>
                        <a:noFill/>
                      </wps:spPr>
                      <wps:txbx>
                        <w:txbxContent>
                          <w:p w14:paraId="0778E75C"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wps:txbx>
                      <wps:bodyPr wrap="square" lIns="72000" tIns="36000" rIns="72000" bIns="36000" anchor="ctr">
                        <a:normAutofit/>
                      </wps:bodyPr>
                    </wps:wsp>
                  </a:graphicData>
                </a:graphic>
                <wp14:sizeRelH relativeFrom="margin">
                  <wp14:pctWidth>0</wp14:pctWidth>
                </wp14:sizeRelH>
                <wp14:sizeRelV relativeFrom="margin">
                  <wp14:pctHeight>0</wp14:pctHeight>
                </wp14:sizeRelV>
              </wp:anchor>
            </w:drawing>
          </mc:Choice>
          <mc:Fallback>
            <w:pict>
              <v:rect w14:anchorId="29EE7A1C" id="Rectángulo 117" o:spid="_x0000_s1047" style="position:absolute;margin-left:75.85pt;margin-top:.55pt;width:36pt;height:21.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" filled="f" stroked="f">
                <v:textbox inset="2mm,1mm,2mm,1mm">
                  <w:txbxContent>
                    <w:p w14:paraId="0778E75C" w14:textId="77777777" w:rsidR="00F24D82" w:rsidRPr="00392C55" w:rsidRDefault="00F24D82" w:rsidP="00F24D82">
                      <w:pPr>
                        <w:jc w:val="center"/>
                        <w:rPr>
                          <w:rFonts w:asciiTheme="majorHAnsi" w:hAnsiTheme="majorHAnsi" w:cstheme="majorHAnsi"/>
                          <w:b/>
                          <w:color w:val="375623"/>
                          <w:kern w:val="24"/>
                          <w:sz w:val="20"/>
                          <w:szCs w:val="20"/>
                        </w:rPr>
                      </w:pPr>
                      <w:r w:rsidRPr="00392C55">
                        <w:rPr>
                          <w:rFonts w:asciiTheme="majorHAnsi" w:hAnsiTheme="majorHAnsi" w:cstheme="majorHAnsi"/>
                          <w:b/>
                          <w:color w:val="375623"/>
                          <w:kern w:val="24"/>
                          <w:sz w:val="20"/>
                          <w:szCs w:val="20"/>
                        </w:rPr>
                        <w:t>SÍ</w:t>
                      </w:r>
                    </w:p>
                  </w:txbxContent>
                </v:textbox>
              </v:rect>
            </w:pict>
          </mc:Fallback>
        </mc:AlternateContent>
      </w:r>
      <w:r w:rsidRPr="00E04254">
        <w:rPr>
          <w:rFonts w:asciiTheme="majorHAnsi" w:hAnsiTheme="majorHAnsi" w:cstheme="majorHAnsi"/>
          <w:noProof/>
        </w:rPr>
        <mc:AlternateContent>
          <mc:Choice Requires="wps">
            <w:drawing>
              <wp:anchor distT="0" distB="0" distL="114300" distR="114300" simplePos="0" relativeHeight="251658260" behindDoc="0" locked="0" layoutInCell="1" allowOverlap="1" wp14:anchorId="75C47F65" wp14:editId="221A1038">
                <wp:simplePos x="0" y="0"/>
                <wp:positionH relativeFrom="column">
                  <wp:posOffset>1000125</wp:posOffset>
                </wp:positionH>
                <wp:positionV relativeFrom="paragraph">
                  <wp:posOffset>6350</wp:posOffset>
                </wp:positionV>
                <wp:extent cx="0" cy="262255"/>
                <wp:effectExtent l="76200" t="0" r="57150" b="61595"/>
                <wp:wrapNone/>
                <wp:docPr id="53442704" name="Conector recto de flecha 118"/>
                <wp:cNvGraphicFramePr/>
                <a:graphic xmlns:a="http://schemas.openxmlformats.org/drawingml/2006/main">
                  <a:graphicData uri="http://schemas.microsoft.com/office/word/2010/wordprocessingShape">
                    <wps:wsp>
                      <wps:cNvCnPr/>
                      <wps:spPr>
                        <a:xfrm>
                          <a:off x="0" y="0"/>
                          <a:ext cx="0" cy="262255"/>
                        </a:xfrm>
                        <a:prstGeom prst="straightConnector1">
                          <a:avLst/>
                        </a:prstGeom>
                        <a:ln>
                          <a:solidFill>
                            <a:schemeClr val="accent3">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DF2CBA" id="Conector recto de flecha 118" o:spid="_x0000_s1026" type="#_x0000_t32" style="position:absolute;margin-left:78.75pt;margin-top:.5pt;width:0;height:20.6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" strokecolor="#76923c [2406]">
                <v:stroke endarrow="block"/>
              </v:shape>
            </w:pict>
          </mc:Fallback>
        </mc:AlternateContent>
      </w:r>
    </w:p>
    <w:p w14:paraId="3D9B523E" w14:textId="1F7577E4" w:rsidR="00A46DF1" w:rsidRPr="00E04254" w:rsidRDefault="00A46DF1" w:rsidP="000D7498">
      <w:pPr>
        <w:rPr>
          <w:rFonts w:asciiTheme="majorHAnsi" w:hAnsiTheme="majorHAnsi" w:cstheme="majorHAnsi"/>
        </w:rPr>
      </w:pPr>
    </w:p>
    <w:p w14:paraId="498BE8EE" w14:textId="4AD23A68" w:rsidR="00A46DF1" w:rsidRPr="00E04254" w:rsidRDefault="00A46DF1" w:rsidP="000D7498">
      <w:pPr>
        <w:rPr>
          <w:rFonts w:asciiTheme="majorHAnsi" w:hAnsiTheme="majorHAnsi" w:cstheme="majorHAnsi"/>
          <w:sz w:val="22"/>
          <w:szCs w:val="22"/>
        </w:rPr>
      </w:pPr>
    </w:p>
    <w:p w14:paraId="51B36929" w14:textId="77777777" w:rsidR="00A46DF1" w:rsidRPr="00E04254" w:rsidRDefault="00A46DF1" w:rsidP="000D7498">
      <w:pPr>
        <w:rPr>
          <w:rFonts w:asciiTheme="majorHAnsi" w:hAnsiTheme="majorHAnsi" w:cstheme="majorHAnsi"/>
          <w:sz w:val="22"/>
          <w:szCs w:val="22"/>
        </w:rPr>
      </w:pPr>
    </w:p>
    <w:p w14:paraId="4C2902EA" w14:textId="4B1FFB95" w:rsidR="00B21422" w:rsidRPr="00E04254" w:rsidRDefault="00B21422" w:rsidP="00AD75B0">
      <w:pPr>
        <w:pStyle w:val="FirstParagraph"/>
        <w:jc w:val="both"/>
        <w:rPr>
          <w:rFonts w:asciiTheme="majorHAnsi" w:hAnsiTheme="majorHAnsi" w:cstheme="majorHAnsi"/>
          <w:sz w:val="22"/>
          <w:szCs w:val="22"/>
        </w:rPr>
      </w:pPr>
      <w:r w:rsidRPr="00E04254">
        <w:rPr>
          <w:rFonts w:asciiTheme="majorHAnsi" w:hAnsiTheme="majorHAnsi" w:cstheme="majorHAnsi"/>
          <w:b/>
          <w:sz w:val="22"/>
          <w:szCs w:val="22"/>
        </w:rPr>
        <w:t>Ejemplo.</w:t>
      </w:r>
      <w:r w:rsidRPr="00E04254">
        <w:rPr>
          <w:rFonts w:asciiTheme="majorHAnsi" w:hAnsiTheme="majorHAnsi" w:cstheme="majorHAnsi"/>
          <w:sz w:val="22"/>
          <w:szCs w:val="22"/>
        </w:rPr>
        <w:t xml:space="preserve"> Sobre el edificio “Torre del Río” existen: (i) la póliza de la copropiedad sobre bienes comunes y (ii) la póliza de incendio y terremoto asociada al crédito hipotecario del apartamento 501.</w:t>
      </w:r>
    </w:p>
    <w:p w14:paraId="5C61B421" w14:textId="77777777" w:rsidR="00B21422" w:rsidRPr="00E04254" w:rsidRDefault="00B21422" w:rsidP="000559A4">
      <w:pPr>
        <w:pStyle w:val="Compact"/>
        <w:numPr>
          <w:ilvl w:val="0"/>
          <w:numId w:val="13"/>
        </w:numPr>
        <w:ind w:left="426"/>
        <w:jc w:val="both"/>
        <w:rPr>
          <w:rFonts w:asciiTheme="majorHAnsi" w:hAnsiTheme="majorHAnsi" w:cstheme="majorHAnsi"/>
          <w:sz w:val="22"/>
          <w:szCs w:val="22"/>
        </w:rPr>
      </w:pPr>
      <w:r w:rsidRPr="00E04254">
        <w:rPr>
          <w:rFonts w:asciiTheme="majorHAnsi" w:hAnsiTheme="majorHAnsi" w:cstheme="majorHAnsi"/>
          <w:sz w:val="22"/>
          <w:szCs w:val="22"/>
        </w:rPr>
        <w:t>El interés de la primera es el derecho proindiviso de todos los copropietarios sobre estructura, fachadas, cubiertas y demás bienes comunes (Ley 675 de 2001).</w:t>
      </w:r>
    </w:p>
    <w:p w14:paraId="2B48501F" w14:textId="77777777" w:rsidR="00B21422" w:rsidRPr="00E04254" w:rsidRDefault="00B21422" w:rsidP="000559A4">
      <w:pPr>
        <w:pStyle w:val="Compact"/>
        <w:numPr>
          <w:ilvl w:val="0"/>
          <w:numId w:val="13"/>
        </w:numPr>
        <w:ind w:left="426"/>
        <w:jc w:val="both"/>
        <w:rPr>
          <w:rFonts w:asciiTheme="majorHAnsi" w:hAnsiTheme="majorHAnsi" w:cstheme="majorHAnsi"/>
          <w:sz w:val="22"/>
          <w:szCs w:val="22"/>
        </w:rPr>
      </w:pPr>
      <w:r w:rsidRPr="00E04254">
        <w:rPr>
          <w:rFonts w:asciiTheme="majorHAnsi" w:hAnsiTheme="majorHAnsi" w:cstheme="majorHAnsi"/>
          <w:sz w:val="22"/>
          <w:szCs w:val="22"/>
        </w:rPr>
        <w:t>El interés de la segunda es la parte destructible del bien privado (apto. 501), con el banco como beneficiario a título oneroso hasta el saldo insoluto (Art. 101 EOSF).</w:t>
      </w:r>
    </w:p>
    <w:p w14:paraId="103691F4" w14:textId="77777777" w:rsidR="00B21422" w:rsidRPr="00E04254" w:rsidRDefault="00B21422" w:rsidP="000559A4">
      <w:pPr>
        <w:pStyle w:val="FirstParagraph"/>
        <w:ind w:left="426"/>
        <w:jc w:val="both"/>
        <w:rPr>
          <w:rFonts w:asciiTheme="majorHAnsi" w:hAnsiTheme="majorHAnsi" w:cstheme="majorHAnsi"/>
          <w:sz w:val="22"/>
          <w:szCs w:val="22"/>
        </w:rPr>
      </w:pPr>
      <w:r w:rsidRPr="00E04254">
        <w:rPr>
          <w:rFonts w:asciiTheme="majorHAnsi" w:hAnsiTheme="majorHAnsi" w:cstheme="majorHAnsi"/>
          <w:sz w:val="22"/>
          <w:szCs w:val="22"/>
        </w:rPr>
        <w:lastRenderedPageBreak/>
        <w:t>Aunque ambas pólizas amparen terremoto y recaigan sobre el mismo edificio en sentido físico, el objeto y el interés asegurado son distintos. En consecuencia, por regla general no habría coexistencia técnica y cada aseguradora debería atender la porción que corresponda conforme a su contrato.</w:t>
      </w:r>
    </w:p>
    <w:p w14:paraId="3F7595A3" w14:textId="1262A024" w:rsidR="00AB71BB" w:rsidRPr="00E04254" w:rsidRDefault="000B7C81" w:rsidP="007C4BC3">
      <w:pPr>
        <w:pStyle w:val="Ttulo1"/>
        <w:spacing w:after="240"/>
        <w:rPr>
          <w:rFonts w:cstheme="majorHAnsi"/>
          <w:sz w:val="26"/>
          <w:szCs w:val="26"/>
        </w:rPr>
      </w:pPr>
      <w:r w:rsidRPr="00E04254">
        <w:rPr>
          <w:rFonts w:cstheme="majorHAnsi"/>
          <w:sz w:val="26"/>
          <w:szCs w:val="26"/>
        </w:rPr>
        <w:t>4</w:t>
      </w:r>
      <w:r w:rsidR="00AB71BB" w:rsidRPr="00E04254">
        <w:rPr>
          <w:rFonts w:cstheme="majorHAnsi"/>
          <w:sz w:val="26"/>
          <w:szCs w:val="26"/>
        </w:rPr>
        <w:t>.</w:t>
      </w:r>
      <w:r w:rsidRPr="00E04254">
        <w:rPr>
          <w:rFonts w:cstheme="majorHAnsi"/>
          <w:sz w:val="26"/>
          <w:szCs w:val="26"/>
        </w:rPr>
        <w:t xml:space="preserve"> </w:t>
      </w:r>
      <w:r w:rsidR="000B2A1B" w:rsidRPr="00E04254">
        <w:rPr>
          <w:rFonts w:cstheme="majorHAnsi"/>
          <w:sz w:val="26"/>
          <w:szCs w:val="26"/>
        </w:rPr>
        <w:t xml:space="preserve">Escenarios de análisis y criterios </w:t>
      </w:r>
    </w:p>
    <w:tbl>
      <w:tblPr>
        <w:tblStyle w:val="Tablaconcuadrcula1clara-nfasis1"/>
        <w:tblW w:w="0" w:type="auto"/>
        <w:tblInd w:w="392" w:type="dxa"/>
        <w:tblLook w:val="04A0" w:firstRow="1" w:lastRow="0" w:firstColumn="1" w:lastColumn="0" w:noHBand="0" w:noVBand="1"/>
      </w:tblPr>
      <w:tblGrid>
        <w:gridCol w:w="1640"/>
        <w:gridCol w:w="2983"/>
        <w:gridCol w:w="4039"/>
      </w:tblGrid>
      <w:tr w:rsidR="009856C2" w:rsidRPr="00E04254" w14:paraId="2C7B8713" w14:textId="77777777" w:rsidTr="00CB6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7A1A25F" w14:textId="650C32B5" w:rsidR="009856C2" w:rsidRPr="00E04254" w:rsidRDefault="00510B03" w:rsidP="000D7498">
            <w:pPr>
              <w:rPr>
                <w:rFonts w:asciiTheme="majorHAnsi" w:hAnsiTheme="majorHAnsi" w:cstheme="majorHAnsi"/>
                <w:sz w:val="22"/>
                <w:szCs w:val="22"/>
              </w:rPr>
            </w:pPr>
            <w:r w:rsidRPr="00E04254">
              <w:rPr>
                <w:rFonts w:asciiTheme="majorHAnsi" w:hAnsiTheme="majorHAnsi" w:cstheme="majorHAnsi"/>
                <w:sz w:val="22"/>
                <w:szCs w:val="22"/>
              </w:rPr>
              <w:t>Análisis</w:t>
            </w:r>
          </w:p>
        </w:tc>
        <w:tc>
          <w:tcPr>
            <w:tcW w:w="3118" w:type="dxa"/>
          </w:tcPr>
          <w:p w14:paraId="6EDF0554" w14:textId="3D16CEB4" w:rsidR="009856C2" w:rsidRPr="00E04254" w:rsidRDefault="00510B03" w:rsidP="000D749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¿Cuándo</w:t>
            </w:r>
            <w:r w:rsidR="009856C2" w:rsidRPr="00E04254">
              <w:rPr>
                <w:rFonts w:asciiTheme="majorHAnsi" w:hAnsiTheme="majorHAnsi" w:cstheme="majorHAnsi"/>
                <w:sz w:val="22"/>
                <w:szCs w:val="22"/>
              </w:rPr>
              <w:t xml:space="preserve"> se presenta</w:t>
            </w:r>
            <w:r w:rsidRPr="00E04254">
              <w:rPr>
                <w:rFonts w:asciiTheme="majorHAnsi" w:hAnsiTheme="majorHAnsi" w:cstheme="majorHAnsi"/>
                <w:sz w:val="22"/>
                <w:szCs w:val="22"/>
              </w:rPr>
              <w:t>?</w:t>
            </w:r>
          </w:p>
        </w:tc>
        <w:tc>
          <w:tcPr>
            <w:tcW w:w="4268" w:type="dxa"/>
          </w:tcPr>
          <w:p w14:paraId="7CDC5A27" w14:textId="77777777" w:rsidR="009856C2" w:rsidRPr="00E04254" w:rsidRDefault="009856C2" w:rsidP="000D749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Regla operativa</w:t>
            </w:r>
          </w:p>
        </w:tc>
      </w:tr>
      <w:tr w:rsidR="009856C2" w:rsidRPr="00E04254" w14:paraId="68E3CB39" w14:textId="77777777" w:rsidTr="00CB6318">
        <w:tc>
          <w:tcPr>
            <w:cnfStyle w:val="001000000000" w:firstRow="0" w:lastRow="0" w:firstColumn="1" w:lastColumn="0" w:oddVBand="0" w:evenVBand="0" w:oddHBand="0" w:evenHBand="0" w:firstRowFirstColumn="0" w:firstRowLastColumn="0" w:lastRowFirstColumn="0" w:lastRowLastColumn="0"/>
            <w:tcW w:w="1276" w:type="dxa"/>
          </w:tcPr>
          <w:p w14:paraId="19F9B5F4" w14:textId="364DB345" w:rsidR="009856C2" w:rsidRPr="00E04254" w:rsidRDefault="00917148" w:rsidP="000D7498">
            <w:pPr>
              <w:rPr>
                <w:rFonts w:asciiTheme="majorHAnsi" w:hAnsiTheme="majorHAnsi" w:cstheme="majorHAnsi"/>
                <w:sz w:val="22"/>
                <w:szCs w:val="22"/>
              </w:rPr>
            </w:pPr>
            <w:r w:rsidRPr="00E04254">
              <w:rPr>
                <w:rFonts w:asciiTheme="majorHAnsi" w:hAnsiTheme="majorHAnsi" w:cstheme="majorHAnsi"/>
                <w:sz w:val="22"/>
                <w:szCs w:val="22"/>
              </w:rPr>
              <w:t>Coexistencia técnica</w:t>
            </w:r>
          </w:p>
        </w:tc>
        <w:tc>
          <w:tcPr>
            <w:tcW w:w="3118" w:type="dxa"/>
          </w:tcPr>
          <w:p w14:paraId="1BC60126" w14:textId="77777777"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Las cuatro identidades del art. 1094 concurren sobre la misma porción del daño.</w:t>
            </w:r>
          </w:p>
        </w:tc>
        <w:tc>
          <w:tcPr>
            <w:tcW w:w="4268" w:type="dxa"/>
          </w:tcPr>
          <w:p w14:paraId="1626C86D" w14:textId="345437B3"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 xml:space="preserve">Una sola pérdida indemnizable. Las aseguradoras contribuyen proporcionalmente según sus sumas aseguradas. El cruce es </w:t>
            </w:r>
            <w:r w:rsidR="00BD3F72" w:rsidRPr="00E04254">
              <w:rPr>
                <w:rFonts w:asciiTheme="majorHAnsi" w:hAnsiTheme="majorHAnsi" w:cstheme="majorHAnsi"/>
                <w:sz w:val="22"/>
                <w:szCs w:val="22"/>
              </w:rPr>
              <w:t>entre compañías</w:t>
            </w:r>
            <w:r w:rsidRPr="00E04254">
              <w:rPr>
                <w:rFonts w:asciiTheme="majorHAnsi" w:hAnsiTheme="majorHAnsi" w:cstheme="majorHAnsi"/>
                <w:sz w:val="22"/>
                <w:szCs w:val="22"/>
              </w:rPr>
              <w:t xml:space="preserve"> y no debe trasladarse al consumidor.</w:t>
            </w:r>
          </w:p>
        </w:tc>
      </w:tr>
      <w:tr w:rsidR="009856C2" w:rsidRPr="00E04254" w14:paraId="5B9C1FFD" w14:textId="77777777" w:rsidTr="00CB6318">
        <w:tc>
          <w:tcPr>
            <w:cnfStyle w:val="001000000000" w:firstRow="0" w:lastRow="0" w:firstColumn="1" w:lastColumn="0" w:oddVBand="0" w:evenVBand="0" w:oddHBand="0" w:evenHBand="0" w:firstRowFirstColumn="0" w:firstRowLastColumn="0" w:lastRowFirstColumn="0" w:lastRowLastColumn="0"/>
            <w:tcW w:w="1276" w:type="dxa"/>
          </w:tcPr>
          <w:p w14:paraId="05F82A71" w14:textId="19A0463B" w:rsidR="009856C2" w:rsidRPr="00E04254" w:rsidRDefault="00917148" w:rsidP="000D7498">
            <w:pPr>
              <w:rPr>
                <w:rFonts w:asciiTheme="majorHAnsi" w:hAnsiTheme="majorHAnsi" w:cstheme="majorHAnsi"/>
                <w:sz w:val="22"/>
                <w:szCs w:val="22"/>
              </w:rPr>
            </w:pPr>
            <w:r w:rsidRPr="00E04254">
              <w:rPr>
                <w:rFonts w:asciiTheme="majorHAnsi" w:hAnsiTheme="majorHAnsi" w:cstheme="majorHAnsi"/>
                <w:sz w:val="22"/>
                <w:szCs w:val="22"/>
              </w:rPr>
              <w:t xml:space="preserve">Concurrencia de </w:t>
            </w:r>
            <w:r w:rsidR="00BD3F72" w:rsidRPr="00E04254">
              <w:rPr>
                <w:rFonts w:asciiTheme="majorHAnsi" w:hAnsiTheme="majorHAnsi" w:cstheme="majorHAnsi"/>
                <w:sz w:val="22"/>
                <w:szCs w:val="22"/>
              </w:rPr>
              <w:t>interés</w:t>
            </w:r>
            <w:r w:rsidRPr="00E04254">
              <w:rPr>
                <w:rFonts w:asciiTheme="majorHAnsi" w:hAnsiTheme="majorHAnsi" w:cstheme="majorHAnsi"/>
                <w:sz w:val="22"/>
                <w:szCs w:val="22"/>
              </w:rPr>
              <w:t xml:space="preserve"> asegurable </w:t>
            </w:r>
          </w:p>
        </w:tc>
        <w:tc>
          <w:tcPr>
            <w:tcW w:w="3118" w:type="dxa"/>
          </w:tcPr>
          <w:p w14:paraId="1C80F7A3" w14:textId="77777777"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Las pólizas protegen intereses distintos, pero existe una porción específica coincidente, por ejemplo, cuota parte de bienes comunes expresamente amparada.</w:t>
            </w:r>
          </w:p>
        </w:tc>
        <w:tc>
          <w:tcPr>
            <w:tcW w:w="4268" w:type="dxa"/>
          </w:tcPr>
          <w:p w14:paraId="1AA8DFBD" w14:textId="77777777"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Cada póliza atiende su ámbito propio. La coordinación se concentra exclusivamente en la porción coincidente o faltante, conforme al contrato.</w:t>
            </w:r>
          </w:p>
        </w:tc>
      </w:tr>
      <w:tr w:rsidR="009856C2" w:rsidRPr="00E04254" w14:paraId="15E570D2" w14:textId="77777777" w:rsidTr="00CB6318">
        <w:tc>
          <w:tcPr>
            <w:cnfStyle w:val="001000000000" w:firstRow="0" w:lastRow="0" w:firstColumn="1" w:lastColumn="0" w:oddVBand="0" w:evenVBand="0" w:oddHBand="0" w:evenHBand="0" w:firstRowFirstColumn="0" w:firstRowLastColumn="0" w:lastRowFirstColumn="0" w:lastRowLastColumn="0"/>
            <w:tcW w:w="1276" w:type="dxa"/>
          </w:tcPr>
          <w:p w14:paraId="0F840DF2" w14:textId="205E804C" w:rsidR="009856C2" w:rsidRPr="00E04254" w:rsidRDefault="00917148" w:rsidP="000D7498">
            <w:pPr>
              <w:rPr>
                <w:rFonts w:asciiTheme="majorHAnsi" w:hAnsiTheme="majorHAnsi" w:cstheme="majorHAnsi"/>
                <w:sz w:val="22"/>
                <w:szCs w:val="22"/>
              </w:rPr>
            </w:pPr>
            <w:r w:rsidRPr="00E04254">
              <w:rPr>
                <w:rFonts w:asciiTheme="majorHAnsi" w:hAnsiTheme="majorHAnsi" w:cstheme="majorHAnsi"/>
                <w:sz w:val="22"/>
                <w:szCs w:val="22"/>
              </w:rPr>
              <w:t>Coberturas independientes</w:t>
            </w:r>
          </w:p>
        </w:tc>
        <w:tc>
          <w:tcPr>
            <w:tcW w:w="3118" w:type="dxa"/>
          </w:tcPr>
          <w:p w14:paraId="5817B901" w14:textId="77777777"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Falla alguna de las identidades o las pólizas protegen intereses/riesgos diferentes.</w:t>
            </w:r>
          </w:p>
        </w:tc>
        <w:tc>
          <w:tcPr>
            <w:tcW w:w="4268" w:type="dxa"/>
          </w:tcPr>
          <w:p w14:paraId="21214F21" w14:textId="77777777" w:rsidR="009856C2" w:rsidRPr="00E04254" w:rsidRDefault="009856C2" w:rsidP="00BD3F7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Cada aseguradora liquida y paga conforme a su contrato, sin descuentos o distribuciones entre compañías que no correspondan.</w:t>
            </w:r>
          </w:p>
        </w:tc>
      </w:tr>
    </w:tbl>
    <w:p w14:paraId="1337D33B" w14:textId="264F3205" w:rsidR="002E2D9D" w:rsidRPr="00E04254" w:rsidRDefault="5D5E3D6F" w:rsidP="007C4BC3">
      <w:pPr>
        <w:pStyle w:val="Ttulo1"/>
        <w:spacing w:after="240"/>
        <w:rPr>
          <w:rFonts w:cstheme="majorHAnsi"/>
          <w:sz w:val="26"/>
          <w:szCs w:val="26"/>
        </w:rPr>
      </w:pPr>
      <w:r w:rsidRPr="00E04254">
        <w:rPr>
          <w:rFonts w:cstheme="majorHAnsi"/>
          <w:sz w:val="26"/>
          <w:szCs w:val="26"/>
        </w:rPr>
        <w:t xml:space="preserve">5. </w:t>
      </w:r>
      <w:r w:rsidR="000B2A1B" w:rsidRPr="00E04254">
        <w:rPr>
          <w:rFonts w:cstheme="majorHAnsi"/>
          <w:sz w:val="26"/>
          <w:szCs w:val="26"/>
        </w:rPr>
        <w:t xml:space="preserve">Matriz </w:t>
      </w:r>
      <w:r w:rsidR="006E4913" w:rsidRPr="00E04254">
        <w:rPr>
          <w:rFonts w:cstheme="majorHAnsi"/>
          <w:sz w:val="26"/>
          <w:szCs w:val="26"/>
        </w:rPr>
        <w:t>guía</w:t>
      </w:r>
    </w:p>
    <w:tbl>
      <w:tblPr>
        <w:tblStyle w:val="Tabladelista3-nfasis1"/>
        <w:tblW w:w="4775" w:type="pct"/>
        <w:tblInd w:w="392" w:type="dxa"/>
        <w:tblLook w:val="0020" w:firstRow="1" w:lastRow="0" w:firstColumn="0" w:lastColumn="0" w:noHBand="0" w:noVBand="0"/>
      </w:tblPr>
      <w:tblGrid>
        <w:gridCol w:w="1446"/>
        <w:gridCol w:w="2665"/>
        <w:gridCol w:w="2409"/>
        <w:gridCol w:w="2127"/>
      </w:tblGrid>
      <w:tr w:rsidR="00992F09" w:rsidRPr="00E04254" w14:paraId="4656ABAB" w14:textId="77777777" w:rsidTr="00225A4D">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6" w:type="pct"/>
          </w:tcPr>
          <w:p w14:paraId="20177076" w14:textId="77777777" w:rsidR="00992F09" w:rsidRPr="00E04254" w:rsidRDefault="00992F09" w:rsidP="00225A4D">
            <w:pPr>
              <w:rPr>
                <w:rFonts w:asciiTheme="majorHAnsi" w:hAnsiTheme="majorHAnsi" w:cstheme="majorHAnsi"/>
                <w:sz w:val="20"/>
                <w:szCs w:val="20"/>
              </w:rPr>
            </w:pPr>
            <w:r w:rsidRPr="00E04254">
              <w:rPr>
                <w:rFonts w:asciiTheme="majorHAnsi" w:hAnsiTheme="majorHAnsi" w:cstheme="majorHAnsi"/>
                <w:sz w:val="20"/>
                <w:szCs w:val="20"/>
              </w:rPr>
              <w:t>Tipo de Caso</w:t>
            </w:r>
          </w:p>
        </w:tc>
        <w:tc>
          <w:tcPr>
            <w:tcW w:w="1541" w:type="pct"/>
          </w:tcPr>
          <w:p w14:paraId="3E423183" w14:textId="77777777" w:rsidR="00992F09" w:rsidRPr="00E04254" w:rsidRDefault="00992F09" w:rsidP="009D6E28">
            <w:pPr>
              <w:pStyle w:val="Compact"/>
              <w:jc w:val="center"/>
              <w:cnfStyle w:val="100000000000" w:firstRow="1" w:lastRow="0" w:firstColumn="0" w:lastColumn="0" w:oddVBand="0" w:evenVBand="0" w:oddHBand="0" w:evenHBand="0" w:firstRowFirstColumn="0" w:firstRowLastColumn="0" w:lastRowFirstColumn="0" w:lastRowLastColumn="0"/>
              <w:rPr>
                <w:rFonts w:asciiTheme="majorHAnsi" w:eastAsiaTheme="minorEastAsia" w:hAnsiTheme="majorHAnsi" w:cstheme="majorHAnsi"/>
                <w:sz w:val="20"/>
                <w:szCs w:val="20"/>
              </w:rPr>
            </w:pPr>
            <w:r w:rsidRPr="00E04254">
              <w:rPr>
                <w:rFonts w:asciiTheme="majorHAnsi" w:eastAsiaTheme="minorEastAsia" w:hAnsiTheme="majorHAnsi" w:cstheme="majorHAnsi"/>
                <w:sz w:val="20"/>
                <w:szCs w:val="20"/>
              </w:rPr>
              <w:t>¿Hay coexistencia (Art. 1094 C.Co.)?</w:t>
            </w:r>
          </w:p>
        </w:tc>
        <w:tc>
          <w:tcPr>
            <w:cnfStyle w:val="000010000000" w:firstRow="0" w:lastRow="0" w:firstColumn="0" w:lastColumn="0" w:oddVBand="1" w:evenVBand="0" w:oddHBand="0" w:evenHBand="0" w:firstRowFirstColumn="0" w:firstRowLastColumn="0" w:lastRowFirstColumn="0" w:lastRowLastColumn="0"/>
            <w:tcW w:w="1393" w:type="pct"/>
          </w:tcPr>
          <w:p w14:paraId="0C7255D8" w14:textId="5C5AA126" w:rsidR="00992F09" w:rsidRPr="00E04254" w:rsidRDefault="00992F09" w:rsidP="009D6E28">
            <w:pPr>
              <w:pStyle w:val="Compact"/>
              <w:jc w:val="center"/>
              <w:rPr>
                <w:rFonts w:asciiTheme="majorHAnsi" w:eastAsiaTheme="minorEastAsia" w:hAnsiTheme="majorHAnsi" w:cstheme="majorHAnsi"/>
                <w:sz w:val="20"/>
                <w:szCs w:val="20"/>
              </w:rPr>
            </w:pPr>
            <w:r w:rsidRPr="00E04254">
              <w:rPr>
                <w:rFonts w:asciiTheme="majorHAnsi" w:eastAsiaTheme="minorEastAsia" w:hAnsiTheme="majorHAnsi" w:cstheme="majorHAnsi"/>
                <w:sz w:val="20"/>
                <w:szCs w:val="20"/>
              </w:rPr>
              <w:t>¿</w:t>
            </w:r>
            <w:r w:rsidR="00A20AA4" w:rsidRPr="00E04254">
              <w:rPr>
                <w:rFonts w:asciiTheme="majorHAnsi" w:eastAsiaTheme="minorEastAsia" w:hAnsiTheme="majorHAnsi" w:cstheme="majorHAnsi"/>
                <w:sz w:val="20"/>
                <w:szCs w:val="20"/>
              </w:rPr>
              <w:t xml:space="preserve">Cómo </w:t>
            </w:r>
            <w:r w:rsidR="009D6E28" w:rsidRPr="00E04254">
              <w:rPr>
                <w:rFonts w:asciiTheme="majorHAnsi" w:eastAsiaTheme="minorEastAsia" w:hAnsiTheme="majorHAnsi" w:cstheme="majorHAnsi"/>
                <w:sz w:val="20"/>
                <w:szCs w:val="20"/>
              </w:rPr>
              <w:t>se surtiría la indemnización</w:t>
            </w:r>
            <w:r w:rsidRPr="00E04254">
              <w:rPr>
                <w:rFonts w:asciiTheme="majorHAnsi" w:eastAsiaTheme="minorEastAsia" w:hAnsiTheme="majorHAnsi" w:cstheme="majorHAnsi"/>
                <w:sz w:val="20"/>
                <w:szCs w:val="20"/>
              </w:rPr>
              <w:t>?</w:t>
            </w:r>
          </w:p>
        </w:tc>
        <w:tc>
          <w:tcPr>
            <w:tcW w:w="1230" w:type="pct"/>
          </w:tcPr>
          <w:p w14:paraId="1953FE7C" w14:textId="77777777" w:rsidR="00992F09" w:rsidRPr="00E04254" w:rsidRDefault="00992F09" w:rsidP="009D6E28">
            <w:pPr>
              <w:pStyle w:val="Compact"/>
              <w:jc w:val="center"/>
              <w:cnfStyle w:val="100000000000" w:firstRow="1" w:lastRow="0" w:firstColumn="0" w:lastColumn="0" w:oddVBand="0" w:evenVBand="0" w:oddHBand="0" w:evenHBand="0" w:firstRowFirstColumn="0" w:firstRowLastColumn="0" w:lastRowFirstColumn="0" w:lastRowLastColumn="0"/>
              <w:rPr>
                <w:rFonts w:asciiTheme="majorHAnsi" w:eastAsiaTheme="minorEastAsia" w:hAnsiTheme="majorHAnsi" w:cstheme="majorHAnsi"/>
                <w:sz w:val="20"/>
                <w:szCs w:val="20"/>
              </w:rPr>
            </w:pPr>
            <w:r w:rsidRPr="00E04254">
              <w:rPr>
                <w:rFonts w:asciiTheme="majorHAnsi" w:eastAsiaTheme="minorEastAsia" w:hAnsiTheme="majorHAnsi" w:cstheme="majorHAnsi"/>
                <w:sz w:val="20"/>
                <w:szCs w:val="20"/>
              </w:rPr>
              <w:t>Soportes sugeridos para el análisis</w:t>
            </w:r>
          </w:p>
        </w:tc>
      </w:tr>
      <w:tr w:rsidR="00992F09" w:rsidRPr="00E04254" w14:paraId="74A2D988" w14:textId="77777777" w:rsidTr="00225A4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6" w:type="pct"/>
          </w:tcPr>
          <w:p w14:paraId="09B67641" w14:textId="77777777" w:rsidR="00992F09" w:rsidRPr="00E04254" w:rsidRDefault="00992F09" w:rsidP="00691FE7">
            <w:pPr>
              <w:rPr>
                <w:rFonts w:asciiTheme="majorHAnsi" w:hAnsiTheme="majorHAnsi" w:cstheme="majorHAnsi"/>
                <w:b/>
                <w:sz w:val="20"/>
                <w:szCs w:val="20"/>
              </w:rPr>
            </w:pPr>
            <w:r w:rsidRPr="00E04254">
              <w:rPr>
                <w:rFonts w:asciiTheme="majorHAnsi" w:hAnsiTheme="majorHAnsi" w:cstheme="majorHAnsi"/>
                <w:b/>
                <w:sz w:val="20"/>
                <w:szCs w:val="20"/>
              </w:rPr>
              <w:t>Copropiedad (comunes) + hogar voluntario</w:t>
            </w:r>
          </w:p>
          <w:p w14:paraId="0604AA0C" w14:textId="6A2C0E70" w:rsidR="00690D2B" w:rsidRPr="00E04254" w:rsidRDefault="00690D2B" w:rsidP="00225A4D">
            <w:pPr>
              <w:rPr>
                <w:rFonts w:asciiTheme="majorHAnsi" w:hAnsiTheme="majorHAnsi" w:cstheme="majorHAnsi"/>
                <w:sz w:val="20"/>
                <w:szCs w:val="20"/>
              </w:rPr>
            </w:pPr>
          </w:p>
        </w:tc>
        <w:tc>
          <w:tcPr>
            <w:tcW w:w="1541" w:type="pct"/>
          </w:tcPr>
          <w:p w14:paraId="7BFC498D" w14:textId="77777777" w:rsidR="00992F09" w:rsidRPr="00E04254" w:rsidRDefault="00992F09" w:rsidP="00690D2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Por regla general no, por tratarse de intereses distintos. Puede existir coexistencia únicamente frente a la cuota parte de comunes, si está expresamente amparada.</w:t>
            </w:r>
          </w:p>
        </w:tc>
        <w:tc>
          <w:tcPr>
            <w:cnfStyle w:val="000010000000" w:firstRow="0" w:lastRow="0" w:firstColumn="0" w:lastColumn="0" w:oddVBand="1" w:evenVBand="0" w:oddHBand="0" w:evenHBand="0" w:firstRowFirstColumn="0" w:firstRowLastColumn="0" w:lastRowFirstColumn="0" w:lastRowLastColumn="0"/>
            <w:tcW w:w="1393" w:type="pct"/>
          </w:tcPr>
          <w:p w14:paraId="189E9319" w14:textId="77777777" w:rsidR="00992F09" w:rsidRPr="00E04254" w:rsidRDefault="00992F09" w:rsidP="00690D2B">
            <w:pPr>
              <w:jc w:val="both"/>
              <w:rPr>
                <w:rFonts w:asciiTheme="majorHAnsi" w:hAnsiTheme="majorHAnsi" w:cstheme="majorHAnsi"/>
                <w:sz w:val="20"/>
                <w:szCs w:val="20"/>
              </w:rPr>
            </w:pPr>
            <w:r w:rsidRPr="00E04254">
              <w:rPr>
                <w:rFonts w:asciiTheme="majorHAnsi" w:hAnsiTheme="majorHAnsi" w:cstheme="majorHAnsi"/>
                <w:sz w:val="20"/>
                <w:szCs w:val="20"/>
              </w:rPr>
              <w:t>Copropiedad → comunes (reconstrucción). Hogar → privado y contenidos. Cuota parte: solo el faltante no cubierto</w:t>
            </w:r>
          </w:p>
        </w:tc>
        <w:tc>
          <w:tcPr>
            <w:tcW w:w="1230" w:type="pct"/>
          </w:tcPr>
          <w:p w14:paraId="167DD6B7" w14:textId="77777777" w:rsidR="00992F09" w:rsidRPr="00E04254" w:rsidRDefault="00992F09" w:rsidP="00690D2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Reclamación; acta de inspección única, cuando sea viable; certificado de administración o coeficientes.</w:t>
            </w:r>
          </w:p>
        </w:tc>
      </w:tr>
      <w:tr w:rsidR="00992F09" w:rsidRPr="00E04254" w14:paraId="5864418B" w14:textId="77777777" w:rsidTr="00225A4D">
        <w:tc>
          <w:tcPr>
            <w:cnfStyle w:val="000010000000" w:firstRow="0" w:lastRow="0" w:firstColumn="0" w:lastColumn="0" w:oddVBand="1" w:evenVBand="0" w:oddHBand="0" w:evenHBand="0" w:firstRowFirstColumn="0" w:firstRowLastColumn="0" w:lastRowFirstColumn="0" w:lastRowLastColumn="0"/>
            <w:tcW w:w="836" w:type="pct"/>
          </w:tcPr>
          <w:p w14:paraId="2680394F" w14:textId="77777777" w:rsidR="00992F09" w:rsidRPr="00E04254" w:rsidRDefault="00992F09" w:rsidP="00691FE7">
            <w:pPr>
              <w:rPr>
                <w:rFonts w:asciiTheme="majorHAnsi" w:hAnsiTheme="majorHAnsi" w:cstheme="majorHAnsi"/>
                <w:b/>
                <w:sz w:val="20"/>
                <w:szCs w:val="20"/>
              </w:rPr>
            </w:pPr>
            <w:r w:rsidRPr="00E04254">
              <w:rPr>
                <w:rFonts w:asciiTheme="majorHAnsi" w:hAnsiTheme="majorHAnsi" w:cstheme="majorHAnsi"/>
                <w:b/>
                <w:sz w:val="20"/>
                <w:szCs w:val="20"/>
              </w:rPr>
              <w:t>Copropiedad (comunes) + hipotecaria</w:t>
            </w:r>
          </w:p>
        </w:tc>
        <w:tc>
          <w:tcPr>
            <w:tcW w:w="1541" w:type="pct"/>
          </w:tcPr>
          <w:p w14:paraId="20234BC4" w14:textId="77777777" w:rsidR="00992F09" w:rsidRPr="00E04254" w:rsidRDefault="00992F09" w:rsidP="00690D2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Por regla general no, por corresponder a intereses distintos: bienes comunes y parte destructible del bien privado.</w:t>
            </w:r>
          </w:p>
        </w:tc>
        <w:tc>
          <w:tcPr>
            <w:cnfStyle w:val="000010000000" w:firstRow="0" w:lastRow="0" w:firstColumn="0" w:lastColumn="0" w:oddVBand="1" w:evenVBand="0" w:oddHBand="0" w:evenHBand="0" w:firstRowFirstColumn="0" w:firstRowLastColumn="0" w:lastRowFirstColumn="0" w:lastRowLastColumn="0"/>
            <w:tcW w:w="1393" w:type="pct"/>
          </w:tcPr>
          <w:p w14:paraId="051E5D4C" w14:textId="77777777" w:rsidR="00992F09" w:rsidRPr="00E04254" w:rsidRDefault="00992F09" w:rsidP="00690D2B">
            <w:pPr>
              <w:jc w:val="both"/>
              <w:rPr>
                <w:rFonts w:asciiTheme="majorHAnsi" w:hAnsiTheme="majorHAnsi" w:cstheme="majorHAnsi"/>
                <w:sz w:val="20"/>
                <w:szCs w:val="20"/>
              </w:rPr>
            </w:pPr>
            <w:r w:rsidRPr="00E04254">
              <w:rPr>
                <w:rFonts w:asciiTheme="majorHAnsi" w:hAnsiTheme="majorHAnsi" w:cstheme="majorHAnsi"/>
                <w:sz w:val="20"/>
                <w:szCs w:val="20"/>
              </w:rPr>
              <w:t>Hipotecaria → parte destructible del privado: saldo insoluto al banco y excedente al deudor. Copropiedad → comunes</w:t>
            </w:r>
          </w:p>
        </w:tc>
        <w:tc>
          <w:tcPr>
            <w:tcW w:w="1230" w:type="pct"/>
          </w:tcPr>
          <w:p w14:paraId="78EDDDD6" w14:textId="77777777" w:rsidR="00992F09" w:rsidRPr="00E04254" w:rsidRDefault="00992F09" w:rsidP="00690D2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Reclamación; certificación del saldo insoluto; acta de inspección única</w:t>
            </w:r>
          </w:p>
        </w:tc>
      </w:tr>
      <w:tr w:rsidR="00992F09" w:rsidRPr="00E04254" w14:paraId="481F45C3" w14:textId="77777777" w:rsidTr="00225A4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6" w:type="pct"/>
          </w:tcPr>
          <w:p w14:paraId="1933536E" w14:textId="77777777" w:rsidR="00992F09" w:rsidRPr="00E04254" w:rsidRDefault="00992F09" w:rsidP="00690D2B">
            <w:pPr>
              <w:rPr>
                <w:rFonts w:asciiTheme="majorHAnsi" w:hAnsiTheme="majorHAnsi" w:cstheme="majorHAnsi"/>
                <w:b/>
                <w:sz w:val="20"/>
                <w:szCs w:val="20"/>
              </w:rPr>
            </w:pPr>
            <w:r w:rsidRPr="00E04254">
              <w:rPr>
                <w:rFonts w:asciiTheme="majorHAnsi" w:hAnsiTheme="majorHAnsi" w:cstheme="majorHAnsi"/>
                <w:b/>
                <w:sz w:val="20"/>
                <w:szCs w:val="20"/>
              </w:rPr>
              <w:t>Copropiedad + individual a valor admitido</w:t>
            </w:r>
          </w:p>
        </w:tc>
        <w:tc>
          <w:tcPr>
            <w:tcW w:w="1541" w:type="pct"/>
          </w:tcPr>
          <w:p w14:paraId="611465F2" w14:textId="77777777" w:rsidR="00992F09" w:rsidRPr="00E04254" w:rsidRDefault="00992F09"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color w:val="000000"/>
                <w:sz w:val="20"/>
                <w:szCs w:val="20"/>
              </w:rPr>
              <w:t>Por regla general no</w:t>
            </w:r>
            <w:r w:rsidRPr="00E04254">
              <w:rPr>
                <w:rFonts w:asciiTheme="majorHAnsi" w:hAnsiTheme="majorHAnsi" w:cstheme="majorHAnsi"/>
                <w:color w:val="000000"/>
                <w:sz w:val="20"/>
                <w:szCs w:val="20"/>
              </w:rPr>
              <w:t xml:space="preserve">, salvo que el contrato individual incluya expresamente una porción que coincida con el interés amparado por la </w:t>
            </w:r>
            <w:r w:rsidRPr="00E04254">
              <w:rPr>
                <w:rFonts w:asciiTheme="majorHAnsi" w:hAnsiTheme="majorHAnsi" w:cstheme="majorHAnsi"/>
                <w:color w:val="000000"/>
                <w:sz w:val="20"/>
                <w:szCs w:val="20"/>
              </w:rPr>
              <w:lastRenderedPageBreak/>
              <w:t>copropiedad.</w:t>
            </w:r>
          </w:p>
        </w:tc>
        <w:tc>
          <w:tcPr>
            <w:cnfStyle w:val="000010000000" w:firstRow="0" w:lastRow="0" w:firstColumn="0" w:lastColumn="0" w:oddVBand="1" w:evenVBand="0" w:oddHBand="0" w:evenHBand="0" w:firstRowFirstColumn="0" w:firstRowLastColumn="0" w:lastRowFirstColumn="0" w:lastRowLastColumn="0"/>
            <w:tcW w:w="1393" w:type="pct"/>
          </w:tcPr>
          <w:p w14:paraId="6697DD96" w14:textId="77777777" w:rsidR="00992F09" w:rsidRPr="00E04254" w:rsidRDefault="00992F09"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lastRenderedPageBreak/>
              <w:t>Copropiedad → comunes. Individual → valor pactado del privado, sin regla proporcional</w:t>
            </w:r>
          </w:p>
        </w:tc>
        <w:tc>
          <w:tcPr>
            <w:tcW w:w="1230" w:type="pct"/>
          </w:tcPr>
          <w:p w14:paraId="6B1CBA2D" w14:textId="77777777" w:rsidR="00992F09" w:rsidRPr="00E04254" w:rsidRDefault="00992F09"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Reclamación; póliza con pacto de valor admitido; acta de inspección</w:t>
            </w:r>
          </w:p>
        </w:tc>
      </w:tr>
      <w:tr w:rsidR="00992F09" w:rsidRPr="00E04254" w14:paraId="57FF1C29" w14:textId="77777777" w:rsidTr="00225A4D">
        <w:tc>
          <w:tcPr>
            <w:cnfStyle w:val="000010000000" w:firstRow="0" w:lastRow="0" w:firstColumn="0" w:lastColumn="0" w:oddVBand="1" w:evenVBand="0" w:oddHBand="0" w:evenHBand="0" w:firstRowFirstColumn="0" w:firstRowLastColumn="0" w:lastRowFirstColumn="0" w:lastRowLastColumn="0"/>
            <w:tcW w:w="836" w:type="pct"/>
          </w:tcPr>
          <w:p w14:paraId="72C41597" w14:textId="77777777" w:rsidR="00992F09" w:rsidRPr="00E04254" w:rsidRDefault="00992F09" w:rsidP="00225A4D">
            <w:pPr>
              <w:pStyle w:val="Compact"/>
              <w:rPr>
                <w:rFonts w:asciiTheme="majorHAnsi" w:hAnsiTheme="majorHAnsi" w:cstheme="majorHAnsi"/>
                <w:b/>
                <w:sz w:val="20"/>
                <w:szCs w:val="20"/>
              </w:rPr>
            </w:pPr>
            <w:r w:rsidRPr="00E04254">
              <w:rPr>
                <w:rFonts w:asciiTheme="majorHAnsi" w:hAnsiTheme="majorHAnsi" w:cstheme="majorHAnsi"/>
                <w:b/>
                <w:sz w:val="20"/>
                <w:szCs w:val="20"/>
              </w:rPr>
              <w:t>Copropiedad extendida a privados + individual (voluntaria o hipotecaria)</w:t>
            </w:r>
          </w:p>
        </w:tc>
        <w:tc>
          <w:tcPr>
            <w:tcW w:w="1541" w:type="pct"/>
          </w:tcPr>
          <w:p w14:paraId="677D3432"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sz w:val="20"/>
                <w:szCs w:val="20"/>
              </w:rPr>
              <w:t>Podría haber coexistencia técnica</w:t>
            </w:r>
            <w:r w:rsidRPr="00E04254">
              <w:rPr>
                <w:rFonts w:asciiTheme="majorHAnsi" w:hAnsiTheme="majorHAnsi" w:cstheme="majorHAnsi"/>
                <w:sz w:val="20"/>
                <w:szCs w:val="20"/>
              </w:rPr>
              <w:t xml:space="preserve"> sobre los bienes privados, si se verifican simultáneamente las cuatro identidades del artículo 1094 del Código de Comercio.</w:t>
            </w:r>
          </w:p>
        </w:tc>
        <w:tc>
          <w:tcPr>
            <w:cnfStyle w:val="000010000000" w:firstRow="0" w:lastRow="0" w:firstColumn="0" w:lastColumn="0" w:oddVBand="1" w:evenVBand="0" w:oddHBand="0" w:evenHBand="0" w:firstRowFirstColumn="0" w:firstRowLastColumn="0" w:lastRowFirstColumn="0" w:lastRowLastColumn="0"/>
            <w:tcW w:w="1393" w:type="pct"/>
          </w:tcPr>
          <w:p w14:paraId="49484332" w14:textId="77777777" w:rsidR="00992F09" w:rsidRPr="00E04254" w:rsidRDefault="00992F09"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t>Indemnización única = pérdida real. Contribución interna proporcional a sumas aseguradas (Art. 1092 C.Co.)</w:t>
            </w:r>
          </w:p>
        </w:tc>
        <w:tc>
          <w:tcPr>
            <w:tcW w:w="1230" w:type="pct"/>
          </w:tcPr>
          <w:p w14:paraId="7446B79E"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Reclamación; declaración de seguros coexistentes; acta única; carátulas de ambas pólizas</w:t>
            </w:r>
          </w:p>
        </w:tc>
      </w:tr>
      <w:tr w:rsidR="00C52576" w:rsidRPr="00E04254" w14:paraId="0227995D" w14:textId="77777777" w:rsidTr="00225A4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6" w:type="pct"/>
          </w:tcPr>
          <w:p w14:paraId="17978D1E" w14:textId="415A2E4E" w:rsidR="00C52576" w:rsidRPr="00E04254" w:rsidRDefault="00C52576" w:rsidP="00225A4D">
            <w:pPr>
              <w:pStyle w:val="Compact"/>
              <w:rPr>
                <w:rFonts w:asciiTheme="majorHAnsi" w:hAnsiTheme="majorHAnsi" w:cstheme="majorHAnsi"/>
                <w:b/>
                <w:sz w:val="20"/>
                <w:szCs w:val="20"/>
              </w:rPr>
            </w:pPr>
            <w:r w:rsidRPr="00E04254">
              <w:rPr>
                <w:rFonts w:asciiTheme="majorHAnsi" w:hAnsiTheme="majorHAnsi" w:cstheme="majorHAnsi"/>
                <w:b/>
                <w:sz w:val="20"/>
                <w:szCs w:val="20"/>
              </w:rPr>
              <w:t>Dos pólizas de copropiedades con vigencia coincidente</w:t>
            </w:r>
          </w:p>
        </w:tc>
        <w:tc>
          <w:tcPr>
            <w:tcW w:w="1541" w:type="pct"/>
          </w:tcPr>
          <w:p w14:paraId="2C0D7318" w14:textId="46FB584C" w:rsidR="00C52576" w:rsidRPr="00E04254" w:rsidRDefault="00A74532"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sz w:val="20"/>
                <w:szCs w:val="20"/>
              </w:rPr>
              <w:t>Sí</w:t>
            </w:r>
            <w:r w:rsidR="00632747" w:rsidRPr="00E04254">
              <w:rPr>
                <w:rFonts w:asciiTheme="majorHAnsi" w:hAnsiTheme="majorHAnsi" w:cstheme="majorHAnsi"/>
                <w:b/>
                <w:sz w:val="20"/>
                <w:szCs w:val="20"/>
              </w:rPr>
              <w:t xml:space="preserve"> hay coexistencia en los términos del art. 1094 </w:t>
            </w:r>
            <w:r w:rsidRPr="00E04254">
              <w:rPr>
                <w:rFonts w:asciiTheme="majorHAnsi" w:hAnsiTheme="majorHAnsi" w:cstheme="majorHAnsi"/>
                <w:b/>
                <w:sz w:val="20"/>
                <w:szCs w:val="20"/>
              </w:rPr>
              <w:t>del Código de Comercio</w:t>
            </w:r>
            <w:r w:rsidR="00E23A79" w:rsidRPr="00E04254">
              <w:rPr>
                <w:rFonts w:asciiTheme="majorHAnsi" w:hAnsiTheme="majorHAnsi" w:cstheme="majorHAnsi"/>
                <w:b/>
                <w:sz w:val="20"/>
                <w:szCs w:val="20"/>
              </w:rPr>
              <w:t xml:space="preserve">, </w:t>
            </w:r>
            <w:r w:rsidRPr="00E04254">
              <w:rPr>
                <w:rFonts w:asciiTheme="majorHAnsi" w:hAnsiTheme="majorHAnsi" w:cstheme="majorHAnsi"/>
                <w:sz w:val="20"/>
                <w:szCs w:val="20"/>
              </w:rPr>
              <w:t xml:space="preserve">toda vez que, </w:t>
            </w:r>
            <w:r w:rsidR="00E23A79" w:rsidRPr="00E04254">
              <w:rPr>
                <w:rFonts w:asciiTheme="majorHAnsi" w:hAnsiTheme="majorHAnsi" w:cstheme="majorHAnsi"/>
                <w:sz w:val="20"/>
                <w:szCs w:val="20"/>
              </w:rPr>
              <w:t>se trata del mismo asegurado, interés asegurable, vigencia</w:t>
            </w:r>
            <w:r w:rsidRPr="00E04254">
              <w:rPr>
                <w:rFonts w:asciiTheme="majorHAnsi" w:hAnsiTheme="majorHAnsi" w:cstheme="majorHAnsi"/>
                <w:sz w:val="20"/>
                <w:szCs w:val="20"/>
              </w:rPr>
              <w:t xml:space="preserve">, </w:t>
            </w:r>
            <w:r w:rsidR="00A20AA4" w:rsidRPr="00E04254">
              <w:rPr>
                <w:rFonts w:asciiTheme="majorHAnsi" w:hAnsiTheme="majorHAnsi" w:cstheme="majorHAnsi"/>
                <w:sz w:val="20"/>
                <w:szCs w:val="20"/>
              </w:rPr>
              <w:t xml:space="preserve">y hay diversidad de aseguradores. </w:t>
            </w:r>
          </w:p>
        </w:tc>
        <w:tc>
          <w:tcPr>
            <w:cnfStyle w:val="000010000000" w:firstRow="0" w:lastRow="0" w:firstColumn="0" w:lastColumn="0" w:oddVBand="1" w:evenVBand="0" w:oddHBand="0" w:evenHBand="0" w:firstRowFirstColumn="0" w:firstRowLastColumn="0" w:lastRowFirstColumn="0" w:lastRowLastColumn="0"/>
            <w:tcW w:w="1393" w:type="pct"/>
          </w:tcPr>
          <w:p w14:paraId="43AA43BA" w14:textId="7BEA396E" w:rsidR="00C52576" w:rsidRPr="00E04254" w:rsidRDefault="00F73B7F"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t xml:space="preserve">El análisis </w:t>
            </w:r>
            <w:r w:rsidR="00B356E1" w:rsidRPr="00E04254">
              <w:rPr>
                <w:rFonts w:asciiTheme="majorHAnsi" w:hAnsiTheme="majorHAnsi" w:cstheme="majorHAnsi"/>
                <w:sz w:val="20"/>
                <w:szCs w:val="20"/>
              </w:rPr>
              <w:t>frente</w:t>
            </w:r>
            <w:r w:rsidRPr="00E04254">
              <w:rPr>
                <w:rFonts w:asciiTheme="majorHAnsi" w:hAnsiTheme="majorHAnsi" w:cstheme="majorHAnsi"/>
                <w:sz w:val="20"/>
                <w:szCs w:val="20"/>
              </w:rPr>
              <w:t xml:space="preserve"> a la </w:t>
            </w:r>
            <w:r w:rsidR="00B356E1" w:rsidRPr="00E04254">
              <w:rPr>
                <w:rFonts w:asciiTheme="majorHAnsi" w:hAnsiTheme="majorHAnsi" w:cstheme="majorHAnsi"/>
                <w:sz w:val="20"/>
                <w:szCs w:val="20"/>
              </w:rPr>
              <w:t>indemnización</w:t>
            </w:r>
            <w:r w:rsidR="00287F24" w:rsidRPr="00E04254">
              <w:rPr>
                <w:rFonts w:asciiTheme="majorHAnsi" w:hAnsiTheme="majorHAnsi" w:cstheme="majorHAnsi"/>
                <w:sz w:val="20"/>
                <w:szCs w:val="20"/>
              </w:rPr>
              <w:t xml:space="preserve"> puede realizarse bajo</w:t>
            </w:r>
            <w:r w:rsidR="004D1341" w:rsidRPr="00E04254">
              <w:rPr>
                <w:rFonts w:asciiTheme="majorHAnsi" w:hAnsiTheme="majorHAnsi" w:cstheme="majorHAnsi"/>
                <w:sz w:val="20"/>
                <w:szCs w:val="20"/>
              </w:rPr>
              <w:t xml:space="preserve"> </w:t>
            </w:r>
            <w:r w:rsidR="00013B01" w:rsidRPr="00E04254">
              <w:rPr>
                <w:rFonts w:asciiTheme="majorHAnsi" w:hAnsiTheme="majorHAnsi" w:cstheme="majorHAnsi"/>
                <w:sz w:val="20"/>
                <w:szCs w:val="20"/>
              </w:rPr>
              <w:t xml:space="preserve">el criterio de la primera reclamación y/o de </w:t>
            </w:r>
            <w:proofErr w:type="spellStart"/>
            <w:r w:rsidR="00013B01" w:rsidRPr="00E04254">
              <w:rPr>
                <w:rFonts w:asciiTheme="majorHAnsi" w:hAnsiTheme="majorHAnsi" w:cstheme="majorHAnsi"/>
                <w:sz w:val="20"/>
                <w:szCs w:val="20"/>
              </w:rPr>
              <w:t>cual</w:t>
            </w:r>
            <w:proofErr w:type="spellEnd"/>
            <w:r w:rsidR="00013B01" w:rsidRPr="00E04254">
              <w:rPr>
                <w:rFonts w:asciiTheme="majorHAnsi" w:hAnsiTheme="majorHAnsi" w:cstheme="majorHAnsi"/>
                <w:sz w:val="20"/>
                <w:szCs w:val="20"/>
              </w:rPr>
              <w:t xml:space="preserve"> de las dos compañías ya devengo la mayoría de la prima. </w:t>
            </w:r>
          </w:p>
          <w:p w14:paraId="1B05263B" w14:textId="505D09AB" w:rsidR="00287F24" w:rsidRPr="00E04254" w:rsidRDefault="00A16E6B"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t xml:space="preserve"> </w:t>
            </w:r>
          </w:p>
        </w:tc>
        <w:tc>
          <w:tcPr>
            <w:tcW w:w="1230" w:type="pct"/>
          </w:tcPr>
          <w:p w14:paraId="2F9855FD" w14:textId="391E3F67" w:rsidR="00C52576" w:rsidRPr="00E04254" w:rsidRDefault="00A16E6B"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Reclamación; declaración de seguros coexistentes; carátulas de ambas pólizas</w:t>
            </w:r>
          </w:p>
        </w:tc>
      </w:tr>
      <w:tr w:rsidR="00992F09" w:rsidRPr="00E04254" w14:paraId="7D631879" w14:textId="77777777" w:rsidTr="00225A4D">
        <w:tc>
          <w:tcPr>
            <w:cnfStyle w:val="000010000000" w:firstRow="0" w:lastRow="0" w:firstColumn="0" w:lastColumn="0" w:oddVBand="1" w:evenVBand="0" w:oddHBand="0" w:evenHBand="0" w:firstRowFirstColumn="0" w:firstRowLastColumn="0" w:lastRowFirstColumn="0" w:lastRowLastColumn="0"/>
            <w:tcW w:w="836" w:type="pct"/>
          </w:tcPr>
          <w:p w14:paraId="70E84328" w14:textId="77777777" w:rsidR="00992F09" w:rsidRPr="00E04254" w:rsidRDefault="00992F09" w:rsidP="00225A4D">
            <w:pPr>
              <w:pStyle w:val="Compact"/>
              <w:rPr>
                <w:rFonts w:asciiTheme="majorHAnsi" w:hAnsiTheme="majorHAnsi" w:cstheme="majorHAnsi"/>
                <w:b/>
                <w:sz w:val="20"/>
                <w:szCs w:val="20"/>
              </w:rPr>
            </w:pPr>
            <w:r w:rsidRPr="00E04254">
              <w:rPr>
                <w:rFonts w:asciiTheme="majorHAnsi" w:hAnsiTheme="majorHAnsi" w:cstheme="majorHAnsi"/>
                <w:b/>
                <w:sz w:val="20"/>
                <w:szCs w:val="20"/>
              </w:rPr>
              <w:t>Vida grupo deudores + terremoto hipotecario</w:t>
            </w:r>
          </w:p>
        </w:tc>
        <w:tc>
          <w:tcPr>
            <w:tcW w:w="1541" w:type="pct"/>
          </w:tcPr>
          <w:p w14:paraId="196555D0"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color w:val="000000"/>
                <w:sz w:val="20"/>
                <w:szCs w:val="20"/>
              </w:rPr>
              <w:t>Por regla general no</w:t>
            </w:r>
            <w:r w:rsidRPr="00E04254">
              <w:rPr>
                <w:rFonts w:asciiTheme="majorHAnsi" w:hAnsiTheme="majorHAnsi" w:cstheme="majorHAnsi"/>
                <w:color w:val="000000"/>
                <w:sz w:val="20"/>
                <w:szCs w:val="20"/>
              </w:rPr>
              <w:t>, al tratarse de riesgos e intereses distintos: deuda e inmueble.</w:t>
            </w:r>
          </w:p>
        </w:tc>
        <w:tc>
          <w:tcPr>
            <w:cnfStyle w:val="000010000000" w:firstRow="0" w:lastRow="0" w:firstColumn="0" w:lastColumn="0" w:oddVBand="1" w:evenVBand="0" w:oddHBand="0" w:evenHBand="0" w:firstRowFirstColumn="0" w:firstRowLastColumn="0" w:lastRowFirstColumn="0" w:lastRowLastColumn="0"/>
            <w:tcW w:w="1393" w:type="pct"/>
          </w:tcPr>
          <w:p w14:paraId="5F99BED6" w14:textId="77777777" w:rsidR="00992F09" w:rsidRPr="00E04254" w:rsidRDefault="00992F09" w:rsidP="00690D2B">
            <w:pPr>
              <w:pStyle w:val="Compact"/>
              <w:jc w:val="both"/>
              <w:rPr>
                <w:rFonts w:asciiTheme="majorHAnsi" w:hAnsiTheme="majorHAnsi" w:cstheme="majorHAnsi"/>
                <w:sz w:val="20"/>
                <w:szCs w:val="20"/>
              </w:rPr>
            </w:pPr>
            <w:r w:rsidRPr="00E04254">
              <w:rPr>
                <w:rFonts w:asciiTheme="majorHAnsi" w:hAnsiTheme="majorHAnsi" w:cstheme="majorHAnsi"/>
                <w:color w:val="000000"/>
                <w:sz w:val="20"/>
                <w:szCs w:val="20"/>
              </w:rPr>
              <w:t>Vida grupo deudores → puede extinguir el crédito, conforme al contrato aplicable. Terremoto hipotecario → atiende el daño del inmueble; extinguida la deuda, la indemnización debería asignarse al asegurado o a sus herederos, según corresponda.</w:t>
            </w:r>
          </w:p>
        </w:tc>
        <w:tc>
          <w:tcPr>
            <w:tcW w:w="1230" w:type="pct"/>
          </w:tcPr>
          <w:p w14:paraId="283B1360"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Registro civil de defunción o dictamen de invalidez; certificación del crédito</w:t>
            </w:r>
          </w:p>
        </w:tc>
      </w:tr>
      <w:tr w:rsidR="00992F09" w:rsidRPr="00E04254" w14:paraId="11D53576" w14:textId="77777777" w:rsidTr="00225A4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6" w:type="pct"/>
          </w:tcPr>
          <w:p w14:paraId="5DAEC88D" w14:textId="77777777" w:rsidR="00992F09" w:rsidRPr="00E04254" w:rsidRDefault="00992F09" w:rsidP="00225A4D">
            <w:pPr>
              <w:pStyle w:val="Compact"/>
              <w:rPr>
                <w:rFonts w:asciiTheme="majorHAnsi" w:hAnsiTheme="majorHAnsi" w:cstheme="majorHAnsi"/>
                <w:b/>
                <w:sz w:val="20"/>
                <w:szCs w:val="20"/>
              </w:rPr>
            </w:pPr>
            <w:r w:rsidRPr="00E04254">
              <w:rPr>
                <w:rFonts w:asciiTheme="majorHAnsi" w:hAnsiTheme="majorHAnsi" w:cstheme="majorHAnsi"/>
                <w:b/>
                <w:sz w:val="20"/>
                <w:szCs w:val="20"/>
              </w:rPr>
              <w:t>Gastos asociados (escombros, demolición, alojamiento, honorarios)</w:t>
            </w:r>
          </w:p>
        </w:tc>
        <w:tc>
          <w:tcPr>
            <w:tcW w:w="1541" w:type="pct"/>
          </w:tcPr>
          <w:p w14:paraId="1550A6F6" w14:textId="77777777" w:rsidR="00992F09" w:rsidRPr="00E04254" w:rsidRDefault="00992F09"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sz w:val="20"/>
                <w:szCs w:val="20"/>
              </w:rPr>
              <w:t>Solo habría coexistencia si el mismo gasto, del mismo asegurado, está amparado por dos pólizas</w:t>
            </w:r>
          </w:p>
        </w:tc>
        <w:tc>
          <w:tcPr>
            <w:cnfStyle w:val="000010000000" w:firstRow="0" w:lastRow="0" w:firstColumn="0" w:lastColumn="0" w:oddVBand="1" w:evenVBand="0" w:oddHBand="0" w:evenHBand="0" w:firstRowFirstColumn="0" w:firstRowLastColumn="0" w:lastRowFirstColumn="0" w:lastRowLastColumn="0"/>
            <w:tcW w:w="1393" w:type="pct"/>
          </w:tcPr>
          <w:p w14:paraId="5221E7C2" w14:textId="77777777" w:rsidR="00992F09" w:rsidRPr="00E04254" w:rsidRDefault="00992F09"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t>Cada amparo contra su propio sublímite; prorrateo técnico en zonas mixtas</w:t>
            </w:r>
          </w:p>
        </w:tc>
        <w:tc>
          <w:tcPr>
            <w:tcW w:w="1230" w:type="pct"/>
          </w:tcPr>
          <w:p w14:paraId="79C4E6BF" w14:textId="77777777" w:rsidR="00992F09" w:rsidRPr="00E04254" w:rsidRDefault="00992F09" w:rsidP="00690D2B">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Soportes del gasto (libertad probatoria); acta de inspección</w:t>
            </w:r>
          </w:p>
        </w:tc>
      </w:tr>
      <w:tr w:rsidR="00992F09" w:rsidRPr="00E04254" w14:paraId="72C57EF9" w14:textId="77777777" w:rsidTr="00225A4D">
        <w:tc>
          <w:tcPr>
            <w:cnfStyle w:val="000010000000" w:firstRow="0" w:lastRow="0" w:firstColumn="0" w:lastColumn="0" w:oddVBand="1" w:evenVBand="0" w:oddHBand="0" w:evenHBand="0" w:firstRowFirstColumn="0" w:firstRowLastColumn="0" w:lastRowFirstColumn="0" w:lastRowLastColumn="0"/>
            <w:tcW w:w="836" w:type="pct"/>
          </w:tcPr>
          <w:p w14:paraId="3B709DF3" w14:textId="77777777" w:rsidR="00992F09" w:rsidRPr="00E04254" w:rsidRDefault="00992F09" w:rsidP="00225A4D">
            <w:pPr>
              <w:pStyle w:val="Compact"/>
              <w:rPr>
                <w:rFonts w:asciiTheme="majorHAnsi" w:hAnsiTheme="majorHAnsi" w:cstheme="majorHAnsi"/>
                <w:b/>
                <w:sz w:val="20"/>
                <w:szCs w:val="20"/>
              </w:rPr>
            </w:pPr>
            <w:r w:rsidRPr="00E04254">
              <w:rPr>
                <w:rFonts w:asciiTheme="majorHAnsi" w:hAnsiTheme="majorHAnsi" w:cstheme="majorHAnsi"/>
                <w:b/>
                <w:sz w:val="20"/>
                <w:szCs w:val="20"/>
              </w:rPr>
              <w:t>Seguros de personas (vida, AP, salud, exequial) y ARL</w:t>
            </w:r>
          </w:p>
        </w:tc>
        <w:tc>
          <w:tcPr>
            <w:tcW w:w="1541" w:type="pct"/>
          </w:tcPr>
          <w:p w14:paraId="6A6841F3"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b/>
                <w:color w:val="000000"/>
                <w:sz w:val="20"/>
                <w:szCs w:val="20"/>
              </w:rPr>
              <w:t>Por regla general, no</w:t>
            </w:r>
            <w:r w:rsidRPr="00E04254">
              <w:rPr>
                <w:rFonts w:asciiTheme="majorHAnsi" w:hAnsiTheme="majorHAnsi" w:cstheme="majorHAnsi"/>
                <w:color w:val="000000"/>
                <w:sz w:val="20"/>
                <w:szCs w:val="20"/>
              </w:rPr>
              <w:t xml:space="preserve"> coexisten con seguros de daños; pueden ser compatibles o acumulables conforme a su régimen propio.</w:t>
            </w:r>
          </w:p>
        </w:tc>
        <w:tc>
          <w:tcPr>
            <w:cnfStyle w:val="000010000000" w:firstRow="0" w:lastRow="0" w:firstColumn="0" w:lastColumn="0" w:oddVBand="1" w:evenVBand="0" w:oddHBand="0" w:evenHBand="0" w:firstRowFirstColumn="0" w:firstRowLastColumn="0" w:lastRowFirstColumn="0" w:lastRowLastColumn="0"/>
            <w:tcW w:w="1393" w:type="pct"/>
          </w:tcPr>
          <w:p w14:paraId="3CB6FCD7" w14:textId="77777777" w:rsidR="00992F09" w:rsidRPr="00E04254" w:rsidRDefault="00992F09" w:rsidP="00690D2B">
            <w:pPr>
              <w:pStyle w:val="Compact"/>
              <w:jc w:val="both"/>
              <w:rPr>
                <w:rFonts w:asciiTheme="majorHAnsi" w:hAnsiTheme="majorHAnsi" w:cstheme="majorHAnsi"/>
                <w:sz w:val="20"/>
                <w:szCs w:val="20"/>
              </w:rPr>
            </w:pPr>
            <w:r w:rsidRPr="00E04254">
              <w:rPr>
                <w:rFonts w:asciiTheme="majorHAnsi" w:hAnsiTheme="majorHAnsi" w:cstheme="majorHAnsi"/>
                <w:sz w:val="20"/>
                <w:szCs w:val="20"/>
              </w:rPr>
              <w:t>Prestaciones acumulables; trámite paralelo e inmediato</w:t>
            </w:r>
          </w:p>
        </w:tc>
        <w:tc>
          <w:tcPr>
            <w:tcW w:w="1230" w:type="pct"/>
          </w:tcPr>
          <w:p w14:paraId="530E9DB8" w14:textId="77777777" w:rsidR="00992F09" w:rsidRPr="00E04254" w:rsidRDefault="00992F09" w:rsidP="00690D2B">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t>Prueba del hecho personal amparado (defunción, atención médica)</w:t>
            </w:r>
          </w:p>
        </w:tc>
      </w:tr>
    </w:tbl>
    <w:p w14:paraId="173F8C66" w14:textId="09880163" w:rsidR="004C2ED2" w:rsidRDefault="00AB71BB" w:rsidP="004C2ED2">
      <w:pPr>
        <w:pStyle w:val="Ttulo1"/>
      </w:pPr>
      <w:r>
        <w:t>6</w:t>
      </w:r>
      <w:r w:rsidR="5D5E3D6F">
        <w:t xml:space="preserve">. </w:t>
      </w:r>
      <w:r w:rsidR="004C2ED2" w:rsidRPr="00E04254">
        <w:rPr>
          <w:rFonts w:cstheme="majorHAnsi"/>
          <w:sz w:val="26"/>
          <w:szCs w:val="26"/>
        </w:rPr>
        <w:t>Propuesta de protocolo o de coordinación entre aseguradoras</w:t>
      </w:r>
    </w:p>
    <w:p w14:paraId="4A7A2EE4" w14:textId="4C65AEFA"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Identificar las pólizas potencialmente relacionadas.</w:t>
      </w:r>
    </w:p>
    <w:p w14:paraId="366BDE20"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Identificar tomador, asegurado, beneficiario e interés protegido.</w:t>
      </w:r>
    </w:p>
    <w:p w14:paraId="679C455C"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Delimitar la porción del inmueble o gasto afectado.</w:t>
      </w:r>
    </w:p>
    <w:p w14:paraId="3E77F0C7"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Aplicar el árbol de decisión.</w:t>
      </w:r>
    </w:p>
    <w:p w14:paraId="71D29124"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Registrar expresamente por qué existe o no existe coexistencia.</w:t>
      </w:r>
    </w:p>
    <w:p w14:paraId="73A04742"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 Definir qué compañía atiende cada porción y, si aplica, qué contribución corresponde.</w:t>
      </w:r>
    </w:p>
    <w:p w14:paraId="1521BCA9" w14:textId="77777777"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lastRenderedPageBreak/>
        <w:t>Evitar trasladar al consumidor discusiones internas entre compañías.</w:t>
      </w:r>
    </w:p>
    <w:p w14:paraId="6F17912E" w14:textId="1089E4F8" w:rsidR="004C2ED2" w:rsidRPr="00E04254" w:rsidRDefault="004C2ED2" w:rsidP="004C2ED2">
      <w:pPr>
        <w:pStyle w:val="Prrafodelista"/>
        <w:numPr>
          <w:ilvl w:val="0"/>
          <w:numId w:val="25"/>
        </w:numPr>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Documentar la decisión y conservar los soportes relevantes.</w:t>
      </w:r>
    </w:p>
    <w:p w14:paraId="020D6535" w14:textId="6F848780" w:rsidR="00E51E3C" w:rsidRPr="00E04254" w:rsidRDefault="004C2ED2" w:rsidP="00F034FE">
      <w:pPr>
        <w:pStyle w:val="Ttulo1"/>
        <w:rPr>
          <w:rFonts w:cstheme="majorHAnsi"/>
          <w:sz w:val="26"/>
          <w:szCs w:val="26"/>
        </w:rPr>
      </w:pPr>
      <w:r w:rsidRPr="00E04254">
        <w:rPr>
          <w:rFonts w:cstheme="majorHAnsi"/>
          <w:sz w:val="26"/>
          <w:szCs w:val="26"/>
        </w:rPr>
        <w:t>7</w:t>
      </w:r>
      <w:r w:rsidR="5D5E3D6F" w:rsidRPr="00E04254">
        <w:rPr>
          <w:rFonts w:cstheme="majorHAnsi"/>
          <w:sz w:val="26"/>
          <w:szCs w:val="26"/>
        </w:rPr>
        <w:t xml:space="preserve">. </w:t>
      </w:r>
      <w:r w:rsidR="00BE6FF7" w:rsidRPr="00E04254">
        <w:rPr>
          <w:rFonts w:cstheme="majorHAnsi"/>
          <w:sz w:val="26"/>
          <w:szCs w:val="26"/>
        </w:rPr>
        <w:t>Casuística</w:t>
      </w:r>
    </w:p>
    <w:p w14:paraId="352FDC69" w14:textId="129D4340" w:rsidR="006F0A20" w:rsidRPr="00E04254" w:rsidRDefault="006F0A20" w:rsidP="006F0A20">
      <w:pPr>
        <w:pStyle w:val="FirstParagraph"/>
        <w:jc w:val="both"/>
        <w:rPr>
          <w:rFonts w:asciiTheme="majorHAnsi" w:eastAsiaTheme="majorEastAsia" w:hAnsiTheme="majorHAnsi" w:cstheme="majorHAnsi"/>
          <w:b/>
          <w:color w:val="365F91" w:themeColor="accent1" w:themeShade="BF"/>
          <w:sz w:val="26"/>
          <w:szCs w:val="26"/>
        </w:rPr>
      </w:pPr>
      <w:bookmarkStart w:id="0" w:name="X6f9e01a288953cc0ed57734c2cbcec2a86cabff"/>
      <w:r w:rsidRPr="00E04254">
        <w:rPr>
          <w:rFonts w:asciiTheme="majorHAnsi" w:eastAsiaTheme="majorEastAsia" w:hAnsiTheme="majorHAnsi" w:cstheme="majorHAnsi"/>
          <w:b/>
          <w:color w:val="365F91" w:themeColor="accent1" w:themeShade="BF"/>
          <w:sz w:val="26"/>
          <w:szCs w:val="26"/>
        </w:rPr>
        <w:t>CASO 1: Póliza de copropiedad (bienes comunes) + seguro voluntario de hogar (unidad privada)</w:t>
      </w:r>
    </w:p>
    <w:p w14:paraId="24DD04CC" w14:textId="77777777" w:rsidR="006F0A20" w:rsidRPr="00E04254" w:rsidRDefault="006F0A20" w:rsidP="001D32F6">
      <w:pPr>
        <w:pStyle w:val="FirstParagraph"/>
        <w:jc w:val="both"/>
        <w:rPr>
          <w:rFonts w:asciiTheme="majorHAnsi" w:eastAsiaTheme="majorEastAsia" w:hAnsiTheme="majorHAnsi" w:cstheme="majorHAnsi"/>
          <w:b/>
          <w:color w:val="4F81BD" w:themeColor="accent1"/>
          <w:sz w:val="22"/>
          <w:szCs w:val="22"/>
        </w:rPr>
      </w:pPr>
      <w:r w:rsidRPr="00E04254">
        <w:rPr>
          <w:rFonts w:asciiTheme="majorHAnsi" w:hAnsiTheme="majorHAnsi" w:cstheme="majorHAnsi"/>
          <w:b/>
          <w:sz w:val="22"/>
          <w:szCs w:val="22"/>
        </w:rPr>
        <w:t>Análisis de interés.</w:t>
      </w:r>
      <w:r w:rsidRPr="00E04254">
        <w:rPr>
          <w:rFonts w:asciiTheme="majorHAnsi" w:hAnsiTheme="majorHAnsi" w:cstheme="majorHAnsi"/>
          <w:sz w:val="22"/>
          <w:szCs w:val="22"/>
        </w:rPr>
        <w:t xml:space="preserve"> La póliza de la copropiedad protege el interés proindiviso de todos los copropietarios sobre los bienes comunes (Ley 675 de 2001, arts. 64-65); la póliza de hogar protege el interés individual del propietario sobre su unidad privada, mejoras y contenidos. </w:t>
      </w:r>
    </w:p>
    <w:p w14:paraId="4E0DDA41" w14:textId="77777777" w:rsidR="006F0A20" w:rsidRPr="00E04254" w:rsidRDefault="006F0A20" w:rsidP="001D32F6">
      <w:pPr>
        <w:pStyle w:val="FirstParagraph"/>
        <w:jc w:val="both"/>
        <w:rPr>
          <w:rFonts w:asciiTheme="majorHAnsi" w:hAnsiTheme="majorHAnsi" w:cstheme="majorHAnsi"/>
          <w:sz w:val="22"/>
          <w:szCs w:val="22"/>
        </w:rPr>
      </w:pPr>
      <w:r w:rsidRPr="00E04254">
        <w:rPr>
          <w:rFonts w:asciiTheme="majorHAnsi" w:hAnsiTheme="majorHAnsi" w:cstheme="majorHAnsi"/>
          <w:b/>
          <w:sz w:val="22"/>
          <w:szCs w:val="22"/>
        </w:rPr>
        <w:t>Intereses distintos.</w:t>
      </w:r>
      <w:r w:rsidRPr="00E04254">
        <w:rPr>
          <w:rFonts w:asciiTheme="majorHAnsi" w:hAnsiTheme="majorHAnsi" w:cstheme="majorHAnsi"/>
          <w:sz w:val="22"/>
          <w:szCs w:val="22"/>
        </w:rPr>
        <w:t xml:space="preserve"> En principio,</w:t>
      </w:r>
      <w:r w:rsidRPr="00E04254">
        <w:rPr>
          <w:rFonts w:asciiTheme="majorHAnsi" w:hAnsiTheme="majorHAnsi" w:cstheme="majorHAnsi"/>
          <w:b/>
          <w:sz w:val="22"/>
          <w:szCs w:val="22"/>
        </w:rPr>
        <w:t xml:space="preserve"> no </w:t>
      </w:r>
      <w:r w:rsidRPr="00E04254">
        <w:rPr>
          <w:rFonts w:asciiTheme="majorHAnsi" w:hAnsiTheme="majorHAnsi" w:cstheme="majorHAnsi"/>
          <w:sz w:val="22"/>
          <w:szCs w:val="22"/>
        </w:rPr>
        <w:t>habría</w:t>
      </w:r>
      <w:r w:rsidRPr="00E04254">
        <w:rPr>
          <w:rFonts w:asciiTheme="majorHAnsi" w:hAnsiTheme="majorHAnsi" w:cstheme="majorHAnsi"/>
          <w:b/>
          <w:sz w:val="22"/>
          <w:szCs w:val="22"/>
        </w:rPr>
        <w:t xml:space="preserve"> coexistencia</w:t>
      </w:r>
      <w:r w:rsidRPr="00E04254">
        <w:rPr>
          <w:rFonts w:asciiTheme="majorHAnsi" w:hAnsiTheme="majorHAnsi" w:cstheme="majorHAnsi"/>
          <w:sz w:val="22"/>
          <w:szCs w:val="22"/>
        </w:rPr>
        <w:t xml:space="preserve"> técnica sobre esas porciones. La única zona de posible traslape se presentaría frente a la </w:t>
      </w:r>
      <w:r w:rsidRPr="00E04254">
        <w:rPr>
          <w:rFonts w:asciiTheme="majorHAnsi" w:hAnsiTheme="majorHAnsi" w:cstheme="majorHAnsi"/>
          <w:b/>
          <w:sz w:val="22"/>
          <w:szCs w:val="22"/>
        </w:rPr>
        <w:t>cuota parte de bienes comunes</w:t>
      </w:r>
      <w:r w:rsidRPr="00E04254">
        <w:rPr>
          <w:rFonts w:asciiTheme="majorHAnsi" w:hAnsiTheme="majorHAnsi" w:cstheme="majorHAnsi"/>
          <w:sz w:val="22"/>
          <w:szCs w:val="22"/>
        </w:rPr>
        <w:t xml:space="preserve"> cuando la póliza de hogar la incluya expresamente como amparo.</w:t>
      </w:r>
    </w:p>
    <w:p w14:paraId="047AC8C8" w14:textId="77777777" w:rsidR="006F0A20" w:rsidRPr="00E04254" w:rsidRDefault="006F0A20" w:rsidP="001D32F6">
      <w:pPr>
        <w:pStyle w:val="FirstParagraph"/>
        <w:jc w:val="both"/>
        <w:rPr>
          <w:rFonts w:asciiTheme="majorHAnsi" w:eastAsiaTheme="majorEastAsia" w:hAnsiTheme="majorHAnsi" w:cstheme="majorHAnsi"/>
          <w:b/>
          <w:color w:val="4F81BD" w:themeColor="accent1"/>
          <w:sz w:val="22"/>
          <w:szCs w:val="22"/>
        </w:rPr>
      </w:pPr>
      <w:r w:rsidRPr="00E04254">
        <w:rPr>
          <w:rFonts w:asciiTheme="majorHAnsi" w:hAnsiTheme="majorHAnsi" w:cstheme="majorHAnsi"/>
          <w:b/>
          <w:sz w:val="22"/>
          <w:szCs w:val="22"/>
        </w:rPr>
        <w:t>Ejemplo.</w:t>
      </w:r>
      <w:r w:rsidRPr="00E04254">
        <w:rPr>
          <w:rFonts w:asciiTheme="majorHAnsi" w:hAnsiTheme="majorHAnsi" w:cstheme="majorHAnsi"/>
          <w:sz w:val="22"/>
          <w:szCs w:val="22"/>
        </w:rPr>
        <w:t xml:space="preserve"> Pérdida parcial. </w:t>
      </w:r>
    </w:p>
    <w:p w14:paraId="757559F9" w14:textId="77777777" w:rsidR="006F0A20" w:rsidRPr="00E04254" w:rsidRDefault="006F0A20" w:rsidP="001D32F6">
      <w:pPr>
        <w:pStyle w:val="Textoindependiente"/>
        <w:spacing w:after="0"/>
        <w:jc w:val="both"/>
        <w:rPr>
          <w:rFonts w:asciiTheme="majorHAnsi" w:hAnsiTheme="majorHAnsi" w:cstheme="majorHAnsi"/>
          <w:sz w:val="22"/>
          <w:szCs w:val="22"/>
        </w:rPr>
      </w:pPr>
      <w:r w:rsidRPr="00E04254">
        <w:rPr>
          <w:rFonts w:asciiTheme="majorHAnsi" w:hAnsiTheme="majorHAnsi" w:cstheme="majorHAnsi"/>
          <w:sz w:val="22"/>
          <w:szCs w:val="22"/>
        </w:rPr>
        <w:t xml:space="preserve">Daños en bienes comunes: $2.000. </w:t>
      </w:r>
    </w:p>
    <w:p w14:paraId="3209A3F0" w14:textId="77777777" w:rsidR="006F0A20" w:rsidRPr="00E04254" w:rsidRDefault="006F0A20" w:rsidP="001D32F6">
      <w:pPr>
        <w:pStyle w:val="Textoindependiente"/>
        <w:spacing w:after="0"/>
        <w:jc w:val="both"/>
        <w:rPr>
          <w:rFonts w:asciiTheme="majorHAnsi" w:hAnsiTheme="majorHAnsi" w:cstheme="majorHAnsi"/>
          <w:sz w:val="22"/>
          <w:szCs w:val="22"/>
        </w:rPr>
      </w:pPr>
      <w:r w:rsidRPr="00E04254">
        <w:rPr>
          <w:rFonts w:asciiTheme="majorHAnsi" w:hAnsiTheme="majorHAnsi" w:cstheme="majorHAnsi"/>
          <w:sz w:val="22"/>
          <w:szCs w:val="22"/>
        </w:rPr>
        <w:t>Daños en el apto. 302 (acabados y contenidos): $80.</w:t>
      </w:r>
    </w:p>
    <w:p w14:paraId="36E2F90B" w14:textId="77777777" w:rsidR="006F0A20" w:rsidRPr="00E04254" w:rsidRDefault="006F0A20" w:rsidP="001D32F6">
      <w:pPr>
        <w:pStyle w:val="Textoindependiente"/>
        <w:spacing w:after="0"/>
        <w:jc w:val="both"/>
        <w:rPr>
          <w:rFonts w:asciiTheme="majorHAnsi" w:hAnsiTheme="majorHAnsi" w:cstheme="majorHAnsi"/>
          <w:sz w:val="22"/>
          <w:szCs w:val="22"/>
        </w:rPr>
      </w:pPr>
      <w:r w:rsidRPr="00E04254">
        <w:rPr>
          <w:rFonts w:asciiTheme="majorHAnsi" w:hAnsiTheme="majorHAnsi" w:cstheme="majorHAnsi"/>
          <w:sz w:val="22"/>
          <w:szCs w:val="22"/>
        </w:rPr>
        <w:t xml:space="preserve">Coeficiente de copropiedad del 302: 1,5%. </w:t>
      </w:r>
    </w:p>
    <w:p w14:paraId="3C78E015" w14:textId="77777777" w:rsidR="006F0A20" w:rsidRPr="00E04254" w:rsidRDefault="006F0A20" w:rsidP="001D32F6">
      <w:pPr>
        <w:pStyle w:val="Textoindependiente"/>
        <w:spacing w:after="0"/>
        <w:jc w:val="both"/>
        <w:rPr>
          <w:rFonts w:asciiTheme="majorHAnsi" w:hAnsiTheme="majorHAnsi" w:cstheme="majorHAnsi"/>
          <w:sz w:val="22"/>
          <w:szCs w:val="22"/>
        </w:rPr>
      </w:pPr>
      <w:r w:rsidRPr="00E04254">
        <w:rPr>
          <w:rFonts w:asciiTheme="majorHAnsi" w:hAnsiTheme="majorHAnsi" w:cstheme="majorHAnsi"/>
          <w:sz w:val="22"/>
          <w:szCs w:val="22"/>
        </w:rPr>
        <w:t>La póliza de hogar del 302 incluye amparo de cuota parte de comunes.</w:t>
      </w:r>
    </w:p>
    <w:p w14:paraId="04394B3E" w14:textId="77777777" w:rsidR="006F0A20" w:rsidRPr="00E04254" w:rsidRDefault="006F0A20" w:rsidP="006F0A20">
      <w:pPr>
        <w:pStyle w:val="Textoindependiente"/>
        <w:spacing w:after="0"/>
        <w:ind w:left="709"/>
        <w:jc w:val="both"/>
        <w:rPr>
          <w:rFonts w:asciiTheme="majorHAnsi" w:hAnsiTheme="majorHAnsi" w:cstheme="majorHAnsi"/>
          <w:sz w:val="22"/>
          <w:szCs w:val="22"/>
        </w:rPr>
      </w:pPr>
    </w:p>
    <w:tbl>
      <w:tblPr>
        <w:tblStyle w:val="Tabladelista3-nfasis1"/>
        <w:tblW w:w="4930" w:type="pct"/>
        <w:tblLook w:val="0020" w:firstRow="1" w:lastRow="0" w:firstColumn="0" w:lastColumn="0" w:noHBand="0" w:noVBand="0"/>
      </w:tblPr>
      <w:tblGrid>
        <w:gridCol w:w="2092"/>
        <w:gridCol w:w="4005"/>
        <w:gridCol w:w="2830"/>
      </w:tblGrid>
      <w:tr w:rsidR="006F0A20" w:rsidRPr="00E04254" w14:paraId="15F1620A" w14:textId="77777777" w:rsidTr="00726305">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72" w:type="pct"/>
          </w:tcPr>
          <w:p w14:paraId="2508332F" w14:textId="77777777" w:rsidR="006F0A20" w:rsidRPr="00E04254" w:rsidRDefault="006F0A20">
            <w:pPr>
              <w:pStyle w:val="Compact"/>
              <w:rPr>
                <w:rFonts w:asciiTheme="majorHAnsi" w:hAnsiTheme="majorHAnsi" w:cstheme="majorHAnsi"/>
                <w:sz w:val="22"/>
                <w:szCs w:val="22"/>
              </w:rPr>
            </w:pPr>
            <w:r w:rsidRPr="00E04254">
              <w:rPr>
                <w:rFonts w:asciiTheme="majorHAnsi" w:hAnsiTheme="majorHAnsi" w:cstheme="majorHAnsi"/>
                <w:sz w:val="22"/>
                <w:szCs w:val="22"/>
              </w:rPr>
              <w:t>Opción de liquidación</w:t>
            </w:r>
          </w:p>
        </w:tc>
        <w:tc>
          <w:tcPr>
            <w:tcW w:w="2243" w:type="pct"/>
          </w:tcPr>
          <w:p w14:paraId="46A06B9D" w14:textId="77777777" w:rsidR="006F0A20" w:rsidRPr="00E04254" w:rsidRDefault="006F0A20">
            <w:pPr>
              <w:pStyle w:val="Compac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Mecánica</w:t>
            </w:r>
          </w:p>
        </w:tc>
        <w:tc>
          <w:tcPr>
            <w:cnfStyle w:val="000010000000" w:firstRow="0" w:lastRow="0" w:firstColumn="0" w:lastColumn="0" w:oddVBand="1" w:evenVBand="0" w:oddHBand="0" w:evenHBand="0" w:firstRowFirstColumn="0" w:firstRowLastColumn="0" w:lastRowFirstColumn="0" w:lastRowLastColumn="0"/>
            <w:tcW w:w="1585" w:type="pct"/>
          </w:tcPr>
          <w:p w14:paraId="134D4233" w14:textId="77777777" w:rsidR="006F0A20" w:rsidRPr="00E04254" w:rsidRDefault="006F0A20">
            <w:pPr>
              <w:pStyle w:val="Compact"/>
              <w:rPr>
                <w:rFonts w:asciiTheme="majorHAnsi" w:hAnsiTheme="majorHAnsi" w:cstheme="majorHAnsi"/>
                <w:sz w:val="22"/>
                <w:szCs w:val="22"/>
              </w:rPr>
            </w:pPr>
            <w:r w:rsidRPr="00E04254">
              <w:rPr>
                <w:rFonts w:asciiTheme="majorHAnsi" w:hAnsiTheme="majorHAnsi" w:cstheme="majorHAnsi"/>
                <w:sz w:val="22"/>
                <w:szCs w:val="22"/>
              </w:rPr>
              <w:t>Cuando usarla</w:t>
            </w:r>
          </w:p>
        </w:tc>
      </w:tr>
      <w:tr w:rsidR="006F0A20" w:rsidRPr="00E04254" w14:paraId="056AB17C" w14:textId="77777777" w:rsidTr="007263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72" w:type="pct"/>
          </w:tcPr>
          <w:p w14:paraId="684AE65B" w14:textId="77777777" w:rsidR="006F0A20" w:rsidRPr="00E04254" w:rsidRDefault="006F0A20">
            <w:pPr>
              <w:pStyle w:val="Compact"/>
              <w:rPr>
                <w:rFonts w:asciiTheme="majorHAnsi" w:hAnsiTheme="majorHAnsi" w:cstheme="majorHAnsi"/>
                <w:sz w:val="22"/>
                <w:szCs w:val="22"/>
              </w:rPr>
            </w:pPr>
            <w:r w:rsidRPr="00E04254">
              <w:rPr>
                <w:rFonts w:asciiTheme="majorHAnsi" w:hAnsiTheme="majorHAnsi" w:cstheme="majorHAnsi"/>
                <w:b/>
                <w:sz w:val="22"/>
                <w:szCs w:val="22"/>
              </w:rPr>
              <w:t>A. Pago independiente (regla general)</w:t>
            </w:r>
          </w:p>
        </w:tc>
        <w:tc>
          <w:tcPr>
            <w:tcW w:w="2243" w:type="pct"/>
          </w:tcPr>
          <w:p w14:paraId="1C743143" w14:textId="77777777" w:rsidR="006F0A20" w:rsidRPr="00E04254" w:rsidRDefault="006F0A20">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 xml:space="preserve">La aseguradora de la copropiedad paga los $2.000 de comunes (destinados a reconstrucción); la de hogar paga los $80 del bien privado. La cuota parte de comunes del amparo de hogar </w:t>
            </w:r>
            <w:r w:rsidRPr="00E04254">
              <w:rPr>
                <w:rFonts w:asciiTheme="majorHAnsi" w:hAnsiTheme="majorHAnsi" w:cstheme="majorHAnsi"/>
                <w:b/>
                <w:sz w:val="22"/>
                <w:szCs w:val="22"/>
              </w:rPr>
              <w:t>no se afecta</w:t>
            </w:r>
            <w:r w:rsidRPr="00E04254">
              <w:rPr>
                <w:rFonts w:asciiTheme="majorHAnsi" w:hAnsiTheme="majorHAnsi" w:cstheme="majorHAnsi"/>
                <w:sz w:val="22"/>
                <w:szCs w:val="22"/>
              </w:rPr>
              <w:t>, porque el daño común quedó plenamente indemnizado por la póliza de copropiedad y el propietario no sufre pérdida patrimonial residual por ese concepto (principio del límite indemnizatorio, Art. 1089 C.Co.).</w:t>
            </w:r>
          </w:p>
        </w:tc>
        <w:tc>
          <w:tcPr>
            <w:cnfStyle w:val="000010000000" w:firstRow="0" w:lastRow="0" w:firstColumn="0" w:lastColumn="0" w:oddVBand="1" w:evenVBand="0" w:oddHBand="0" w:evenHBand="0" w:firstRowFirstColumn="0" w:firstRowLastColumn="0" w:lastRowFirstColumn="0" w:lastRowLastColumn="0"/>
            <w:tcW w:w="1585" w:type="pct"/>
          </w:tcPr>
          <w:p w14:paraId="3092A903" w14:textId="77777777" w:rsidR="006F0A20" w:rsidRPr="00E04254" w:rsidRDefault="006F0A20">
            <w:pPr>
              <w:pStyle w:val="Compact"/>
              <w:jc w:val="both"/>
              <w:rPr>
                <w:rFonts w:asciiTheme="majorHAnsi" w:hAnsiTheme="majorHAnsi" w:cstheme="majorHAnsi"/>
                <w:sz w:val="22"/>
                <w:szCs w:val="22"/>
              </w:rPr>
            </w:pPr>
            <w:r w:rsidRPr="00E04254">
              <w:rPr>
                <w:rFonts w:asciiTheme="majorHAnsi" w:hAnsiTheme="majorHAnsi" w:cstheme="majorHAnsi"/>
                <w:sz w:val="22"/>
                <w:szCs w:val="22"/>
              </w:rPr>
              <w:t>Siempre que la póliza de copropiedad sea suficiente. Es la opción preferente por rapidez.</w:t>
            </w:r>
          </w:p>
        </w:tc>
      </w:tr>
      <w:tr w:rsidR="006F0A20" w:rsidRPr="00E04254" w14:paraId="570147CA" w14:textId="77777777" w:rsidTr="00726305">
        <w:tc>
          <w:tcPr>
            <w:cnfStyle w:val="000010000000" w:firstRow="0" w:lastRow="0" w:firstColumn="0" w:lastColumn="0" w:oddVBand="1" w:evenVBand="0" w:oddHBand="0" w:evenHBand="0" w:firstRowFirstColumn="0" w:firstRowLastColumn="0" w:lastRowFirstColumn="0" w:lastRowLastColumn="0"/>
            <w:tcW w:w="1172" w:type="pct"/>
          </w:tcPr>
          <w:p w14:paraId="692789E8" w14:textId="77777777" w:rsidR="006F0A20" w:rsidRPr="00E04254" w:rsidRDefault="006F0A20">
            <w:pPr>
              <w:pStyle w:val="Compact"/>
              <w:rPr>
                <w:rFonts w:asciiTheme="majorHAnsi" w:hAnsiTheme="majorHAnsi" w:cstheme="majorHAnsi"/>
                <w:sz w:val="22"/>
                <w:szCs w:val="22"/>
              </w:rPr>
            </w:pPr>
            <w:r w:rsidRPr="00E04254">
              <w:rPr>
                <w:rFonts w:asciiTheme="majorHAnsi" w:hAnsiTheme="majorHAnsi" w:cstheme="majorHAnsi"/>
                <w:b/>
                <w:sz w:val="22"/>
                <w:szCs w:val="22"/>
              </w:rPr>
              <w:t>B. Ajuste cruzado con contribución por coeficiente</w:t>
            </w:r>
          </w:p>
        </w:tc>
        <w:tc>
          <w:tcPr>
            <w:tcW w:w="2243" w:type="pct"/>
          </w:tcPr>
          <w:p w14:paraId="2CE27B66" w14:textId="77777777" w:rsidR="006F0A20" w:rsidRPr="00E04254" w:rsidRDefault="006F0A20">
            <w:pPr>
              <w:pStyle w:val="Compac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Si la póliza de copropiedad resulta insuficiente (infraseguro, Art. 1102 C.Co.), el faltante de comunes se traslada a cada propietario según su coeficiente; la póliza de hogar con amparo de cuota parte cubre ese faltante: 1,5% × faltante, hasta su sublímite.</w:t>
            </w:r>
          </w:p>
        </w:tc>
        <w:tc>
          <w:tcPr>
            <w:cnfStyle w:val="000010000000" w:firstRow="0" w:lastRow="0" w:firstColumn="0" w:lastColumn="0" w:oddVBand="1" w:evenVBand="0" w:oddHBand="0" w:evenHBand="0" w:firstRowFirstColumn="0" w:firstRowLastColumn="0" w:lastRowFirstColumn="0" w:lastRowLastColumn="0"/>
            <w:tcW w:w="1585" w:type="pct"/>
          </w:tcPr>
          <w:p w14:paraId="07A4C409" w14:textId="77777777" w:rsidR="006F0A20" w:rsidRPr="00E04254" w:rsidRDefault="006F0A20">
            <w:pPr>
              <w:pStyle w:val="Compact"/>
              <w:jc w:val="both"/>
              <w:rPr>
                <w:rFonts w:asciiTheme="majorHAnsi" w:hAnsiTheme="majorHAnsi" w:cstheme="majorHAnsi"/>
                <w:sz w:val="22"/>
                <w:szCs w:val="22"/>
              </w:rPr>
            </w:pPr>
            <w:r w:rsidRPr="00E04254">
              <w:rPr>
                <w:rFonts w:asciiTheme="majorHAnsi" w:hAnsiTheme="majorHAnsi" w:cstheme="majorHAnsi"/>
                <w:sz w:val="22"/>
                <w:szCs w:val="22"/>
              </w:rPr>
              <w:t>Infraseguro o sublímites agotados en la póliza de la copropiedad.</w:t>
            </w:r>
          </w:p>
        </w:tc>
      </w:tr>
      <w:tr w:rsidR="006F0A20" w:rsidRPr="00E04254" w14:paraId="77D61850" w14:textId="77777777" w:rsidTr="007263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72" w:type="pct"/>
          </w:tcPr>
          <w:p w14:paraId="672BE4E6" w14:textId="77777777" w:rsidR="006F0A20" w:rsidRPr="00E04254" w:rsidRDefault="006F0A20">
            <w:pPr>
              <w:pStyle w:val="Compact"/>
              <w:rPr>
                <w:rFonts w:asciiTheme="majorHAnsi" w:hAnsiTheme="majorHAnsi" w:cstheme="majorHAnsi"/>
                <w:sz w:val="22"/>
                <w:szCs w:val="22"/>
              </w:rPr>
            </w:pPr>
            <w:r w:rsidRPr="00E04254">
              <w:rPr>
                <w:rFonts w:asciiTheme="majorHAnsi" w:hAnsiTheme="majorHAnsi" w:cstheme="majorHAnsi"/>
                <w:b/>
                <w:sz w:val="22"/>
                <w:szCs w:val="22"/>
              </w:rPr>
              <w:t>C. Descuento previo</w:t>
            </w:r>
          </w:p>
        </w:tc>
        <w:tc>
          <w:tcPr>
            <w:tcW w:w="2243" w:type="pct"/>
          </w:tcPr>
          <w:p w14:paraId="19F94790" w14:textId="77777777" w:rsidR="006F0A20" w:rsidRPr="00E04254" w:rsidRDefault="006F0A20">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 xml:space="preserve">En pérdida total sin reconstrucción, la </w:t>
            </w:r>
            <w:r w:rsidRPr="00E04254">
              <w:rPr>
                <w:rFonts w:asciiTheme="majorHAnsi" w:hAnsiTheme="majorHAnsi" w:cstheme="majorHAnsi"/>
                <w:sz w:val="22"/>
                <w:szCs w:val="22"/>
              </w:rPr>
              <w:lastRenderedPageBreak/>
              <w:t>indemnización de comunes se distribuye por coeficientes (Ley 675, art. 65); lo recibido por el propietario por esa vía se descuenta de lo reclamable bajo la cuota parte de comunes de su póliza de hogar, para evitar doble pago del mismo interés.</w:t>
            </w:r>
          </w:p>
        </w:tc>
        <w:tc>
          <w:tcPr>
            <w:cnfStyle w:val="000010000000" w:firstRow="0" w:lastRow="0" w:firstColumn="0" w:lastColumn="0" w:oddVBand="1" w:evenVBand="0" w:oddHBand="0" w:evenHBand="0" w:firstRowFirstColumn="0" w:firstRowLastColumn="0" w:lastRowFirstColumn="0" w:lastRowLastColumn="0"/>
            <w:tcW w:w="1585" w:type="pct"/>
          </w:tcPr>
          <w:p w14:paraId="0B3B2A65" w14:textId="77777777" w:rsidR="006F0A20" w:rsidRPr="00E04254" w:rsidRDefault="006F0A20">
            <w:pPr>
              <w:pStyle w:val="Compact"/>
              <w:jc w:val="both"/>
              <w:rPr>
                <w:rFonts w:asciiTheme="majorHAnsi" w:hAnsiTheme="majorHAnsi" w:cstheme="majorHAnsi"/>
                <w:sz w:val="22"/>
                <w:szCs w:val="22"/>
              </w:rPr>
            </w:pPr>
            <w:r w:rsidRPr="00E04254">
              <w:rPr>
                <w:rFonts w:asciiTheme="majorHAnsi" w:hAnsiTheme="majorHAnsi" w:cstheme="majorHAnsi"/>
                <w:sz w:val="22"/>
                <w:szCs w:val="22"/>
              </w:rPr>
              <w:lastRenderedPageBreak/>
              <w:t xml:space="preserve">Pérdidas totales con </w:t>
            </w:r>
            <w:r w:rsidRPr="00E04254">
              <w:rPr>
                <w:rFonts w:asciiTheme="majorHAnsi" w:hAnsiTheme="majorHAnsi" w:cstheme="majorHAnsi"/>
                <w:sz w:val="22"/>
                <w:szCs w:val="22"/>
              </w:rPr>
              <w:lastRenderedPageBreak/>
              <w:t>distribución por coeficientes.</w:t>
            </w:r>
          </w:p>
        </w:tc>
      </w:tr>
    </w:tbl>
    <w:p w14:paraId="7436C86A" w14:textId="40E8F51E" w:rsidR="006F0A20" w:rsidRPr="00E04254" w:rsidRDefault="006F0A20" w:rsidP="000E71BE">
      <w:pPr>
        <w:pStyle w:val="FirstParagraph"/>
        <w:jc w:val="both"/>
        <w:rPr>
          <w:rFonts w:asciiTheme="majorHAnsi" w:eastAsiaTheme="majorEastAsia" w:hAnsiTheme="majorHAnsi" w:cstheme="majorHAnsi"/>
          <w:b/>
          <w:color w:val="365F91" w:themeColor="accent1" w:themeShade="BF"/>
          <w:sz w:val="26"/>
          <w:szCs w:val="26"/>
        </w:rPr>
      </w:pPr>
      <w:bookmarkStart w:id="1" w:name="Xb0bc27f16b22295975fb842d70e3e9f5f29233c"/>
      <w:bookmarkEnd w:id="0"/>
      <w:r w:rsidRPr="00E04254">
        <w:rPr>
          <w:rFonts w:asciiTheme="majorHAnsi" w:eastAsiaTheme="majorEastAsia" w:hAnsiTheme="majorHAnsi" w:cstheme="majorHAnsi"/>
          <w:b/>
          <w:color w:val="365F91" w:themeColor="accent1" w:themeShade="BF"/>
          <w:sz w:val="26"/>
          <w:szCs w:val="26"/>
        </w:rPr>
        <w:lastRenderedPageBreak/>
        <w:t>CASO 2: Póliza de copropiedad (bienes comunes) + seguro hipotecario (incendio y terremoto)</w:t>
      </w:r>
    </w:p>
    <w:tbl>
      <w:tblPr>
        <w:tblStyle w:val="Tablaconcuadrcula4-nfasis1"/>
        <w:tblW w:w="0" w:type="auto"/>
        <w:tblLook w:val="04A0" w:firstRow="1" w:lastRow="0" w:firstColumn="1" w:lastColumn="0" w:noHBand="0" w:noVBand="1"/>
      </w:tblPr>
      <w:tblGrid>
        <w:gridCol w:w="1951"/>
        <w:gridCol w:w="142"/>
        <w:gridCol w:w="2410"/>
        <w:gridCol w:w="4551"/>
      </w:tblGrid>
      <w:tr w:rsidR="00AF6E06" w:rsidRPr="00E04254" w14:paraId="0757B3DC" w14:textId="77777777" w:rsidTr="00E0425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Pr>
          <w:p w14:paraId="1F456559" w14:textId="284E7256" w:rsidR="00AF6E06" w:rsidRPr="00E04254" w:rsidRDefault="00AF6E06" w:rsidP="00AF6E06">
            <w:pPr>
              <w:pStyle w:val="FirstParagraph"/>
              <w:jc w:val="center"/>
              <w:rPr>
                <w:rFonts w:asciiTheme="majorHAnsi" w:hAnsiTheme="majorHAnsi" w:cstheme="majorHAnsi"/>
                <w:sz w:val="22"/>
                <w:szCs w:val="22"/>
              </w:rPr>
            </w:pPr>
            <w:r w:rsidRPr="00E04254">
              <w:rPr>
                <w:rFonts w:asciiTheme="majorHAnsi" w:hAnsiTheme="majorHAnsi" w:cstheme="majorHAnsi"/>
                <w:sz w:val="22"/>
                <w:szCs w:val="22"/>
              </w:rPr>
              <w:t>Análisis</w:t>
            </w:r>
          </w:p>
        </w:tc>
        <w:tc>
          <w:tcPr>
            <w:tcW w:w="2552" w:type="dxa"/>
            <w:gridSpan w:val="2"/>
          </w:tcPr>
          <w:p w14:paraId="444DDC13" w14:textId="05136F4D" w:rsidR="00AF6E06" w:rsidRPr="00E04254" w:rsidRDefault="00AF6E06" w:rsidP="00AF6E06">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Ejemplo</w:t>
            </w:r>
          </w:p>
        </w:tc>
        <w:tc>
          <w:tcPr>
            <w:tcW w:w="4551" w:type="dxa"/>
          </w:tcPr>
          <w:p w14:paraId="7A00AF72" w14:textId="3ED3E766" w:rsidR="00AF6E06" w:rsidRPr="00E04254" w:rsidRDefault="00AF6E06" w:rsidP="00AF6E06">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Liquidación</w:t>
            </w:r>
          </w:p>
        </w:tc>
      </w:tr>
      <w:tr w:rsidR="00AF6E06" w:rsidRPr="00E04254" w14:paraId="7C070B3D" w14:textId="77777777" w:rsidTr="00E04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gridSpan w:val="2"/>
            <w:shd w:val="clear" w:color="auto" w:fill="FFFFFF" w:themeFill="background1"/>
          </w:tcPr>
          <w:p w14:paraId="2029A1CC" w14:textId="77777777" w:rsidR="00726305" w:rsidRPr="00E04254" w:rsidRDefault="00AF6E06" w:rsidP="00E04254">
            <w:pPr>
              <w:pStyle w:val="FirstParagraph"/>
              <w:jc w:val="both"/>
              <w:rPr>
                <w:rFonts w:asciiTheme="majorHAnsi" w:hAnsiTheme="majorHAnsi" w:cstheme="majorHAnsi"/>
                <w:b w:val="0"/>
                <w:bCs w:val="0"/>
                <w:sz w:val="22"/>
                <w:szCs w:val="22"/>
              </w:rPr>
            </w:pPr>
            <w:r w:rsidRPr="00E04254">
              <w:rPr>
                <w:rFonts w:asciiTheme="majorHAnsi" w:hAnsiTheme="majorHAnsi" w:cstheme="majorHAnsi"/>
                <w:b w:val="0"/>
                <w:sz w:val="22"/>
                <w:szCs w:val="22"/>
              </w:rPr>
              <w:t>El seguro hipotecario ampara la parte destructible del bien privado por su valor comercial (Art. 101 EOSF), con el banco como beneficiario a título oneroso hasta el saldo insoluto y el deudor como asegurado con derecho al remanente.</w:t>
            </w:r>
          </w:p>
          <w:p w14:paraId="4A9BB3BF" w14:textId="7830E307" w:rsidR="00AF6E06" w:rsidRPr="00E04254" w:rsidRDefault="00AF6E06" w:rsidP="00E04254">
            <w:pPr>
              <w:pStyle w:val="FirstParagraph"/>
              <w:jc w:val="both"/>
              <w:rPr>
                <w:rFonts w:asciiTheme="majorHAnsi" w:hAnsiTheme="majorHAnsi" w:cstheme="majorHAnsi"/>
                <w:b w:val="0"/>
                <w:sz w:val="20"/>
                <w:szCs w:val="20"/>
              </w:rPr>
            </w:pPr>
            <w:r w:rsidRPr="00E04254">
              <w:rPr>
                <w:rFonts w:asciiTheme="majorHAnsi" w:hAnsiTheme="majorHAnsi" w:cstheme="majorHAnsi"/>
                <w:b w:val="0"/>
                <w:sz w:val="22"/>
                <w:szCs w:val="22"/>
              </w:rPr>
              <w:t>La póliza de copropiedad ampara los bienes comunes. No hay coexistencia: objetos e intereses distintos.</w:t>
            </w:r>
          </w:p>
        </w:tc>
        <w:tc>
          <w:tcPr>
            <w:tcW w:w="2410" w:type="dxa"/>
            <w:shd w:val="clear" w:color="auto" w:fill="FFFFFF" w:themeFill="background1"/>
          </w:tcPr>
          <w:p w14:paraId="683A7186" w14:textId="64B6AACB" w:rsidR="00AF6E06" w:rsidRPr="00E04254" w:rsidRDefault="00AF6E06" w:rsidP="00000B7E">
            <w:pPr>
              <w:pStyle w:val="FirstParagrap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Pérdida total del apto. 501</w:t>
            </w:r>
          </w:p>
          <w:p w14:paraId="2522197E" w14:textId="77777777" w:rsidR="00AF6E06" w:rsidRPr="00E04254" w:rsidRDefault="00AF6E06" w:rsidP="00000B7E">
            <w:pPr>
              <w:pStyle w:val="FirstParagrap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 xml:space="preserve">Valor destructible asegurado del 501: $400. </w:t>
            </w:r>
          </w:p>
          <w:p w14:paraId="2838BB42" w14:textId="77777777" w:rsidR="00AF6E06" w:rsidRPr="00E04254" w:rsidRDefault="00AF6E06" w:rsidP="00000B7E">
            <w:pPr>
              <w:pStyle w:val="FirstParagrap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 xml:space="preserve">Saldo insoluto del crédito: $250. </w:t>
            </w:r>
          </w:p>
          <w:p w14:paraId="524B8266" w14:textId="57183AA8" w:rsidR="00AF6E06" w:rsidRPr="00E04254" w:rsidRDefault="00AF6E06" w:rsidP="00000B7E">
            <w:pPr>
              <w:pStyle w:val="FirstParagrap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2"/>
                <w:szCs w:val="22"/>
              </w:rPr>
              <w:t>Coeficiente del 501: 2%. Indemnización de comunes de la copropiedad (sin reconstrucción procedente): $20.000.</w:t>
            </w:r>
          </w:p>
        </w:tc>
        <w:tc>
          <w:tcPr>
            <w:tcW w:w="4551" w:type="dxa"/>
            <w:shd w:val="clear" w:color="auto" w:fill="FFFFFF" w:themeFill="background1"/>
          </w:tcPr>
          <w:p w14:paraId="776C27D3" w14:textId="77777777" w:rsidR="00AF6E06" w:rsidRPr="00E04254" w:rsidRDefault="00AF6E06" w:rsidP="00EF0392">
            <w:pPr>
              <w:pStyle w:val="FirstParagraph"/>
              <w:numPr>
                <w:ilvl w:val="0"/>
                <w:numId w:val="24"/>
              </w:numPr>
              <w:ind w:left="316"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Aseguradora hipotecaria paga $400: $250 al banco (extingue el crédito) y $150 al deudor (excedente, Abecé SFC 2026 y Art. 101 EOSF).</w:t>
            </w:r>
          </w:p>
          <w:p w14:paraId="0B40CEF4" w14:textId="77777777" w:rsidR="00AF6E06" w:rsidRPr="00E04254" w:rsidRDefault="00AF6E06" w:rsidP="00EF0392">
            <w:pPr>
              <w:pStyle w:val="FirstParagraph"/>
              <w:numPr>
                <w:ilvl w:val="0"/>
                <w:numId w:val="24"/>
              </w:numPr>
              <w:ind w:left="316"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Aseguradora de la copropiedad: si la reconstrucción no procede, distribuye por coeficientes → el propietario del 501 recibe 2% × $20.000 = $400 por su derecho proindiviso sobre los comunes.</w:t>
            </w:r>
          </w:p>
          <w:p w14:paraId="35D65EFE" w14:textId="51833DD3" w:rsidR="00AF6E06" w:rsidRPr="00E04254" w:rsidRDefault="00AF6E06" w:rsidP="00EF0392">
            <w:pPr>
              <w:pStyle w:val="FirstParagraph"/>
              <w:numPr>
                <w:ilvl w:val="0"/>
                <w:numId w:val="24"/>
              </w:numPr>
              <w:ind w:left="316"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2"/>
                <w:szCs w:val="22"/>
              </w:rPr>
              <w:t>Cruce de la cuota parte de comunes: si la póliza hipotecaria definió su valor asegurado incluyendo la cuota parte de bienes comunes del inmueble, la liquidación debería evitar pagar dos veces esa misma porción. En principio, la póliza de copropiedad atiende el interés común y la hipotecaria responde por la parte privada más el eventual faltante de la cuota parte no cubierto por aquella. El cruce puede resolverse en mesa técnica Inter compañías, sin retener por esa sola razón el pago al consumidor.</w:t>
            </w:r>
          </w:p>
        </w:tc>
      </w:tr>
    </w:tbl>
    <w:p w14:paraId="1BD14ACE" w14:textId="2AED6FAA" w:rsidR="006F0A20" w:rsidRPr="00E04254" w:rsidRDefault="00B22BD7" w:rsidP="00AB71BB">
      <w:pPr>
        <w:pStyle w:val="FirstParagraph"/>
        <w:jc w:val="both"/>
        <w:rPr>
          <w:rFonts w:asciiTheme="majorHAnsi" w:eastAsiaTheme="majorEastAsia" w:hAnsiTheme="majorHAnsi" w:cstheme="majorHAnsi"/>
          <w:b/>
          <w:color w:val="365F91" w:themeColor="accent1" w:themeShade="BF"/>
          <w:sz w:val="26"/>
          <w:szCs w:val="26"/>
        </w:rPr>
      </w:pPr>
      <w:r w:rsidRPr="00E04254">
        <w:rPr>
          <w:rFonts w:asciiTheme="majorHAnsi" w:eastAsiaTheme="majorEastAsia" w:hAnsiTheme="majorHAnsi" w:cstheme="majorHAnsi"/>
          <w:b/>
          <w:color w:val="365F91" w:themeColor="accent1" w:themeShade="BF"/>
          <w:sz w:val="26"/>
          <w:szCs w:val="26"/>
        </w:rPr>
        <w:t xml:space="preserve">CASO 3: </w:t>
      </w:r>
      <w:r w:rsidR="006F0A20" w:rsidRPr="00E04254">
        <w:rPr>
          <w:rFonts w:asciiTheme="majorHAnsi" w:eastAsiaTheme="majorEastAsia" w:hAnsiTheme="majorHAnsi" w:cstheme="majorHAnsi"/>
          <w:b/>
          <w:color w:val="365F91" w:themeColor="accent1" w:themeShade="BF"/>
          <w:sz w:val="26"/>
          <w:szCs w:val="26"/>
        </w:rPr>
        <w:t>Vida grupo deudores + terremoto hipotecario (orden de afectación frente al saldo insoluto).</w:t>
      </w:r>
    </w:p>
    <w:tbl>
      <w:tblPr>
        <w:tblStyle w:val="Tablaconcuadrcula4-nfasis1"/>
        <w:tblW w:w="0" w:type="auto"/>
        <w:tblLook w:val="04A0" w:firstRow="1" w:lastRow="0" w:firstColumn="1" w:lastColumn="0" w:noHBand="0" w:noVBand="1"/>
      </w:tblPr>
      <w:tblGrid>
        <w:gridCol w:w="3187"/>
        <w:gridCol w:w="5867"/>
      </w:tblGrid>
      <w:tr w:rsidR="00B1370E" w:rsidRPr="00E04254" w14:paraId="32C9DAEB" w14:textId="77777777" w:rsidTr="00EF03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4B46DD0" w14:textId="77777777" w:rsidR="00B1370E" w:rsidRPr="00E04254" w:rsidRDefault="00B1370E">
            <w:pPr>
              <w:pStyle w:val="FirstParagraph"/>
              <w:jc w:val="center"/>
              <w:rPr>
                <w:rFonts w:asciiTheme="majorHAnsi" w:hAnsiTheme="majorHAnsi" w:cstheme="majorHAnsi"/>
                <w:sz w:val="22"/>
                <w:szCs w:val="22"/>
              </w:rPr>
            </w:pPr>
            <w:bookmarkStart w:id="2" w:name="Xa4b20ff3262a8e2dbf15824a3dbf4e639e17cc6"/>
            <w:bookmarkEnd w:id="1"/>
            <w:r w:rsidRPr="00E04254">
              <w:rPr>
                <w:rFonts w:asciiTheme="majorHAnsi" w:hAnsiTheme="majorHAnsi" w:cstheme="majorHAnsi"/>
                <w:sz w:val="22"/>
                <w:szCs w:val="22"/>
              </w:rPr>
              <w:t>Análisis</w:t>
            </w:r>
          </w:p>
        </w:tc>
        <w:tc>
          <w:tcPr>
            <w:tcW w:w="6804" w:type="dxa"/>
          </w:tcPr>
          <w:p w14:paraId="57715B56" w14:textId="77777777" w:rsidR="00B1370E" w:rsidRPr="00E04254" w:rsidRDefault="00B1370E">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Liquidación</w:t>
            </w:r>
          </w:p>
        </w:tc>
      </w:tr>
      <w:tr w:rsidR="00B1370E" w:rsidRPr="00E04254" w14:paraId="097A9911" w14:textId="77777777" w:rsidTr="00EF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FFFFFF" w:themeFill="background1"/>
          </w:tcPr>
          <w:p w14:paraId="7C4D54E1" w14:textId="77777777" w:rsidR="00B1370E" w:rsidRPr="00E04254" w:rsidRDefault="00B1370E" w:rsidP="00B1370E">
            <w:pPr>
              <w:pStyle w:val="FirstParagraph"/>
              <w:jc w:val="both"/>
              <w:rPr>
                <w:rFonts w:asciiTheme="majorHAnsi" w:hAnsiTheme="majorHAnsi" w:cstheme="majorHAnsi"/>
                <w:sz w:val="20"/>
                <w:szCs w:val="20"/>
              </w:rPr>
            </w:pPr>
            <w:r w:rsidRPr="00E04254">
              <w:rPr>
                <w:rFonts w:asciiTheme="majorHAnsi" w:hAnsiTheme="majorHAnsi" w:cstheme="majorHAnsi"/>
                <w:b w:val="0"/>
                <w:bCs w:val="0"/>
                <w:sz w:val="20"/>
                <w:szCs w:val="20"/>
              </w:rPr>
              <w:t xml:space="preserve">Cuando el sismo causa simultáneamente la muerte (o Incapacidad Total Permanente) del </w:t>
            </w:r>
            <w:r w:rsidRPr="00E04254">
              <w:rPr>
                <w:rFonts w:asciiTheme="majorHAnsi" w:hAnsiTheme="majorHAnsi" w:cstheme="majorHAnsi"/>
                <w:b w:val="0"/>
                <w:bCs w:val="0"/>
                <w:sz w:val="20"/>
                <w:szCs w:val="20"/>
              </w:rPr>
              <w:lastRenderedPageBreak/>
              <w:t xml:space="preserve">deudor y la destrucción del inmueble, se activan dos seguros con intereses y riesgos distintos (la deuda vs. el inmueble): no hay coexistencia y ambos son exigibles. </w:t>
            </w:r>
          </w:p>
          <w:p w14:paraId="04E039B3" w14:textId="6E73AB83" w:rsidR="00B1370E" w:rsidRPr="00E04254" w:rsidRDefault="00B1370E" w:rsidP="00B1370E">
            <w:pPr>
              <w:pStyle w:val="Textoindependiente"/>
              <w:jc w:val="both"/>
              <w:rPr>
                <w:rFonts w:asciiTheme="majorHAnsi" w:hAnsiTheme="majorHAnsi" w:cstheme="majorHAnsi"/>
                <w:b w:val="0"/>
                <w:bCs w:val="0"/>
              </w:rPr>
            </w:pPr>
            <w:r w:rsidRPr="00E04254">
              <w:rPr>
                <w:rFonts w:asciiTheme="majorHAnsi" w:eastAsiaTheme="minorHAnsi" w:hAnsiTheme="majorHAnsi" w:cstheme="majorHAnsi"/>
                <w:b w:val="0"/>
                <w:bCs w:val="0"/>
                <w:sz w:val="20"/>
                <w:szCs w:val="20"/>
              </w:rPr>
              <w:t>El principio indemnizatorio prohíbe que el banco recupere dos veces el mismo saldo insoluto.</w:t>
            </w:r>
          </w:p>
        </w:tc>
        <w:tc>
          <w:tcPr>
            <w:tcW w:w="6804" w:type="dxa"/>
            <w:shd w:val="clear" w:color="auto" w:fill="FFFFFF" w:themeFill="background1"/>
          </w:tcPr>
          <w:p w14:paraId="794C9199" w14:textId="2A17D79F" w:rsidR="00B1370E" w:rsidRPr="00E04254" w:rsidRDefault="00B1370E" w:rsidP="00B1370E">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0"/>
                <w:szCs w:val="20"/>
              </w:rPr>
              <w:lastRenderedPageBreak/>
              <w:t xml:space="preserve">El seguro de vida grupo deudores puede extinguir la obligación crediticia, conforme al contrato y al régimen aplicable. Si la deuda se extingue, el banco dejaría de tener interés como beneficiario oneroso del seguro de terremoto respecto del saldo insoluto, y la </w:t>
            </w:r>
            <w:r w:rsidRPr="00E04254">
              <w:rPr>
                <w:rFonts w:asciiTheme="majorHAnsi" w:hAnsiTheme="majorHAnsi" w:cstheme="majorHAnsi"/>
                <w:sz w:val="20"/>
                <w:szCs w:val="20"/>
              </w:rPr>
              <w:lastRenderedPageBreak/>
              <w:t>indemnización del inmueble debería asignarse al asegurado o a sus herederos, según corresponda. Si el seguro de terremoto se pagó primero al banco, el pago posterior del seguro de vida grupo deudores debería dar lugar a los ajustes o restituciones que correspondan, mediante compensación en mesa técnica. La existencia de una póliza no debería utilizarse para objetar o dilatar la otra; los trámites deberían avanzar en paralelo y la coordinación debería darse entre compañías y entidad financiera, no a cargo del consumidor.</w:t>
            </w:r>
          </w:p>
        </w:tc>
      </w:tr>
    </w:tbl>
    <w:p w14:paraId="3ABCFF2C" w14:textId="755A1470" w:rsidR="006F0A20" w:rsidRPr="00E04254" w:rsidRDefault="006F0A20" w:rsidP="00AB71BB">
      <w:pPr>
        <w:pStyle w:val="FirstParagraph"/>
        <w:jc w:val="both"/>
        <w:rPr>
          <w:rFonts w:asciiTheme="majorHAnsi" w:eastAsiaTheme="majorEastAsia" w:hAnsiTheme="majorHAnsi" w:cstheme="majorHAnsi"/>
          <w:b/>
          <w:color w:val="365F91" w:themeColor="accent1" w:themeShade="BF"/>
          <w:sz w:val="26"/>
          <w:szCs w:val="26"/>
        </w:rPr>
      </w:pPr>
      <w:r w:rsidRPr="00E04254">
        <w:rPr>
          <w:rFonts w:asciiTheme="majorHAnsi" w:eastAsiaTheme="majorEastAsia" w:hAnsiTheme="majorHAnsi" w:cstheme="majorHAnsi"/>
          <w:b/>
          <w:color w:val="365F91" w:themeColor="accent1" w:themeShade="BF"/>
          <w:sz w:val="26"/>
          <w:szCs w:val="26"/>
        </w:rPr>
        <w:lastRenderedPageBreak/>
        <w:t xml:space="preserve">CASO </w:t>
      </w:r>
      <w:r w:rsidR="00B22BD7" w:rsidRPr="00E04254">
        <w:rPr>
          <w:rFonts w:asciiTheme="majorHAnsi" w:eastAsiaTheme="majorEastAsia" w:hAnsiTheme="majorHAnsi" w:cstheme="majorHAnsi"/>
          <w:b/>
          <w:color w:val="365F91" w:themeColor="accent1" w:themeShade="BF"/>
          <w:sz w:val="26"/>
          <w:szCs w:val="26"/>
        </w:rPr>
        <w:t>4</w:t>
      </w:r>
      <w:r w:rsidRPr="00E04254">
        <w:rPr>
          <w:rFonts w:asciiTheme="majorHAnsi" w:eastAsiaTheme="majorEastAsia" w:hAnsiTheme="majorHAnsi" w:cstheme="majorHAnsi"/>
          <w:b/>
          <w:color w:val="365F91" w:themeColor="accent1" w:themeShade="BF"/>
          <w:sz w:val="26"/>
          <w:szCs w:val="26"/>
        </w:rPr>
        <w:t>: Póliza de copropiedad + póliza individual a valor admitido</w:t>
      </w:r>
    </w:p>
    <w:tbl>
      <w:tblPr>
        <w:tblStyle w:val="Tablaconcuadrcula4-nfasis1"/>
        <w:tblW w:w="0" w:type="auto"/>
        <w:tblLook w:val="04A0" w:firstRow="1" w:lastRow="0" w:firstColumn="1" w:lastColumn="0" w:noHBand="0" w:noVBand="1"/>
      </w:tblPr>
      <w:tblGrid>
        <w:gridCol w:w="2518"/>
        <w:gridCol w:w="6536"/>
      </w:tblGrid>
      <w:tr w:rsidR="0037438A" w:rsidRPr="00E04254" w14:paraId="6A276264" w14:textId="77777777" w:rsidTr="00E04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2C7402F" w14:textId="77777777" w:rsidR="0037438A" w:rsidRPr="00E04254" w:rsidRDefault="0037438A">
            <w:pPr>
              <w:pStyle w:val="FirstParagraph"/>
              <w:jc w:val="center"/>
              <w:rPr>
                <w:rFonts w:asciiTheme="majorHAnsi" w:hAnsiTheme="majorHAnsi" w:cstheme="majorHAnsi"/>
                <w:sz w:val="22"/>
                <w:szCs w:val="22"/>
              </w:rPr>
            </w:pPr>
            <w:r w:rsidRPr="00E04254">
              <w:rPr>
                <w:rFonts w:asciiTheme="majorHAnsi" w:hAnsiTheme="majorHAnsi" w:cstheme="majorHAnsi"/>
                <w:sz w:val="22"/>
                <w:szCs w:val="22"/>
              </w:rPr>
              <w:t>Análisis</w:t>
            </w:r>
          </w:p>
        </w:tc>
        <w:tc>
          <w:tcPr>
            <w:tcW w:w="6536" w:type="dxa"/>
          </w:tcPr>
          <w:p w14:paraId="30F60B97" w14:textId="77777777" w:rsidR="0037438A" w:rsidRPr="00E04254" w:rsidRDefault="0037438A">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Liquidación</w:t>
            </w:r>
          </w:p>
        </w:tc>
      </w:tr>
      <w:tr w:rsidR="0037438A" w:rsidRPr="00E04254" w14:paraId="52E3D182" w14:textId="77777777" w:rsidTr="00E04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256157EF" w14:textId="41FC2493" w:rsidR="0037438A" w:rsidRPr="00E04254" w:rsidRDefault="0037438A">
            <w:pPr>
              <w:pStyle w:val="Textoindependiente"/>
              <w:jc w:val="both"/>
              <w:rPr>
                <w:rFonts w:asciiTheme="majorHAnsi" w:hAnsiTheme="majorHAnsi" w:cstheme="majorHAnsi"/>
                <w:b w:val="0"/>
                <w:bCs w:val="0"/>
              </w:rPr>
            </w:pPr>
            <w:r w:rsidRPr="00E04254">
              <w:rPr>
                <w:rFonts w:asciiTheme="majorHAnsi" w:eastAsiaTheme="minorHAnsi" w:hAnsiTheme="majorHAnsi" w:cstheme="majorHAnsi"/>
                <w:b w:val="0"/>
                <w:sz w:val="22"/>
                <w:szCs w:val="22"/>
              </w:rPr>
              <w:t>El pacto de valor admitido (Art. 1089 inc. 2 C.Co.) fija de antemano el valor del interés asegurado del bien privado y excluye la discusión posterior sobre su cuantía (salvo fraude), desplazando además la regla proporcional por infraseguro. La póliza de la copropiedad sigue su cauce ordinario sobre los bienes comunes. No hay coexistencia entre ambas</w:t>
            </w:r>
            <w:r w:rsidRPr="00E04254">
              <w:rPr>
                <w:rFonts w:asciiTheme="majorHAnsi" w:eastAsiaTheme="minorHAnsi" w:hAnsiTheme="majorHAnsi" w:cstheme="majorHAnsi"/>
                <w:b w:val="0"/>
                <w:bCs w:val="0"/>
                <w:sz w:val="20"/>
                <w:szCs w:val="20"/>
              </w:rPr>
              <w:t>.</w:t>
            </w:r>
          </w:p>
        </w:tc>
        <w:tc>
          <w:tcPr>
            <w:tcW w:w="6536" w:type="dxa"/>
            <w:shd w:val="clear" w:color="auto" w:fill="FFFFFF" w:themeFill="background1"/>
          </w:tcPr>
          <w:p w14:paraId="03828DB0" w14:textId="77777777" w:rsidR="0037438A" w:rsidRPr="00E04254" w:rsidRDefault="0037438A" w:rsidP="0073464A">
            <w:pPr>
              <w:pStyle w:val="Compact"/>
              <w:numPr>
                <w:ilvl w:val="0"/>
                <w:numId w:val="13"/>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En pérdida parcial, la póliza a valor admitido indemniza el daño del bien privado conforme al valor pactado, con independencia del avance o resultado de la reconstrucción de los comunes.</w:t>
            </w:r>
          </w:p>
          <w:p w14:paraId="42823C4E" w14:textId="77777777" w:rsidR="0037438A" w:rsidRPr="00E04254" w:rsidRDefault="0037438A" w:rsidP="0073464A">
            <w:pPr>
              <w:pStyle w:val="Compact"/>
              <w:numPr>
                <w:ilvl w:val="0"/>
                <w:numId w:val="13"/>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En pérdida total con reconstrucción comunal procedente, la reconstrucción de estructura y comunes corre por cuenta de la póliza de la copropiedad; la póliza a valor admitido cubre la reposición de lo privado (acabados, mejoras, contenidos) según su definición contractual, sin descuentos por la reconstrucción común, pues protege un interés diferente.</w:t>
            </w:r>
          </w:p>
          <w:p w14:paraId="22773974" w14:textId="3666B8FC" w:rsidR="0037438A" w:rsidRPr="00E04254" w:rsidRDefault="0037438A" w:rsidP="0073464A">
            <w:pPr>
              <w:pStyle w:val="Compact"/>
              <w:numPr>
                <w:ilvl w:val="0"/>
                <w:numId w:val="13"/>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4254">
              <w:rPr>
                <w:rFonts w:asciiTheme="majorHAnsi" w:hAnsiTheme="majorHAnsi" w:cstheme="majorHAnsi"/>
                <w:sz w:val="22"/>
                <w:szCs w:val="22"/>
              </w:rPr>
              <w:t>En pérdida total sin reconstrucción, el propietario acumula: (i) su coeficiente sobre la indemnización de comunes y (ii) el valor admitido de su póliza individual sobre lo privado. Solo si la póliza individual definió su objeto incluyendo la cuota parte de comunes se aplica el descuento del Caso 1, Opción C, sobre esa porción específica</w:t>
            </w:r>
            <w:r w:rsidRPr="00E04254">
              <w:rPr>
                <w:rFonts w:asciiTheme="majorHAnsi" w:hAnsiTheme="majorHAnsi" w:cstheme="majorHAnsi"/>
                <w:sz w:val="20"/>
                <w:szCs w:val="20"/>
              </w:rPr>
              <w:t>.</w:t>
            </w:r>
          </w:p>
        </w:tc>
      </w:tr>
    </w:tbl>
    <w:p w14:paraId="467505C8" w14:textId="6E87F718" w:rsidR="006F0A20" w:rsidRPr="00E04254" w:rsidRDefault="006F0A20" w:rsidP="00AB71BB">
      <w:pPr>
        <w:pStyle w:val="FirstParagraph"/>
        <w:jc w:val="both"/>
        <w:rPr>
          <w:rFonts w:asciiTheme="majorHAnsi" w:eastAsiaTheme="majorEastAsia" w:hAnsiTheme="majorHAnsi" w:cstheme="majorHAnsi"/>
          <w:b/>
          <w:color w:val="365F91" w:themeColor="accent1" w:themeShade="BF"/>
          <w:sz w:val="26"/>
          <w:szCs w:val="26"/>
        </w:rPr>
      </w:pPr>
      <w:bookmarkStart w:id="3" w:name="Xfca49b46fd0c0b4b0486d61e42d609c111bff72"/>
      <w:bookmarkEnd w:id="2"/>
      <w:r w:rsidRPr="00E04254">
        <w:rPr>
          <w:rFonts w:asciiTheme="majorHAnsi" w:eastAsiaTheme="majorEastAsia" w:hAnsiTheme="majorHAnsi" w:cstheme="majorHAnsi"/>
          <w:b/>
          <w:color w:val="365F91" w:themeColor="accent1" w:themeShade="BF"/>
          <w:sz w:val="26"/>
          <w:szCs w:val="26"/>
        </w:rPr>
        <w:t xml:space="preserve">CASO </w:t>
      </w:r>
      <w:r w:rsidR="00B22BD7" w:rsidRPr="00E04254">
        <w:rPr>
          <w:rFonts w:asciiTheme="majorHAnsi" w:eastAsiaTheme="majorEastAsia" w:hAnsiTheme="majorHAnsi" w:cstheme="majorHAnsi"/>
          <w:b/>
          <w:color w:val="365F91" w:themeColor="accent1" w:themeShade="BF"/>
          <w:sz w:val="26"/>
          <w:szCs w:val="26"/>
        </w:rPr>
        <w:t>5</w:t>
      </w:r>
      <w:r w:rsidRPr="00E04254">
        <w:rPr>
          <w:rFonts w:asciiTheme="majorHAnsi" w:eastAsiaTheme="majorEastAsia" w:hAnsiTheme="majorHAnsi" w:cstheme="majorHAnsi"/>
          <w:b/>
          <w:color w:val="365F91" w:themeColor="accent1" w:themeShade="BF"/>
          <w:sz w:val="26"/>
          <w:szCs w:val="26"/>
        </w:rPr>
        <w:t>: Póliza de copropiedad con cobertura extendida a bienes privados + póliza individual (voluntaria o hipotecaria)</w:t>
      </w:r>
    </w:p>
    <w:tbl>
      <w:tblPr>
        <w:tblStyle w:val="Tablaconcuadrcula4-nfasis1"/>
        <w:tblW w:w="0" w:type="auto"/>
        <w:tblLook w:val="04A0" w:firstRow="1" w:lastRow="0" w:firstColumn="1" w:lastColumn="0" w:noHBand="0" w:noVBand="1"/>
      </w:tblPr>
      <w:tblGrid>
        <w:gridCol w:w="2802"/>
        <w:gridCol w:w="2976"/>
        <w:gridCol w:w="3276"/>
      </w:tblGrid>
      <w:tr w:rsidR="002A5C41" w:rsidRPr="00E04254" w14:paraId="762AE64B" w14:textId="77777777" w:rsidTr="00EF03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69BB8821" w14:textId="77777777" w:rsidR="002A5C41" w:rsidRPr="00E04254" w:rsidRDefault="002A5C41">
            <w:pPr>
              <w:pStyle w:val="FirstParagraph"/>
              <w:jc w:val="center"/>
              <w:rPr>
                <w:rFonts w:asciiTheme="majorHAnsi" w:hAnsiTheme="majorHAnsi" w:cstheme="majorHAnsi"/>
                <w:sz w:val="22"/>
                <w:szCs w:val="22"/>
              </w:rPr>
            </w:pPr>
            <w:r w:rsidRPr="00E04254">
              <w:rPr>
                <w:rFonts w:asciiTheme="majorHAnsi" w:hAnsiTheme="majorHAnsi" w:cstheme="majorHAnsi"/>
                <w:sz w:val="22"/>
                <w:szCs w:val="22"/>
              </w:rPr>
              <w:t>Análisis</w:t>
            </w:r>
          </w:p>
        </w:tc>
        <w:tc>
          <w:tcPr>
            <w:tcW w:w="2976" w:type="dxa"/>
          </w:tcPr>
          <w:p w14:paraId="5A62535F" w14:textId="77777777" w:rsidR="002A5C41" w:rsidRPr="00E04254" w:rsidRDefault="002A5C41">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Ejemplo</w:t>
            </w:r>
          </w:p>
        </w:tc>
        <w:tc>
          <w:tcPr>
            <w:tcW w:w="3276" w:type="dxa"/>
          </w:tcPr>
          <w:p w14:paraId="0925473F" w14:textId="77777777" w:rsidR="002A5C41" w:rsidRPr="00E04254" w:rsidRDefault="002A5C41">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Liquidación</w:t>
            </w:r>
          </w:p>
        </w:tc>
      </w:tr>
      <w:tr w:rsidR="002A5C41" w:rsidRPr="00E04254" w14:paraId="41B814E4" w14:textId="77777777" w:rsidTr="00EF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14:paraId="108698E0" w14:textId="77777777" w:rsidR="002A5C41" w:rsidRPr="00E04254" w:rsidRDefault="002A5C41" w:rsidP="002A5C41">
            <w:pPr>
              <w:pStyle w:val="FirstParagraph"/>
              <w:jc w:val="both"/>
              <w:rPr>
                <w:rFonts w:asciiTheme="majorHAnsi" w:hAnsiTheme="majorHAnsi" w:cstheme="majorHAnsi"/>
                <w:b w:val="0"/>
                <w:sz w:val="22"/>
                <w:szCs w:val="22"/>
              </w:rPr>
            </w:pPr>
            <w:r w:rsidRPr="00E04254">
              <w:rPr>
                <w:rFonts w:asciiTheme="majorHAnsi" w:hAnsiTheme="majorHAnsi" w:cstheme="majorHAnsi"/>
                <w:b w:val="0"/>
                <w:sz w:val="22"/>
                <w:szCs w:val="22"/>
              </w:rPr>
              <w:t xml:space="preserve">Este es un escenario de la matriz donde opera la coexistencia jurídica directa sobre los bienes privados: dos aseguradores distintos, mismo asegurado (el propietario), mismo interés (su unidad privada) y mismo riesgo (terremoto). Se cumplen las cuatro </w:t>
            </w:r>
            <w:r w:rsidRPr="00E04254">
              <w:rPr>
                <w:rFonts w:asciiTheme="majorHAnsi" w:hAnsiTheme="majorHAnsi" w:cstheme="majorHAnsi"/>
                <w:b w:val="0"/>
                <w:sz w:val="22"/>
                <w:szCs w:val="22"/>
              </w:rPr>
              <w:lastRenderedPageBreak/>
              <w:t>identidades del Art. 1094 C.Co.</w:t>
            </w:r>
          </w:p>
          <w:p w14:paraId="66D1C41A" w14:textId="145A3948" w:rsidR="002A5C41" w:rsidRPr="00E04254" w:rsidRDefault="002A5C41" w:rsidP="002A5C41">
            <w:pPr>
              <w:pStyle w:val="Textoindependiente"/>
              <w:jc w:val="both"/>
              <w:rPr>
                <w:rFonts w:asciiTheme="majorHAnsi" w:eastAsiaTheme="minorHAnsi" w:hAnsiTheme="majorHAnsi" w:cstheme="majorHAnsi"/>
                <w:b w:val="0"/>
                <w:sz w:val="22"/>
                <w:szCs w:val="22"/>
              </w:rPr>
            </w:pPr>
            <w:r w:rsidRPr="00E04254">
              <w:rPr>
                <w:rFonts w:asciiTheme="majorHAnsi" w:eastAsiaTheme="minorHAnsi" w:hAnsiTheme="majorHAnsi" w:cstheme="majorHAnsi"/>
                <w:b w:val="0"/>
                <w:sz w:val="22"/>
                <w:szCs w:val="22"/>
              </w:rPr>
              <w:t>Mecanismo de contribución (Art. 1092 C.Co.).: Los aseguradores soportan la indemnización en proporción a la cuantía de sus respectivos contratos, siempre que el asegurado haya actuado de buena fe; la mala fe en la contratación produce nulidad.</w:t>
            </w:r>
          </w:p>
        </w:tc>
        <w:tc>
          <w:tcPr>
            <w:tcW w:w="2976" w:type="dxa"/>
            <w:shd w:val="clear" w:color="auto" w:fill="FFFFFF" w:themeFill="background1"/>
          </w:tcPr>
          <w:p w14:paraId="185D1933" w14:textId="1BA9C597" w:rsidR="002A5C41" w:rsidRPr="00E04254" w:rsidRDefault="002A5C41" w:rsidP="004D384C">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lastRenderedPageBreak/>
              <w:t>Daños del ap</w:t>
            </w:r>
            <w:r w:rsidR="004D384C" w:rsidRPr="00E04254">
              <w:rPr>
                <w:rFonts w:asciiTheme="majorHAnsi" w:hAnsiTheme="majorHAnsi" w:cstheme="majorHAnsi"/>
                <w:sz w:val="22"/>
                <w:szCs w:val="22"/>
              </w:rPr>
              <w:t>to. 803</w:t>
            </w:r>
            <w:r w:rsidR="0015561A" w:rsidRPr="00E04254">
              <w:rPr>
                <w:rFonts w:asciiTheme="majorHAnsi" w:hAnsiTheme="majorHAnsi" w:cstheme="majorHAnsi"/>
                <w:sz w:val="22"/>
                <w:szCs w:val="22"/>
              </w:rPr>
              <w:t>: $100</w:t>
            </w:r>
          </w:p>
          <w:p w14:paraId="130876B7" w14:textId="77777777" w:rsidR="004D384C" w:rsidRPr="00E04254" w:rsidRDefault="004D384C" w:rsidP="0073464A">
            <w:pPr>
              <w:pStyle w:val="Textoindependiente"/>
              <w:numPr>
                <w:ilvl w:val="0"/>
                <w:numId w:val="18"/>
              </w:numPr>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Suma asegurada para esa unidad bajo la extensión de la póliza de copropiedad: $150. </w:t>
            </w:r>
          </w:p>
          <w:p w14:paraId="46BEFB2F" w14:textId="77777777" w:rsidR="004D384C" w:rsidRPr="00E04254" w:rsidRDefault="004D384C" w:rsidP="0073464A">
            <w:pPr>
              <w:pStyle w:val="Textoindependiente"/>
              <w:numPr>
                <w:ilvl w:val="0"/>
                <w:numId w:val="18"/>
              </w:numPr>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Suma asegurada de la póliza individual: $250. </w:t>
            </w:r>
          </w:p>
          <w:p w14:paraId="03DD9B34" w14:textId="77777777" w:rsidR="002A5C41" w:rsidRPr="00E04254" w:rsidRDefault="004D384C" w:rsidP="0073464A">
            <w:pPr>
              <w:pStyle w:val="Textoindependiente"/>
              <w:numPr>
                <w:ilvl w:val="0"/>
                <w:numId w:val="18"/>
              </w:numPr>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Total sumas: $400.</w:t>
            </w:r>
          </w:p>
          <w:p w14:paraId="42F6C01E" w14:textId="77777777" w:rsidR="00A27DF0" w:rsidRPr="00E04254" w:rsidRDefault="00A27DF0" w:rsidP="00A27DF0">
            <w:pPr>
              <w:pStyle w:val="Textoindependiente"/>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54559369" w14:textId="77777777" w:rsidR="00A27DF0" w:rsidRPr="00E04254" w:rsidRDefault="00094D72" w:rsidP="00A27DF0">
            <w:pPr>
              <w:pStyle w:val="Textoindependiente"/>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La aseguradora de la copropiedad paga una proporción de 150/400, lo que corresponde al </w:t>
            </w:r>
            <w:r w:rsidR="00AF2DB7" w:rsidRPr="00E04254">
              <w:rPr>
                <w:rFonts w:asciiTheme="majorHAnsi" w:eastAsiaTheme="minorHAnsi" w:hAnsiTheme="majorHAnsi" w:cstheme="majorHAnsi"/>
                <w:sz w:val="22"/>
                <w:szCs w:val="22"/>
              </w:rPr>
              <w:t xml:space="preserve">37,5% de la pérdida. La aseguradora del seguro voluntario individual </w:t>
            </w:r>
            <w:r w:rsidR="00221865" w:rsidRPr="00E04254">
              <w:rPr>
                <w:rFonts w:asciiTheme="majorHAnsi" w:eastAsiaTheme="minorHAnsi" w:hAnsiTheme="majorHAnsi" w:cstheme="majorHAnsi"/>
                <w:sz w:val="22"/>
                <w:szCs w:val="22"/>
              </w:rPr>
              <w:t xml:space="preserve">paga en proporción de 250/400, equivalente al 62,5% de la pérdida. </w:t>
            </w:r>
          </w:p>
          <w:p w14:paraId="7107964A" w14:textId="77777777" w:rsidR="00221865" w:rsidRPr="00E04254" w:rsidRDefault="00221865" w:rsidP="00A27DF0">
            <w:pPr>
              <w:pStyle w:val="Textoindependiente"/>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64108AA0" w14:textId="462719FA" w:rsidR="002A5C41" w:rsidRPr="00E04254" w:rsidRDefault="00221865" w:rsidP="00A27DF0">
            <w:pPr>
              <w:pStyle w:val="Textoindependiente"/>
              <w:spacing w:after="0"/>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Al asegurado se le pagaría </w:t>
            </w:r>
            <w:r w:rsidR="0015561A" w:rsidRPr="00E04254">
              <w:rPr>
                <w:rFonts w:asciiTheme="majorHAnsi" w:eastAsiaTheme="minorHAnsi" w:hAnsiTheme="majorHAnsi" w:cstheme="majorHAnsi"/>
                <w:sz w:val="22"/>
                <w:szCs w:val="22"/>
              </w:rPr>
              <w:t>los $100 de la pérdida sin excesos.</w:t>
            </w:r>
          </w:p>
        </w:tc>
        <w:tc>
          <w:tcPr>
            <w:tcW w:w="3276" w:type="dxa"/>
            <w:shd w:val="clear" w:color="auto" w:fill="FFFFFF" w:themeFill="background1"/>
          </w:tcPr>
          <w:p w14:paraId="77205301" w14:textId="77777777" w:rsidR="0015561A" w:rsidRPr="00E04254" w:rsidRDefault="0015561A" w:rsidP="0015561A">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lastRenderedPageBreak/>
              <w:t xml:space="preserve">la contribución entre aseguradoras es un asunto interno del mercado y no debería trasladarse al consumidor. La compañía que reciba primero una reclamación completa, en los términos del artículo 1077 del Código de Comercio, debería pagar al asegurado la porción que corresponda conforme a la </w:t>
            </w:r>
            <w:r w:rsidRPr="00E04254">
              <w:rPr>
                <w:rFonts w:asciiTheme="majorHAnsi" w:hAnsiTheme="majorHAnsi" w:cstheme="majorHAnsi"/>
                <w:sz w:val="22"/>
                <w:szCs w:val="22"/>
              </w:rPr>
              <w:lastRenderedPageBreak/>
              <w:t xml:space="preserve">pérdida acreditada y al contrato aplicable, dentro del término previsto en el artículo 1080 del Código de Comercio. </w:t>
            </w:r>
          </w:p>
          <w:p w14:paraId="56C38BA3" w14:textId="77777777" w:rsidR="0015561A" w:rsidRPr="00E04254" w:rsidRDefault="0015561A" w:rsidP="0015561A">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p>
          <w:p w14:paraId="470FBC50" w14:textId="2E1D5728" w:rsidR="002A5C41" w:rsidRPr="00E04254" w:rsidRDefault="0015561A" w:rsidP="0015561A">
            <w:pPr>
              <w:pStyle w:val="Compac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Los recobros o contribuciones frente a otras aseguradoras deberían resolverse posteriormente, sin condicionar el pago al consumidor a la definición previa del cruce entre compañías ni remitirlo de manera injustificada a otra aseguradora.</w:t>
            </w:r>
          </w:p>
        </w:tc>
      </w:tr>
    </w:tbl>
    <w:bookmarkEnd w:id="3"/>
    <w:p w14:paraId="04764978" w14:textId="5723163D" w:rsidR="00E56E8A" w:rsidRPr="00E04254" w:rsidRDefault="00E56E8A" w:rsidP="00AB71BB">
      <w:pPr>
        <w:pStyle w:val="FirstParagraph"/>
        <w:jc w:val="both"/>
        <w:rPr>
          <w:rFonts w:asciiTheme="majorHAnsi" w:eastAsiaTheme="majorEastAsia" w:hAnsiTheme="majorHAnsi" w:cstheme="majorHAnsi"/>
          <w:b/>
          <w:color w:val="365F91" w:themeColor="accent1" w:themeShade="BF"/>
          <w:sz w:val="26"/>
          <w:szCs w:val="26"/>
        </w:rPr>
      </w:pPr>
      <w:r w:rsidRPr="00E04254">
        <w:rPr>
          <w:rFonts w:asciiTheme="majorHAnsi" w:eastAsiaTheme="majorEastAsia" w:hAnsiTheme="majorHAnsi" w:cstheme="majorHAnsi"/>
          <w:b/>
          <w:color w:val="365F91" w:themeColor="accent1" w:themeShade="BF"/>
          <w:sz w:val="26"/>
          <w:szCs w:val="26"/>
        </w:rPr>
        <w:lastRenderedPageBreak/>
        <w:t xml:space="preserve">CASO </w:t>
      </w:r>
      <w:r w:rsidR="00B22BD7" w:rsidRPr="00E04254">
        <w:rPr>
          <w:rFonts w:asciiTheme="majorHAnsi" w:eastAsiaTheme="majorEastAsia" w:hAnsiTheme="majorHAnsi" w:cstheme="majorHAnsi"/>
          <w:b/>
          <w:color w:val="365F91" w:themeColor="accent1" w:themeShade="BF"/>
          <w:sz w:val="26"/>
          <w:szCs w:val="26"/>
        </w:rPr>
        <w:t>6</w:t>
      </w:r>
      <w:r w:rsidRPr="00E04254">
        <w:rPr>
          <w:rFonts w:asciiTheme="majorHAnsi" w:eastAsiaTheme="majorEastAsia" w:hAnsiTheme="majorHAnsi" w:cstheme="majorHAnsi"/>
          <w:b/>
          <w:color w:val="365F91" w:themeColor="accent1" w:themeShade="BF"/>
          <w:sz w:val="26"/>
          <w:szCs w:val="26"/>
        </w:rPr>
        <w:t xml:space="preserve">. </w:t>
      </w:r>
      <w:r w:rsidR="00013B01" w:rsidRPr="00E04254">
        <w:rPr>
          <w:rFonts w:asciiTheme="majorHAnsi" w:eastAsiaTheme="majorEastAsia" w:hAnsiTheme="majorHAnsi" w:cstheme="majorHAnsi"/>
          <w:b/>
          <w:color w:val="365F91" w:themeColor="accent1" w:themeShade="BF"/>
          <w:sz w:val="26"/>
          <w:szCs w:val="26"/>
        </w:rPr>
        <w:t>Dos pólizas de copropiedades coexistentes al momento de la ocurrencia del siniestro</w:t>
      </w:r>
    </w:p>
    <w:tbl>
      <w:tblPr>
        <w:tblStyle w:val="Tablaconcuadrcula4-nfasis1"/>
        <w:tblW w:w="0" w:type="auto"/>
        <w:tblLook w:val="04A0" w:firstRow="1" w:lastRow="0" w:firstColumn="1" w:lastColumn="0" w:noHBand="0" w:noVBand="1"/>
      </w:tblPr>
      <w:tblGrid>
        <w:gridCol w:w="1951"/>
        <w:gridCol w:w="2552"/>
        <w:gridCol w:w="4551"/>
      </w:tblGrid>
      <w:tr w:rsidR="00F443FD" w:rsidRPr="00E04254" w14:paraId="380A8A93" w14:textId="77777777" w:rsidTr="00E04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876DA51" w14:textId="77777777" w:rsidR="00F443FD" w:rsidRPr="00E04254" w:rsidRDefault="00F443FD">
            <w:pPr>
              <w:pStyle w:val="FirstParagraph"/>
              <w:jc w:val="center"/>
              <w:rPr>
                <w:rFonts w:asciiTheme="majorHAnsi" w:hAnsiTheme="majorHAnsi" w:cstheme="majorHAnsi"/>
                <w:sz w:val="22"/>
                <w:szCs w:val="22"/>
              </w:rPr>
            </w:pPr>
            <w:r w:rsidRPr="00E04254">
              <w:rPr>
                <w:rFonts w:asciiTheme="majorHAnsi" w:hAnsiTheme="majorHAnsi" w:cstheme="majorHAnsi"/>
                <w:sz w:val="22"/>
                <w:szCs w:val="22"/>
              </w:rPr>
              <w:t>Análisis</w:t>
            </w:r>
          </w:p>
        </w:tc>
        <w:tc>
          <w:tcPr>
            <w:tcW w:w="2552" w:type="dxa"/>
          </w:tcPr>
          <w:p w14:paraId="32A245AB" w14:textId="77777777" w:rsidR="00F443FD" w:rsidRPr="00E04254" w:rsidRDefault="00F443FD">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Ejemplo</w:t>
            </w:r>
          </w:p>
        </w:tc>
        <w:tc>
          <w:tcPr>
            <w:tcW w:w="4551" w:type="dxa"/>
          </w:tcPr>
          <w:p w14:paraId="16578EB6" w14:textId="77777777" w:rsidR="00F443FD" w:rsidRPr="00E04254" w:rsidRDefault="00F443FD">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Liquidación</w:t>
            </w:r>
          </w:p>
        </w:tc>
      </w:tr>
      <w:tr w:rsidR="00F443FD" w:rsidRPr="00E04254" w14:paraId="050890C4" w14:textId="77777777" w:rsidTr="00E04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tcPr>
          <w:p w14:paraId="601CCC8B" w14:textId="750738AA" w:rsidR="00F443FD" w:rsidRPr="00E04254" w:rsidRDefault="00F443FD" w:rsidP="004C2ED2">
            <w:pPr>
              <w:pStyle w:val="FirstParagraph"/>
              <w:jc w:val="both"/>
              <w:rPr>
                <w:rFonts w:asciiTheme="majorHAnsi" w:hAnsiTheme="majorHAnsi" w:cstheme="majorHAnsi"/>
                <w:b w:val="0"/>
                <w:sz w:val="22"/>
                <w:szCs w:val="22"/>
              </w:rPr>
            </w:pPr>
            <w:r w:rsidRPr="00E04254">
              <w:rPr>
                <w:rFonts w:asciiTheme="majorHAnsi" w:hAnsiTheme="majorHAnsi" w:cstheme="majorHAnsi"/>
                <w:b w:val="0"/>
                <w:sz w:val="22"/>
                <w:szCs w:val="22"/>
              </w:rPr>
              <w:t>Este es un escenario de la matriz donde opera coexistencia jurídica directa frente a dos pólizas de copropiedades, por cuanto, concurren la identidad de asegurado, de interés asegurable, de riesgo y la diversidad de aseguradores (Art. 1094 del Código de Comercio).</w:t>
            </w:r>
          </w:p>
        </w:tc>
        <w:tc>
          <w:tcPr>
            <w:tcW w:w="2552" w:type="dxa"/>
            <w:shd w:val="clear" w:color="auto" w:fill="FFFFFF" w:themeFill="background1"/>
          </w:tcPr>
          <w:p w14:paraId="4BDFCBFC" w14:textId="73FF2184" w:rsidR="00F443FD" w:rsidRPr="00E04254" w:rsidRDefault="00F443FD">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Daños de la copropiedad: $100</w:t>
            </w:r>
          </w:p>
          <w:p w14:paraId="75A09F8D" w14:textId="3FAEE183" w:rsidR="00F443FD" w:rsidRPr="00E04254" w:rsidRDefault="00F443FD" w:rsidP="004C2ED2">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La aseguradora A tenía una póliza de vigencia del 13 de agosto de 2025 al 13 de agosto de 2026, y le presentaron</w:t>
            </w:r>
            <w:r w:rsidR="000E27C1" w:rsidRPr="00E04254">
              <w:rPr>
                <w:rFonts w:asciiTheme="majorHAnsi" w:hAnsiTheme="majorHAnsi" w:cstheme="majorHAnsi"/>
                <w:sz w:val="22"/>
                <w:szCs w:val="22"/>
              </w:rPr>
              <w:t xml:space="preserve"> la reclamación el 30 de agosto de 2026.</w:t>
            </w:r>
          </w:p>
          <w:p w14:paraId="153FE582" w14:textId="77777777" w:rsidR="00F443FD" w:rsidRPr="00E04254" w:rsidRDefault="00F443FD" w:rsidP="004C2ED2">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p>
          <w:p w14:paraId="07152CC6" w14:textId="48D2E4EB" w:rsidR="00F443FD" w:rsidRPr="00E04254" w:rsidRDefault="00FD046D" w:rsidP="004C2ED2">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La aseguradora B tenía una póliza de vigencia del 08 de agosto de 2026 al 08 de agosto de 2027, y le presentaron reclamación el 11 de agosto de 2026.</w:t>
            </w:r>
            <w:r w:rsidR="00577989" w:rsidRPr="00E04254">
              <w:rPr>
                <w:rFonts w:asciiTheme="majorHAnsi" w:hAnsiTheme="majorHAnsi" w:cstheme="majorHAnsi"/>
                <w:sz w:val="22"/>
                <w:szCs w:val="22"/>
              </w:rPr>
              <w:t>MAF</w:t>
            </w:r>
          </w:p>
        </w:tc>
        <w:tc>
          <w:tcPr>
            <w:tcW w:w="4551" w:type="dxa"/>
            <w:shd w:val="clear" w:color="auto" w:fill="FFFFFF" w:themeFill="background1"/>
          </w:tcPr>
          <w:p w14:paraId="770AEAF7" w14:textId="77777777" w:rsidR="00F443FD" w:rsidRPr="00E04254" w:rsidRDefault="00106215" w:rsidP="004C2ED2">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En favor del consumidor, se sugiere partir de la póliza frente a la cual se presentó primero la reclamación, sin perjuicio de la revisión integral de las condiciones particulares y de la coordinación posterior entre aseguradoras.</w:t>
            </w:r>
          </w:p>
          <w:p w14:paraId="63F6903E" w14:textId="3AEF8295" w:rsidR="00F443FD" w:rsidRPr="00E04254" w:rsidRDefault="00106215" w:rsidP="004C2ED2">
            <w:pPr>
              <w:pStyle w:val="FirstParagraph"/>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De manera complementaria, podrá analizarse si, al momento del evento, la primera póliza tenía prima devengada y si la afectación de una segunda póliza implicaría reconocer que deba suscribirse una segunda vigencia efectiva u otra póliza. En coberturas como incendio y terremoto, asociadas a un único evento, debe evitarse trasladar al asegurado cargas derivadas de la distribución interna entre compañías; agotada la cobertura por el evento, la continuidad del aseguramiento exigiría la contratación o activación de una nueva vigencia, según corresponda.</w:t>
            </w:r>
          </w:p>
        </w:tc>
      </w:tr>
    </w:tbl>
    <w:p w14:paraId="34A7CDB8" w14:textId="77777777" w:rsidR="00F2758F" w:rsidRPr="00E04254" w:rsidRDefault="00F2758F" w:rsidP="000D7498">
      <w:pPr>
        <w:jc w:val="both"/>
        <w:rPr>
          <w:rFonts w:asciiTheme="majorHAnsi" w:hAnsiTheme="majorHAnsi" w:cstheme="majorHAnsi"/>
          <w:sz w:val="22"/>
          <w:szCs w:val="22"/>
        </w:rPr>
      </w:pPr>
    </w:p>
    <w:p w14:paraId="7D6F4310" w14:textId="2E9610FD" w:rsidR="004C2ED2" w:rsidRPr="00E04254" w:rsidRDefault="004C2ED2" w:rsidP="004C2ED2">
      <w:pPr>
        <w:pStyle w:val="FirstParagraph"/>
        <w:jc w:val="both"/>
        <w:rPr>
          <w:rFonts w:asciiTheme="majorHAnsi" w:eastAsiaTheme="majorEastAsia" w:hAnsiTheme="majorHAnsi" w:cstheme="majorHAnsi"/>
          <w:b/>
          <w:bCs/>
          <w:color w:val="365F91" w:themeColor="accent1" w:themeShade="BF"/>
          <w:sz w:val="26"/>
          <w:szCs w:val="26"/>
        </w:rPr>
      </w:pPr>
      <w:r w:rsidRPr="00E04254">
        <w:rPr>
          <w:rFonts w:asciiTheme="majorHAnsi" w:eastAsiaTheme="majorEastAsia" w:hAnsiTheme="majorHAnsi" w:cstheme="majorHAnsi"/>
          <w:b/>
          <w:bCs/>
          <w:color w:val="365F91" w:themeColor="accent1" w:themeShade="BF"/>
          <w:sz w:val="26"/>
          <w:szCs w:val="26"/>
        </w:rPr>
        <w:t xml:space="preserve">CASO 7. </w:t>
      </w:r>
      <w:r w:rsidR="001B10FA" w:rsidRPr="00E04254">
        <w:rPr>
          <w:rFonts w:asciiTheme="majorHAnsi" w:eastAsiaTheme="majorEastAsia" w:hAnsiTheme="majorHAnsi" w:cstheme="majorHAnsi"/>
          <w:b/>
          <w:bCs/>
          <w:color w:val="365F91" w:themeColor="accent1" w:themeShade="BF"/>
          <w:sz w:val="26"/>
          <w:szCs w:val="26"/>
        </w:rPr>
        <w:t xml:space="preserve"> Trabajador lesionado durante el sismo y pago entre ARL y ECAT</w:t>
      </w:r>
    </w:p>
    <w:tbl>
      <w:tblPr>
        <w:tblStyle w:val="Tablaconcuadrcula4-nfasis1"/>
        <w:tblW w:w="0" w:type="auto"/>
        <w:tblLook w:val="04A0" w:firstRow="1" w:lastRow="0" w:firstColumn="1" w:lastColumn="0" w:noHBand="0" w:noVBand="1"/>
      </w:tblPr>
      <w:tblGrid>
        <w:gridCol w:w="2660"/>
        <w:gridCol w:w="2835"/>
        <w:gridCol w:w="3559"/>
      </w:tblGrid>
      <w:tr w:rsidR="001B10FA" w:rsidRPr="00E04254" w14:paraId="0DA9A4C0" w14:textId="77777777" w:rsidTr="00B91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2EEF5368" w14:textId="77777777" w:rsidR="001B10FA" w:rsidRPr="00E04254" w:rsidRDefault="001B10FA">
            <w:pPr>
              <w:pStyle w:val="FirstParagraph"/>
              <w:jc w:val="center"/>
              <w:rPr>
                <w:rFonts w:asciiTheme="majorHAnsi" w:hAnsiTheme="majorHAnsi" w:cstheme="majorHAnsi"/>
                <w:sz w:val="22"/>
                <w:szCs w:val="22"/>
              </w:rPr>
            </w:pPr>
            <w:r w:rsidRPr="00E04254">
              <w:rPr>
                <w:rFonts w:asciiTheme="majorHAnsi" w:hAnsiTheme="majorHAnsi" w:cstheme="majorHAnsi"/>
                <w:sz w:val="22"/>
                <w:szCs w:val="22"/>
              </w:rPr>
              <w:t>Análisis</w:t>
            </w:r>
          </w:p>
        </w:tc>
        <w:tc>
          <w:tcPr>
            <w:tcW w:w="2835" w:type="dxa"/>
          </w:tcPr>
          <w:p w14:paraId="2E5F97F8" w14:textId="77777777" w:rsidR="001B10FA" w:rsidRPr="00E04254" w:rsidRDefault="001B10FA">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Ejemplo</w:t>
            </w:r>
          </w:p>
        </w:tc>
        <w:tc>
          <w:tcPr>
            <w:tcW w:w="3559" w:type="dxa"/>
          </w:tcPr>
          <w:p w14:paraId="2455E11C" w14:textId="72104CBC" w:rsidR="001B10FA" w:rsidRPr="00E04254" w:rsidRDefault="00B911F9">
            <w:pPr>
              <w:pStyle w:val="FirstParagraph"/>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E04254">
              <w:rPr>
                <w:rFonts w:asciiTheme="majorHAnsi" w:hAnsiTheme="majorHAnsi" w:cstheme="majorHAnsi"/>
                <w:sz w:val="22"/>
                <w:szCs w:val="22"/>
              </w:rPr>
              <w:t>Opciones de manejo</w:t>
            </w:r>
          </w:p>
        </w:tc>
      </w:tr>
      <w:tr w:rsidR="001B10FA" w:rsidRPr="00E04254" w14:paraId="536214F1" w14:textId="77777777" w:rsidTr="00B91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FFFFFF" w:themeFill="background1"/>
          </w:tcPr>
          <w:p w14:paraId="372FE2CD" w14:textId="77777777" w:rsidR="00B911F9" w:rsidRPr="00E04254" w:rsidRDefault="00B911F9" w:rsidP="00B911F9">
            <w:pPr>
              <w:pStyle w:val="FirstParagraph"/>
              <w:jc w:val="both"/>
              <w:rPr>
                <w:rFonts w:asciiTheme="majorHAnsi" w:hAnsiTheme="majorHAnsi" w:cstheme="majorHAnsi"/>
                <w:b w:val="0"/>
                <w:bCs w:val="0"/>
                <w:sz w:val="22"/>
                <w:szCs w:val="22"/>
              </w:rPr>
            </w:pPr>
            <w:r w:rsidRPr="00E04254">
              <w:rPr>
                <w:rFonts w:asciiTheme="majorHAnsi" w:hAnsiTheme="majorHAnsi" w:cstheme="majorHAnsi"/>
                <w:b w:val="0"/>
                <w:bCs w:val="0"/>
                <w:sz w:val="22"/>
                <w:szCs w:val="22"/>
              </w:rPr>
              <w:lastRenderedPageBreak/>
              <w:t>Si un trabajador se lesiona durante un sismo mientras se encuentra cumpliendo funciones laborales, pueden concurrir dos ámbitos de protección: el correspondiente a la subcuenta ECAT, frente a los servicios derivados del evento catastrófico de origen natural, regulada en el Decreto 780 de 2016, y el correspondiente al Sistema General de Riesgos Laborales, frente a las prestaciones derivadas del accidente de trabajo.</w:t>
            </w:r>
          </w:p>
          <w:p w14:paraId="4022085B" w14:textId="0C947A98" w:rsidR="001B10FA" w:rsidRPr="00E04254" w:rsidRDefault="001B10FA" w:rsidP="008A756D">
            <w:pPr>
              <w:pStyle w:val="Textoindependiente"/>
              <w:rPr>
                <w:rFonts w:asciiTheme="majorHAnsi" w:hAnsiTheme="majorHAnsi" w:cstheme="majorHAnsi"/>
              </w:rPr>
            </w:pPr>
          </w:p>
        </w:tc>
        <w:tc>
          <w:tcPr>
            <w:tcW w:w="2835" w:type="dxa"/>
            <w:shd w:val="clear" w:color="auto" w:fill="FFFFFF" w:themeFill="background1"/>
          </w:tcPr>
          <w:p w14:paraId="5D658C33"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3453A927"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Un trabajador resulta herido por el colapso parcial de las instalaciones de su lugar de trabajo durante un sismo. </w:t>
            </w:r>
          </w:p>
          <w:p w14:paraId="28A70EAB"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071456B6" w14:textId="088D1D3B"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En este escenario, la subcuenta ECAT podría reconocer al prestador de servicios de salud, el valor de los servicios de atención en salud que correspondan al sismo, de acuerdo con las reglas y condiciones previstas para estos casos, tales como atención de urgencias, hospitalización, procedimientos, medicamentos, exámenes, rehabilitación y transporte, cuando haya lugar.</w:t>
            </w:r>
          </w:p>
          <w:p w14:paraId="5B4C3F78"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03636B18"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 xml:space="preserve">Por su parte, si el hecho es calificado como accidente de trabajo, la ARL debe asumir el valor en exceso de la cobertura de la ECAT respecto de la atención en salud y cubrir las prestaciones económicas que correspondan conforme al Sistema General de Riesgos Laborales. </w:t>
            </w:r>
          </w:p>
          <w:p w14:paraId="40B1BF30" w14:textId="77777777"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324F320D" w14:textId="18103443" w:rsidR="00B911F9" w:rsidRPr="00E04254" w:rsidRDefault="00B911F9" w:rsidP="00B911F9">
            <w:pPr>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Entre ellas se encuentran las prestaciones económicas por incapacidad temporal o permanente y, cuando corresponda, las indemnizaciones o pensiones previstas en el sistema.</w:t>
            </w:r>
          </w:p>
          <w:p w14:paraId="34DCC211" w14:textId="61D01722" w:rsidR="001B10FA" w:rsidRPr="00E04254" w:rsidRDefault="001B10FA" w:rsidP="008A756D">
            <w:pPr>
              <w:pStyle w:val="Textoindependient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559" w:type="dxa"/>
            <w:shd w:val="clear" w:color="auto" w:fill="FFFFFF" w:themeFill="background1"/>
          </w:tcPr>
          <w:p w14:paraId="27496E4C" w14:textId="77777777" w:rsidR="00B911F9" w:rsidRPr="00E04254" w:rsidRDefault="00B911F9" w:rsidP="00B911F9">
            <w:pP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7503B1AC" w14:textId="77777777" w:rsidR="00B911F9" w:rsidRPr="00E04254" w:rsidRDefault="00B911F9" w:rsidP="00E04254">
            <w:pPr>
              <w:pStyle w:val="Prrafodelista"/>
              <w:numPr>
                <w:ilvl w:val="0"/>
                <w:numId w:val="26"/>
              </w:numPr>
              <w:ind w:left="315" w:hanging="283"/>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ECAT paga los servicios médicos hasta el tope de la cobertura previsto en la norma, y la ARL asume el costo en exceso de las atenciones en salud y las prestaciones económicas derivadas del accidente de trabajo.</w:t>
            </w:r>
          </w:p>
          <w:p w14:paraId="309A493C" w14:textId="77777777" w:rsidR="00B911F9" w:rsidRPr="00E04254" w:rsidRDefault="00B911F9" w:rsidP="00E04254">
            <w:pPr>
              <w:pStyle w:val="Prrafodelista"/>
              <w:numPr>
                <w:ilvl w:val="0"/>
                <w:numId w:val="26"/>
              </w:numPr>
              <w:ind w:left="315" w:hanging="283"/>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La ARL paga inicialmente la atención médica y luego solicita su reconocimiento o compensación ante ECAT, cuando exista un mecanismo normativo que lo permita.</w:t>
            </w:r>
          </w:p>
          <w:p w14:paraId="046D1C51" w14:textId="77777777" w:rsidR="00B911F9" w:rsidRPr="00E04254" w:rsidRDefault="00B911F9" w:rsidP="00E04254">
            <w:pPr>
              <w:pStyle w:val="Prrafodelista"/>
              <w:numPr>
                <w:ilvl w:val="0"/>
                <w:numId w:val="26"/>
              </w:numPr>
              <w:ind w:left="315" w:hanging="283"/>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La ARL gestiona la atención integral del trabajador desde el momento del aviso del accidente, asume integralmente el valor del siniestro, si el caso se califica como accidente de trabajo dentro del marco del Sistema General de Riesgos Laborales.</w:t>
            </w:r>
          </w:p>
          <w:p w14:paraId="0BB82778" w14:textId="77777777" w:rsidR="00B911F9" w:rsidRPr="00E04254" w:rsidRDefault="00B911F9" w:rsidP="00E04254">
            <w:pPr>
              <w:pStyle w:val="Prrafodelista"/>
              <w:ind w:left="315"/>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p>
          <w:p w14:paraId="70C8689C" w14:textId="0909251B" w:rsidR="001B10FA" w:rsidRPr="00E04254" w:rsidRDefault="00B911F9" w:rsidP="00E04254">
            <w:pPr>
              <w:pStyle w:val="Prrafodelista"/>
              <w:ind w:left="315"/>
              <w:jc w:val="both"/>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sz w:val="22"/>
                <w:szCs w:val="22"/>
              </w:rPr>
            </w:pPr>
            <w:r w:rsidRPr="00E04254">
              <w:rPr>
                <w:rFonts w:asciiTheme="majorHAnsi" w:eastAsiaTheme="minorHAnsi" w:hAnsiTheme="majorHAnsi" w:cstheme="majorHAnsi"/>
                <w:sz w:val="22"/>
                <w:szCs w:val="22"/>
              </w:rPr>
              <w:t>En cualquiera de estos escenarios, la definición de la entidad responsable del pago no debe retrasar la atención del trabajador lesionado.</w:t>
            </w:r>
          </w:p>
        </w:tc>
      </w:tr>
    </w:tbl>
    <w:p w14:paraId="4AA1D9B2" w14:textId="0F81C47F" w:rsidR="00730DB4" w:rsidRPr="00E04254" w:rsidRDefault="00730DB4" w:rsidP="00730DB4">
      <w:pPr>
        <w:rPr>
          <w:rFonts w:asciiTheme="majorHAnsi" w:hAnsiTheme="majorHAnsi" w:cstheme="majorHAnsi"/>
        </w:rPr>
      </w:pPr>
    </w:p>
    <w:p w14:paraId="3E296924" w14:textId="77777777" w:rsidR="00730DB4" w:rsidRPr="00E04254" w:rsidRDefault="00730DB4" w:rsidP="00B911F9">
      <w:pPr>
        <w:ind w:left="-142"/>
        <w:jc w:val="both"/>
        <w:rPr>
          <w:rFonts w:asciiTheme="majorHAnsi" w:hAnsiTheme="majorHAnsi" w:cstheme="majorHAnsi"/>
          <w:sz w:val="22"/>
          <w:szCs w:val="22"/>
        </w:rPr>
      </w:pPr>
      <w:r w:rsidRPr="00E04254">
        <w:rPr>
          <w:rFonts w:asciiTheme="majorHAnsi" w:hAnsiTheme="majorHAnsi" w:cstheme="majorHAnsi"/>
          <w:sz w:val="22"/>
          <w:szCs w:val="22"/>
        </w:rPr>
        <w:t xml:space="preserve">Cuando exista una disposición especial que atribuya a la subcuenta ECAT el reconocimiento de determinados servicios derivados directamente del evento catastrófico, la ARL debería evitar </w:t>
      </w:r>
      <w:r w:rsidRPr="00E04254">
        <w:rPr>
          <w:rFonts w:asciiTheme="majorHAnsi" w:hAnsiTheme="majorHAnsi" w:cstheme="majorHAnsi"/>
          <w:sz w:val="22"/>
          <w:szCs w:val="22"/>
        </w:rPr>
        <w:lastRenderedPageBreak/>
        <w:t>asumirlos como costo definitivo sin contar con el soporte jurídico y administrativo correspondiente. De lo contrario, podrían presentarse cuestionamientos sobre la correcta imputación y destinación de los recursos del Sistema General de Riesgos Laborales.</w:t>
      </w:r>
    </w:p>
    <w:p w14:paraId="55E997BE" w14:textId="5D29EA42" w:rsidR="004C2ED2" w:rsidRPr="00E04254" w:rsidRDefault="00730DB4" w:rsidP="00B911F9">
      <w:pPr>
        <w:ind w:left="-142"/>
        <w:jc w:val="both"/>
        <w:rPr>
          <w:rFonts w:asciiTheme="majorHAnsi" w:hAnsiTheme="majorHAnsi" w:cstheme="majorHAnsi"/>
          <w:sz w:val="22"/>
          <w:szCs w:val="22"/>
        </w:rPr>
      </w:pPr>
      <w:r w:rsidRPr="00E04254">
        <w:rPr>
          <w:rFonts w:asciiTheme="majorHAnsi" w:hAnsiTheme="majorHAnsi" w:cstheme="majorHAnsi"/>
          <w:sz w:val="22"/>
          <w:szCs w:val="22"/>
        </w:rPr>
        <w:t>Por tanto, el criterio debe ser diferenciar las prestaciones a cargo de cada mecanismo de protección y establecer una ruta clara de reconocimiento entre las entidades, garantizando en todo momento que las controversias sobre quién debe asumir el costo no interfieran con la atención oportuna del trabajador.</w:t>
      </w:r>
    </w:p>
    <w:p w14:paraId="020DE534" w14:textId="1B58B1C0" w:rsidR="00E015B9" w:rsidRPr="00E04254" w:rsidRDefault="00DF04D5" w:rsidP="00EF0392">
      <w:pPr>
        <w:ind w:left="-142"/>
        <w:jc w:val="both"/>
        <w:rPr>
          <w:rFonts w:asciiTheme="majorHAnsi" w:hAnsiTheme="majorHAnsi" w:cstheme="majorHAnsi"/>
          <w:sz w:val="22"/>
          <w:szCs w:val="22"/>
        </w:rPr>
      </w:pPr>
      <w:r w:rsidRPr="00621E4A">
        <w:rPr>
          <w:rFonts w:asciiTheme="majorHAnsi" w:eastAsiaTheme="majorEastAsia" w:hAnsiTheme="majorHAnsi" w:cstheme="majorHAnsi"/>
          <w:b/>
          <w:bCs/>
          <w:color w:val="365F91" w:themeColor="accent1" w:themeShade="BF"/>
          <w:sz w:val="26"/>
          <w:szCs w:val="26"/>
        </w:rPr>
        <w:t>NOTA.</w:t>
      </w:r>
      <w:r w:rsidRPr="00E04254">
        <w:rPr>
          <w:rFonts w:asciiTheme="majorHAnsi" w:hAnsiTheme="majorHAnsi" w:cstheme="majorHAnsi"/>
          <w:sz w:val="22"/>
          <w:szCs w:val="22"/>
        </w:rPr>
        <w:t xml:space="preserve"> </w:t>
      </w:r>
      <w:r w:rsidR="5D5E3D6F" w:rsidRPr="00E04254">
        <w:rPr>
          <w:rFonts w:asciiTheme="majorHAnsi" w:hAnsiTheme="majorHAnsi" w:cstheme="majorHAnsi"/>
          <w:sz w:val="22"/>
          <w:szCs w:val="22"/>
        </w:rPr>
        <w:t xml:space="preserve">Esta </w:t>
      </w:r>
      <w:r w:rsidR="00F2758F" w:rsidRPr="00E04254">
        <w:rPr>
          <w:rFonts w:asciiTheme="majorHAnsi" w:hAnsiTheme="majorHAnsi" w:cstheme="majorHAnsi"/>
          <w:sz w:val="22"/>
          <w:szCs w:val="22"/>
        </w:rPr>
        <w:t>guía</w:t>
      </w:r>
      <w:r w:rsidR="5D5E3D6F" w:rsidRPr="00E04254">
        <w:rPr>
          <w:rFonts w:asciiTheme="majorHAnsi" w:hAnsiTheme="majorHAnsi" w:cstheme="majorHAnsi"/>
          <w:sz w:val="22"/>
          <w:szCs w:val="22"/>
        </w:rPr>
        <w:t xml:space="preserve"> </w:t>
      </w:r>
      <w:r w:rsidR="54977EF1" w:rsidRPr="00E04254">
        <w:rPr>
          <w:rFonts w:asciiTheme="majorHAnsi" w:hAnsiTheme="majorHAnsi" w:cstheme="majorHAnsi"/>
          <w:sz w:val="22"/>
          <w:szCs w:val="22"/>
        </w:rPr>
        <w:t>d</w:t>
      </w:r>
      <w:r w:rsidR="5D5E3D6F" w:rsidRPr="00E04254">
        <w:rPr>
          <w:rFonts w:asciiTheme="majorHAnsi" w:hAnsiTheme="majorHAnsi" w:cstheme="majorHAnsi"/>
          <w:sz w:val="22"/>
          <w:szCs w:val="22"/>
        </w:rPr>
        <w:t>ebe armonizarse con las condiciones particulares de cada póliza, la prueba disponible y las decisiones que correspondan a cada aseguradora. La coexistencia técnica se entiende en los términos de los artículos 1092 a 1094 del Código de Comercio; la concurrencia de intereses, conforme al artículo 1084; y el carácter indemnizatorio, conforme al artículo 1088.</w:t>
      </w:r>
    </w:p>
    <w:sectPr w:rsidR="00E015B9" w:rsidRPr="00E04254" w:rsidSect="00CF13F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5441" w14:textId="77777777" w:rsidR="006727BE" w:rsidRPr="00ED7949" w:rsidRDefault="006727BE">
      <w:pPr>
        <w:spacing w:after="0" w:line="240" w:lineRule="auto"/>
      </w:pPr>
      <w:r w:rsidRPr="00ED7949">
        <w:separator/>
      </w:r>
    </w:p>
  </w:endnote>
  <w:endnote w:type="continuationSeparator" w:id="0">
    <w:p w14:paraId="74B00E22" w14:textId="77777777" w:rsidR="006727BE" w:rsidRPr="00ED7949" w:rsidRDefault="006727BE">
      <w:pPr>
        <w:spacing w:after="0" w:line="240" w:lineRule="auto"/>
      </w:pPr>
      <w:r w:rsidRPr="00ED7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D5B9" w14:textId="77777777" w:rsidR="00636EBB" w:rsidRDefault="00636E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2BE7" w14:textId="76A08097" w:rsidR="00E619A5" w:rsidRPr="00E619A5" w:rsidRDefault="00E619A5">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68BC" w14:textId="77777777" w:rsidR="00636EBB" w:rsidRDefault="00636E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8835" w14:textId="77777777" w:rsidR="006727BE" w:rsidRPr="00ED7949" w:rsidRDefault="006727BE">
      <w:pPr>
        <w:spacing w:after="0" w:line="240" w:lineRule="auto"/>
      </w:pPr>
      <w:r w:rsidRPr="00ED7949">
        <w:separator/>
      </w:r>
    </w:p>
  </w:footnote>
  <w:footnote w:type="continuationSeparator" w:id="0">
    <w:p w14:paraId="02668CED" w14:textId="77777777" w:rsidR="006727BE" w:rsidRPr="00ED7949" w:rsidRDefault="006727BE">
      <w:pPr>
        <w:spacing w:after="0" w:line="240" w:lineRule="auto"/>
      </w:pPr>
      <w:r w:rsidRPr="00ED7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D90D" w14:textId="77777777" w:rsidR="00636EBB" w:rsidRDefault="00636E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2630" w14:textId="0CD72418" w:rsidR="00CF13FE" w:rsidRPr="00CF13FE" w:rsidRDefault="00636EBB" w:rsidP="00CF13FE">
    <w:pPr>
      <w:jc w:val="center"/>
      <w:rPr>
        <w:rFonts w:ascii="Calibri" w:hAnsi="Calibri" w:cs="Calibri"/>
        <w:sz w:val="24"/>
        <w:szCs w:val="24"/>
      </w:rPr>
    </w:pPr>
    <w:sdt>
      <w:sdtPr>
        <w:rPr>
          <w:rFonts w:ascii="Calibri" w:hAnsi="Calibri" w:cs="Calibri"/>
          <w:b/>
          <w:sz w:val="24"/>
          <w:szCs w:val="24"/>
        </w:rPr>
        <w:id w:val="1422832096"/>
        <w:docPartObj>
          <w:docPartGallery w:val="Watermarks"/>
          <w:docPartUnique/>
        </w:docPartObj>
      </w:sdtPr>
      <w:sdtContent>
        <w:r w:rsidRPr="00636EBB">
          <w:rPr>
            <w:rFonts w:ascii="Calibri" w:hAnsi="Calibri" w:cs="Calibri"/>
            <w:b/>
            <w:sz w:val="24"/>
            <w:szCs w:val="24"/>
          </w:rPr>
          <w:pict w14:anchorId="6CE59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CF13FE" w:rsidRPr="00CF13FE">
      <w:rPr>
        <w:rFonts w:ascii="Calibri" w:hAnsi="Calibri" w:cs="Calibri"/>
        <w:b/>
        <w:sz w:val="24"/>
        <w:szCs w:val="24"/>
      </w:rPr>
      <w:t>GUÍA TÉCNICO-OPERATIVA PARA LA ATENCIÓN, ANÁLISIS Y LIQUIDACIÓN</w:t>
    </w:r>
    <w:r w:rsidR="00CF13FE" w:rsidRPr="00CF13FE">
      <w:rPr>
        <w:rFonts w:ascii="Calibri" w:hAnsi="Calibri" w:cs="Calibri"/>
        <w:sz w:val="24"/>
        <w:szCs w:val="24"/>
      </w:rPr>
      <w:br/>
    </w:r>
    <w:r w:rsidR="00CF13FE" w:rsidRPr="00CF13FE">
      <w:rPr>
        <w:rFonts w:ascii="Calibri" w:hAnsi="Calibri" w:cs="Calibri"/>
        <w:b/>
        <w:sz w:val="24"/>
        <w:szCs w:val="24"/>
      </w:rPr>
      <w:t>DE SEGUROS TRAS EL EVENTO SÍSMICO</w:t>
    </w:r>
  </w:p>
  <w:p w14:paraId="12B84EAC" w14:textId="77777777" w:rsidR="005D751B" w:rsidRDefault="005D751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A68F" w14:textId="77777777" w:rsidR="00636EBB" w:rsidRDefault="00636E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E7BE125A"/>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A991"/>
    <w:multiLevelType w:val="multilevel"/>
    <w:tmpl w:val="8A8A73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0" w15:restartNumberingAfterBreak="0">
    <w:nsid w:val="0CF01318"/>
    <w:multiLevelType w:val="hybridMultilevel"/>
    <w:tmpl w:val="27E28C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FA179B"/>
    <w:multiLevelType w:val="multilevel"/>
    <w:tmpl w:val="ACF6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69069F"/>
    <w:multiLevelType w:val="hybridMultilevel"/>
    <w:tmpl w:val="55E47E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C17F69"/>
    <w:multiLevelType w:val="hybridMultilevel"/>
    <w:tmpl w:val="7E481CFE"/>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E6493A"/>
    <w:multiLevelType w:val="hybridMultilevel"/>
    <w:tmpl w:val="078E2FF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5832C38"/>
    <w:multiLevelType w:val="multilevel"/>
    <w:tmpl w:val="8A8A73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6" w15:restartNumberingAfterBreak="0">
    <w:nsid w:val="3A44119D"/>
    <w:multiLevelType w:val="hybridMultilevel"/>
    <w:tmpl w:val="33F002DA"/>
    <w:lvl w:ilvl="0" w:tplc="2BDE359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416CFA29"/>
    <w:multiLevelType w:val="hybridMultilevel"/>
    <w:tmpl w:val="FFFFFFFF"/>
    <w:lvl w:ilvl="0" w:tplc="BE0EA386">
      <w:start w:val="1"/>
      <w:numFmt w:val="decimal"/>
      <w:lvlText w:val="%1."/>
      <w:lvlJc w:val="left"/>
      <w:pPr>
        <w:ind w:left="720" w:hanging="360"/>
      </w:pPr>
    </w:lvl>
    <w:lvl w:ilvl="1" w:tplc="DC809508">
      <w:start w:val="1"/>
      <w:numFmt w:val="lowerLetter"/>
      <w:lvlText w:val="%2."/>
      <w:lvlJc w:val="left"/>
      <w:pPr>
        <w:ind w:left="1440" w:hanging="360"/>
      </w:pPr>
    </w:lvl>
    <w:lvl w:ilvl="2" w:tplc="C898E590">
      <w:start w:val="1"/>
      <w:numFmt w:val="lowerRoman"/>
      <w:lvlText w:val="%3."/>
      <w:lvlJc w:val="right"/>
      <w:pPr>
        <w:ind w:left="2160" w:hanging="180"/>
      </w:pPr>
    </w:lvl>
    <w:lvl w:ilvl="3" w:tplc="7F4C02A4">
      <w:start w:val="1"/>
      <w:numFmt w:val="decimal"/>
      <w:lvlText w:val="%4."/>
      <w:lvlJc w:val="left"/>
      <w:pPr>
        <w:ind w:left="2880" w:hanging="360"/>
      </w:pPr>
    </w:lvl>
    <w:lvl w:ilvl="4" w:tplc="BE36D338">
      <w:start w:val="1"/>
      <w:numFmt w:val="lowerLetter"/>
      <w:lvlText w:val="%5."/>
      <w:lvlJc w:val="left"/>
      <w:pPr>
        <w:ind w:left="3600" w:hanging="360"/>
      </w:pPr>
    </w:lvl>
    <w:lvl w:ilvl="5" w:tplc="8B4C78D0">
      <w:start w:val="1"/>
      <w:numFmt w:val="lowerRoman"/>
      <w:lvlText w:val="%6."/>
      <w:lvlJc w:val="right"/>
      <w:pPr>
        <w:ind w:left="4320" w:hanging="180"/>
      </w:pPr>
    </w:lvl>
    <w:lvl w:ilvl="6" w:tplc="2904EA92">
      <w:start w:val="1"/>
      <w:numFmt w:val="decimal"/>
      <w:lvlText w:val="%7."/>
      <w:lvlJc w:val="left"/>
      <w:pPr>
        <w:ind w:left="5040" w:hanging="360"/>
      </w:pPr>
    </w:lvl>
    <w:lvl w:ilvl="7" w:tplc="AA226C16">
      <w:start w:val="1"/>
      <w:numFmt w:val="lowerLetter"/>
      <w:lvlText w:val="%8."/>
      <w:lvlJc w:val="left"/>
      <w:pPr>
        <w:ind w:left="5760" w:hanging="360"/>
      </w:pPr>
    </w:lvl>
    <w:lvl w:ilvl="8" w:tplc="2230CDF8">
      <w:start w:val="1"/>
      <w:numFmt w:val="lowerRoman"/>
      <w:lvlText w:val="%9."/>
      <w:lvlJc w:val="right"/>
      <w:pPr>
        <w:ind w:left="6480" w:hanging="180"/>
      </w:pPr>
    </w:lvl>
  </w:abstractNum>
  <w:abstractNum w:abstractNumId="18" w15:restartNumberingAfterBreak="0">
    <w:nsid w:val="53400476"/>
    <w:multiLevelType w:val="hybridMultilevel"/>
    <w:tmpl w:val="5F4E8EF2"/>
    <w:lvl w:ilvl="0" w:tplc="088409BA">
      <w:start w:val="1"/>
      <w:numFmt w:val="bullet"/>
      <w:lvlText w:val="-"/>
      <w:lvlJc w:val="left"/>
      <w:pPr>
        <w:ind w:left="1080" w:hanging="360"/>
      </w:pPr>
      <w:rPr>
        <w:rFonts w:ascii="Calibri" w:eastAsiaTheme="majorEastAsia"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58F4413D"/>
    <w:multiLevelType w:val="multilevel"/>
    <w:tmpl w:val="8A8A73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0" w15:restartNumberingAfterBreak="0">
    <w:nsid w:val="634F1E28"/>
    <w:multiLevelType w:val="hybridMultilevel"/>
    <w:tmpl w:val="5BF8C72A"/>
    <w:lvl w:ilvl="0" w:tplc="5E80B138">
      <w:start w:val="1"/>
      <w:numFmt w:val="lowerLetter"/>
      <w:lvlText w:val="%1."/>
      <w:lvlJc w:val="left"/>
      <w:pPr>
        <w:ind w:left="720" w:hanging="360"/>
      </w:pPr>
      <w:rPr>
        <w:rFonts w:ascii="Arial" w:eastAsiaTheme="minorEastAsia" w:hAnsi="Arial" w:cstheme="minorBidi" w:hint="default"/>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9969CD"/>
    <w:multiLevelType w:val="hybridMultilevel"/>
    <w:tmpl w:val="A816E8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5C48BE5"/>
    <w:multiLevelType w:val="hybridMultilevel"/>
    <w:tmpl w:val="FFFFFFFF"/>
    <w:lvl w:ilvl="0" w:tplc="4314A3BC">
      <w:start w:val="1"/>
      <w:numFmt w:val="bullet"/>
      <w:lvlText w:val=""/>
      <w:lvlJc w:val="left"/>
      <w:pPr>
        <w:ind w:left="720" w:hanging="360"/>
      </w:pPr>
      <w:rPr>
        <w:rFonts w:ascii="Symbol" w:hAnsi="Symbol" w:hint="default"/>
      </w:rPr>
    </w:lvl>
    <w:lvl w:ilvl="1" w:tplc="F228B178">
      <w:start w:val="1"/>
      <w:numFmt w:val="bullet"/>
      <w:lvlText w:val="o"/>
      <w:lvlJc w:val="left"/>
      <w:pPr>
        <w:ind w:left="1440" w:hanging="360"/>
      </w:pPr>
      <w:rPr>
        <w:rFonts w:ascii="Courier New" w:hAnsi="Courier New" w:hint="default"/>
      </w:rPr>
    </w:lvl>
    <w:lvl w:ilvl="2" w:tplc="FD6A5C2C">
      <w:start w:val="1"/>
      <w:numFmt w:val="bullet"/>
      <w:lvlText w:val=""/>
      <w:lvlJc w:val="left"/>
      <w:pPr>
        <w:ind w:left="2160" w:hanging="360"/>
      </w:pPr>
      <w:rPr>
        <w:rFonts w:ascii="Wingdings" w:hAnsi="Wingdings" w:hint="default"/>
      </w:rPr>
    </w:lvl>
    <w:lvl w:ilvl="3" w:tplc="818C527A">
      <w:start w:val="1"/>
      <w:numFmt w:val="bullet"/>
      <w:lvlText w:val=""/>
      <w:lvlJc w:val="left"/>
      <w:pPr>
        <w:ind w:left="2880" w:hanging="360"/>
      </w:pPr>
      <w:rPr>
        <w:rFonts w:ascii="Symbol" w:hAnsi="Symbol" w:hint="default"/>
      </w:rPr>
    </w:lvl>
    <w:lvl w:ilvl="4" w:tplc="8CE000FE">
      <w:start w:val="1"/>
      <w:numFmt w:val="bullet"/>
      <w:lvlText w:val="o"/>
      <w:lvlJc w:val="left"/>
      <w:pPr>
        <w:ind w:left="3600" w:hanging="360"/>
      </w:pPr>
      <w:rPr>
        <w:rFonts w:ascii="Courier New" w:hAnsi="Courier New" w:hint="default"/>
      </w:rPr>
    </w:lvl>
    <w:lvl w:ilvl="5" w:tplc="737E434A">
      <w:start w:val="1"/>
      <w:numFmt w:val="bullet"/>
      <w:lvlText w:val=""/>
      <w:lvlJc w:val="left"/>
      <w:pPr>
        <w:ind w:left="4320" w:hanging="360"/>
      </w:pPr>
      <w:rPr>
        <w:rFonts w:ascii="Wingdings" w:hAnsi="Wingdings" w:hint="default"/>
      </w:rPr>
    </w:lvl>
    <w:lvl w:ilvl="6" w:tplc="DC0EC588">
      <w:start w:val="1"/>
      <w:numFmt w:val="bullet"/>
      <w:lvlText w:val=""/>
      <w:lvlJc w:val="left"/>
      <w:pPr>
        <w:ind w:left="5040" w:hanging="360"/>
      </w:pPr>
      <w:rPr>
        <w:rFonts w:ascii="Symbol" w:hAnsi="Symbol" w:hint="default"/>
      </w:rPr>
    </w:lvl>
    <w:lvl w:ilvl="7" w:tplc="A7A4EDBE">
      <w:start w:val="1"/>
      <w:numFmt w:val="bullet"/>
      <w:lvlText w:val="o"/>
      <w:lvlJc w:val="left"/>
      <w:pPr>
        <w:ind w:left="5760" w:hanging="360"/>
      </w:pPr>
      <w:rPr>
        <w:rFonts w:ascii="Courier New" w:hAnsi="Courier New" w:hint="default"/>
      </w:rPr>
    </w:lvl>
    <w:lvl w:ilvl="8" w:tplc="1632E896">
      <w:start w:val="1"/>
      <w:numFmt w:val="bullet"/>
      <w:lvlText w:val=""/>
      <w:lvlJc w:val="left"/>
      <w:pPr>
        <w:ind w:left="6480" w:hanging="360"/>
      </w:pPr>
      <w:rPr>
        <w:rFonts w:ascii="Wingdings" w:hAnsi="Wingdings" w:hint="default"/>
      </w:rPr>
    </w:lvl>
  </w:abstractNum>
  <w:abstractNum w:abstractNumId="23" w15:restartNumberingAfterBreak="0">
    <w:nsid w:val="678D69B0"/>
    <w:multiLevelType w:val="multilevel"/>
    <w:tmpl w:val="8A8A73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4" w15:restartNumberingAfterBreak="0">
    <w:nsid w:val="6EB55D6A"/>
    <w:multiLevelType w:val="multilevel"/>
    <w:tmpl w:val="8A8A73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5" w15:restartNumberingAfterBreak="0">
    <w:nsid w:val="75656801"/>
    <w:multiLevelType w:val="hybridMultilevel"/>
    <w:tmpl w:val="734A75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89026234">
    <w:abstractNumId w:val="5"/>
  </w:num>
  <w:num w:numId="2" w16cid:durableId="1599412267">
    <w:abstractNumId w:val="7"/>
  </w:num>
  <w:num w:numId="3" w16cid:durableId="1695493261">
    <w:abstractNumId w:val="1"/>
  </w:num>
  <w:num w:numId="4" w16cid:durableId="1734348758">
    <w:abstractNumId w:val="2"/>
  </w:num>
  <w:num w:numId="5" w16cid:durableId="2012298147">
    <w:abstractNumId w:val="4"/>
  </w:num>
  <w:num w:numId="6" w16cid:durableId="2081780735">
    <w:abstractNumId w:val="6"/>
  </w:num>
  <w:num w:numId="7" w16cid:durableId="2124496198">
    <w:abstractNumId w:val="0"/>
  </w:num>
  <w:num w:numId="8" w16cid:durableId="236593558">
    <w:abstractNumId w:val="8"/>
  </w:num>
  <w:num w:numId="9" w16cid:durableId="612709305">
    <w:abstractNumId w:val="3"/>
  </w:num>
  <w:num w:numId="10" w16cid:durableId="1928004496">
    <w:abstractNumId w:val="21"/>
  </w:num>
  <w:num w:numId="11" w16cid:durableId="1624653468">
    <w:abstractNumId w:val="17"/>
  </w:num>
  <w:num w:numId="12" w16cid:durableId="1263536217">
    <w:abstractNumId w:val="22"/>
  </w:num>
  <w:num w:numId="13" w16cid:durableId="1728453936">
    <w:abstractNumId w:val="9"/>
  </w:num>
  <w:num w:numId="14" w16cid:durableId="1286085073">
    <w:abstractNumId w:val="10"/>
  </w:num>
  <w:num w:numId="15" w16cid:durableId="1663779925">
    <w:abstractNumId w:val="12"/>
  </w:num>
  <w:num w:numId="16" w16cid:durableId="899824152">
    <w:abstractNumId w:val="11"/>
  </w:num>
  <w:num w:numId="17" w16cid:durableId="61370360">
    <w:abstractNumId w:val="13"/>
  </w:num>
  <w:num w:numId="18" w16cid:durableId="63837230">
    <w:abstractNumId w:val="19"/>
  </w:num>
  <w:num w:numId="19" w16cid:durableId="1333266032">
    <w:abstractNumId w:val="25"/>
  </w:num>
  <w:num w:numId="20" w16cid:durableId="419764686">
    <w:abstractNumId w:val="15"/>
  </w:num>
  <w:num w:numId="21" w16cid:durableId="1715764132">
    <w:abstractNumId w:val="14"/>
  </w:num>
  <w:num w:numId="22" w16cid:durableId="1578783972">
    <w:abstractNumId w:val="18"/>
  </w:num>
  <w:num w:numId="23" w16cid:durableId="2064405226">
    <w:abstractNumId w:val="16"/>
  </w:num>
  <w:num w:numId="24" w16cid:durableId="780075180">
    <w:abstractNumId w:val="23"/>
  </w:num>
  <w:num w:numId="25" w16cid:durableId="577713473">
    <w:abstractNumId w:val="20"/>
  </w:num>
  <w:num w:numId="26" w16cid:durableId="16293607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B7E"/>
    <w:rsid w:val="0000341F"/>
    <w:rsid w:val="0000360B"/>
    <w:rsid w:val="0000647B"/>
    <w:rsid w:val="00007921"/>
    <w:rsid w:val="00013B01"/>
    <w:rsid w:val="00017813"/>
    <w:rsid w:val="000218B0"/>
    <w:rsid w:val="0002253B"/>
    <w:rsid w:val="00026563"/>
    <w:rsid w:val="00026D5E"/>
    <w:rsid w:val="0003175B"/>
    <w:rsid w:val="000334A6"/>
    <w:rsid w:val="00034616"/>
    <w:rsid w:val="00034730"/>
    <w:rsid w:val="000352C1"/>
    <w:rsid w:val="00035908"/>
    <w:rsid w:val="0004218A"/>
    <w:rsid w:val="00044DDB"/>
    <w:rsid w:val="000468C0"/>
    <w:rsid w:val="00050035"/>
    <w:rsid w:val="000533A1"/>
    <w:rsid w:val="000559A4"/>
    <w:rsid w:val="00056195"/>
    <w:rsid w:val="000566D5"/>
    <w:rsid w:val="0006063C"/>
    <w:rsid w:val="00061753"/>
    <w:rsid w:val="00061807"/>
    <w:rsid w:val="000628D1"/>
    <w:rsid w:val="00064413"/>
    <w:rsid w:val="000654D3"/>
    <w:rsid w:val="00065B1C"/>
    <w:rsid w:val="00065BB2"/>
    <w:rsid w:val="00066904"/>
    <w:rsid w:val="00067AFD"/>
    <w:rsid w:val="00067C05"/>
    <w:rsid w:val="00072936"/>
    <w:rsid w:val="00073E43"/>
    <w:rsid w:val="00074008"/>
    <w:rsid w:val="0008087D"/>
    <w:rsid w:val="00083862"/>
    <w:rsid w:val="00084880"/>
    <w:rsid w:val="00084EF8"/>
    <w:rsid w:val="000865D5"/>
    <w:rsid w:val="000868F2"/>
    <w:rsid w:val="000906DC"/>
    <w:rsid w:val="00090764"/>
    <w:rsid w:val="00091BF0"/>
    <w:rsid w:val="000920D3"/>
    <w:rsid w:val="00094D72"/>
    <w:rsid w:val="00096C5E"/>
    <w:rsid w:val="000A078E"/>
    <w:rsid w:val="000A1FA8"/>
    <w:rsid w:val="000B1A12"/>
    <w:rsid w:val="000B205F"/>
    <w:rsid w:val="000B27D7"/>
    <w:rsid w:val="000B2A1B"/>
    <w:rsid w:val="000B350B"/>
    <w:rsid w:val="000B4178"/>
    <w:rsid w:val="000B5540"/>
    <w:rsid w:val="000B70F3"/>
    <w:rsid w:val="000B7C81"/>
    <w:rsid w:val="000B7D5C"/>
    <w:rsid w:val="000C63A7"/>
    <w:rsid w:val="000C6CE6"/>
    <w:rsid w:val="000D0B0D"/>
    <w:rsid w:val="000D1481"/>
    <w:rsid w:val="000D15EB"/>
    <w:rsid w:val="000D7498"/>
    <w:rsid w:val="000E0773"/>
    <w:rsid w:val="000E1575"/>
    <w:rsid w:val="000E27C1"/>
    <w:rsid w:val="000E5308"/>
    <w:rsid w:val="000E71BE"/>
    <w:rsid w:val="000F2E0E"/>
    <w:rsid w:val="000F7866"/>
    <w:rsid w:val="00101577"/>
    <w:rsid w:val="00106215"/>
    <w:rsid w:val="0011281A"/>
    <w:rsid w:val="00112876"/>
    <w:rsid w:val="00115D2D"/>
    <w:rsid w:val="001163F2"/>
    <w:rsid w:val="00116B3A"/>
    <w:rsid w:val="00121025"/>
    <w:rsid w:val="00122777"/>
    <w:rsid w:val="001237F6"/>
    <w:rsid w:val="001239FC"/>
    <w:rsid w:val="001254A7"/>
    <w:rsid w:val="00126154"/>
    <w:rsid w:val="00130746"/>
    <w:rsid w:val="00131C8C"/>
    <w:rsid w:val="001330ED"/>
    <w:rsid w:val="0013484B"/>
    <w:rsid w:val="00134AF3"/>
    <w:rsid w:val="00135714"/>
    <w:rsid w:val="001367BC"/>
    <w:rsid w:val="001377FC"/>
    <w:rsid w:val="00141E33"/>
    <w:rsid w:val="001433CD"/>
    <w:rsid w:val="00143E66"/>
    <w:rsid w:val="00146605"/>
    <w:rsid w:val="0015074B"/>
    <w:rsid w:val="0015561A"/>
    <w:rsid w:val="001617AA"/>
    <w:rsid w:val="00162900"/>
    <w:rsid w:val="00163B98"/>
    <w:rsid w:val="00166428"/>
    <w:rsid w:val="001665B1"/>
    <w:rsid w:val="00167FE0"/>
    <w:rsid w:val="00171381"/>
    <w:rsid w:val="00174C41"/>
    <w:rsid w:val="001769BB"/>
    <w:rsid w:val="00182D36"/>
    <w:rsid w:val="001839FB"/>
    <w:rsid w:val="0018778E"/>
    <w:rsid w:val="001946DE"/>
    <w:rsid w:val="00197F0B"/>
    <w:rsid w:val="001A04F2"/>
    <w:rsid w:val="001A058E"/>
    <w:rsid w:val="001A080C"/>
    <w:rsid w:val="001A5098"/>
    <w:rsid w:val="001A5B0D"/>
    <w:rsid w:val="001A7CC7"/>
    <w:rsid w:val="001B10FA"/>
    <w:rsid w:val="001B1D8B"/>
    <w:rsid w:val="001B3FA9"/>
    <w:rsid w:val="001B51A6"/>
    <w:rsid w:val="001B5977"/>
    <w:rsid w:val="001B6C39"/>
    <w:rsid w:val="001C0A7C"/>
    <w:rsid w:val="001C29CF"/>
    <w:rsid w:val="001C79C7"/>
    <w:rsid w:val="001D1807"/>
    <w:rsid w:val="001D32F6"/>
    <w:rsid w:val="001D3469"/>
    <w:rsid w:val="001D7F33"/>
    <w:rsid w:val="001E17FA"/>
    <w:rsid w:val="001E5028"/>
    <w:rsid w:val="001E6336"/>
    <w:rsid w:val="001E6C46"/>
    <w:rsid w:val="001F00D9"/>
    <w:rsid w:val="001F020F"/>
    <w:rsid w:val="001F0759"/>
    <w:rsid w:val="001F3E10"/>
    <w:rsid w:val="001F3F98"/>
    <w:rsid w:val="001F5140"/>
    <w:rsid w:val="00204AED"/>
    <w:rsid w:val="00206BAC"/>
    <w:rsid w:val="002112C5"/>
    <w:rsid w:val="00211906"/>
    <w:rsid w:val="00221865"/>
    <w:rsid w:val="00224A35"/>
    <w:rsid w:val="00225A4D"/>
    <w:rsid w:val="00226963"/>
    <w:rsid w:val="00230BB9"/>
    <w:rsid w:val="0023148E"/>
    <w:rsid w:val="00231DDA"/>
    <w:rsid w:val="00232932"/>
    <w:rsid w:val="00233DFD"/>
    <w:rsid w:val="0023598B"/>
    <w:rsid w:val="00236885"/>
    <w:rsid w:val="002424CB"/>
    <w:rsid w:val="0024270C"/>
    <w:rsid w:val="0024368C"/>
    <w:rsid w:val="00246350"/>
    <w:rsid w:val="002502CE"/>
    <w:rsid w:val="00250C5A"/>
    <w:rsid w:val="00252A34"/>
    <w:rsid w:val="002544ED"/>
    <w:rsid w:val="00254B81"/>
    <w:rsid w:val="0025635E"/>
    <w:rsid w:val="00256EF0"/>
    <w:rsid w:val="00260533"/>
    <w:rsid w:val="00262A4B"/>
    <w:rsid w:val="002648D4"/>
    <w:rsid w:val="002659A7"/>
    <w:rsid w:val="00267DD9"/>
    <w:rsid w:val="00267FC3"/>
    <w:rsid w:val="002712CF"/>
    <w:rsid w:val="00272EB4"/>
    <w:rsid w:val="00273F3A"/>
    <w:rsid w:val="00275EF3"/>
    <w:rsid w:val="002766B4"/>
    <w:rsid w:val="0027761C"/>
    <w:rsid w:val="002833C3"/>
    <w:rsid w:val="002844BC"/>
    <w:rsid w:val="00284FE1"/>
    <w:rsid w:val="00286A32"/>
    <w:rsid w:val="00287039"/>
    <w:rsid w:val="00287F24"/>
    <w:rsid w:val="0029002A"/>
    <w:rsid w:val="00290AAC"/>
    <w:rsid w:val="00290CA6"/>
    <w:rsid w:val="00291DE6"/>
    <w:rsid w:val="002932A9"/>
    <w:rsid w:val="002936D2"/>
    <w:rsid w:val="0029603C"/>
    <w:rsid w:val="0029639D"/>
    <w:rsid w:val="002A4510"/>
    <w:rsid w:val="002A4B89"/>
    <w:rsid w:val="002A5C41"/>
    <w:rsid w:val="002B4769"/>
    <w:rsid w:val="002B59FD"/>
    <w:rsid w:val="002B6BEC"/>
    <w:rsid w:val="002B7087"/>
    <w:rsid w:val="002B79C8"/>
    <w:rsid w:val="002C0474"/>
    <w:rsid w:val="002C3D97"/>
    <w:rsid w:val="002C4E91"/>
    <w:rsid w:val="002C59B3"/>
    <w:rsid w:val="002C606B"/>
    <w:rsid w:val="002C68A7"/>
    <w:rsid w:val="002D02BE"/>
    <w:rsid w:val="002D118A"/>
    <w:rsid w:val="002D21F5"/>
    <w:rsid w:val="002D2C07"/>
    <w:rsid w:val="002D38E1"/>
    <w:rsid w:val="002D67AE"/>
    <w:rsid w:val="002E055E"/>
    <w:rsid w:val="002E0BF2"/>
    <w:rsid w:val="002E1294"/>
    <w:rsid w:val="002E1441"/>
    <w:rsid w:val="002E2D9D"/>
    <w:rsid w:val="002E2F93"/>
    <w:rsid w:val="002F0D9D"/>
    <w:rsid w:val="002F0DE4"/>
    <w:rsid w:val="002F3E71"/>
    <w:rsid w:val="00301B0D"/>
    <w:rsid w:val="00304892"/>
    <w:rsid w:val="003048B7"/>
    <w:rsid w:val="0030535E"/>
    <w:rsid w:val="00305982"/>
    <w:rsid w:val="00305B32"/>
    <w:rsid w:val="00307CF3"/>
    <w:rsid w:val="00307EED"/>
    <w:rsid w:val="00313D41"/>
    <w:rsid w:val="0031587C"/>
    <w:rsid w:val="00315DB0"/>
    <w:rsid w:val="003167D9"/>
    <w:rsid w:val="00316D69"/>
    <w:rsid w:val="00317402"/>
    <w:rsid w:val="00320692"/>
    <w:rsid w:val="003212BA"/>
    <w:rsid w:val="00322702"/>
    <w:rsid w:val="00322AB5"/>
    <w:rsid w:val="00322D88"/>
    <w:rsid w:val="00322F7F"/>
    <w:rsid w:val="00323AEF"/>
    <w:rsid w:val="00324849"/>
    <w:rsid w:val="00324AF9"/>
    <w:rsid w:val="00324D95"/>
    <w:rsid w:val="003250FE"/>
    <w:rsid w:val="003252FB"/>
    <w:rsid w:val="00326B3C"/>
    <w:rsid w:val="00326F90"/>
    <w:rsid w:val="00330899"/>
    <w:rsid w:val="00330BC8"/>
    <w:rsid w:val="003315A1"/>
    <w:rsid w:val="003333E1"/>
    <w:rsid w:val="0033354C"/>
    <w:rsid w:val="00334AF4"/>
    <w:rsid w:val="003367B6"/>
    <w:rsid w:val="00336F92"/>
    <w:rsid w:val="003403C4"/>
    <w:rsid w:val="00340966"/>
    <w:rsid w:val="00341C8C"/>
    <w:rsid w:val="00342FBE"/>
    <w:rsid w:val="0034410A"/>
    <w:rsid w:val="00347CAC"/>
    <w:rsid w:val="00350F91"/>
    <w:rsid w:val="003513E1"/>
    <w:rsid w:val="0035291E"/>
    <w:rsid w:val="0035752A"/>
    <w:rsid w:val="00357B3B"/>
    <w:rsid w:val="0036088D"/>
    <w:rsid w:val="00362FAD"/>
    <w:rsid w:val="00363AA2"/>
    <w:rsid w:val="00363AA6"/>
    <w:rsid w:val="003715A0"/>
    <w:rsid w:val="0037438A"/>
    <w:rsid w:val="003750FC"/>
    <w:rsid w:val="00377E84"/>
    <w:rsid w:val="00380549"/>
    <w:rsid w:val="003833F9"/>
    <w:rsid w:val="0038383D"/>
    <w:rsid w:val="00385215"/>
    <w:rsid w:val="00392C55"/>
    <w:rsid w:val="00393021"/>
    <w:rsid w:val="00394FB9"/>
    <w:rsid w:val="00396F44"/>
    <w:rsid w:val="003A4AA7"/>
    <w:rsid w:val="003A4E80"/>
    <w:rsid w:val="003B0462"/>
    <w:rsid w:val="003B0F8B"/>
    <w:rsid w:val="003B4757"/>
    <w:rsid w:val="003B4E1F"/>
    <w:rsid w:val="003B4E7D"/>
    <w:rsid w:val="003B5511"/>
    <w:rsid w:val="003B5CA3"/>
    <w:rsid w:val="003B66F1"/>
    <w:rsid w:val="003B67A5"/>
    <w:rsid w:val="003B6D61"/>
    <w:rsid w:val="003B72CB"/>
    <w:rsid w:val="003B7A3E"/>
    <w:rsid w:val="003C2D0F"/>
    <w:rsid w:val="003C4D2D"/>
    <w:rsid w:val="003C6849"/>
    <w:rsid w:val="003D3442"/>
    <w:rsid w:val="003D683D"/>
    <w:rsid w:val="003E1CC3"/>
    <w:rsid w:val="003E401F"/>
    <w:rsid w:val="003E4800"/>
    <w:rsid w:val="003E54D9"/>
    <w:rsid w:val="003F1119"/>
    <w:rsid w:val="003F2489"/>
    <w:rsid w:val="003F3888"/>
    <w:rsid w:val="003F5D38"/>
    <w:rsid w:val="003F5EDE"/>
    <w:rsid w:val="003F6BF3"/>
    <w:rsid w:val="00401E5F"/>
    <w:rsid w:val="0041252D"/>
    <w:rsid w:val="0041334B"/>
    <w:rsid w:val="00415965"/>
    <w:rsid w:val="004170CB"/>
    <w:rsid w:val="0042247A"/>
    <w:rsid w:val="004309B6"/>
    <w:rsid w:val="00431D37"/>
    <w:rsid w:val="00431DA4"/>
    <w:rsid w:val="0043242D"/>
    <w:rsid w:val="00432D3C"/>
    <w:rsid w:val="004336AA"/>
    <w:rsid w:val="00436ECC"/>
    <w:rsid w:val="00441DED"/>
    <w:rsid w:val="00446226"/>
    <w:rsid w:val="0044663C"/>
    <w:rsid w:val="0045232D"/>
    <w:rsid w:val="00454451"/>
    <w:rsid w:val="0045650B"/>
    <w:rsid w:val="004566BD"/>
    <w:rsid w:val="004575D5"/>
    <w:rsid w:val="00460F7A"/>
    <w:rsid w:val="00461D2E"/>
    <w:rsid w:val="00462F4E"/>
    <w:rsid w:val="00464890"/>
    <w:rsid w:val="0046565D"/>
    <w:rsid w:val="004658C2"/>
    <w:rsid w:val="00465EF0"/>
    <w:rsid w:val="00467916"/>
    <w:rsid w:val="00472439"/>
    <w:rsid w:val="00473090"/>
    <w:rsid w:val="00475195"/>
    <w:rsid w:val="004752B8"/>
    <w:rsid w:val="00477CA5"/>
    <w:rsid w:val="00477E7D"/>
    <w:rsid w:val="00483AED"/>
    <w:rsid w:val="004879D9"/>
    <w:rsid w:val="00497179"/>
    <w:rsid w:val="004974A4"/>
    <w:rsid w:val="004A1631"/>
    <w:rsid w:val="004A1B92"/>
    <w:rsid w:val="004A45E1"/>
    <w:rsid w:val="004A6823"/>
    <w:rsid w:val="004A7AE0"/>
    <w:rsid w:val="004B06EA"/>
    <w:rsid w:val="004B1BCB"/>
    <w:rsid w:val="004B313A"/>
    <w:rsid w:val="004B47D8"/>
    <w:rsid w:val="004B5F18"/>
    <w:rsid w:val="004B77A0"/>
    <w:rsid w:val="004C0873"/>
    <w:rsid w:val="004C2ED2"/>
    <w:rsid w:val="004C47F4"/>
    <w:rsid w:val="004C4A9F"/>
    <w:rsid w:val="004D1341"/>
    <w:rsid w:val="004D1AF1"/>
    <w:rsid w:val="004D1B05"/>
    <w:rsid w:val="004D384C"/>
    <w:rsid w:val="004D6B02"/>
    <w:rsid w:val="004E71FF"/>
    <w:rsid w:val="004F1177"/>
    <w:rsid w:val="004F4AB7"/>
    <w:rsid w:val="004F4CEF"/>
    <w:rsid w:val="004F7162"/>
    <w:rsid w:val="004F7797"/>
    <w:rsid w:val="00505F3B"/>
    <w:rsid w:val="00506B6D"/>
    <w:rsid w:val="00510B03"/>
    <w:rsid w:val="0051223E"/>
    <w:rsid w:val="005128AD"/>
    <w:rsid w:val="00513E70"/>
    <w:rsid w:val="0052167D"/>
    <w:rsid w:val="005233E7"/>
    <w:rsid w:val="00527A2E"/>
    <w:rsid w:val="00531D1F"/>
    <w:rsid w:val="005339EA"/>
    <w:rsid w:val="0053659C"/>
    <w:rsid w:val="00540526"/>
    <w:rsid w:val="00540B6E"/>
    <w:rsid w:val="00542847"/>
    <w:rsid w:val="0054450E"/>
    <w:rsid w:val="00544BC7"/>
    <w:rsid w:val="005462E0"/>
    <w:rsid w:val="005467CF"/>
    <w:rsid w:val="00546969"/>
    <w:rsid w:val="00547234"/>
    <w:rsid w:val="00552944"/>
    <w:rsid w:val="00557CD4"/>
    <w:rsid w:val="005640F5"/>
    <w:rsid w:val="00564B93"/>
    <w:rsid w:val="00565C02"/>
    <w:rsid w:val="00570468"/>
    <w:rsid w:val="0057532B"/>
    <w:rsid w:val="00577989"/>
    <w:rsid w:val="0058153E"/>
    <w:rsid w:val="005827F9"/>
    <w:rsid w:val="0058365A"/>
    <w:rsid w:val="00583F34"/>
    <w:rsid w:val="005845FC"/>
    <w:rsid w:val="00590AB7"/>
    <w:rsid w:val="005913A9"/>
    <w:rsid w:val="00592348"/>
    <w:rsid w:val="005923E7"/>
    <w:rsid w:val="0059612F"/>
    <w:rsid w:val="00596D13"/>
    <w:rsid w:val="00597348"/>
    <w:rsid w:val="0059777D"/>
    <w:rsid w:val="005A4CCE"/>
    <w:rsid w:val="005A5817"/>
    <w:rsid w:val="005A6126"/>
    <w:rsid w:val="005A6F6C"/>
    <w:rsid w:val="005B29A5"/>
    <w:rsid w:val="005B7137"/>
    <w:rsid w:val="005B77E7"/>
    <w:rsid w:val="005B7C4F"/>
    <w:rsid w:val="005C068F"/>
    <w:rsid w:val="005D28E9"/>
    <w:rsid w:val="005D751B"/>
    <w:rsid w:val="005E15AB"/>
    <w:rsid w:val="005E3A97"/>
    <w:rsid w:val="005E44C4"/>
    <w:rsid w:val="005E5B1E"/>
    <w:rsid w:val="005F02FD"/>
    <w:rsid w:val="005F69B8"/>
    <w:rsid w:val="006002D0"/>
    <w:rsid w:val="006047FC"/>
    <w:rsid w:val="006078E6"/>
    <w:rsid w:val="006122B7"/>
    <w:rsid w:val="006122F8"/>
    <w:rsid w:val="00612313"/>
    <w:rsid w:val="0061282B"/>
    <w:rsid w:val="00612C7D"/>
    <w:rsid w:val="00614C20"/>
    <w:rsid w:val="00615552"/>
    <w:rsid w:val="00615B2B"/>
    <w:rsid w:val="0062015A"/>
    <w:rsid w:val="006214EB"/>
    <w:rsid w:val="00621E4A"/>
    <w:rsid w:val="00622416"/>
    <w:rsid w:val="006267C2"/>
    <w:rsid w:val="00627191"/>
    <w:rsid w:val="00627703"/>
    <w:rsid w:val="00632171"/>
    <w:rsid w:val="00632747"/>
    <w:rsid w:val="00633EC1"/>
    <w:rsid w:val="0063574D"/>
    <w:rsid w:val="00636B9B"/>
    <w:rsid w:val="00636EBB"/>
    <w:rsid w:val="00641537"/>
    <w:rsid w:val="00641F54"/>
    <w:rsid w:val="00642102"/>
    <w:rsid w:val="0064528F"/>
    <w:rsid w:val="006457F6"/>
    <w:rsid w:val="0064585A"/>
    <w:rsid w:val="00645B40"/>
    <w:rsid w:val="006468F5"/>
    <w:rsid w:val="00654EE9"/>
    <w:rsid w:val="00655CA0"/>
    <w:rsid w:val="00656EEB"/>
    <w:rsid w:val="00661648"/>
    <w:rsid w:val="00663E72"/>
    <w:rsid w:val="0066402B"/>
    <w:rsid w:val="00664FD5"/>
    <w:rsid w:val="0066745E"/>
    <w:rsid w:val="00671B03"/>
    <w:rsid w:val="006722B3"/>
    <w:rsid w:val="006727BE"/>
    <w:rsid w:val="006739AC"/>
    <w:rsid w:val="006743D2"/>
    <w:rsid w:val="00674E08"/>
    <w:rsid w:val="00675936"/>
    <w:rsid w:val="00675C63"/>
    <w:rsid w:val="006770FC"/>
    <w:rsid w:val="00685BA9"/>
    <w:rsid w:val="00690D2B"/>
    <w:rsid w:val="00691FE7"/>
    <w:rsid w:val="00692213"/>
    <w:rsid w:val="00692CC6"/>
    <w:rsid w:val="0069419F"/>
    <w:rsid w:val="00697B14"/>
    <w:rsid w:val="00697C8A"/>
    <w:rsid w:val="006A0CB5"/>
    <w:rsid w:val="006A2309"/>
    <w:rsid w:val="006A2437"/>
    <w:rsid w:val="006A3403"/>
    <w:rsid w:val="006A604C"/>
    <w:rsid w:val="006A73AD"/>
    <w:rsid w:val="006A73F3"/>
    <w:rsid w:val="006A7DF9"/>
    <w:rsid w:val="006B12A7"/>
    <w:rsid w:val="006B4EB3"/>
    <w:rsid w:val="006B73F3"/>
    <w:rsid w:val="006C03ED"/>
    <w:rsid w:val="006C1881"/>
    <w:rsid w:val="006C277C"/>
    <w:rsid w:val="006C4445"/>
    <w:rsid w:val="006C4C4D"/>
    <w:rsid w:val="006C6F07"/>
    <w:rsid w:val="006D18D6"/>
    <w:rsid w:val="006D1BA7"/>
    <w:rsid w:val="006D4E2E"/>
    <w:rsid w:val="006E3884"/>
    <w:rsid w:val="006E4913"/>
    <w:rsid w:val="006E4DE1"/>
    <w:rsid w:val="006E5870"/>
    <w:rsid w:val="006E5BE0"/>
    <w:rsid w:val="006E6493"/>
    <w:rsid w:val="006F0864"/>
    <w:rsid w:val="006F0A20"/>
    <w:rsid w:val="006F2FDC"/>
    <w:rsid w:val="00700DB2"/>
    <w:rsid w:val="00702146"/>
    <w:rsid w:val="00704D74"/>
    <w:rsid w:val="00705DAD"/>
    <w:rsid w:val="00711C39"/>
    <w:rsid w:val="00711C58"/>
    <w:rsid w:val="007173DC"/>
    <w:rsid w:val="00721FE3"/>
    <w:rsid w:val="00724771"/>
    <w:rsid w:val="00724D4D"/>
    <w:rsid w:val="00726305"/>
    <w:rsid w:val="007263C7"/>
    <w:rsid w:val="0072670E"/>
    <w:rsid w:val="00730DB4"/>
    <w:rsid w:val="00732604"/>
    <w:rsid w:val="0073260D"/>
    <w:rsid w:val="007330E9"/>
    <w:rsid w:val="007344BE"/>
    <w:rsid w:val="0073464A"/>
    <w:rsid w:val="007368C9"/>
    <w:rsid w:val="007374CB"/>
    <w:rsid w:val="0074000A"/>
    <w:rsid w:val="00740042"/>
    <w:rsid w:val="00741ED7"/>
    <w:rsid w:val="00752F6F"/>
    <w:rsid w:val="0075471F"/>
    <w:rsid w:val="00754F77"/>
    <w:rsid w:val="007563C8"/>
    <w:rsid w:val="00761682"/>
    <w:rsid w:val="00763ADA"/>
    <w:rsid w:val="00765398"/>
    <w:rsid w:val="007673FD"/>
    <w:rsid w:val="00775E50"/>
    <w:rsid w:val="00776371"/>
    <w:rsid w:val="007775CF"/>
    <w:rsid w:val="00781492"/>
    <w:rsid w:val="00783399"/>
    <w:rsid w:val="007834F2"/>
    <w:rsid w:val="0078373A"/>
    <w:rsid w:val="007864F7"/>
    <w:rsid w:val="007904BE"/>
    <w:rsid w:val="00790AB8"/>
    <w:rsid w:val="0079419C"/>
    <w:rsid w:val="0079506B"/>
    <w:rsid w:val="00797886"/>
    <w:rsid w:val="007A4E05"/>
    <w:rsid w:val="007A6F8D"/>
    <w:rsid w:val="007A7145"/>
    <w:rsid w:val="007B3507"/>
    <w:rsid w:val="007B4DC2"/>
    <w:rsid w:val="007B6E40"/>
    <w:rsid w:val="007B6FC8"/>
    <w:rsid w:val="007C272A"/>
    <w:rsid w:val="007C2B28"/>
    <w:rsid w:val="007C4BC3"/>
    <w:rsid w:val="007C5CCA"/>
    <w:rsid w:val="007D001D"/>
    <w:rsid w:val="007D1EEB"/>
    <w:rsid w:val="007D4E53"/>
    <w:rsid w:val="007D54E6"/>
    <w:rsid w:val="007D5DA1"/>
    <w:rsid w:val="007E2C01"/>
    <w:rsid w:val="007E3A6A"/>
    <w:rsid w:val="007F315E"/>
    <w:rsid w:val="007F539B"/>
    <w:rsid w:val="00800CB7"/>
    <w:rsid w:val="00801078"/>
    <w:rsid w:val="00801EA6"/>
    <w:rsid w:val="0080537F"/>
    <w:rsid w:val="008108E8"/>
    <w:rsid w:val="00814314"/>
    <w:rsid w:val="00820F41"/>
    <w:rsid w:val="00825AF4"/>
    <w:rsid w:val="00830D71"/>
    <w:rsid w:val="00832522"/>
    <w:rsid w:val="00834028"/>
    <w:rsid w:val="00834988"/>
    <w:rsid w:val="0083573D"/>
    <w:rsid w:val="008367E6"/>
    <w:rsid w:val="008410A6"/>
    <w:rsid w:val="00842030"/>
    <w:rsid w:val="00842199"/>
    <w:rsid w:val="0084355C"/>
    <w:rsid w:val="008450AC"/>
    <w:rsid w:val="008452D1"/>
    <w:rsid w:val="00845DC4"/>
    <w:rsid w:val="00850920"/>
    <w:rsid w:val="008517C8"/>
    <w:rsid w:val="008612CC"/>
    <w:rsid w:val="008666C7"/>
    <w:rsid w:val="008730A1"/>
    <w:rsid w:val="00873CF7"/>
    <w:rsid w:val="00874A2C"/>
    <w:rsid w:val="00877409"/>
    <w:rsid w:val="00877B5B"/>
    <w:rsid w:val="008819EF"/>
    <w:rsid w:val="00881FA5"/>
    <w:rsid w:val="00883795"/>
    <w:rsid w:val="008862DC"/>
    <w:rsid w:val="00886D09"/>
    <w:rsid w:val="00887095"/>
    <w:rsid w:val="00893DA2"/>
    <w:rsid w:val="0089522C"/>
    <w:rsid w:val="00896DC6"/>
    <w:rsid w:val="00897B52"/>
    <w:rsid w:val="008A36CD"/>
    <w:rsid w:val="008A3FC3"/>
    <w:rsid w:val="008A756D"/>
    <w:rsid w:val="008B0225"/>
    <w:rsid w:val="008B2D2C"/>
    <w:rsid w:val="008B36E8"/>
    <w:rsid w:val="008B481C"/>
    <w:rsid w:val="008B68F1"/>
    <w:rsid w:val="008C5779"/>
    <w:rsid w:val="008D0802"/>
    <w:rsid w:val="008D2E50"/>
    <w:rsid w:val="008D3460"/>
    <w:rsid w:val="008E1354"/>
    <w:rsid w:val="008E5BF3"/>
    <w:rsid w:val="008E6AB5"/>
    <w:rsid w:val="008F1556"/>
    <w:rsid w:val="008F4EA4"/>
    <w:rsid w:val="008F688D"/>
    <w:rsid w:val="00905E74"/>
    <w:rsid w:val="00906591"/>
    <w:rsid w:val="00912C28"/>
    <w:rsid w:val="00913C4A"/>
    <w:rsid w:val="00913E17"/>
    <w:rsid w:val="00913ED3"/>
    <w:rsid w:val="00917148"/>
    <w:rsid w:val="009215F6"/>
    <w:rsid w:val="009218B4"/>
    <w:rsid w:val="00923731"/>
    <w:rsid w:val="009278A3"/>
    <w:rsid w:val="00934DDC"/>
    <w:rsid w:val="00935567"/>
    <w:rsid w:val="00935A3B"/>
    <w:rsid w:val="00937336"/>
    <w:rsid w:val="0093746C"/>
    <w:rsid w:val="00941AA6"/>
    <w:rsid w:val="00943B57"/>
    <w:rsid w:val="00951C7A"/>
    <w:rsid w:val="00953D21"/>
    <w:rsid w:val="0095705E"/>
    <w:rsid w:val="009619EC"/>
    <w:rsid w:val="009633FC"/>
    <w:rsid w:val="00966B04"/>
    <w:rsid w:val="00967101"/>
    <w:rsid w:val="009675AA"/>
    <w:rsid w:val="00972A8D"/>
    <w:rsid w:val="00976AA1"/>
    <w:rsid w:val="00981758"/>
    <w:rsid w:val="00981867"/>
    <w:rsid w:val="00981DC3"/>
    <w:rsid w:val="009856C2"/>
    <w:rsid w:val="009910A8"/>
    <w:rsid w:val="00991DA6"/>
    <w:rsid w:val="00992F09"/>
    <w:rsid w:val="00993272"/>
    <w:rsid w:val="009933D1"/>
    <w:rsid w:val="00994226"/>
    <w:rsid w:val="0099694E"/>
    <w:rsid w:val="00996A42"/>
    <w:rsid w:val="009A3BB1"/>
    <w:rsid w:val="009A402E"/>
    <w:rsid w:val="009A5433"/>
    <w:rsid w:val="009A6AD0"/>
    <w:rsid w:val="009B4B47"/>
    <w:rsid w:val="009B7224"/>
    <w:rsid w:val="009C1B85"/>
    <w:rsid w:val="009C1E79"/>
    <w:rsid w:val="009C4037"/>
    <w:rsid w:val="009C5C64"/>
    <w:rsid w:val="009C652E"/>
    <w:rsid w:val="009D2ACB"/>
    <w:rsid w:val="009D3987"/>
    <w:rsid w:val="009D528C"/>
    <w:rsid w:val="009D5A61"/>
    <w:rsid w:val="009D5D27"/>
    <w:rsid w:val="009D6CDA"/>
    <w:rsid w:val="009D6E28"/>
    <w:rsid w:val="009E04F5"/>
    <w:rsid w:val="009F0FF2"/>
    <w:rsid w:val="009F1542"/>
    <w:rsid w:val="009F5081"/>
    <w:rsid w:val="009F52F5"/>
    <w:rsid w:val="00A02011"/>
    <w:rsid w:val="00A05B72"/>
    <w:rsid w:val="00A06480"/>
    <w:rsid w:val="00A07626"/>
    <w:rsid w:val="00A165C2"/>
    <w:rsid w:val="00A16E6B"/>
    <w:rsid w:val="00A20AA4"/>
    <w:rsid w:val="00A2144A"/>
    <w:rsid w:val="00A26E7F"/>
    <w:rsid w:val="00A2729B"/>
    <w:rsid w:val="00A27DF0"/>
    <w:rsid w:val="00A30B5E"/>
    <w:rsid w:val="00A3204A"/>
    <w:rsid w:val="00A413E3"/>
    <w:rsid w:val="00A4402A"/>
    <w:rsid w:val="00A4473B"/>
    <w:rsid w:val="00A46C31"/>
    <w:rsid w:val="00A46DF1"/>
    <w:rsid w:val="00A52416"/>
    <w:rsid w:val="00A5647C"/>
    <w:rsid w:val="00A6008A"/>
    <w:rsid w:val="00A61245"/>
    <w:rsid w:val="00A62FA1"/>
    <w:rsid w:val="00A63776"/>
    <w:rsid w:val="00A643CB"/>
    <w:rsid w:val="00A6607A"/>
    <w:rsid w:val="00A66348"/>
    <w:rsid w:val="00A72389"/>
    <w:rsid w:val="00A73B51"/>
    <w:rsid w:val="00A74532"/>
    <w:rsid w:val="00A80D5B"/>
    <w:rsid w:val="00A835FC"/>
    <w:rsid w:val="00A84085"/>
    <w:rsid w:val="00A847B3"/>
    <w:rsid w:val="00A85696"/>
    <w:rsid w:val="00A8610C"/>
    <w:rsid w:val="00A90B37"/>
    <w:rsid w:val="00A928F9"/>
    <w:rsid w:val="00A92AE5"/>
    <w:rsid w:val="00A933FA"/>
    <w:rsid w:val="00A93968"/>
    <w:rsid w:val="00A95FC4"/>
    <w:rsid w:val="00AA068C"/>
    <w:rsid w:val="00AA06A4"/>
    <w:rsid w:val="00AA1D8D"/>
    <w:rsid w:val="00AA24FB"/>
    <w:rsid w:val="00AA4FD3"/>
    <w:rsid w:val="00AA5C02"/>
    <w:rsid w:val="00AA7900"/>
    <w:rsid w:val="00AB71BB"/>
    <w:rsid w:val="00AB7CF9"/>
    <w:rsid w:val="00AC18E4"/>
    <w:rsid w:val="00AC2048"/>
    <w:rsid w:val="00AC3C73"/>
    <w:rsid w:val="00AC6C3F"/>
    <w:rsid w:val="00AC7BDF"/>
    <w:rsid w:val="00AD4FD5"/>
    <w:rsid w:val="00AD6621"/>
    <w:rsid w:val="00AD75B0"/>
    <w:rsid w:val="00AD7FA5"/>
    <w:rsid w:val="00AE1B7A"/>
    <w:rsid w:val="00AE33B5"/>
    <w:rsid w:val="00AE56B5"/>
    <w:rsid w:val="00AE5BFF"/>
    <w:rsid w:val="00AE7854"/>
    <w:rsid w:val="00AF2DB7"/>
    <w:rsid w:val="00AF5D1E"/>
    <w:rsid w:val="00AF6E06"/>
    <w:rsid w:val="00B03DCD"/>
    <w:rsid w:val="00B063A6"/>
    <w:rsid w:val="00B0666A"/>
    <w:rsid w:val="00B1093D"/>
    <w:rsid w:val="00B1171D"/>
    <w:rsid w:val="00B125B7"/>
    <w:rsid w:val="00B12BB2"/>
    <w:rsid w:val="00B1370E"/>
    <w:rsid w:val="00B1673C"/>
    <w:rsid w:val="00B175DA"/>
    <w:rsid w:val="00B21422"/>
    <w:rsid w:val="00B21D77"/>
    <w:rsid w:val="00B22BD7"/>
    <w:rsid w:val="00B25B49"/>
    <w:rsid w:val="00B26008"/>
    <w:rsid w:val="00B2608D"/>
    <w:rsid w:val="00B26E79"/>
    <w:rsid w:val="00B34A90"/>
    <w:rsid w:val="00B356E1"/>
    <w:rsid w:val="00B36823"/>
    <w:rsid w:val="00B36B55"/>
    <w:rsid w:val="00B4589F"/>
    <w:rsid w:val="00B46434"/>
    <w:rsid w:val="00B47730"/>
    <w:rsid w:val="00B5085A"/>
    <w:rsid w:val="00B53DBA"/>
    <w:rsid w:val="00B54360"/>
    <w:rsid w:val="00B54A27"/>
    <w:rsid w:val="00B57038"/>
    <w:rsid w:val="00B5778D"/>
    <w:rsid w:val="00B60041"/>
    <w:rsid w:val="00B606BB"/>
    <w:rsid w:val="00B6147D"/>
    <w:rsid w:val="00B61B37"/>
    <w:rsid w:val="00B65B8D"/>
    <w:rsid w:val="00B65BB0"/>
    <w:rsid w:val="00B66A21"/>
    <w:rsid w:val="00B71CA3"/>
    <w:rsid w:val="00B74509"/>
    <w:rsid w:val="00B74DDD"/>
    <w:rsid w:val="00B7708E"/>
    <w:rsid w:val="00B82B2E"/>
    <w:rsid w:val="00B911F9"/>
    <w:rsid w:val="00B94615"/>
    <w:rsid w:val="00B9645D"/>
    <w:rsid w:val="00B97989"/>
    <w:rsid w:val="00BA55C7"/>
    <w:rsid w:val="00BA58F9"/>
    <w:rsid w:val="00BA597B"/>
    <w:rsid w:val="00BA5BAF"/>
    <w:rsid w:val="00BB35BD"/>
    <w:rsid w:val="00BB42F5"/>
    <w:rsid w:val="00BB5517"/>
    <w:rsid w:val="00BB5BAF"/>
    <w:rsid w:val="00BB6A0B"/>
    <w:rsid w:val="00BC14C7"/>
    <w:rsid w:val="00BC1B8F"/>
    <w:rsid w:val="00BC7271"/>
    <w:rsid w:val="00BC7441"/>
    <w:rsid w:val="00BD3F72"/>
    <w:rsid w:val="00BD450F"/>
    <w:rsid w:val="00BD68EA"/>
    <w:rsid w:val="00BD6DC3"/>
    <w:rsid w:val="00BE0627"/>
    <w:rsid w:val="00BE1426"/>
    <w:rsid w:val="00BE27DA"/>
    <w:rsid w:val="00BE329F"/>
    <w:rsid w:val="00BE4D93"/>
    <w:rsid w:val="00BE5C40"/>
    <w:rsid w:val="00BE6FF7"/>
    <w:rsid w:val="00BE7646"/>
    <w:rsid w:val="00BF502E"/>
    <w:rsid w:val="00BF6A04"/>
    <w:rsid w:val="00C00F3D"/>
    <w:rsid w:val="00C0109A"/>
    <w:rsid w:val="00C01E0C"/>
    <w:rsid w:val="00C10927"/>
    <w:rsid w:val="00C1177A"/>
    <w:rsid w:val="00C11889"/>
    <w:rsid w:val="00C16CF1"/>
    <w:rsid w:val="00C16F72"/>
    <w:rsid w:val="00C24B7F"/>
    <w:rsid w:val="00C265C9"/>
    <w:rsid w:val="00C268E3"/>
    <w:rsid w:val="00C3102C"/>
    <w:rsid w:val="00C3125D"/>
    <w:rsid w:val="00C3438E"/>
    <w:rsid w:val="00C35FFA"/>
    <w:rsid w:val="00C41A70"/>
    <w:rsid w:val="00C41F79"/>
    <w:rsid w:val="00C43EA1"/>
    <w:rsid w:val="00C47F29"/>
    <w:rsid w:val="00C50F62"/>
    <w:rsid w:val="00C52576"/>
    <w:rsid w:val="00C528D6"/>
    <w:rsid w:val="00C54A07"/>
    <w:rsid w:val="00C609BD"/>
    <w:rsid w:val="00C61616"/>
    <w:rsid w:val="00C62FF3"/>
    <w:rsid w:val="00C643FC"/>
    <w:rsid w:val="00C651E2"/>
    <w:rsid w:val="00C70531"/>
    <w:rsid w:val="00C7077F"/>
    <w:rsid w:val="00C71354"/>
    <w:rsid w:val="00C71AE5"/>
    <w:rsid w:val="00C74F1B"/>
    <w:rsid w:val="00C75D92"/>
    <w:rsid w:val="00C76298"/>
    <w:rsid w:val="00C77287"/>
    <w:rsid w:val="00C823BB"/>
    <w:rsid w:val="00C83418"/>
    <w:rsid w:val="00C8495A"/>
    <w:rsid w:val="00C84EBC"/>
    <w:rsid w:val="00C86263"/>
    <w:rsid w:val="00C8789E"/>
    <w:rsid w:val="00C90987"/>
    <w:rsid w:val="00C91ADA"/>
    <w:rsid w:val="00C96041"/>
    <w:rsid w:val="00C97353"/>
    <w:rsid w:val="00C97664"/>
    <w:rsid w:val="00CA16CF"/>
    <w:rsid w:val="00CA6799"/>
    <w:rsid w:val="00CA7CE2"/>
    <w:rsid w:val="00CB0664"/>
    <w:rsid w:val="00CB3CD5"/>
    <w:rsid w:val="00CB448A"/>
    <w:rsid w:val="00CB6318"/>
    <w:rsid w:val="00CC29C3"/>
    <w:rsid w:val="00CC2BA3"/>
    <w:rsid w:val="00CD2D0F"/>
    <w:rsid w:val="00CD3579"/>
    <w:rsid w:val="00CD424C"/>
    <w:rsid w:val="00CD614F"/>
    <w:rsid w:val="00CD70E1"/>
    <w:rsid w:val="00CE070B"/>
    <w:rsid w:val="00CE0D92"/>
    <w:rsid w:val="00CE6D59"/>
    <w:rsid w:val="00CF13FE"/>
    <w:rsid w:val="00CF2347"/>
    <w:rsid w:val="00CF2ADA"/>
    <w:rsid w:val="00CF3BB1"/>
    <w:rsid w:val="00CF58E6"/>
    <w:rsid w:val="00CF59C3"/>
    <w:rsid w:val="00CF5D2D"/>
    <w:rsid w:val="00CF5F23"/>
    <w:rsid w:val="00D02ECD"/>
    <w:rsid w:val="00D036C3"/>
    <w:rsid w:val="00D07393"/>
    <w:rsid w:val="00D1031F"/>
    <w:rsid w:val="00D12AB0"/>
    <w:rsid w:val="00D13E1A"/>
    <w:rsid w:val="00D15E43"/>
    <w:rsid w:val="00D16ABC"/>
    <w:rsid w:val="00D2168E"/>
    <w:rsid w:val="00D2317F"/>
    <w:rsid w:val="00D23636"/>
    <w:rsid w:val="00D23694"/>
    <w:rsid w:val="00D27E33"/>
    <w:rsid w:val="00D320F6"/>
    <w:rsid w:val="00D32247"/>
    <w:rsid w:val="00D339BB"/>
    <w:rsid w:val="00D35FCA"/>
    <w:rsid w:val="00D4015A"/>
    <w:rsid w:val="00D40736"/>
    <w:rsid w:val="00D45B6D"/>
    <w:rsid w:val="00D46F98"/>
    <w:rsid w:val="00D50598"/>
    <w:rsid w:val="00D51E6E"/>
    <w:rsid w:val="00D52AA2"/>
    <w:rsid w:val="00D5334A"/>
    <w:rsid w:val="00D542E8"/>
    <w:rsid w:val="00D64232"/>
    <w:rsid w:val="00D66F5C"/>
    <w:rsid w:val="00D7136A"/>
    <w:rsid w:val="00D717C1"/>
    <w:rsid w:val="00D72318"/>
    <w:rsid w:val="00D73E07"/>
    <w:rsid w:val="00D73E73"/>
    <w:rsid w:val="00D748B1"/>
    <w:rsid w:val="00D7571A"/>
    <w:rsid w:val="00D7583D"/>
    <w:rsid w:val="00D82F14"/>
    <w:rsid w:val="00D8367A"/>
    <w:rsid w:val="00D85CA2"/>
    <w:rsid w:val="00D91C37"/>
    <w:rsid w:val="00D91C4E"/>
    <w:rsid w:val="00D94DB3"/>
    <w:rsid w:val="00DA0D89"/>
    <w:rsid w:val="00DA4F0E"/>
    <w:rsid w:val="00DA578D"/>
    <w:rsid w:val="00DA6A86"/>
    <w:rsid w:val="00DA6FE7"/>
    <w:rsid w:val="00DB3D24"/>
    <w:rsid w:val="00DB58ED"/>
    <w:rsid w:val="00DB5BCE"/>
    <w:rsid w:val="00DB6DE0"/>
    <w:rsid w:val="00DB742A"/>
    <w:rsid w:val="00DC0D76"/>
    <w:rsid w:val="00DC1F93"/>
    <w:rsid w:val="00DC3F66"/>
    <w:rsid w:val="00DC5B85"/>
    <w:rsid w:val="00DC78F1"/>
    <w:rsid w:val="00DD3259"/>
    <w:rsid w:val="00DD3868"/>
    <w:rsid w:val="00DD52B4"/>
    <w:rsid w:val="00DD5C40"/>
    <w:rsid w:val="00DD734D"/>
    <w:rsid w:val="00DD7BE5"/>
    <w:rsid w:val="00DE3C78"/>
    <w:rsid w:val="00DE6312"/>
    <w:rsid w:val="00DE728D"/>
    <w:rsid w:val="00DF0434"/>
    <w:rsid w:val="00DF04D5"/>
    <w:rsid w:val="00DF0C9B"/>
    <w:rsid w:val="00DF1346"/>
    <w:rsid w:val="00DF7BD1"/>
    <w:rsid w:val="00E0112A"/>
    <w:rsid w:val="00E015B9"/>
    <w:rsid w:val="00E01DD7"/>
    <w:rsid w:val="00E04254"/>
    <w:rsid w:val="00E11042"/>
    <w:rsid w:val="00E11A0F"/>
    <w:rsid w:val="00E11A75"/>
    <w:rsid w:val="00E13F17"/>
    <w:rsid w:val="00E200AC"/>
    <w:rsid w:val="00E2286C"/>
    <w:rsid w:val="00E23819"/>
    <w:rsid w:val="00E23952"/>
    <w:rsid w:val="00E23A79"/>
    <w:rsid w:val="00E23BA7"/>
    <w:rsid w:val="00E241F6"/>
    <w:rsid w:val="00E26782"/>
    <w:rsid w:val="00E308C2"/>
    <w:rsid w:val="00E30D94"/>
    <w:rsid w:val="00E31292"/>
    <w:rsid w:val="00E32B55"/>
    <w:rsid w:val="00E33421"/>
    <w:rsid w:val="00E3424F"/>
    <w:rsid w:val="00E4174F"/>
    <w:rsid w:val="00E44066"/>
    <w:rsid w:val="00E44F92"/>
    <w:rsid w:val="00E45CC1"/>
    <w:rsid w:val="00E47A87"/>
    <w:rsid w:val="00E51E3C"/>
    <w:rsid w:val="00E56E8A"/>
    <w:rsid w:val="00E619A5"/>
    <w:rsid w:val="00E619FA"/>
    <w:rsid w:val="00E62986"/>
    <w:rsid w:val="00E65224"/>
    <w:rsid w:val="00E66952"/>
    <w:rsid w:val="00E67353"/>
    <w:rsid w:val="00E67B87"/>
    <w:rsid w:val="00E766DF"/>
    <w:rsid w:val="00E77C48"/>
    <w:rsid w:val="00E81575"/>
    <w:rsid w:val="00E8196A"/>
    <w:rsid w:val="00E87315"/>
    <w:rsid w:val="00E87C2D"/>
    <w:rsid w:val="00E92D90"/>
    <w:rsid w:val="00E976F8"/>
    <w:rsid w:val="00EA5005"/>
    <w:rsid w:val="00EA55A5"/>
    <w:rsid w:val="00EA576C"/>
    <w:rsid w:val="00EA625C"/>
    <w:rsid w:val="00EA636F"/>
    <w:rsid w:val="00EA6841"/>
    <w:rsid w:val="00EA77F0"/>
    <w:rsid w:val="00EA78DC"/>
    <w:rsid w:val="00EB25D8"/>
    <w:rsid w:val="00EC1D4E"/>
    <w:rsid w:val="00EC4CDE"/>
    <w:rsid w:val="00ED25BB"/>
    <w:rsid w:val="00ED2FC7"/>
    <w:rsid w:val="00ED73BF"/>
    <w:rsid w:val="00ED7949"/>
    <w:rsid w:val="00EE3502"/>
    <w:rsid w:val="00EE3CF1"/>
    <w:rsid w:val="00EE6C08"/>
    <w:rsid w:val="00EF0392"/>
    <w:rsid w:val="00EF17B9"/>
    <w:rsid w:val="00EF1D02"/>
    <w:rsid w:val="00EF3D04"/>
    <w:rsid w:val="00EF5608"/>
    <w:rsid w:val="00EF7D27"/>
    <w:rsid w:val="00EF7F67"/>
    <w:rsid w:val="00F00F54"/>
    <w:rsid w:val="00F02308"/>
    <w:rsid w:val="00F03085"/>
    <w:rsid w:val="00F034FE"/>
    <w:rsid w:val="00F05C6D"/>
    <w:rsid w:val="00F10EF3"/>
    <w:rsid w:val="00F12BB7"/>
    <w:rsid w:val="00F14FFD"/>
    <w:rsid w:val="00F15673"/>
    <w:rsid w:val="00F164D9"/>
    <w:rsid w:val="00F22333"/>
    <w:rsid w:val="00F24D82"/>
    <w:rsid w:val="00F27028"/>
    <w:rsid w:val="00F2758F"/>
    <w:rsid w:val="00F32876"/>
    <w:rsid w:val="00F412FF"/>
    <w:rsid w:val="00F443FD"/>
    <w:rsid w:val="00F4699B"/>
    <w:rsid w:val="00F530CF"/>
    <w:rsid w:val="00F532B3"/>
    <w:rsid w:val="00F54994"/>
    <w:rsid w:val="00F579B6"/>
    <w:rsid w:val="00F61004"/>
    <w:rsid w:val="00F61293"/>
    <w:rsid w:val="00F63E03"/>
    <w:rsid w:val="00F66F75"/>
    <w:rsid w:val="00F67972"/>
    <w:rsid w:val="00F67E8B"/>
    <w:rsid w:val="00F7188A"/>
    <w:rsid w:val="00F734DF"/>
    <w:rsid w:val="00F73B7F"/>
    <w:rsid w:val="00F74184"/>
    <w:rsid w:val="00F74CC0"/>
    <w:rsid w:val="00F76910"/>
    <w:rsid w:val="00F80873"/>
    <w:rsid w:val="00F80969"/>
    <w:rsid w:val="00F8276C"/>
    <w:rsid w:val="00F84971"/>
    <w:rsid w:val="00F9232F"/>
    <w:rsid w:val="00F943BA"/>
    <w:rsid w:val="00F95265"/>
    <w:rsid w:val="00F960D6"/>
    <w:rsid w:val="00F96D70"/>
    <w:rsid w:val="00FA4F81"/>
    <w:rsid w:val="00FA52FE"/>
    <w:rsid w:val="00FA5B4F"/>
    <w:rsid w:val="00FA6C56"/>
    <w:rsid w:val="00FB43DF"/>
    <w:rsid w:val="00FB6C73"/>
    <w:rsid w:val="00FC0B4B"/>
    <w:rsid w:val="00FC1B77"/>
    <w:rsid w:val="00FC4C09"/>
    <w:rsid w:val="00FC693F"/>
    <w:rsid w:val="00FD046D"/>
    <w:rsid w:val="00FD0916"/>
    <w:rsid w:val="00FD0954"/>
    <w:rsid w:val="00FD0BF8"/>
    <w:rsid w:val="00FD0D28"/>
    <w:rsid w:val="00FD33D6"/>
    <w:rsid w:val="00FE0E42"/>
    <w:rsid w:val="00FF00AC"/>
    <w:rsid w:val="00FF04F9"/>
    <w:rsid w:val="00FF118C"/>
    <w:rsid w:val="00FF5112"/>
    <w:rsid w:val="00FF5AEC"/>
    <w:rsid w:val="00FF5D4F"/>
    <w:rsid w:val="00FF745F"/>
    <w:rsid w:val="00FF7E66"/>
    <w:rsid w:val="093BCA01"/>
    <w:rsid w:val="1284378C"/>
    <w:rsid w:val="154A1A33"/>
    <w:rsid w:val="15797039"/>
    <w:rsid w:val="15B339D1"/>
    <w:rsid w:val="1719DDCA"/>
    <w:rsid w:val="1972672C"/>
    <w:rsid w:val="1AACB301"/>
    <w:rsid w:val="1AEFF924"/>
    <w:rsid w:val="1F95C1E8"/>
    <w:rsid w:val="1F9999B0"/>
    <w:rsid w:val="20D2668F"/>
    <w:rsid w:val="23DE93A2"/>
    <w:rsid w:val="27B895FF"/>
    <w:rsid w:val="2CC4E483"/>
    <w:rsid w:val="2F460218"/>
    <w:rsid w:val="30307E06"/>
    <w:rsid w:val="39163B9A"/>
    <w:rsid w:val="39A5F4C5"/>
    <w:rsid w:val="3ED88B76"/>
    <w:rsid w:val="3FBE7995"/>
    <w:rsid w:val="444A177E"/>
    <w:rsid w:val="45158D15"/>
    <w:rsid w:val="4551BC1A"/>
    <w:rsid w:val="455E0224"/>
    <w:rsid w:val="48D1B0FC"/>
    <w:rsid w:val="4A09BB8B"/>
    <w:rsid w:val="4F253B6E"/>
    <w:rsid w:val="4F3E8F35"/>
    <w:rsid w:val="5032CA62"/>
    <w:rsid w:val="5203E7EE"/>
    <w:rsid w:val="52295086"/>
    <w:rsid w:val="53D0447B"/>
    <w:rsid w:val="54977C2F"/>
    <w:rsid w:val="54977EF1"/>
    <w:rsid w:val="595E39D2"/>
    <w:rsid w:val="59B5E37E"/>
    <w:rsid w:val="59C306CE"/>
    <w:rsid w:val="5A1674E5"/>
    <w:rsid w:val="5ACD4EB6"/>
    <w:rsid w:val="5D0E61F3"/>
    <w:rsid w:val="5D5E3D6F"/>
    <w:rsid w:val="60AF0CED"/>
    <w:rsid w:val="6265931B"/>
    <w:rsid w:val="629201C9"/>
    <w:rsid w:val="63425C8E"/>
    <w:rsid w:val="646E2626"/>
    <w:rsid w:val="6F23FDF1"/>
    <w:rsid w:val="70DF22F0"/>
    <w:rsid w:val="7126E1FF"/>
    <w:rsid w:val="77769EFD"/>
    <w:rsid w:val="77D0A4A2"/>
    <w:rsid w:val="78A95A26"/>
    <w:rsid w:val="7B615061"/>
    <w:rsid w:val="7C95B1E1"/>
    <w:rsid w:val="7EA52C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A22A1"/>
  <w14:defaultImageDpi w14:val="300"/>
  <w15:docId w15:val="{3A8F4E1E-350E-41CF-B32D-0E1FCA80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43DF"/>
    <w:rPr>
      <w:rFonts w:ascii="Arial" w:hAnsi="Arial"/>
      <w:sz w:val="18"/>
      <w:szCs w:val="18"/>
      <w:lang w:val="es-CO"/>
    </w:rPr>
  </w:style>
  <w:style w:type="paragraph" w:styleId="Ttulo1">
    <w:name w:val="heading 1"/>
    <w:basedOn w:val="Normal"/>
    <w:next w:val="Normal"/>
    <w:uiPriority w:val="9"/>
    <w:qFormat/>
    <w:rsid w:val="45158D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uiPriority w:val="9"/>
    <w:unhideWhenUsed/>
    <w:qFormat/>
    <w:rsid w:val="45158D15"/>
    <w:pPr>
      <w:keepNext/>
      <w:keepLines/>
      <w:spacing w:before="200" w:after="0"/>
      <w:outlineLvl w:val="1"/>
    </w:pPr>
    <w:rPr>
      <w:rFonts w:asciiTheme="majorHAnsi" w:eastAsiaTheme="majorEastAsia" w:hAnsiTheme="majorHAnsi" w:cstheme="majorBidi"/>
      <w:b/>
      <w:bCs/>
      <w:color w:val="4F81BD" w:themeColor="accent1"/>
      <w:sz w:val="22"/>
      <w:szCs w:val="22"/>
    </w:rPr>
  </w:style>
  <w:style w:type="paragraph" w:styleId="Ttulo3">
    <w:name w:val="heading 3"/>
    <w:basedOn w:val="Normal"/>
    <w:next w:val="Normal"/>
    <w:uiPriority w:val="9"/>
    <w:unhideWhenUsed/>
    <w:qFormat/>
    <w:rsid w:val="45158D1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uiPriority w:val="9"/>
    <w:semiHidden/>
    <w:unhideWhenUsed/>
    <w:qFormat/>
    <w:rsid w:val="45158D1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uiPriority w:val="9"/>
    <w:semiHidden/>
    <w:unhideWhenUsed/>
    <w:qFormat/>
    <w:rsid w:val="45158D15"/>
    <w:pPr>
      <w:keepNext/>
      <w:keepLines/>
      <w:spacing w:before="200" w:after="0"/>
      <w:outlineLvl w:val="4"/>
    </w:pPr>
    <w:rPr>
      <w:rFonts w:asciiTheme="majorHAnsi" w:eastAsiaTheme="majorEastAsia" w:hAnsiTheme="majorHAnsi" w:cstheme="majorBidi"/>
      <w:color w:val="243F60"/>
    </w:rPr>
  </w:style>
  <w:style w:type="paragraph" w:styleId="Ttulo6">
    <w:name w:val="heading 6"/>
    <w:basedOn w:val="Normal"/>
    <w:next w:val="Normal"/>
    <w:uiPriority w:val="9"/>
    <w:semiHidden/>
    <w:unhideWhenUsed/>
    <w:qFormat/>
    <w:rsid w:val="45158D15"/>
    <w:pPr>
      <w:keepNext/>
      <w:keepLines/>
      <w:spacing w:before="200" w:after="0"/>
      <w:outlineLvl w:val="5"/>
    </w:pPr>
    <w:rPr>
      <w:rFonts w:asciiTheme="majorHAnsi" w:eastAsiaTheme="majorEastAsia" w:hAnsiTheme="majorHAnsi" w:cstheme="majorBidi"/>
      <w:i/>
      <w:iCs/>
      <w:color w:val="243F60"/>
    </w:rPr>
  </w:style>
  <w:style w:type="paragraph" w:styleId="Ttulo7">
    <w:name w:val="heading 7"/>
    <w:basedOn w:val="Normal"/>
    <w:next w:val="Normal"/>
    <w:uiPriority w:val="9"/>
    <w:semiHidden/>
    <w:unhideWhenUsed/>
    <w:qFormat/>
    <w:rsid w:val="45158D1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uiPriority w:val="9"/>
    <w:semiHidden/>
    <w:unhideWhenUsed/>
    <w:qFormat/>
    <w:rsid w:val="45158D1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uiPriority w:val="9"/>
    <w:semiHidden/>
    <w:unhideWhenUsed/>
    <w:qFormat/>
    <w:rsid w:val="45158D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unhideWhenUsed/>
    <w:rsid w:val="000865D5"/>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0865D5"/>
    <w:rPr>
      <w:rFonts w:ascii="Arial" w:hAnsi="Arial"/>
      <w:sz w:val="18"/>
      <w:szCs w:val="18"/>
      <w:lang w:val="es-CO"/>
    </w:rPr>
  </w:style>
  <w:style w:type="paragraph" w:styleId="Piedepgina">
    <w:name w:val="footer"/>
    <w:basedOn w:val="Normal"/>
    <w:link w:val="PiedepginaCar1"/>
    <w:uiPriority w:val="99"/>
    <w:unhideWhenUsed/>
    <w:rsid w:val="000865D5"/>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0865D5"/>
    <w:rPr>
      <w:rFonts w:ascii="Arial" w:hAnsi="Arial"/>
      <w:sz w:val="18"/>
      <w:szCs w:val="18"/>
      <w:lang w:val="es-CO"/>
    </w:rPr>
  </w:style>
  <w:style w:type="paragraph" w:styleId="Sinespaciado">
    <w:name w:val="No Spacing"/>
    <w:uiPriority w:val="1"/>
    <w:qFormat/>
    <w:rsid w:val="00FC693F"/>
    <w:pPr>
      <w:spacing w:after="0" w:line="240" w:lineRule="auto"/>
    </w:pPr>
  </w:style>
  <w:style w:type="table" w:styleId="Tabladelista3-nfasis5">
    <w:name w:val="List Table 3 Accent 5"/>
    <w:basedOn w:val="Tablanormal"/>
    <w:uiPriority w:val="48"/>
    <w:rsid w:val="0039302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4-nfasis1">
    <w:name w:val="List Table 4 Accent 1"/>
    <w:basedOn w:val="Tablanormal"/>
    <w:uiPriority w:val="49"/>
    <w:rsid w:val="003930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4-nfasis1">
    <w:name w:val="Grid Table 4 Accent 1"/>
    <w:basedOn w:val="Tablanormal"/>
    <w:uiPriority w:val="49"/>
    <w:rsid w:val="004F4C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semiHidden/>
    <w:unhideWhenUsed/>
    <w:rsid w:val="00AA24FB"/>
    <w:rPr>
      <w:sz w:val="16"/>
      <w:szCs w:val="16"/>
    </w:rPr>
  </w:style>
  <w:style w:type="paragraph" w:styleId="Textocomentario">
    <w:name w:val="annotation text"/>
    <w:basedOn w:val="Normal"/>
    <w:link w:val="TextocomentarioCar"/>
    <w:uiPriority w:val="99"/>
    <w:unhideWhenUsed/>
    <w:rsid w:val="00AA24FB"/>
    <w:pPr>
      <w:spacing w:line="240" w:lineRule="auto"/>
    </w:pPr>
    <w:rPr>
      <w:sz w:val="20"/>
      <w:szCs w:val="20"/>
    </w:rPr>
  </w:style>
  <w:style w:type="character" w:customStyle="1" w:styleId="TextocomentarioCar">
    <w:name w:val="Texto comentario Car"/>
    <w:basedOn w:val="Fuentedeprrafopredeter"/>
    <w:link w:val="Textocomentario"/>
    <w:uiPriority w:val="99"/>
    <w:rsid w:val="00AA24FB"/>
    <w:rPr>
      <w:rFonts w:ascii="Arial" w:hAnsi="Arial"/>
      <w:sz w:val="20"/>
      <w:szCs w:val="20"/>
      <w:lang w:val="es-CO"/>
    </w:rPr>
  </w:style>
  <w:style w:type="paragraph" w:styleId="Asuntodelcomentario">
    <w:name w:val="annotation subject"/>
    <w:basedOn w:val="Textocomentario"/>
    <w:next w:val="Textocomentario"/>
    <w:link w:val="AsuntodelcomentarioCar"/>
    <w:uiPriority w:val="99"/>
    <w:semiHidden/>
    <w:unhideWhenUsed/>
    <w:rsid w:val="00AA24FB"/>
    <w:rPr>
      <w:b/>
      <w:bCs/>
    </w:rPr>
  </w:style>
  <w:style w:type="character" w:customStyle="1" w:styleId="AsuntodelcomentarioCar">
    <w:name w:val="Asunto del comentario Car"/>
    <w:basedOn w:val="TextocomentarioCar"/>
    <w:link w:val="Asuntodelcomentario"/>
    <w:uiPriority w:val="99"/>
    <w:semiHidden/>
    <w:rsid w:val="00AA24FB"/>
    <w:rPr>
      <w:rFonts w:ascii="Arial" w:hAnsi="Arial"/>
      <w:b/>
      <w:bCs/>
      <w:sz w:val="20"/>
      <w:szCs w:val="20"/>
      <w:lang w:val="es-CO"/>
    </w:rPr>
  </w:style>
  <w:style w:type="paragraph" w:styleId="Prrafodelista">
    <w:name w:val="List Paragraph"/>
    <w:basedOn w:val="Normal"/>
    <w:uiPriority w:val="34"/>
    <w:qFormat/>
    <w:rsid w:val="45158D15"/>
    <w:pPr>
      <w:ind w:left="720"/>
      <w:contextualSpacing/>
    </w:pPr>
  </w:style>
  <w:style w:type="paragraph" w:styleId="Lista">
    <w:name w:val="List"/>
    <w:basedOn w:val="Normal"/>
    <w:uiPriority w:val="99"/>
    <w:unhideWhenUsed/>
    <w:rsid w:val="45158D15"/>
    <w:pPr>
      <w:ind w:left="360" w:hanging="360"/>
      <w:contextualSpacing/>
    </w:pPr>
  </w:style>
  <w:style w:type="paragraph" w:styleId="Lista2">
    <w:name w:val="List 2"/>
    <w:basedOn w:val="Normal"/>
    <w:uiPriority w:val="99"/>
    <w:unhideWhenUsed/>
    <w:rsid w:val="45158D15"/>
    <w:pPr>
      <w:ind w:left="720" w:hanging="360"/>
      <w:contextualSpacing/>
    </w:pPr>
  </w:style>
  <w:style w:type="paragraph" w:styleId="Lista3">
    <w:name w:val="List 3"/>
    <w:basedOn w:val="Normal"/>
    <w:uiPriority w:val="99"/>
    <w:unhideWhenUsed/>
    <w:rsid w:val="45158D15"/>
    <w:pPr>
      <w:ind w:left="1080" w:hanging="360"/>
      <w:contextualSpacing/>
    </w:pPr>
  </w:style>
  <w:style w:type="paragraph" w:styleId="Listaconvietas">
    <w:name w:val="List Bullet"/>
    <w:basedOn w:val="Normal"/>
    <w:uiPriority w:val="99"/>
    <w:unhideWhenUsed/>
    <w:rsid w:val="45158D15"/>
    <w:pPr>
      <w:numPr>
        <w:numId w:val="8"/>
      </w:numPr>
      <w:contextualSpacing/>
    </w:pPr>
  </w:style>
  <w:style w:type="paragraph" w:styleId="Listaconvietas2">
    <w:name w:val="List Bullet 2"/>
    <w:basedOn w:val="Normal"/>
    <w:uiPriority w:val="99"/>
    <w:unhideWhenUsed/>
    <w:rsid w:val="45158D15"/>
    <w:pPr>
      <w:numPr>
        <w:numId w:val="6"/>
      </w:numPr>
      <w:contextualSpacing/>
    </w:pPr>
  </w:style>
  <w:style w:type="paragraph" w:styleId="Listaconvietas3">
    <w:name w:val="List Bullet 3"/>
    <w:basedOn w:val="Normal"/>
    <w:uiPriority w:val="99"/>
    <w:unhideWhenUsed/>
    <w:rsid w:val="45158D15"/>
    <w:pPr>
      <w:numPr>
        <w:numId w:val="1"/>
      </w:numPr>
      <w:contextualSpacing/>
    </w:pPr>
  </w:style>
  <w:style w:type="paragraph" w:styleId="Listaconnmeros">
    <w:name w:val="List Number"/>
    <w:basedOn w:val="Normal"/>
    <w:uiPriority w:val="99"/>
    <w:unhideWhenUsed/>
    <w:rsid w:val="45158D15"/>
    <w:pPr>
      <w:numPr>
        <w:numId w:val="2"/>
      </w:numPr>
      <w:contextualSpacing/>
    </w:pPr>
  </w:style>
  <w:style w:type="paragraph" w:styleId="Listaconnmeros2">
    <w:name w:val="List Number 2"/>
    <w:basedOn w:val="Normal"/>
    <w:uiPriority w:val="99"/>
    <w:unhideWhenUsed/>
    <w:rsid w:val="45158D15"/>
    <w:pPr>
      <w:numPr>
        <w:numId w:val="9"/>
      </w:numPr>
      <w:contextualSpacing/>
    </w:pPr>
  </w:style>
  <w:style w:type="paragraph" w:styleId="Listaconnmeros3">
    <w:name w:val="List Number 3"/>
    <w:basedOn w:val="Normal"/>
    <w:uiPriority w:val="99"/>
    <w:unhideWhenUsed/>
    <w:rsid w:val="45158D15"/>
    <w:pPr>
      <w:numPr>
        <w:numId w:val="4"/>
      </w:numPr>
      <w:contextualSpacing/>
    </w:pPr>
  </w:style>
  <w:style w:type="paragraph" w:styleId="Continuarlista">
    <w:name w:val="List Continue"/>
    <w:basedOn w:val="Normal"/>
    <w:uiPriority w:val="99"/>
    <w:unhideWhenUsed/>
    <w:rsid w:val="45158D15"/>
    <w:pPr>
      <w:spacing w:after="120"/>
      <w:ind w:left="360"/>
      <w:contextualSpacing/>
    </w:pPr>
  </w:style>
  <w:style w:type="paragraph" w:styleId="Continuarlista2">
    <w:name w:val="List Continue 2"/>
    <w:basedOn w:val="Normal"/>
    <w:uiPriority w:val="99"/>
    <w:unhideWhenUsed/>
    <w:rsid w:val="45158D15"/>
    <w:pPr>
      <w:spacing w:after="120"/>
      <w:ind w:left="720"/>
      <w:contextualSpacing/>
    </w:pPr>
  </w:style>
  <w:style w:type="paragraph" w:styleId="Continuarlista3">
    <w:name w:val="List Continue 3"/>
    <w:basedOn w:val="Normal"/>
    <w:uiPriority w:val="99"/>
    <w:unhideWhenUsed/>
    <w:rsid w:val="45158D15"/>
    <w:pPr>
      <w:spacing w:after="120"/>
      <w:ind w:left="1080"/>
      <w:contextualSpacing/>
    </w:pPr>
  </w:style>
  <w:style w:type="paragraph" w:styleId="Descripcin">
    <w:name w:val="caption"/>
    <w:basedOn w:val="Normal"/>
    <w:next w:val="Normal"/>
    <w:uiPriority w:val="35"/>
    <w:semiHidden/>
    <w:unhideWhenUsed/>
    <w:qFormat/>
    <w:rsid w:val="45158D15"/>
    <w:pPr>
      <w:spacing w:line="240" w:lineRule="auto"/>
    </w:pPr>
    <w:rPr>
      <w:b/>
      <w:bCs/>
      <w:color w:val="4F81BD" w:themeColor="accent1"/>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EncabezadoCar">
    <w:name w:val="Encabezado Car"/>
    <w:basedOn w:val="Fuentedeprrafopredeter"/>
    <w:uiPriority w:val="99"/>
    <w:rsid w:val="00056195"/>
  </w:style>
  <w:style w:type="character" w:customStyle="1" w:styleId="PiedepginaCar">
    <w:name w:val="Pie de página Car"/>
    <w:basedOn w:val="Fuentedeprrafopredeter"/>
    <w:uiPriority w:val="99"/>
    <w:rsid w:val="00056195"/>
  </w:style>
  <w:style w:type="character" w:customStyle="1" w:styleId="Ttulo1Car">
    <w:name w:val="Título 1 Car"/>
    <w:basedOn w:val="Fuentedeprrafopredeter"/>
    <w:uiPriority w:val="9"/>
    <w:rsid w:val="00056195"/>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uiPriority w:val="9"/>
    <w:rsid w:val="0005619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uiPriority w:val="9"/>
    <w:rsid w:val="00056195"/>
    <w:rPr>
      <w:rFonts w:asciiTheme="majorHAnsi" w:eastAsiaTheme="majorEastAsia" w:hAnsiTheme="majorHAnsi" w:cstheme="majorBidi"/>
      <w:b/>
      <w:bCs/>
      <w:color w:val="4F81BD" w:themeColor="accent1"/>
    </w:rPr>
  </w:style>
  <w:style w:type="character" w:customStyle="1" w:styleId="TtuloCar">
    <w:name w:val="Título Car"/>
    <w:basedOn w:val="Fuentedeprrafopredeter"/>
    <w:uiPriority w:val="10"/>
    <w:rsid w:val="00056195"/>
    <w:rPr>
      <w:rFonts w:asciiTheme="majorHAnsi" w:eastAsiaTheme="majorEastAsia" w:hAnsiTheme="majorHAnsi" w:cstheme="majorBidi"/>
      <w:color w:val="17365D" w:themeColor="text2" w:themeShade="BF"/>
      <w:spacing w:val="5"/>
      <w:kern w:val="28"/>
      <w:sz w:val="52"/>
      <w:szCs w:val="52"/>
    </w:rPr>
  </w:style>
  <w:style w:type="character" w:customStyle="1" w:styleId="SubttuloCar">
    <w:name w:val="Subtítulo Car"/>
    <w:basedOn w:val="Fuentedeprrafopredeter"/>
    <w:uiPriority w:val="11"/>
    <w:rsid w:val="00056195"/>
    <w:rPr>
      <w:rFonts w:asciiTheme="majorHAnsi" w:eastAsiaTheme="majorEastAsia" w:hAnsiTheme="majorHAnsi" w:cstheme="majorBidi"/>
      <w:i/>
      <w:iCs/>
      <w:color w:val="4F81BD" w:themeColor="accent1"/>
      <w:spacing w:val="15"/>
      <w:sz w:val="24"/>
      <w:szCs w:val="24"/>
    </w:rPr>
  </w:style>
  <w:style w:type="character" w:customStyle="1" w:styleId="TextoindependienteCar">
    <w:name w:val="Texto independiente Car"/>
    <w:basedOn w:val="Fuentedeprrafopredeter"/>
    <w:uiPriority w:val="99"/>
    <w:rsid w:val="00056195"/>
  </w:style>
  <w:style w:type="character" w:customStyle="1" w:styleId="Textoindependiente2Car">
    <w:name w:val="Texto independiente 2 Car"/>
    <w:basedOn w:val="Fuentedeprrafopredeter"/>
    <w:uiPriority w:val="99"/>
    <w:rsid w:val="00056195"/>
  </w:style>
  <w:style w:type="character" w:customStyle="1" w:styleId="Textoindependiente3Car">
    <w:name w:val="Texto independiente 3 Car"/>
    <w:basedOn w:val="Fuentedeprrafopredeter"/>
    <w:uiPriority w:val="99"/>
    <w:rsid w:val="00056195"/>
    <w:rPr>
      <w:sz w:val="16"/>
      <w:szCs w:val="16"/>
    </w:rPr>
  </w:style>
  <w:style w:type="character" w:customStyle="1" w:styleId="TextomacroCar">
    <w:name w:val="Texto macro Car"/>
    <w:basedOn w:val="Fuentedeprrafopredeter"/>
    <w:uiPriority w:val="99"/>
    <w:rsid w:val="00056195"/>
    <w:rPr>
      <w:rFonts w:ascii="Courier" w:hAnsi="Courier"/>
      <w:sz w:val="20"/>
      <w:szCs w:val="20"/>
    </w:rPr>
  </w:style>
  <w:style w:type="character" w:customStyle="1" w:styleId="CitaCar">
    <w:name w:val="Cita Car"/>
    <w:basedOn w:val="Fuentedeprrafopredeter"/>
    <w:uiPriority w:val="29"/>
    <w:rsid w:val="00056195"/>
    <w:rPr>
      <w:i/>
      <w:iCs/>
      <w:color w:val="000000" w:themeColor="text1"/>
    </w:rPr>
  </w:style>
  <w:style w:type="character" w:customStyle="1" w:styleId="Ttulo4Car">
    <w:name w:val="Título 4 Car"/>
    <w:basedOn w:val="Fuentedeprrafopredeter"/>
    <w:uiPriority w:val="9"/>
    <w:semiHidden/>
    <w:rsid w:val="0005619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semiHidden/>
    <w:rsid w:val="00056195"/>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uiPriority w:val="9"/>
    <w:semiHidden/>
    <w:rsid w:val="00056195"/>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uiPriority w:val="9"/>
    <w:semiHidden/>
    <w:rsid w:val="0005619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uiPriority w:val="9"/>
    <w:semiHidden/>
    <w:rsid w:val="00056195"/>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uiPriority w:val="9"/>
    <w:semiHidden/>
    <w:rsid w:val="00056195"/>
    <w:rPr>
      <w:rFonts w:asciiTheme="majorHAnsi" w:eastAsiaTheme="majorEastAsia" w:hAnsiTheme="majorHAnsi" w:cstheme="majorBidi"/>
      <w:i/>
      <w:iCs/>
      <w:color w:val="404040" w:themeColor="text1" w:themeTint="BF"/>
      <w:sz w:val="20"/>
      <w:szCs w:val="20"/>
    </w:rPr>
  </w:style>
  <w:style w:type="character" w:customStyle="1" w:styleId="CitadestacadaCar">
    <w:name w:val="Cita destacada Car"/>
    <w:basedOn w:val="Fuentedeprrafopredeter"/>
    <w:uiPriority w:val="30"/>
    <w:rsid w:val="00056195"/>
    <w:rPr>
      <w:b/>
      <w:bCs/>
      <w:i/>
      <w:iCs/>
      <w:color w:val="4F81BD" w:themeColor="accent1"/>
    </w:rPr>
  </w:style>
  <w:style w:type="paragraph" w:styleId="Revisin">
    <w:name w:val="Revision"/>
    <w:hidden/>
    <w:uiPriority w:val="99"/>
    <w:semiHidden/>
    <w:rsid w:val="008367E6"/>
    <w:pPr>
      <w:spacing w:after="0" w:line="240" w:lineRule="auto"/>
    </w:pPr>
    <w:rPr>
      <w:rFonts w:ascii="Arial" w:hAnsi="Arial"/>
      <w:sz w:val="18"/>
      <w:szCs w:val="18"/>
      <w:lang w:val="es-CO"/>
    </w:rPr>
  </w:style>
  <w:style w:type="paragraph" w:customStyle="1" w:styleId="FirstParagraph">
    <w:name w:val="First Paragraph"/>
    <w:basedOn w:val="Textoindependiente"/>
    <w:next w:val="Textoindependiente"/>
    <w:qFormat/>
    <w:rsid w:val="00AC2048"/>
    <w:pPr>
      <w:spacing w:before="180" w:after="180" w:line="240" w:lineRule="auto"/>
    </w:pPr>
    <w:rPr>
      <w:rFonts w:asciiTheme="minorHAnsi" w:eastAsiaTheme="minorHAnsi" w:hAnsiTheme="minorHAnsi"/>
      <w:sz w:val="24"/>
      <w:szCs w:val="24"/>
    </w:rPr>
  </w:style>
  <w:style w:type="paragraph" w:customStyle="1" w:styleId="Compact">
    <w:name w:val="Compact"/>
    <w:basedOn w:val="Textoindependiente"/>
    <w:qFormat/>
    <w:rsid w:val="00AC2048"/>
    <w:pPr>
      <w:spacing w:before="36" w:after="36" w:line="240" w:lineRule="auto"/>
    </w:pPr>
    <w:rPr>
      <w:rFonts w:asciiTheme="minorHAnsi" w:eastAsiaTheme="minorHAnsi" w:hAnsiTheme="minorHAnsi"/>
      <w:sz w:val="24"/>
      <w:szCs w:val="24"/>
    </w:rPr>
  </w:style>
  <w:style w:type="paragraph" w:styleId="Textoindependiente">
    <w:name w:val="Body Text"/>
    <w:basedOn w:val="Normal"/>
    <w:link w:val="TextoindependienteCar1"/>
    <w:uiPriority w:val="99"/>
    <w:unhideWhenUsed/>
    <w:rsid w:val="00AC2048"/>
    <w:pPr>
      <w:spacing w:after="120"/>
    </w:pPr>
  </w:style>
  <w:style w:type="character" w:customStyle="1" w:styleId="TextoindependienteCar1">
    <w:name w:val="Texto independiente Car1"/>
    <w:basedOn w:val="Fuentedeprrafopredeter"/>
    <w:link w:val="Textoindependiente"/>
    <w:uiPriority w:val="99"/>
    <w:rsid w:val="00AC2048"/>
    <w:rPr>
      <w:rFonts w:ascii="Arial" w:hAnsi="Arial"/>
      <w:sz w:val="18"/>
      <w:szCs w:val="18"/>
      <w:lang w:val="es-CO"/>
    </w:rPr>
  </w:style>
  <w:style w:type="table" w:styleId="Tablanormal1">
    <w:name w:val="Plain Table 1"/>
    <w:basedOn w:val="Tablanormal"/>
    <w:uiPriority w:val="99"/>
    <w:rsid w:val="000352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anormal"/>
    <w:rsid w:val="005C068F"/>
    <w:pPr>
      <w:spacing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ockText1">
    <w:name w:val="Block Text1"/>
    <w:basedOn w:val="Normal"/>
    <w:rsid w:val="005C068F"/>
    <w:pPr>
      <w:spacing w:before="100" w:after="100" w:line="240" w:lineRule="auto"/>
      <w:ind w:left="480" w:right="480"/>
    </w:pPr>
    <w:rPr>
      <w:rFonts w:ascii="Cambria" w:eastAsiaTheme="minorHAnsi" w:hAnsi="Cambria" w:cs="Times New Roman"/>
      <w:kern w:val="2"/>
      <w:sz w:val="24"/>
      <w:szCs w:val="24"/>
      <w:lang w:eastAsia="es-CO"/>
    </w:rPr>
  </w:style>
  <w:style w:type="table" w:styleId="Tablaconcuadrcula5oscura-nfasis1">
    <w:name w:val="Grid Table 5 Dark Accent 1"/>
    <w:basedOn w:val="Tablanormal"/>
    <w:uiPriority w:val="50"/>
    <w:rsid w:val="002E2D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0B70F3"/>
    <w:pPr>
      <w:spacing w:before="100" w:beforeAutospacing="1" w:after="100" w:afterAutospacing="1" w:line="240" w:lineRule="auto"/>
    </w:pPr>
    <w:rPr>
      <w:rFonts w:ascii="Times New Roman" w:hAnsi="Times New Roman" w:cs="Times New Roman"/>
      <w:kern w:val="2"/>
      <w:sz w:val="24"/>
      <w:szCs w:val="24"/>
      <w:lang w:eastAsia="es-CO"/>
      <w14:ligatures w14:val="standardContextual"/>
    </w:rPr>
  </w:style>
  <w:style w:type="paragraph" w:customStyle="1" w:styleId="BodyText1">
    <w:name w:val="Body Text1"/>
    <w:basedOn w:val="Normal"/>
    <w:rsid w:val="000B70F3"/>
    <w:pPr>
      <w:spacing w:after="120"/>
    </w:pPr>
    <w:rPr>
      <w:rFonts w:cs="Arial"/>
      <w:kern w:val="2"/>
      <w:lang w:eastAsia="es-CO"/>
      <w14:ligatures w14:val="standardContextual"/>
    </w:rPr>
  </w:style>
  <w:style w:type="table" w:styleId="Tablaconcuadrcula1clara-nfasis1">
    <w:name w:val="Grid Table 1 Light Accent 1"/>
    <w:basedOn w:val="Tablanormal"/>
    <w:uiPriority w:val="46"/>
    <w:rsid w:val="00BE6FF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lista3-nfasis1">
    <w:name w:val="List Table 3 Accent 1"/>
    <w:basedOn w:val="Tablanormal"/>
    <w:uiPriority w:val="48"/>
    <w:rsid w:val="00CB631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3373</Words>
  <Characters>18557</Characters>
  <Application>Microsoft Office Word</Application>
  <DocSecurity>0</DocSecurity>
  <Lines>154</Lines>
  <Paragraphs>43</Paragraphs>
  <ScaleCrop>false</ScaleCrop>
  <Manager/>
  <Company/>
  <LinksUpToDate>false</LinksUpToDate>
  <CharactersWithSpaces>21887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Lina María Hernandez García</cp:lastModifiedBy>
  <cp:revision>306</cp:revision>
  <dcterms:created xsi:type="dcterms:W3CDTF">2026-09-04T17:47:00Z</dcterms:created>
  <dcterms:modified xsi:type="dcterms:W3CDTF">2026-09-08T13:52:00Z</dcterms:modified>
  <cp:category/>
</cp:coreProperties>
</file>