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D90FD" w14:textId="77777777" w:rsidR="00EE0A0B" w:rsidRPr="001C1C36" w:rsidRDefault="00EE0A0B" w:rsidP="00C7058B">
      <w:pPr>
        <w:rPr>
          <w:rFonts w:cs="Arial"/>
          <w:szCs w:val="16"/>
          <w:lang w:val="es-MX"/>
        </w:rPr>
      </w:pPr>
    </w:p>
    <w:p w14:paraId="5F6C4101" w14:textId="38FCD67F" w:rsidR="00C7058B" w:rsidRPr="00EA61A9" w:rsidRDefault="00C7058B" w:rsidP="00C7058B">
      <w:pPr>
        <w:rPr>
          <w:rFonts w:cs="Arial"/>
          <w:b/>
          <w:sz w:val="18"/>
          <w:szCs w:val="18"/>
          <w:lang w:val="es-MX"/>
        </w:rPr>
      </w:pPr>
      <w:r w:rsidRPr="001C1C36">
        <w:rPr>
          <w:rFonts w:cs="Arial"/>
          <w:szCs w:val="16"/>
          <w:lang w:val="es-MX"/>
        </w:rPr>
        <w:t>2.2.2. Cifrado fuerte:</w:t>
      </w:r>
      <w:r w:rsidRPr="001C1C36">
        <w:rPr>
          <w:rFonts w:cs="Arial"/>
          <w:b/>
          <w:sz w:val="18"/>
          <w:szCs w:val="18"/>
          <w:lang w:val="es-MX"/>
        </w:rPr>
        <w:t xml:space="preserve"> </w:t>
      </w:r>
      <w:r w:rsidRPr="001C1C36">
        <w:rPr>
          <w:rFonts w:cs="Arial"/>
          <w:szCs w:val="16"/>
          <w:lang w:val="es-MX"/>
        </w:rPr>
        <w:t>Técnicas de codificación para protección de la información que utilizan algoritmos reconocidos internacionalmente, brindando al menos los niveles de seguridad ofrecidos por 3DES o AES</w:t>
      </w:r>
      <w:r w:rsidRPr="001C1C36">
        <w:rPr>
          <w:rFonts w:cs="Arial"/>
          <w:sz w:val="18"/>
          <w:szCs w:val="18"/>
          <w:lang w:val="es-MX"/>
        </w:rPr>
        <w:t>.</w:t>
      </w:r>
    </w:p>
    <w:p w14:paraId="5706B3D4" w14:textId="77777777" w:rsidR="00C7058B" w:rsidRPr="00EA61A9" w:rsidRDefault="00C7058B" w:rsidP="00C7058B">
      <w:pPr>
        <w:rPr>
          <w:rFonts w:cs="Arial"/>
          <w:b/>
          <w:sz w:val="10"/>
          <w:szCs w:val="16"/>
          <w:lang w:val="es-MX"/>
        </w:rPr>
      </w:pPr>
    </w:p>
    <w:p w14:paraId="372DBE82" w14:textId="77777777" w:rsidR="00C7058B" w:rsidRPr="00EA61A9" w:rsidRDefault="00C7058B" w:rsidP="00C7058B">
      <w:pPr>
        <w:rPr>
          <w:rFonts w:cs="Arial"/>
          <w:szCs w:val="16"/>
          <w:lang w:val="es-MX"/>
        </w:rPr>
      </w:pPr>
      <w:r w:rsidRPr="00EA61A9">
        <w:rPr>
          <w:rFonts w:cs="Arial"/>
          <w:szCs w:val="16"/>
          <w:lang w:val="es-MX"/>
        </w:rPr>
        <w:t>2.2.3. Operaciones no monetarias: Son las acciones a través de las cuales se desarrollan, ejecutan o materializan los productos o servicios que prestan las entidades a sus clientes o usuarios y que no conllevan movimiento, manejo o transferencia de dinero.</w:t>
      </w:r>
    </w:p>
    <w:p w14:paraId="70F249AE" w14:textId="77777777" w:rsidR="00C7058B" w:rsidRPr="00EA61A9" w:rsidRDefault="00C7058B" w:rsidP="00C7058B">
      <w:pPr>
        <w:rPr>
          <w:rFonts w:cs="Arial"/>
          <w:sz w:val="12"/>
          <w:szCs w:val="16"/>
          <w:lang w:val="es-MX"/>
        </w:rPr>
      </w:pPr>
    </w:p>
    <w:p w14:paraId="1A018ADB" w14:textId="77777777" w:rsidR="00C7058B" w:rsidRPr="00EA61A9" w:rsidRDefault="00C7058B" w:rsidP="00C7058B">
      <w:pPr>
        <w:rPr>
          <w:rFonts w:cs="Arial"/>
          <w:szCs w:val="16"/>
          <w:lang w:val="es-MX"/>
        </w:rPr>
      </w:pPr>
      <w:r w:rsidRPr="00EA61A9">
        <w:rPr>
          <w:rFonts w:cs="Arial"/>
          <w:szCs w:val="16"/>
          <w:lang w:val="es-MX"/>
        </w:rPr>
        <w:t>2.2.4. Operaciones monetarias: Son las acciones que implican o conllevan movimiento, manejo o transferencia de dinero.</w:t>
      </w:r>
    </w:p>
    <w:p w14:paraId="4838A3BD" w14:textId="77777777" w:rsidR="00C7058B" w:rsidRPr="00EA61A9" w:rsidRDefault="00C7058B" w:rsidP="00C7058B">
      <w:pPr>
        <w:rPr>
          <w:rFonts w:cs="Arial"/>
          <w:b/>
          <w:sz w:val="10"/>
          <w:szCs w:val="16"/>
          <w:lang w:val="es-MX"/>
        </w:rPr>
      </w:pPr>
    </w:p>
    <w:p w14:paraId="3FEE5BA2" w14:textId="77777777" w:rsidR="00C7058B" w:rsidRPr="00EA61A9" w:rsidRDefault="00C7058B" w:rsidP="00C7058B">
      <w:pPr>
        <w:rPr>
          <w:rFonts w:cs="Arial"/>
          <w:szCs w:val="16"/>
          <w:lang w:val="es-MX"/>
        </w:rPr>
      </w:pPr>
      <w:r w:rsidRPr="00EA61A9">
        <w:rPr>
          <w:rFonts w:cs="Arial"/>
          <w:szCs w:val="16"/>
          <w:lang w:val="es-MX"/>
        </w:rPr>
        <w:t>2.2.5. Autenticación: Conjunto de técnicas y procedimientos utilizados para verificar la identidad de un cliente, entidad o usuario. Los factores de autenticación son: algo que se sabe, algo que se tiene, algo que se es.</w:t>
      </w:r>
    </w:p>
    <w:p w14:paraId="363E24C1" w14:textId="77777777" w:rsidR="00C7058B" w:rsidRPr="00EA61A9" w:rsidRDefault="00C7058B" w:rsidP="00C7058B">
      <w:pPr>
        <w:rPr>
          <w:rFonts w:cs="Arial"/>
          <w:b/>
          <w:sz w:val="12"/>
          <w:szCs w:val="16"/>
          <w:lang w:val="es-MX"/>
        </w:rPr>
      </w:pPr>
    </w:p>
    <w:p w14:paraId="0914BDDC" w14:textId="77777777" w:rsidR="00C7058B" w:rsidRPr="00EA61A9" w:rsidRDefault="00C7058B" w:rsidP="00C7058B">
      <w:pPr>
        <w:rPr>
          <w:rFonts w:cs="Arial"/>
          <w:szCs w:val="16"/>
          <w:lang w:val="es-MX"/>
        </w:rPr>
      </w:pPr>
      <w:r w:rsidRPr="00EA61A9">
        <w:rPr>
          <w:rFonts w:cs="Arial"/>
          <w:szCs w:val="16"/>
          <w:lang w:val="es-MX"/>
        </w:rPr>
        <w:t>2.2.6. Mecanismos fuertes de autenticación: Se entienden como mecanismos fuertes de autenticación los siguientes:</w:t>
      </w:r>
    </w:p>
    <w:p w14:paraId="7BC447CE" w14:textId="77777777" w:rsidR="00C7058B" w:rsidRPr="00EA61A9" w:rsidRDefault="00C7058B" w:rsidP="00C7058B">
      <w:pPr>
        <w:rPr>
          <w:rFonts w:cs="Arial"/>
          <w:sz w:val="12"/>
          <w:szCs w:val="16"/>
          <w:lang w:val="es-MX"/>
        </w:rPr>
      </w:pPr>
    </w:p>
    <w:p w14:paraId="3403B474" w14:textId="77777777" w:rsidR="00C7058B" w:rsidRPr="00174A78" w:rsidRDefault="00C7058B" w:rsidP="00174A78">
      <w:pPr>
        <w:rPr>
          <w:rFonts w:cs="Arial"/>
          <w:bCs/>
          <w:szCs w:val="16"/>
          <w:lang w:val="es-MX"/>
        </w:rPr>
      </w:pPr>
      <w:r w:rsidRPr="00174A78">
        <w:rPr>
          <w:rFonts w:cs="Arial"/>
          <w:bCs/>
          <w:szCs w:val="16"/>
          <w:lang w:val="es-MX"/>
        </w:rPr>
        <w:t xml:space="preserve">2.2.6.1. Biometría en combinación con un segundo factor de autenticación para operaciones no presenciales. En aquellos eventos en que la operación se efectúe de manera presencial no se requerirá el uso de un segundo factor de autenticación. </w:t>
      </w:r>
    </w:p>
    <w:p w14:paraId="0D2EA17B" w14:textId="77777777" w:rsidR="00C7058B" w:rsidRPr="00EA61A9" w:rsidRDefault="00C7058B" w:rsidP="00C7058B">
      <w:pPr>
        <w:rPr>
          <w:rFonts w:cs="Arial"/>
          <w:szCs w:val="16"/>
          <w:lang w:val="es-MX"/>
        </w:rPr>
      </w:pPr>
      <w:r w:rsidRPr="00EA61A9">
        <w:rPr>
          <w:rFonts w:cs="Arial"/>
          <w:szCs w:val="16"/>
          <w:lang w:val="es-MX"/>
        </w:rPr>
        <w:t>2.2.6.2. Certificados de firma digital de acuerdo a lo establecido en la Ley 527 de 1999 y sus decretos reglamentarios.</w:t>
      </w:r>
    </w:p>
    <w:p w14:paraId="50F5AF45" w14:textId="77777777" w:rsidR="00C7058B" w:rsidRPr="00EA61A9" w:rsidRDefault="00C7058B" w:rsidP="00C7058B">
      <w:pPr>
        <w:rPr>
          <w:rFonts w:cs="Arial"/>
          <w:szCs w:val="16"/>
          <w:lang w:val="es-MX"/>
        </w:rPr>
      </w:pPr>
      <w:r w:rsidRPr="00EA61A9">
        <w:rPr>
          <w:rFonts w:cs="Arial"/>
          <w:szCs w:val="16"/>
          <w:lang w:val="es-MX"/>
        </w:rPr>
        <w:t>2.2.6.3. OTP (</w:t>
      </w:r>
      <w:proofErr w:type="spellStart"/>
      <w:r w:rsidRPr="00EA61A9">
        <w:rPr>
          <w:rFonts w:cs="Arial"/>
          <w:szCs w:val="16"/>
          <w:lang w:val="es-MX"/>
        </w:rPr>
        <w:t>One</w:t>
      </w:r>
      <w:proofErr w:type="spellEnd"/>
      <w:r w:rsidRPr="00EA61A9">
        <w:rPr>
          <w:rFonts w:cs="Arial"/>
          <w:szCs w:val="16"/>
          <w:lang w:val="es-MX"/>
        </w:rPr>
        <w:t xml:space="preserve"> Time </w:t>
      </w:r>
      <w:proofErr w:type="spellStart"/>
      <w:r w:rsidRPr="00EA61A9">
        <w:rPr>
          <w:rFonts w:cs="Arial"/>
          <w:szCs w:val="16"/>
          <w:lang w:val="es-MX"/>
        </w:rPr>
        <w:t>Password</w:t>
      </w:r>
      <w:proofErr w:type="spellEnd"/>
      <w:r w:rsidRPr="00EA61A9">
        <w:rPr>
          <w:rFonts w:cs="Arial"/>
          <w:szCs w:val="16"/>
          <w:lang w:val="es-MX"/>
        </w:rPr>
        <w:t>), en combinación con un segundo factor de autenticación.</w:t>
      </w:r>
    </w:p>
    <w:p w14:paraId="7C51BDC2" w14:textId="77777777" w:rsidR="00C7058B" w:rsidRPr="00EA61A9" w:rsidRDefault="00C7058B" w:rsidP="00C7058B">
      <w:pPr>
        <w:rPr>
          <w:rFonts w:cs="Arial"/>
          <w:szCs w:val="16"/>
          <w:lang w:val="es-MX"/>
        </w:rPr>
      </w:pPr>
      <w:r w:rsidRPr="00EA61A9">
        <w:rPr>
          <w:rFonts w:cs="Arial"/>
          <w:szCs w:val="16"/>
          <w:lang w:val="es-MX"/>
        </w:rPr>
        <w:t>2.2.6.4. Tarjetas que cumplan el estándar EMV, en combinación con un segundo factor de autenticación.</w:t>
      </w:r>
    </w:p>
    <w:p w14:paraId="66E9B78E" w14:textId="77777777" w:rsidR="00C7058B" w:rsidRPr="00EA61A9" w:rsidRDefault="00C7058B" w:rsidP="00C7058B">
      <w:pPr>
        <w:rPr>
          <w:rFonts w:cs="Arial"/>
          <w:szCs w:val="16"/>
          <w:lang w:val="es-MX"/>
        </w:rPr>
      </w:pPr>
      <w:r w:rsidRPr="00EA61A9">
        <w:rPr>
          <w:rFonts w:cs="Arial"/>
          <w:szCs w:val="16"/>
          <w:lang w:val="es-MX"/>
        </w:rPr>
        <w:t>2.2.6.5. Registro y validación de algunas características de los computadores o equipos móviles desde los cuales se realizarán las operaciones, en combinación con un segundo factor de autenticación.</w:t>
      </w:r>
    </w:p>
    <w:p w14:paraId="2F33BAFF" w14:textId="77777777" w:rsidR="00C7058B" w:rsidRPr="00EA61A9" w:rsidRDefault="00C7058B" w:rsidP="00C7058B">
      <w:pPr>
        <w:rPr>
          <w:rFonts w:cs="Arial"/>
          <w:sz w:val="6"/>
          <w:szCs w:val="16"/>
          <w:lang w:val="es-MX"/>
        </w:rPr>
      </w:pPr>
    </w:p>
    <w:p w14:paraId="6E999E81" w14:textId="77777777" w:rsidR="00C7058B" w:rsidRPr="00EA61A9" w:rsidRDefault="00C7058B" w:rsidP="00C7058B">
      <w:pPr>
        <w:rPr>
          <w:rFonts w:cs="Arial"/>
          <w:szCs w:val="16"/>
          <w:lang w:val="es-MX"/>
        </w:rPr>
      </w:pPr>
      <w:r w:rsidRPr="00EA61A9">
        <w:rPr>
          <w:rFonts w:cs="Arial"/>
          <w:szCs w:val="16"/>
          <w:lang w:val="es-MX"/>
        </w:rPr>
        <w:t xml:space="preserve">2.2.7. Proveedores de redes y servicios de telecomunicaciones: Son las empresas reguladas por la Comisión de Regulación de Comunicaciones y debidamente habilitadas por el Ministerio de Tecnologías de la Información y las Comunicaciones, responsables de la operación de redes y/o de la provisión de servicios de telecomunicaciones a terceros, de acuerdo a lo establecido en el art 1. de la Resolución 202 de 2010. </w:t>
      </w:r>
    </w:p>
    <w:p w14:paraId="16629AD9" w14:textId="77777777" w:rsidR="00C7058B" w:rsidRPr="00EA61A9" w:rsidRDefault="00C7058B" w:rsidP="00C7058B">
      <w:pPr>
        <w:rPr>
          <w:rFonts w:cs="Arial"/>
          <w:b/>
          <w:sz w:val="4"/>
          <w:szCs w:val="16"/>
          <w:lang w:val="es-MX"/>
        </w:rPr>
      </w:pPr>
    </w:p>
    <w:p w14:paraId="5FDB4488" w14:textId="77777777" w:rsidR="00C7058B" w:rsidRPr="001C1C36" w:rsidRDefault="00C7058B" w:rsidP="00C7058B">
      <w:pPr>
        <w:rPr>
          <w:rFonts w:cs="Arial"/>
          <w:szCs w:val="16"/>
          <w:lang w:val="es-MX"/>
        </w:rPr>
      </w:pPr>
      <w:r w:rsidRPr="001C1C36">
        <w:rPr>
          <w:rFonts w:cs="Arial"/>
          <w:szCs w:val="16"/>
          <w:lang w:val="es-MX"/>
        </w:rPr>
        <w:t>2.2.8. Ambiente de venta presente: transacciones en las cuales el instrumento de pago interactúa con el dispositivo de captura de información.</w:t>
      </w:r>
    </w:p>
    <w:p w14:paraId="79E0FD1B" w14:textId="77777777" w:rsidR="00C7058B" w:rsidRPr="001C1C36" w:rsidRDefault="00C7058B" w:rsidP="00C7058B">
      <w:pPr>
        <w:rPr>
          <w:rFonts w:cs="Arial"/>
          <w:sz w:val="4"/>
          <w:szCs w:val="16"/>
          <w:lang w:val="es-MX"/>
        </w:rPr>
      </w:pPr>
    </w:p>
    <w:p w14:paraId="77E932FE" w14:textId="08DC1209" w:rsidR="00521C8B" w:rsidRDefault="00C7058B" w:rsidP="00C40FE5">
      <w:pPr>
        <w:rPr>
          <w:rFonts w:cs="Arial"/>
          <w:szCs w:val="16"/>
          <w:lang w:val="es-MX"/>
        </w:rPr>
      </w:pPr>
      <w:r w:rsidRPr="001C1C36">
        <w:rPr>
          <w:rFonts w:cs="Arial"/>
          <w:szCs w:val="16"/>
          <w:lang w:val="es-MX"/>
        </w:rPr>
        <w:t>2.2.9. Ambiente de venta no presente: transacciones en las cuales el instrumento de pago no interactúa con el dispositivo de captura de información.</w:t>
      </w:r>
    </w:p>
    <w:p w14:paraId="7DAC9624" w14:textId="77777777" w:rsidR="00C40FE5" w:rsidRPr="00C40FE5" w:rsidRDefault="00C40FE5" w:rsidP="00C40FE5">
      <w:pPr>
        <w:rPr>
          <w:rFonts w:cs="Arial"/>
          <w:szCs w:val="16"/>
          <w:lang w:val="es-MX"/>
        </w:rPr>
      </w:pPr>
    </w:p>
    <w:p w14:paraId="12E78C40" w14:textId="129494CC" w:rsidR="00521C8B" w:rsidRPr="00BD1BA8" w:rsidRDefault="00641DA4" w:rsidP="00641DA4">
      <w:pPr>
        <w:spacing w:after="160" w:line="254" w:lineRule="auto"/>
        <w:rPr>
          <w:rFonts w:cs="Arial"/>
          <w:b/>
          <w:bCs/>
          <w:szCs w:val="16"/>
          <w:lang w:val="es-MX"/>
        </w:rPr>
      </w:pPr>
      <w:r>
        <w:rPr>
          <w:rFonts w:cs="Arial"/>
          <w:b/>
          <w:bCs/>
          <w:noProof/>
          <w:szCs w:val="16"/>
          <w:lang w:val="es-MX"/>
        </w:rPr>
        <mc:AlternateContent>
          <mc:Choice Requires="wps">
            <w:drawing>
              <wp:anchor distT="0" distB="0" distL="114300" distR="114300" simplePos="0" relativeHeight="251659264" behindDoc="0" locked="0" layoutInCell="1" allowOverlap="1" wp14:anchorId="59D8B9CF" wp14:editId="4A70FA38">
                <wp:simplePos x="0" y="0"/>
                <wp:positionH relativeFrom="column">
                  <wp:posOffset>-60227</wp:posOffset>
                </wp:positionH>
                <wp:positionV relativeFrom="paragraph">
                  <wp:posOffset>22539</wp:posOffset>
                </wp:positionV>
                <wp:extent cx="0" cy="462224"/>
                <wp:effectExtent l="0" t="0" r="38100" b="33655"/>
                <wp:wrapNone/>
                <wp:docPr id="1" name="Conector recto 1"/>
                <wp:cNvGraphicFramePr/>
                <a:graphic xmlns:a="http://schemas.openxmlformats.org/drawingml/2006/main">
                  <a:graphicData uri="http://schemas.microsoft.com/office/word/2010/wordprocessingShape">
                    <wps:wsp>
                      <wps:cNvCnPr/>
                      <wps:spPr>
                        <a:xfrm>
                          <a:off x="0" y="0"/>
                          <a:ext cx="0" cy="4622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8EEC6A"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75pt,1.75pt" to="-4.75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dbXrwEAALIDAAAOAAAAZHJzL2Uyb0RvYy54bWysU8tu2zAQvAfoPxC815KFIAgEyzk4aC9F&#10;YiTtBzDU0iLKF5asJf99lpStBG1RFEUvpEjOzO7srjZ3kzXsCBi1dx1fr2rOwEnfa3fo+Levnz7e&#10;chaTcL0w3kHHTxD53fbD1WYMLTR+8KYHZCTiYjuGjg8phbaqohzAirjyARw9Ko9WJDrioepRjKRu&#10;TdXU9U01euwDegkx0u39/Mi3RV8pkOlRqQiJmY5TbqmsWNaXvFbbjWgPKMKg5TkN8Q9ZWKEdBV2k&#10;7kUS7AfqX6SsluijV2klva28UlpC8UBu1vVPbp4HEaB4oeLEsJQp/j9Z+XDcI9M99Y4zJyy1aEeN&#10;kskjw7yxda7RGGJL0J3b4/kUwx6z4UmhzTtZYVOp62mpK0yJyflS0u31TdM011mueuMFjOkzeMvy&#10;R8eNdtmxaMXxS0wz9AIhXs5jjly+0slABhv3BIpcUKx1YZf5gZ1BdhTU+f57cUFhCzJTlDZmIdV/&#10;Jp2xmQZlpv6WuKBLRO/SQrTaefxd1DRdUlUz/uJ69pptv/j+VPpQykGDUQp6HuI8ee/Phf72q21f&#10;AQAA//8DAFBLAwQUAAYACAAAACEAVE72G9sAAAAGAQAADwAAAGRycy9kb3ducmV2LnhtbEyOy07D&#10;MBBF90j8gzVI7FoHKtoS4lSIxwoWIbBgOY2HJGo8jmI3CXw9AxtYja7u1ZmT7WbXqZGG0Ho2cLFM&#10;QBFX3rZcG3h7fVxsQYWIbLHzTAY+KcAuPz3JMLV+4hcay1grgXBI0UATY59qHaqGHIal74ml+/CD&#10;wyhxqLUdcBK46/Rlkqy1w5blQ4M93TVUHcqjM7B5eCqLfrp//ir0RhfF6OP28G7M+dl8ewMq0hz/&#10;xvCjL+qQi9PeH9kG1RlYXF/J0sBKjtS/cS/o9Qp0nun/+vk3AAAA//8DAFBLAQItABQABgAIAAAA&#10;IQC2gziS/gAAAOEBAAATAAAAAAAAAAAAAAAAAAAAAABbQ29udGVudF9UeXBlc10ueG1sUEsBAi0A&#10;FAAGAAgAAAAhADj9If/WAAAAlAEAAAsAAAAAAAAAAAAAAAAALwEAAF9yZWxzLy5yZWxzUEsBAi0A&#10;FAAGAAgAAAAhAO6l1tevAQAAsgMAAA4AAAAAAAAAAAAAAAAALgIAAGRycy9lMm9Eb2MueG1sUEsB&#10;Ai0AFAAGAAgAAAAhAFRO9hvbAAAABgEAAA8AAAAAAAAAAAAAAAAACQQAAGRycy9kb3ducmV2Lnht&#10;bFBLBQYAAAAABAAEAPMAAAARBQAAAAA=&#10;" strokecolor="black [3040]"/>
            </w:pict>
          </mc:Fallback>
        </mc:AlternateContent>
      </w:r>
      <w:r w:rsidR="00521C8B" w:rsidRPr="00641DA4">
        <w:rPr>
          <w:rFonts w:cs="Arial"/>
          <w:b/>
          <w:bCs/>
          <w:szCs w:val="16"/>
          <w:lang w:val="es-MX"/>
        </w:rPr>
        <w:t>2.2.10. Participante</w:t>
      </w:r>
      <w:r w:rsidR="00C95DA1" w:rsidRPr="00641DA4">
        <w:rPr>
          <w:rFonts w:cs="Arial"/>
          <w:b/>
          <w:bCs/>
          <w:szCs w:val="16"/>
          <w:lang w:val="es-MX"/>
        </w:rPr>
        <w:t xml:space="preserve"> no vigilado</w:t>
      </w:r>
      <w:r w:rsidR="00521C8B" w:rsidRPr="00641DA4">
        <w:rPr>
          <w:rFonts w:cs="Arial"/>
          <w:b/>
          <w:bCs/>
          <w:szCs w:val="16"/>
          <w:lang w:val="es-MX"/>
        </w:rPr>
        <w:t xml:space="preserve">: </w:t>
      </w:r>
      <w:r w:rsidR="00224874" w:rsidRPr="00641DA4">
        <w:rPr>
          <w:rFonts w:cs="Arial"/>
          <w:b/>
          <w:bCs/>
          <w:szCs w:val="16"/>
          <w:lang w:val="es-MX"/>
        </w:rPr>
        <w:t xml:space="preserve">Se refiere a </w:t>
      </w:r>
      <w:r w:rsidR="0019043B" w:rsidRPr="00641DA4">
        <w:rPr>
          <w:rFonts w:cs="Arial"/>
          <w:b/>
          <w:bCs/>
          <w:szCs w:val="16"/>
          <w:lang w:val="es-MX"/>
        </w:rPr>
        <w:t xml:space="preserve">quien haya sido </w:t>
      </w:r>
      <w:r w:rsidR="0095181B" w:rsidRPr="00641DA4">
        <w:rPr>
          <w:rFonts w:cs="Arial"/>
          <w:b/>
          <w:bCs/>
          <w:szCs w:val="16"/>
          <w:lang w:val="es-MX"/>
        </w:rPr>
        <w:t xml:space="preserve">autorizado por una Entidad Administradora de Sistemas de </w:t>
      </w:r>
      <w:r w:rsidR="00391603">
        <w:rPr>
          <w:rFonts w:cs="Arial"/>
          <w:b/>
          <w:bCs/>
          <w:szCs w:val="16"/>
          <w:lang w:val="es-MX"/>
        </w:rPr>
        <w:t>P</w:t>
      </w:r>
      <w:r w:rsidR="0095181B" w:rsidRPr="00641DA4">
        <w:rPr>
          <w:rFonts w:cs="Arial"/>
          <w:b/>
          <w:bCs/>
          <w:szCs w:val="16"/>
          <w:lang w:val="es-MX"/>
        </w:rPr>
        <w:t xml:space="preserve">ago de </w:t>
      </w:r>
      <w:r w:rsidR="00391603">
        <w:rPr>
          <w:rFonts w:cs="Arial"/>
          <w:b/>
          <w:bCs/>
          <w:szCs w:val="16"/>
          <w:lang w:val="es-MX"/>
        </w:rPr>
        <w:t>B</w:t>
      </w:r>
      <w:r w:rsidR="0095181B" w:rsidRPr="00641DA4">
        <w:rPr>
          <w:rFonts w:cs="Arial"/>
          <w:b/>
          <w:bCs/>
          <w:szCs w:val="16"/>
          <w:lang w:val="es-MX"/>
        </w:rPr>
        <w:t xml:space="preserve">ajo </w:t>
      </w:r>
      <w:r w:rsidR="00391603">
        <w:rPr>
          <w:rFonts w:cs="Arial"/>
          <w:b/>
          <w:bCs/>
          <w:szCs w:val="16"/>
          <w:lang w:val="es-MX"/>
        </w:rPr>
        <w:t>V</w:t>
      </w:r>
      <w:r w:rsidR="0095181B" w:rsidRPr="00641DA4">
        <w:rPr>
          <w:rFonts w:cs="Arial"/>
          <w:b/>
          <w:bCs/>
          <w:szCs w:val="16"/>
          <w:lang w:val="es-MX"/>
        </w:rPr>
        <w:t xml:space="preserve">alor (EASPBV) </w:t>
      </w:r>
      <w:r w:rsidR="00E51B87" w:rsidRPr="00641DA4">
        <w:rPr>
          <w:rFonts w:cs="Arial"/>
          <w:b/>
          <w:bCs/>
          <w:szCs w:val="16"/>
          <w:lang w:val="es-MX"/>
        </w:rPr>
        <w:t xml:space="preserve">para tramitar órdenes de pago y de transferencia </w:t>
      </w:r>
      <w:r w:rsidR="00FB2AEA">
        <w:rPr>
          <w:rFonts w:cs="Arial"/>
          <w:b/>
          <w:bCs/>
          <w:szCs w:val="16"/>
          <w:lang w:val="es-MX"/>
        </w:rPr>
        <w:t>de fondos</w:t>
      </w:r>
      <w:r w:rsidR="00391603">
        <w:rPr>
          <w:rFonts w:cs="Arial"/>
          <w:b/>
          <w:bCs/>
          <w:szCs w:val="16"/>
          <w:lang w:val="es-MX"/>
        </w:rPr>
        <w:t xml:space="preserve"> a través de </w:t>
      </w:r>
      <w:r w:rsidR="00E51B87" w:rsidRPr="00641DA4">
        <w:rPr>
          <w:rFonts w:cs="Arial"/>
          <w:b/>
          <w:bCs/>
          <w:szCs w:val="16"/>
          <w:lang w:val="es-MX"/>
        </w:rPr>
        <w:t>su sistema y que</w:t>
      </w:r>
      <w:r w:rsidR="0022726E">
        <w:rPr>
          <w:rFonts w:cs="Arial"/>
          <w:b/>
          <w:bCs/>
          <w:szCs w:val="16"/>
          <w:lang w:val="es-MX"/>
        </w:rPr>
        <w:t xml:space="preserve"> no</w:t>
      </w:r>
      <w:r w:rsidR="00FB2AEA">
        <w:rPr>
          <w:rFonts w:cs="Arial"/>
          <w:b/>
          <w:bCs/>
          <w:szCs w:val="16"/>
          <w:lang w:val="es-MX"/>
        </w:rPr>
        <w:t xml:space="preserve"> sea</w:t>
      </w:r>
      <w:r w:rsidR="00E81C66">
        <w:rPr>
          <w:rFonts w:cs="Arial"/>
          <w:b/>
          <w:bCs/>
          <w:szCs w:val="16"/>
          <w:lang w:val="es-MX"/>
        </w:rPr>
        <w:t xml:space="preserve"> una</w:t>
      </w:r>
      <w:r w:rsidR="00FB2AEA">
        <w:rPr>
          <w:rFonts w:cs="Arial"/>
          <w:b/>
          <w:bCs/>
          <w:szCs w:val="16"/>
          <w:lang w:val="es-MX"/>
        </w:rPr>
        <w:t xml:space="preserve"> </w:t>
      </w:r>
      <w:r w:rsidR="00B119A9">
        <w:rPr>
          <w:rFonts w:cs="Arial"/>
          <w:b/>
          <w:bCs/>
          <w:szCs w:val="16"/>
          <w:lang w:val="es-MX"/>
        </w:rPr>
        <w:t xml:space="preserve">entidad </w:t>
      </w:r>
      <w:r w:rsidR="00893869" w:rsidRPr="00641DA4">
        <w:rPr>
          <w:rFonts w:cs="Arial"/>
          <w:b/>
          <w:bCs/>
          <w:szCs w:val="16"/>
          <w:lang w:val="es-MX"/>
        </w:rPr>
        <w:t>vigilad</w:t>
      </w:r>
      <w:r w:rsidR="00B119A9">
        <w:rPr>
          <w:rFonts w:cs="Arial"/>
          <w:b/>
          <w:bCs/>
          <w:szCs w:val="16"/>
          <w:lang w:val="es-MX"/>
        </w:rPr>
        <w:t>a</w:t>
      </w:r>
      <w:r w:rsidR="00893869" w:rsidRPr="00641DA4">
        <w:rPr>
          <w:rFonts w:cs="Arial"/>
          <w:b/>
          <w:bCs/>
          <w:szCs w:val="16"/>
          <w:lang w:val="es-MX"/>
        </w:rPr>
        <w:t xml:space="preserve"> por la SFC</w:t>
      </w:r>
      <w:r w:rsidRPr="00641DA4">
        <w:rPr>
          <w:rFonts w:cs="Arial"/>
          <w:b/>
          <w:bCs/>
          <w:szCs w:val="16"/>
          <w:lang w:val="es-MX"/>
        </w:rPr>
        <w:t xml:space="preserve">, de conformidad con el </w:t>
      </w:r>
      <w:r w:rsidR="000C7222" w:rsidRPr="00641DA4">
        <w:rPr>
          <w:rFonts w:cs="Arial"/>
          <w:b/>
          <w:bCs/>
          <w:szCs w:val="16"/>
          <w:lang w:val="es-MX"/>
        </w:rPr>
        <w:t xml:space="preserve">numeral 16 del artículo 2.17.1.1.1 del Decreto 2555 de 2010). </w:t>
      </w:r>
    </w:p>
    <w:p w14:paraId="5350604C" w14:textId="0EB5EA46" w:rsidR="00C7058B" w:rsidRPr="00EA61A9" w:rsidRDefault="00E9774D" w:rsidP="00C7058B">
      <w:pPr>
        <w:rPr>
          <w:rFonts w:cs="Arial"/>
          <w:szCs w:val="16"/>
        </w:rPr>
      </w:pPr>
      <w:r>
        <w:rPr>
          <w:rFonts w:cs="Arial"/>
          <w:b/>
          <w:bCs/>
          <w:szCs w:val="16"/>
          <w:lang w:val="es-MX"/>
        </w:rPr>
        <w:t xml:space="preserve"> </w:t>
      </w:r>
      <w:r w:rsidR="00C7058B" w:rsidRPr="00EA61A9">
        <w:rPr>
          <w:rFonts w:cs="Arial"/>
          <w:szCs w:val="16"/>
        </w:rPr>
        <w:t xml:space="preserve">2.2.11. Código QR (Quick Response </w:t>
      </w:r>
      <w:proofErr w:type="spellStart"/>
      <w:r w:rsidR="00C7058B" w:rsidRPr="00EA61A9">
        <w:rPr>
          <w:rFonts w:cs="Arial"/>
          <w:szCs w:val="16"/>
        </w:rPr>
        <w:t>Code</w:t>
      </w:r>
      <w:proofErr w:type="spellEnd"/>
      <w:r w:rsidR="00C7058B" w:rsidRPr="00EA61A9">
        <w:rPr>
          <w:rFonts w:cs="Arial"/>
          <w:szCs w:val="16"/>
        </w:rPr>
        <w:t xml:space="preserve">): Es un código de respuesta rápida, bidimensional, con estructura cuadrada. Tiene la capacidad de almacenar datos codificados, es de fácil lectura y tiene mayor capacidad de almacenamiento que los códigos universales de productos (UPC por sus siglas en inglés) o códigos de barras. Puede ser estático (su contenido no cambia, generalmente impreso) o dinámico (cambia su contenido para cada compra, generado por software en tiempo real). </w:t>
      </w:r>
    </w:p>
    <w:p w14:paraId="4D8B2936" w14:textId="77777777" w:rsidR="00C7058B" w:rsidRPr="00EA61A9" w:rsidRDefault="00C7058B" w:rsidP="00C7058B">
      <w:pPr>
        <w:rPr>
          <w:rFonts w:cs="Arial"/>
          <w:sz w:val="10"/>
          <w:szCs w:val="16"/>
        </w:rPr>
      </w:pPr>
    </w:p>
    <w:p w14:paraId="6EB8E224" w14:textId="77777777" w:rsidR="00C7058B" w:rsidRPr="00EA61A9" w:rsidRDefault="00C7058B" w:rsidP="00C7058B">
      <w:pPr>
        <w:rPr>
          <w:rFonts w:cs="Arial"/>
          <w:szCs w:val="16"/>
        </w:rPr>
      </w:pPr>
      <w:r w:rsidRPr="00EA61A9">
        <w:rPr>
          <w:rFonts w:cs="Arial"/>
          <w:szCs w:val="16"/>
        </w:rPr>
        <w:t xml:space="preserve">Los códigos QR pueden ser adaptados para transacciones tales como pagos, transferencias P2P o P2B . </w:t>
      </w:r>
    </w:p>
    <w:p w14:paraId="45C88400" w14:textId="77777777" w:rsidR="00C7058B" w:rsidRPr="00EA61A9" w:rsidRDefault="00C7058B" w:rsidP="00174A78">
      <w:pPr>
        <w:rPr>
          <w:rFonts w:cs="Arial"/>
          <w:b/>
          <w:szCs w:val="16"/>
        </w:rPr>
      </w:pPr>
    </w:p>
    <w:p w14:paraId="387CD6D5" w14:textId="77777777" w:rsidR="00C7058B" w:rsidRPr="00174A78" w:rsidRDefault="00C7058B" w:rsidP="00174A78">
      <w:pPr>
        <w:rPr>
          <w:bCs/>
          <w:lang w:val="es-MX"/>
        </w:rPr>
      </w:pPr>
      <w:r w:rsidRPr="00174A78">
        <w:rPr>
          <w:bCs/>
          <w:lang w:val="es-MX"/>
        </w:rPr>
        <w:t>2.2.12. Tokenización: Proceso de remplazar un dato confidencial por otro equivalente que no lo es (no confidencial), el cual garantiza la misma operatividad y no tiene un valor intrínseco.</w:t>
      </w:r>
    </w:p>
    <w:p w14:paraId="284A7343" w14:textId="77777777" w:rsidR="00C7058B" w:rsidRPr="00174A78" w:rsidRDefault="00C7058B" w:rsidP="00174A78">
      <w:pPr>
        <w:rPr>
          <w:bCs/>
          <w:lang w:val="es-MX"/>
        </w:rPr>
      </w:pPr>
    </w:p>
    <w:p w14:paraId="4B348890" w14:textId="77777777" w:rsidR="00C7058B" w:rsidRPr="00174A78" w:rsidRDefault="00C7058B" w:rsidP="00174A78">
      <w:pPr>
        <w:rPr>
          <w:bCs/>
          <w:vertAlign w:val="superscript"/>
          <w:lang w:val="es-MX"/>
        </w:rPr>
      </w:pPr>
      <w:r w:rsidRPr="00174A78">
        <w:rPr>
          <w:bCs/>
          <w:lang w:val="es-MX"/>
        </w:rPr>
        <w:t>2.2.13. Característica biométrica: Atributo biológico o comportamental de un individuo del cual se pueden extraer propiedades distintivas y repetibles para su reconocimiento.</w:t>
      </w:r>
      <w:r w:rsidRPr="00174A78">
        <w:rPr>
          <w:bCs/>
          <w:vertAlign w:val="superscript"/>
          <w:lang w:val="es-MX"/>
        </w:rPr>
        <w:t xml:space="preserve"> </w:t>
      </w:r>
    </w:p>
    <w:p w14:paraId="3967D122" w14:textId="77777777" w:rsidR="00C7058B" w:rsidRPr="00174A78" w:rsidRDefault="00C7058B" w:rsidP="00174A78">
      <w:pPr>
        <w:rPr>
          <w:bCs/>
          <w:lang w:val="es-MX"/>
        </w:rPr>
      </w:pPr>
    </w:p>
    <w:p w14:paraId="5ECED081" w14:textId="77777777" w:rsidR="00C7058B" w:rsidRPr="00174A78" w:rsidRDefault="00C7058B" w:rsidP="00174A78">
      <w:pPr>
        <w:rPr>
          <w:bCs/>
          <w:lang w:val="es-MX"/>
        </w:rPr>
      </w:pPr>
      <w:r w:rsidRPr="00174A78">
        <w:rPr>
          <w:bCs/>
          <w:lang w:val="es-MX"/>
        </w:rPr>
        <w:t>2.2.14. Muestra biométrica: Representación que se obtiene de una característica biométrica capturada mediante un dispositivo vinculado a un sistema biométrico, como una imagen facial, una grabación de voz o una imagen de huella digital.</w:t>
      </w:r>
    </w:p>
    <w:p w14:paraId="3F21C5D2" w14:textId="77777777" w:rsidR="00C7058B" w:rsidRPr="00174A78" w:rsidRDefault="00C7058B" w:rsidP="00174A78">
      <w:pPr>
        <w:rPr>
          <w:bCs/>
          <w:lang w:val="es-MX"/>
        </w:rPr>
      </w:pPr>
    </w:p>
    <w:p w14:paraId="0DAEE4C8" w14:textId="77777777" w:rsidR="00C7058B" w:rsidRPr="00174A78" w:rsidRDefault="00C7058B" w:rsidP="00174A78">
      <w:pPr>
        <w:rPr>
          <w:bCs/>
          <w:lang w:val="es-MX"/>
        </w:rPr>
      </w:pPr>
      <w:r w:rsidRPr="00174A78">
        <w:rPr>
          <w:bCs/>
          <w:lang w:val="es-MX"/>
        </w:rPr>
        <w:t>2.2.15. Plantilla biométrica: Representación de una o varias muestras biométricas utilizadas para la comparación, reconocimiento e individualización de una persona, las cuales pueden construirse a través de métodos tales como vectores, datos numéricos y algoritmos criptográficos.</w:t>
      </w:r>
    </w:p>
    <w:p w14:paraId="098B77D2" w14:textId="77777777" w:rsidR="00C7058B" w:rsidRPr="00174A78" w:rsidRDefault="00C7058B" w:rsidP="00174A78">
      <w:pPr>
        <w:rPr>
          <w:bCs/>
          <w:lang w:val="es-MX"/>
        </w:rPr>
      </w:pPr>
    </w:p>
    <w:p w14:paraId="46805861" w14:textId="77777777" w:rsidR="00C7058B" w:rsidRPr="00174A78" w:rsidRDefault="00C7058B" w:rsidP="00174A78">
      <w:pPr>
        <w:rPr>
          <w:bCs/>
          <w:lang w:val="es-MX"/>
        </w:rPr>
      </w:pPr>
      <w:r w:rsidRPr="00174A78">
        <w:rPr>
          <w:bCs/>
          <w:lang w:val="es-MX"/>
        </w:rPr>
        <w:t>2.2.16. Omnicanalidad: Estrategia que busca mejorar la experiencia del consumidor y la eficiencia operativa, proporcionando la mayor homogeneidad posible en los diferentes canales y el uso de varios de ellos en la ejecución de las operaciones, cuando esto resulte procedente.</w:t>
      </w:r>
    </w:p>
    <w:p w14:paraId="44CB57B5" w14:textId="77777777" w:rsidR="00C7058B" w:rsidRPr="00174A78" w:rsidRDefault="00C7058B" w:rsidP="00174A78">
      <w:pPr>
        <w:rPr>
          <w:bCs/>
          <w:lang w:val="es-MX"/>
        </w:rPr>
      </w:pPr>
    </w:p>
    <w:p w14:paraId="47F085C2" w14:textId="77777777" w:rsidR="00C7058B" w:rsidRPr="00174A78" w:rsidRDefault="00C7058B" w:rsidP="00174A78">
      <w:pPr>
        <w:rPr>
          <w:bCs/>
          <w:lang w:val="es-MX"/>
        </w:rPr>
      </w:pPr>
      <w:r w:rsidRPr="00174A78">
        <w:rPr>
          <w:bCs/>
          <w:lang w:val="es-MX"/>
        </w:rPr>
        <w:t>2.2.17. Pagos sin contacto (</w:t>
      </w:r>
      <w:r w:rsidRPr="00174A78">
        <w:rPr>
          <w:bCs/>
          <w:i/>
          <w:iCs/>
          <w:lang w:val="es-MX"/>
        </w:rPr>
        <w:t>contactless</w:t>
      </w:r>
      <w:r w:rsidRPr="00174A78">
        <w:rPr>
          <w:bCs/>
          <w:lang w:val="es-MX"/>
        </w:rPr>
        <w:t>): Sistema que permite pagar una compra mediante tecnologías de identificación por radiofrecuencia o lectura electrónica, incorporadas en tarjetas de crédito o débito, llaveros, tarjetas inteligentes, teléfonos móviles u otros dispositivos.</w:t>
      </w:r>
    </w:p>
    <w:p w14:paraId="7148367F" w14:textId="77777777" w:rsidR="00C7058B" w:rsidRPr="00EA61A9" w:rsidRDefault="00C7058B" w:rsidP="00174A78">
      <w:pPr>
        <w:rPr>
          <w:rFonts w:cs="Arial"/>
          <w:b/>
          <w:sz w:val="8"/>
          <w:szCs w:val="16"/>
          <w:lang w:val="es-MX"/>
        </w:rPr>
      </w:pPr>
    </w:p>
    <w:p w14:paraId="7A5F89DD" w14:textId="77777777" w:rsidR="00C7058B" w:rsidRPr="00EA61A9" w:rsidRDefault="00C7058B" w:rsidP="00C7058B">
      <w:pPr>
        <w:pStyle w:val="Ttulo2"/>
        <w:rPr>
          <w:lang w:val="es-MX"/>
        </w:rPr>
      </w:pPr>
      <w:bookmarkStart w:id="0" w:name="_Toc267035331"/>
      <w:r w:rsidRPr="00EA61A9">
        <w:rPr>
          <w:lang w:val="es-MX"/>
        </w:rPr>
        <w:t>2.3. Criterios</w:t>
      </w:r>
      <w:bookmarkEnd w:id="0"/>
      <w:r w:rsidRPr="00EA61A9">
        <w:rPr>
          <w:lang w:val="es-MX"/>
        </w:rPr>
        <w:t xml:space="preserve"> </w:t>
      </w:r>
    </w:p>
    <w:p w14:paraId="3E38DA7F" w14:textId="77777777" w:rsidR="00C7058B" w:rsidRPr="00EA61A9" w:rsidRDefault="00C7058B" w:rsidP="00C7058B">
      <w:pPr>
        <w:rPr>
          <w:sz w:val="8"/>
          <w:lang w:val="es-MX"/>
        </w:rPr>
      </w:pPr>
    </w:p>
    <w:p w14:paraId="262313AE" w14:textId="77777777" w:rsidR="00C7058B" w:rsidRPr="00EA61A9" w:rsidRDefault="00C7058B" w:rsidP="00C7058B">
      <w:pPr>
        <w:rPr>
          <w:lang w:val="es-MX"/>
        </w:rPr>
      </w:pPr>
      <w:r w:rsidRPr="00EA61A9">
        <w:rPr>
          <w:lang w:val="es-MX"/>
        </w:rPr>
        <w:t>2.3.1. Respecto de la seguridad de la información</w:t>
      </w:r>
    </w:p>
    <w:p w14:paraId="2AB6B003" w14:textId="77777777" w:rsidR="00C7058B" w:rsidRPr="00EA61A9" w:rsidRDefault="00C7058B" w:rsidP="00C7058B">
      <w:pPr>
        <w:rPr>
          <w:rFonts w:cs="Arial"/>
          <w:sz w:val="8"/>
          <w:szCs w:val="16"/>
        </w:rPr>
      </w:pPr>
    </w:p>
    <w:p w14:paraId="3D8B269A" w14:textId="77777777" w:rsidR="00C7058B" w:rsidRPr="00EA61A9" w:rsidRDefault="00C7058B" w:rsidP="00C7058B">
      <w:pPr>
        <w:rPr>
          <w:rFonts w:cs="Arial"/>
          <w:szCs w:val="16"/>
        </w:rPr>
      </w:pPr>
      <w:r w:rsidRPr="00EA61A9">
        <w:rPr>
          <w:rFonts w:cs="Arial"/>
          <w:szCs w:val="16"/>
        </w:rPr>
        <w:t>2.3.1.1. Confidencialidad: Hace referencia a la protección de información cuya divulgación no está autorizada.</w:t>
      </w:r>
    </w:p>
    <w:p w14:paraId="1E54AEAD" w14:textId="77777777" w:rsidR="00C7058B" w:rsidRPr="00EA61A9" w:rsidRDefault="00C7058B" w:rsidP="00C7058B">
      <w:pPr>
        <w:rPr>
          <w:rFonts w:cs="Arial"/>
          <w:szCs w:val="16"/>
        </w:rPr>
      </w:pPr>
      <w:r w:rsidRPr="00EA61A9">
        <w:rPr>
          <w:rFonts w:cs="Arial"/>
          <w:szCs w:val="16"/>
        </w:rPr>
        <w:t xml:space="preserve">2.3.1.2. Integridad: La información debe ser precisa, coherente y completa desde su creación hasta su destrucción. </w:t>
      </w:r>
    </w:p>
    <w:p w14:paraId="31BDD653" w14:textId="77777777" w:rsidR="00C7058B" w:rsidRPr="00EA61A9" w:rsidRDefault="00C7058B" w:rsidP="00C7058B">
      <w:pPr>
        <w:rPr>
          <w:rFonts w:cs="Arial"/>
          <w:szCs w:val="16"/>
        </w:rPr>
      </w:pPr>
      <w:r w:rsidRPr="00EA61A9">
        <w:rPr>
          <w:rFonts w:cs="Arial"/>
          <w:szCs w:val="16"/>
        </w:rPr>
        <w:t>2.3.1.3. Disponibilidad: La información debe estar en el momento y en el formato que se requiera ahora y en el futuro, al igual que los recursos necesarios para su uso.</w:t>
      </w:r>
    </w:p>
    <w:p w14:paraId="5AD3FFD3" w14:textId="77777777" w:rsidR="00C7058B" w:rsidRPr="00EA61A9" w:rsidRDefault="00C7058B" w:rsidP="00C7058B">
      <w:pPr>
        <w:rPr>
          <w:rFonts w:cs="Arial"/>
          <w:sz w:val="10"/>
          <w:szCs w:val="16"/>
        </w:rPr>
      </w:pPr>
    </w:p>
    <w:p w14:paraId="120A1B0C" w14:textId="77777777" w:rsidR="00C7058B" w:rsidRPr="00EA61A9" w:rsidRDefault="00C7058B" w:rsidP="00C7058B">
      <w:pPr>
        <w:rPr>
          <w:lang w:val="es-MX"/>
        </w:rPr>
      </w:pPr>
      <w:r w:rsidRPr="00EA61A9">
        <w:rPr>
          <w:lang w:val="es-MX"/>
        </w:rPr>
        <w:t>2.3.2. Respecto de la calidad de la información</w:t>
      </w:r>
    </w:p>
    <w:p w14:paraId="28BC4339" w14:textId="77777777" w:rsidR="00C7058B" w:rsidRPr="00EA61A9" w:rsidRDefault="00C7058B" w:rsidP="00C7058B">
      <w:pPr>
        <w:rPr>
          <w:rFonts w:cs="Arial"/>
          <w:b/>
          <w:sz w:val="8"/>
          <w:szCs w:val="16"/>
        </w:rPr>
      </w:pPr>
    </w:p>
    <w:p w14:paraId="596BAD75" w14:textId="77777777" w:rsidR="00C7058B" w:rsidRPr="00EA61A9" w:rsidRDefault="00C7058B" w:rsidP="00C7058B">
      <w:pPr>
        <w:rPr>
          <w:rFonts w:cs="Arial"/>
          <w:szCs w:val="16"/>
        </w:rPr>
      </w:pPr>
      <w:r w:rsidRPr="00EA61A9">
        <w:rPr>
          <w:rFonts w:cs="Arial"/>
          <w:szCs w:val="16"/>
        </w:rPr>
        <w:t>2.3.2.1. Efectividad: La información relevante debe ser pertinente y su entrega oportuna, correcta y consistente.</w:t>
      </w:r>
    </w:p>
    <w:p w14:paraId="12EA53D9" w14:textId="77777777" w:rsidR="00C7058B" w:rsidRPr="00EA61A9" w:rsidRDefault="00C7058B" w:rsidP="00C7058B">
      <w:pPr>
        <w:rPr>
          <w:rFonts w:cs="Arial"/>
          <w:sz w:val="8"/>
          <w:szCs w:val="16"/>
        </w:rPr>
      </w:pPr>
    </w:p>
    <w:p w14:paraId="429F665A" w14:textId="77777777" w:rsidR="00C7058B" w:rsidRPr="00EA61A9" w:rsidRDefault="00C7058B" w:rsidP="00C7058B">
      <w:pPr>
        <w:rPr>
          <w:rFonts w:cs="Arial"/>
          <w:szCs w:val="16"/>
        </w:rPr>
      </w:pPr>
      <w:r w:rsidRPr="00EA61A9">
        <w:rPr>
          <w:rFonts w:cs="Arial"/>
          <w:szCs w:val="16"/>
        </w:rPr>
        <w:t>2.3.2.2. Eficiencia: El procesamiento y suministro de información debe hacerse utilizando de la mejor manera posible los recursos.</w:t>
      </w:r>
    </w:p>
    <w:p w14:paraId="78265F36" w14:textId="77777777" w:rsidR="00C7058B" w:rsidRPr="00EA61A9" w:rsidRDefault="00C7058B" w:rsidP="00C7058B">
      <w:pPr>
        <w:rPr>
          <w:rFonts w:cs="Arial"/>
          <w:sz w:val="8"/>
          <w:szCs w:val="16"/>
        </w:rPr>
      </w:pPr>
    </w:p>
    <w:p w14:paraId="731F969F" w14:textId="77777777" w:rsidR="00C7058B" w:rsidRPr="00EA61A9" w:rsidRDefault="00C7058B" w:rsidP="00C7058B">
      <w:pPr>
        <w:rPr>
          <w:rFonts w:cs="Arial"/>
          <w:szCs w:val="16"/>
        </w:rPr>
      </w:pPr>
      <w:r w:rsidRPr="00EA61A9">
        <w:rPr>
          <w:rFonts w:cs="Arial"/>
          <w:szCs w:val="16"/>
        </w:rPr>
        <w:t>2.3.2.3. Confiabilidad: La información debe ser la apropiada para la administración de la entidad y el cumplimiento de sus obligaciones</w:t>
      </w:r>
    </w:p>
    <w:p w14:paraId="1DE24348" w14:textId="77777777" w:rsidR="00C7058B" w:rsidRPr="00EA61A9" w:rsidRDefault="00C7058B" w:rsidP="00C7058B">
      <w:pPr>
        <w:pStyle w:val="nfasissutil1"/>
        <w:ind w:left="0"/>
        <w:rPr>
          <w:rFonts w:cs="Arial"/>
          <w:b/>
          <w:sz w:val="10"/>
          <w:szCs w:val="18"/>
        </w:rPr>
      </w:pPr>
    </w:p>
    <w:p w14:paraId="0C3BDBD4" w14:textId="77777777" w:rsidR="00C7058B" w:rsidRPr="00EA61A9" w:rsidRDefault="00C7058B" w:rsidP="00C7058B">
      <w:r w:rsidRPr="00EA61A9">
        <w:t>2.3.3 Requerimientos generales</w:t>
      </w:r>
    </w:p>
    <w:p w14:paraId="6F6D101B" w14:textId="77777777" w:rsidR="00C7058B" w:rsidRPr="00EA61A9" w:rsidRDefault="00C7058B" w:rsidP="00C7058B">
      <w:pPr>
        <w:pStyle w:val="nfasissutil1"/>
        <w:ind w:left="0"/>
        <w:rPr>
          <w:rFonts w:cs="Arial"/>
          <w:b/>
          <w:sz w:val="10"/>
          <w:szCs w:val="18"/>
        </w:rPr>
      </w:pPr>
    </w:p>
    <w:p w14:paraId="460FCF93" w14:textId="77777777" w:rsidR="00C7058B" w:rsidRPr="00EA61A9" w:rsidRDefault="00C7058B" w:rsidP="00C7058B">
      <w:r w:rsidRPr="00EA61A9">
        <w:t>2.3.3.1. En materia de seguridad y calidad de la información</w:t>
      </w:r>
    </w:p>
    <w:p w14:paraId="679B064D" w14:textId="77777777" w:rsidR="00C7058B" w:rsidRPr="00EA61A9" w:rsidRDefault="00C7058B" w:rsidP="00C7058B">
      <w:pPr>
        <w:pStyle w:val="nfasissutil1"/>
        <w:ind w:left="0"/>
        <w:rPr>
          <w:rFonts w:cs="Arial"/>
          <w:sz w:val="8"/>
          <w:szCs w:val="16"/>
        </w:rPr>
      </w:pPr>
    </w:p>
    <w:p w14:paraId="414DB840" w14:textId="77777777" w:rsidR="00C7058B" w:rsidRPr="00EA61A9" w:rsidRDefault="00C7058B" w:rsidP="00C7058B">
      <w:pPr>
        <w:rPr>
          <w:rFonts w:cs="Arial"/>
          <w:szCs w:val="16"/>
        </w:rPr>
      </w:pPr>
      <w:r w:rsidRPr="002501E2">
        <w:rPr>
          <w:rFonts w:cs="Arial"/>
          <w:szCs w:val="16"/>
        </w:rPr>
        <w:t>A fin de dar debida aplicación a los criterios antes indicados las entidades deben adoptar, al menos, las medidas que se relacionan a continuación:</w:t>
      </w:r>
    </w:p>
    <w:p w14:paraId="5DA247E4" w14:textId="77777777" w:rsidR="00C7058B" w:rsidRPr="00EA61A9" w:rsidRDefault="00C7058B" w:rsidP="00C7058B">
      <w:pPr>
        <w:rPr>
          <w:rFonts w:cs="Arial"/>
          <w:szCs w:val="16"/>
          <w:lang w:val="es-CO"/>
        </w:rPr>
        <w:sectPr w:rsidR="00C7058B" w:rsidRPr="00EA61A9" w:rsidSect="00F637C8">
          <w:headerReference w:type="default" r:id="rId8"/>
          <w:footerReference w:type="default" r:id="rId9"/>
          <w:pgSz w:w="12240" w:h="18720" w:code="14"/>
          <w:pgMar w:top="1418" w:right="1701" w:bottom="1418" w:left="1701" w:header="1134" w:footer="1134" w:gutter="0"/>
          <w:pgNumType w:start="8"/>
          <w:cols w:space="708"/>
          <w:docGrid w:linePitch="360"/>
        </w:sectPr>
      </w:pPr>
    </w:p>
    <w:p w14:paraId="39460722" w14:textId="77777777" w:rsidR="002501E2" w:rsidRPr="002501E2" w:rsidRDefault="002501E2" w:rsidP="00C7058B">
      <w:pPr>
        <w:rPr>
          <w:rFonts w:cs="Arial"/>
          <w:szCs w:val="16"/>
          <w:lang w:val="es-CO"/>
        </w:rPr>
      </w:pPr>
    </w:p>
    <w:p w14:paraId="1BB3397F" w14:textId="77777777" w:rsidR="00C7058B" w:rsidRPr="00EA61A9" w:rsidRDefault="00C7058B" w:rsidP="00C7058B">
      <w:pPr>
        <w:rPr>
          <w:rFonts w:cs="Arial"/>
          <w:szCs w:val="16"/>
        </w:rPr>
      </w:pPr>
      <w:r w:rsidRPr="001C1C36">
        <w:rPr>
          <w:rFonts w:cs="Arial"/>
          <w:szCs w:val="16"/>
        </w:rPr>
        <w:t>2.3.6.2.3. Propiedad de la información.</w:t>
      </w:r>
    </w:p>
    <w:p w14:paraId="45B18EA9" w14:textId="77777777" w:rsidR="00C7058B" w:rsidRPr="00EA61A9" w:rsidRDefault="00C7058B" w:rsidP="00C7058B">
      <w:pPr>
        <w:rPr>
          <w:rFonts w:cs="Arial"/>
          <w:sz w:val="12"/>
          <w:szCs w:val="16"/>
        </w:rPr>
      </w:pPr>
    </w:p>
    <w:p w14:paraId="47BAB4D9" w14:textId="77777777" w:rsidR="00C7058B" w:rsidRPr="00EA61A9" w:rsidRDefault="00C7058B" w:rsidP="00C7058B">
      <w:pPr>
        <w:rPr>
          <w:rFonts w:cs="Arial"/>
          <w:szCs w:val="16"/>
        </w:rPr>
      </w:pPr>
      <w:r w:rsidRPr="00EA61A9">
        <w:rPr>
          <w:rFonts w:cs="Arial"/>
          <w:szCs w:val="16"/>
        </w:rPr>
        <w:t>2.3.6.2.4. Restricciones sobre el software empleado.</w:t>
      </w:r>
    </w:p>
    <w:p w14:paraId="60B8BF4C" w14:textId="77777777" w:rsidR="00C7058B" w:rsidRPr="00EA61A9" w:rsidRDefault="00C7058B" w:rsidP="00C7058B">
      <w:pPr>
        <w:rPr>
          <w:rFonts w:cs="Arial"/>
          <w:sz w:val="12"/>
          <w:szCs w:val="16"/>
        </w:rPr>
      </w:pPr>
    </w:p>
    <w:p w14:paraId="2A8FB7FA" w14:textId="77777777" w:rsidR="00C7058B" w:rsidRPr="00EA61A9" w:rsidRDefault="00C7058B" w:rsidP="00C7058B">
      <w:pPr>
        <w:rPr>
          <w:rFonts w:cs="Arial"/>
          <w:szCs w:val="16"/>
        </w:rPr>
      </w:pPr>
      <w:r w:rsidRPr="00EA61A9">
        <w:rPr>
          <w:rFonts w:cs="Arial"/>
          <w:szCs w:val="16"/>
        </w:rPr>
        <w:t>2.3.6.2.5. Normas de seguridad informática y física a ser aplicadas.</w:t>
      </w:r>
    </w:p>
    <w:p w14:paraId="6691C4D7" w14:textId="77777777" w:rsidR="00C7058B" w:rsidRPr="00EA61A9" w:rsidRDefault="00C7058B" w:rsidP="00C7058B">
      <w:pPr>
        <w:rPr>
          <w:rFonts w:cs="Arial"/>
          <w:sz w:val="12"/>
          <w:szCs w:val="16"/>
        </w:rPr>
      </w:pPr>
    </w:p>
    <w:p w14:paraId="01394FD7" w14:textId="77777777" w:rsidR="00C7058B" w:rsidRPr="00EA61A9" w:rsidRDefault="00C7058B" w:rsidP="00C7058B">
      <w:pPr>
        <w:rPr>
          <w:rFonts w:cs="Arial"/>
          <w:szCs w:val="16"/>
        </w:rPr>
      </w:pPr>
      <w:r w:rsidRPr="00EA61A9">
        <w:rPr>
          <w:rFonts w:cs="Arial"/>
          <w:szCs w:val="16"/>
        </w:rPr>
        <w:t>2.3.6.2.6. Procedimientos a seguir cuando se encuentre evidencia de alteración o manipulación de dispositivos o información.</w:t>
      </w:r>
    </w:p>
    <w:p w14:paraId="0EB89585" w14:textId="77777777" w:rsidR="00C7058B" w:rsidRPr="00EA61A9" w:rsidRDefault="00C7058B" w:rsidP="00C7058B">
      <w:pPr>
        <w:rPr>
          <w:rFonts w:cs="Arial"/>
          <w:sz w:val="12"/>
          <w:szCs w:val="16"/>
        </w:rPr>
      </w:pPr>
    </w:p>
    <w:p w14:paraId="5A4CBB73" w14:textId="77777777" w:rsidR="00C7058B" w:rsidRPr="00EA61A9" w:rsidRDefault="00C7058B" w:rsidP="00C7058B">
      <w:pPr>
        <w:rPr>
          <w:rFonts w:cs="Arial"/>
          <w:szCs w:val="16"/>
        </w:rPr>
      </w:pPr>
      <w:r w:rsidRPr="00EA61A9">
        <w:rPr>
          <w:rFonts w:cs="Arial"/>
          <w:szCs w:val="16"/>
        </w:rPr>
        <w:t xml:space="preserve">2.3.6.2.7. Procedimientos y controles para la entrega de la información manejada y la destrucción de la misma por parte del tercero una vez finalizado el servicio. </w:t>
      </w:r>
    </w:p>
    <w:p w14:paraId="4CC00F98" w14:textId="77777777" w:rsidR="00C7058B" w:rsidRPr="00EA61A9" w:rsidRDefault="00C7058B" w:rsidP="00C7058B">
      <w:pPr>
        <w:rPr>
          <w:rFonts w:cs="Arial"/>
          <w:sz w:val="12"/>
          <w:szCs w:val="16"/>
        </w:rPr>
      </w:pPr>
    </w:p>
    <w:p w14:paraId="7F231015" w14:textId="77777777" w:rsidR="00C7058B" w:rsidRPr="00EA61A9" w:rsidRDefault="00C7058B" w:rsidP="00C7058B">
      <w:pPr>
        <w:rPr>
          <w:rFonts w:cs="Arial"/>
          <w:szCs w:val="16"/>
        </w:rPr>
      </w:pPr>
      <w:r w:rsidRPr="00EA61A9">
        <w:rPr>
          <w:rFonts w:cs="Arial"/>
          <w:szCs w:val="16"/>
        </w:rPr>
        <w:t>Las entidades deben contar con los procedimientos necesarios para verificar el cumplimiento de las obligaciones señaladas en el presente subnumeral, los cuales deben ser informados previamente a la auditoría interna o quien ejerza sus funciones.</w:t>
      </w:r>
    </w:p>
    <w:p w14:paraId="7F2CFBF9" w14:textId="77777777" w:rsidR="00C7058B" w:rsidRPr="00EA61A9" w:rsidRDefault="00C7058B" w:rsidP="00C7058B">
      <w:pPr>
        <w:rPr>
          <w:rFonts w:cs="Arial"/>
          <w:sz w:val="12"/>
          <w:szCs w:val="16"/>
        </w:rPr>
      </w:pPr>
    </w:p>
    <w:p w14:paraId="7BCB7385" w14:textId="77777777" w:rsidR="00C7058B" w:rsidRPr="00EA61A9" w:rsidRDefault="00C7058B" w:rsidP="00C7058B">
      <w:pPr>
        <w:rPr>
          <w:rFonts w:cs="Arial"/>
          <w:szCs w:val="16"/>
        </w:rPr>
      </w:pPr>
      <w:r w:rsidRPr="00EA61A9">
        <w:rPr>
          <w:rFonts w:cs="Arial"/>
          <w:szCs w:val="16"/>
        </w:rPr>
        <w:t xml:space="preserve">2.3.6.3. Exigir que los terceros contratados dispongan de planes de contingencia y continuidad debidamente documentados. Las entidades deben verificar que los planes, en lo que corresponde a los servicios convenidos, funcionen en las condiciones pactadas. </w:t>
      </w:r>
    </w:p>
    <w:p w14:paraId="471B9D18" w14:textId="77777777" w:rsidR="00C7058B" w:rsidRPr="00EA61A9" w:rsidRDefault="00C7058B" w:rsidP="00C7058B">
      <w:pPr>
        <w:rPr>
          <w:rFonts w:cs="Arial"/>
          <w:sz w:val="12"/>
          <w:szCs w:val="16"/>
        </w:rPr>
      </w:pPr>
    </w:p>
    <w:p w14:paraId="09666B3A" w14:textId="77777777" w:rsidR="00C7058B" w:rsidRPr="00EA61A9" w:rsidRDefault="00C7058B" w:rsidP="00C7058B">
      <w:pPr>
        <w:rPr>
          <w:rFonts w:cs="Arial"/>
          <w:szCs w:val="16"/>
        </w:rPr>
      </w:pPr>
      <w:r w:rsidRPr="00EA61A9">
        <w:rPr>
          <w:rFonts w:cs="Arial"/>
          <w:szCs w:val="16"/>
        </w:rPr>
        <w:t>2.3.6.4. Establecer procedimientos que permitan identificar físicamente, de manera inequívoca, a los funcionarios de los terceros contratados.</w:t>
      </w:r>
    </w:p>
    <w:p w14:paraId="392C4AD1" w14:textId="77777777" w:rsidR="00C7058B" w:rsidRPr="00EA61A9" w:rsidRDefault="00C7058B" w:rsidP="00C7058B">
      <w:pPr>
        <w:rPr>
          <w:rFonts w:cs="Arial"/>
          <w:sz w:val="12"/>
          <w:szCs w:val="16"/>
        </w:rPr>
      </w:pPr>
    </w:p>
    <w:p w14:paraId="733EF6FC" w14:textId="77777777" w:rsidR="00C7058B" w:rsidRPr="00EA61A9" w:rsidRDefault="00C7058B" w:rsidP="00C7058B">
      <w:pPr>
        <w:rPr>
          <w:rFonts w:cs="Arial"/>
          <w:szCs w:val="16"/>
        </w:rPr>
      </w:pPr>
      <w:r w:rsidRPr="00EA61A9">
        <w:rPr>
          <w:rFonts w:cs="Arial"/>
          <w:szCs w:val="16"/>
        </w:rPr>
        <w:t>2.3.6.5. Implementar mecanismos de cifrado fuerte para el envío y recepción de información confidencial con los terceros contratados.</w:t>
      </w:r>
    </w:p>
    <w:p w14:paraId="51961130" w14:textId="77777777" w:rsidR="00C7058B" w:rsidRPr="00EA61A9" w:rsidRDefault="00C7058B" w:rsidP="00C7058B">
      <w:pPr>
        <w:rPr>
          <w:rFonts w:cs="Arial"/>
          <w:sz w:val="12"/>
          <w:szCs w:val="16"/>
        </w:rPr>
      </w:pPr>
    </w:p>
    <w:p w14:paraId="051E5128" w14:textId="77777777" w:rsidR="00C7058B" w:rsidRPr="00EA61A9" w:rsidRDefault="00C7058B" w:rsidP="00C7058B">
      <w:r w:rsidRPr="00EA61A9">
        <w:t>2.3.7 Análisis de vulnerabilidades</w:t>
      </w:r>
    </w:p>
    <w:p w14:paraId="771C2287" w14:textId="77777777" w:rsidR="00C7058B" w:rsidRPr="00EA61A9" w:rsidRDefault="00C7058B" w:rsidP="00C7058B">
      <w:pPr>
        <w:rPr>
          <w:rFonts w:cs="Arial"/>
          <w:sz w:val="12"/>
          <w:szCs w:val="16"/>
        </w:rPr>
      </w:pPr>
    </w:p>
    <w:p w14:paraId="0D657B53" w14:textId="77777777" w:rsidR="00C7058B" w:rsidRPr="00EA61A9" w:rsidRDefault="00C7058B" w:rsidP="00C7058B">
      <w:pPr>
        <w:rPr>
          <w:rFonts w:cs="Arial"/>
          <w:szCs w:val="16"/>
        </w:rPr>
      </w:pPr>
      <w:r w:rsidRPr="00EA61A9">
        <w:rPr>
          <w:rFonts w:cs="Arial"/>
          <w:szCs w:val="16"/>
        </w:rPr>
        <w:t>Las entidades deben implementar un sistema de análisis de vulnerabilidades informáticas que cumpla al menos con los siguientes requisitos:</w:t>
      </w:r>
    </w:p>
    <w:p w14:paraId="0938D062" w14:textId="77777777" w:rsidR="00C7058B" w:rsidRPr="00EA61A9" w:rsidRDefault="00C7058B" w:rsidP="00C7058B">
      <w:pPr>
        <w:rPr>
          <w:rFonts w:cs="Arial"/>
          <w:sz w:val="12"/>
          <w:szCs w:val="16"/>
        </w:rPr>
      </w:pPr>
    </w:p>
    <w:p w14:paraId="639F000A" w14:textId="77777777" w:rsidR="00C7058B" w:rsidRPr="00EA61A9" w:rsidRDefault="00C7058B" w:rsidP="00C7058B">
      <w:pPr>
        <w:rPr>
          <w:rFonts w:cs="Arial"/>
          <w:szCs w:val="16"/>
        </w:rPr>
      </w:pPr>
      <w:r w:rsidRPr="00EA61A9">
        <w:rPr>
          <w:rFonts w:cs="Arial"/>
          <w:szCs w:val="16"/>
        </w:rPr>
        <w:t>2.3.7.1. Estar basado en un hardware de propósito específico (</w:t>
      </w:r>
      <w:proofErr w:type="spellStart"/>
      <w:r w:rsidRPr="00EA61A9">
        <w:rPr>
          <w:rFonts w:cs="Arial"/>
          <w:szCs w:val="16"/>
        </w:rPr>
        <w:t>appliance</w:t>
      </w:r>
      <w:proofErr w:type="spellEnd"/>
      <w:r w:rsidRPr="00EA61A9">
        <w:rPr>
          <w:rFonts w:cs="Arial"/>
          <w:szCs w:val="16"/>
        </w:rPr>
        <w:t>) totalmente separado e independiente de cualquier dispositivo de procesamiento de información, de comunicaciones y/o de seguridad informática.</w:t>
      </w:r>
    </w:p>
    <w:p w14:paraId="65D16190" w14:textId="77777777" w:rsidR="00C7058B" w:rsidRPr="00EA61A9" w:rsidRDefault="00C7058B" w:rsidP="00C7058B">
      <w:pPr>
        <w:rPr>
          <w:rFonts w:cs="Arial"/>
          <w:sz w:val="12"/>
          <w:szCs w:val="16"/>
        </w:rPr>
      </w:pPr>
    </w:p>
    <w:p w14:paraId="2C98BAAA" w14:textId="77777777" w:rsidR="00C7058B" w:rsidRPr="00EA61A9" w:rsidRDefault="00C7058B" w:rsidP="00C7058B">
      <w:pPr>
        <w:rPr>
          <w:rFonts w:cs="Arial"/>
          <w:szCs w:val="16"/>
        </w:rPr>
      </w:pPr>
      <w:r w:rsidRPr="00EA61A9">
        <w:rPr>
          <w:rFonts w:cs="Arial"/>
          <w:szCs w:val="16"/>
        </w:rPr>
        <w:t xml:space="preserve">2.3.7.2. Generar de manera automática por lo menos 2 veces al año un informe consolidado de las vulnerabilidades encontradas. Los informes de los últimos 2 años deben estar a disposición de la SFC. </w:t>
      </w:r>
    </w:p>
    <w:p w14:paraId="7A3DCE11" w14:textId="77777777" w:rsidR="00C7058B" w:rsidRPr="00EA61A9" w:rsidRDefault="00C7058B" w:rsidP="00C7058B">
      <w:pPr>
        <w:rPr>
          <w:rFonts w:cs="Arial"/>
          <w:szCs w:val="16"/>
        </w:rPr>
      </w:pPr>
    </w:p>
    <w:p w14:paraId="301758DD" w14:textId="77777777" w:rsidR="00C7058B" w:rsidRPr="00EA61A9" w:rsidRDefault="00C7058B" w:rsidP="00C7058B">
      <w:pPr>
        <w:rPr>
          <w:rFonts w:cs="Arial"/>
          <w:szCs w:val="16"/>
        </w:rPr>
      </w:pPr>
      <w:r w:rsidRPr="00EA61A9">
        <w:rPr>
          <w:rFonts w:cs="Arial"/>
          <w:szCs w:val="16"/>
        </w:rPr>
        <w:t>2.3.7.3. Las entidades deben tomar las medidas necesarias para remediar las vulnerabilidades detectadas en sus análisis.</w:t>
      </w:r>
    </w:p>
    <w:p w14:paraId="0AB8E557" w14:textId="77777777" w:rsidR="00C7058B" w:rsidRPr="00EA61A9" w:rsidRDefault="00C7058B" w:rsidP="00C7058B">
      <w:pPr>
        <w:rPr>
          <w:rFonts w:cs="Arial"/>
          <w:szCs w:val="16"/>
        </w:rPr>
      </w:pPr>
    </w:p>
    <w:p w14:paraId="7242DFEB" w14:textId="77777777" w:rsidR="00C7058B" w:rsidRPr="00EA61A9" w:rsidRDefault="00C7058B" w:rsidP="00C7058B">
      <w:pPr>
        <w:rPr>
          <w:rFonts w:cs="Arial"/>
          <w:szCs w:val="16"/>
        </w:rPr>
      </w:pPr>
      <w:r w:rsidRPr="00EA61A9">
        <w:rPr>
          <w:rFonts w:cs="Arial"/>
          <w:szCs w:val="16"/>
        </w:rPr>
        <w:t xml:space="preserve">2.3.7.4. Realizar un análisis diferencial de vulnerabilidades, comparando el informe actual con respecto al inmediatamente anterior. </w:t>
      </w:r>
    </w:p>
    <w:p w14:paraId="0A9525BF" w14:textId="77777777" w:rsidR="00C7058B" w:rsidRPr="00EA61A9" w:rsidRDefault="00C7058B" w:rsidP="00C7058B">
      <w:pPr>
        <w:rPr>
          <w:rFonts w:cs="Arial"/>
          <w:szCs w:val="16"/>
        </w:rPr>
      </w:pPr>
    </w:p>
    <w:p w14:paraId="16D5CF1B" w14:textId="77777777" w:rsidR="00C7058B" w:rsidRPr="00EA61A9" w:rsidRDefault="00C7058B" w:rsidP="00C7058B">
      <w:pPr>
        <w:rPr>
          <w:rFonts w:cs="Arial"/>
          <w:szCs w:val="16"/>
        </w:rPr>
      </w:pPr>
      <w:r w:rsidRPr="00EA61A9">
        <w:rPr>
          <w:rFonts w:cs="Arial"/>
          <w:szCs w:val="16"/>
        </w:rPr>
        <w:t>2.3.7.5. Las herramientas usadas en el análisis de vulnerabilidades deben estar homologadas por el CVE (</w:t>
      </w:r>
      <w:proofErr w:type="spellStart"/>
      <w:r w:rsidRPr="00EA61A9">
        <w:rPr>
          <w:rFonts w:cs="Arial"/>
          <w:szCs w:val="16"/>
        </w:rPr>
        <w:t>Common</w:t>
      </w:r>
      <w:proofErr w:type="spellEnd"/>
      <w:r w:rsidRPr="00EA61A9">
        <w:rPr>
          <w:rFonts w:cs="Arial"/>
          <w:szCs w:val="16"/>
        </w:rPr>
        <w:t xml:space="preserve"> </w:t>
      </w:r>
      <w:proofErr w:type="spellStart"/>
      <w:r w:rsidRPr="00EA61A9">
        <w:rPr>
          <w:rFonts w:cs="Arial"/>
          <w:szCs w:val="16"/>
        </w:rPr>
        <w:t>Vulnerabilities</w:t>
      </w:r>
      <w:proofErr w:type="spellEnd"/>
      <w:r w:rsidRPr="00EA61A9">
        <w:rPr>
          <w:rFonts w:cs="Arial"/>
          <w:szCs w:val="16"/>
        </w:rPr>
        <w:t xml:space="preserve"> and </w:t>
      </w:r>
      <w:proofErr w:type="spellStart"/>
      <w:r w:rsidRPr="00EA61A9">
        <w:rPr>
          <w:rFonts w:cs="Arial"/>
          <w:szCs w:val="16"/>
        </w:rPr>
        <w:t>Exposures</w:t>
      </w:r>
      <w:proofErr w:type="spellEnd"/>
      <w:r w:rsidRPr="00EA61A9">
        <w:rPr>
          <w:rFonts w:cs="Arial"/>
          <w:szCs w:val="16"/>
        </w:rPr>
        <w:t xml:space="preserve">) y actualizadas a la fecha de su utilización. </w:t>
      </w:r>
    </w:p>
    <w:p w14:paraId="2376F38F" w14:textId="77777777" w:rsidR="00C7058B" w:rsidRPr="00EA61A9" w:rsidRDefault="00C7058B" w:rsidP="00C7058B">
      <w:pPr>
        <w:rPr>
          <w:rFonts w:cs="Arial"/>
          <w:szCs w:val="16"/>
        </w:rPr>
      </w:pPr>
    </w:p>
    <w:p w14:paraId="256A89FF" w14:textId="77777777" w:rsidR="00C7058B" w:rsidRPr="00EA61A9" w:rsidRDefault="00C7058B" w:rsidP="00C7058B">
      <w:pPr>
        <w:rPr>
          <w:rFonts w:cs="Arial"/>
          <w:szCs w:val="16"/>
        </w:rPr>
      </w:pPr>
      <w:r w:rsidRPr="00EA61A9">
        <w:rPr>
          <w:rFonts w:cs="Arial"/>
          <w:szCs w:val="16"/>
        </w:rPr>
        <w:t>2.3.7.6. Para la generación de los informes solicitados se debe tomar como referencia la lista de nombres de vulnerabilidades CVE publicada por la corporación Mitre.</w:t>
      </w:r>
    </w:p>
    <w:p w14:paraId="033CB556" w14:textId="77777777" w:rsidR="00C7058B" w:rsidRPr="00EA61A9" w:rsidRDefault="00C7058B" w:rsidP="00C7058B">
      <w:pPr>
        <w:rPr>
          <w:rFonts w:cs="Arial"/>
          <w:szCs w:val="16"/>
        </w:rPr>
      </w:pPr>
    </w:p>
    <w:p w14:paraId="6462E637" w14:textId="035DE3D1" w:rsidR="009D62EB" w:rsidRDefault="009D62EB" w:rsidP="009D62EB">
      <w:pPr>
        <w:pBdr>
          <w:left w:val="single" w:sz="4" w:space="1" w:color="auto"/>
        </w:pBdr>
        <w:rPr>
          <w:rFonts w:cs="Arial"/>
          <w:b/>
          <w:bCs/>
          <w:szCs w:val="16"/>
          <w:lang w:val="es-MX"/>
        </w:rPr>
      </w:pPr>
      <w:r w:rsidRPr="009D62EB">
        <w:rPr>
          <w:rFonts w:cs="Arial"/>
          <w:b/>
          <w:bCs/>
          <w:szCs w:val="16"/>
          <w:lang w:val="es-MX"/>
        </w:rPr>
        <w:t xml:space="preserve">2.3.8. Vinculación de Participantes </w:t>
      </w:r>
      <w:r w:rsidR="00B919E5">
        <w:rPr>
          <w:rFonts w:cs="Arial"/>
          <w:b/>
          <w:bCs/>
          <w:szCs w:val="16"/>
          <w:lang w:val="es-MX"/>
        </w:rPr>
        <w:t xml:space="preserve">a las </w:t>
      </w:r>
      <w:r w:rsidRPr="009D62EB">
        <w:rPr>
          <w:rFonts w:cs="Arial"/>
          <w:b/>
          <w:bCs/>
          <w:szCs w:val="16"/>
          <w:lang w:val="es-MX"/>
        </w:rPr>
        <w:t>EASPBV</w:t>
      </w:r>
    </w:p>
    <w:p w14:paraId="77E10FC9" w14:textId="5C005EB9" w:rsidR="00D54FED" w:rsidRDefault="00D54FED" w:rsidP="009D62EB">
      <w:pPr>
        <w:pBdr>
          <w:left w:val="single" w:sz="4" w:space="1" w:color="auto"/>
        </w:pBdr>
        <w:rPr>
          <w:rFonts w:cs="Arial"/>
          <w:b/>
          <w:bCs/>
          <w:szCs w:val="16"/>
          <w:lang w:val="es-MX"/>
        </w:rPr>
      </w:pPr>
    </w:p>
    <w:p w14:paraId="5AEDF89D" w14:textId="3CB39292" w:rsidR="00E436E7" w:rsidRPr="001C1C36" w:rsidRDefault="00E436E7" w:rsidP="00E436E7">
      <w:pPr>
        <w:pBdr>
          <w:left w:val="single" w:sz="4" w:space="1" w:color="auto"/>
        </w:pBdr>
        <w:rPr>
          <w:rFonts w:cs="Arial"/>
          <w:b/>
          <w:szCs w:val="16"/>
          <w:lang w:val="es-CO"/>
        </w:rPr>
      </w:pPr>
      <w:r w:rsidRPr="009D62EB">
        <w:rPr>
          <w:rFonts w:cs="Arial"/>
          <w:b/>
          <w:bCs/>
          <w:szCs w:val="16"/>
          <w:lang w:val="es-MX"/>
        </w:rPr>
        <w:t>Las EASPBV que vinculen a los Participantes</w:t>
      </w:r>
      <w:r w:rsidR="00355FA6">
        <w:rPr>
          <w:rFonts w:cs="Arial"/>
          <w:b/>
          <w:bCs/>
          <w:szCs w:val="16"/>
          <w:lang w:val="es-MX"/>
        </w:rPr>
        <w:t xml:space="preserve"> no vigilados</w:t>
      </w:r>
      <w:r w:rsidRPr="009D62EB">
        <w:rPr>
          <w:rFonts w:cs="Arial"/>
          <w:b/>
          <w:bCs/>
          <w:szCs w:val="16"/>
          <w:lang w:val="es-MX"/>
        </w:rPr>
        <w:t xml:space="preserve"> </w:t>
      </w:r>
      <w:r>
        <w:rPr>
          <w:rFonts w:cs="Arial"/>
          <w:b/>
          <w:bCs/>
          <w:szCs w:val="16"/>
          <w:lang w:val="es-MX"/>
        </w:rPr>
        <w:t>a los que se refiere el su</w:t>
      </w:r>
      <w:r w:rsidRPr="009D62EB">
        <w:rPr>
          <w:rFonts w:cs="Arial"/>
          <w:b/>
          <w:bCs/>
          <w:szCs w:val="16"/>
          <w:lang w:val="es-MX"/>
        </w:rPr>
        <w:t>bnumeral 2.2.10 de este Capítulo,</w:t>
      </w:r>
      <w:r>
        <w:rPr>
          <w:rFonts w:cs="Arial"/>
          <w:b/>
          <w:bCs/>
          <w:szCs w:val="16"/>
          <w:lang w:val="es-MX"/>
        </w:rPr>
        <w:t xml:space="preserve"> </w:t>
      </w:r>
      <w:r w:rsidRPr="009D62EB">
        <w:rPr>
          <w:rFonts w:cs="Arial"/>
          <w:b/>
          <w:bCs/>
          <w:szCs w:val="16"/>
          <w:lang w:val="es-MX"/>
        </w:rPr>
        <w:t>que prestan servicios de aplicación de comercio electrónico para almacenar, procesar y/o transmitir el pago correspondiente a operaciones de venta en línea con tarjetas débito o crédito, deben incluir en los contratos que celebren</w:t>
      </w:r>
      <w:r>
        <w:rPr>
          <w:rFonts w:cs="Arial"/>
          <w:b/>
          <w:bCs/>
          <w:szCs w:val="16"/>
          <w:lang w:val="es-MX"/>
        </w:rPr>
        <w:t xml:space="preserve"> con </w:t>
      </w:r>
      <w:r w:rsidR="007B4A82">
        <w:rPr>
          <w:rFonts w:cs="Arial"/>
          <w:b/>
          <w:bCs/>
          <w:szCs w:val="16"/>
          <w:lang w:val="es-MX"/>
        </w:rPr>
        <w:t>e</w:t>
      </w:r>
      <w:r>
        <w:rPr>
          <w:rFonts w:cs="Arial"/>
          <w:b/>
          <w:bCs/>
          <w:szCs w:val="16"/>
          <w:lang w:val="es-MX"/>
        </w:rPr>
        <w:t>stos</w:t>
      </w:r>
      <w:r w:rsidR="007B4A82">
        <w:rPr>
          <w:rFonts w:cs="Arial"/>
          <w:b/>
          <w:bCs/>
          <w:szCs w:val="16"/>
          <w:lang w:val="es-MX"/>
        </w:rPr>
        <w:t>,</w:t>
      </w:r>
      <w:r>
        <w:rPr>
          <w:rFonts w:cs="Arial"/>
          <w:b/>
          <w:bCs/>
          <w:szCs w:val="16"/>
          <w:lang w:val="es-MX"/>
        </w:rPr>
        <w:t xml:space="preserve"> </w:t>
      </w:r>
      <w:r w:rsidRPr="009D62EB">
        <w:rPr>
          <w:rFonts w:cs="Arial"/>
          <w:b/>
          <w:bCs/>
          <w:szCs w:val="16"/>
          <w:lang w:val="es-MX"/>
        </w:rPr>
        <w:t xml:space="preserve"> la obligación de contar, mantener y entregar la certificación PCI-DSS, emitida por una entidad que ostente la categoría QSA (</w:t>
      </w:r>
      <w:proofErr w:type="spellStart"/>
      <w:r w:rsidRPr="009D62EB">
        <w:rPr>
          <w:rFonts w:cs="Arial"/>
          <w:b/>
          <w:bCs/>
          <w:szCs w:val="16"/>
          <w:lang w:val="es-MX"/>
        </w:rPr>
        <w:t>Qualified</w:t>
      </w:r>
      <w:proofErr w:type="spellEnd"/>
      <w:r w:rsidRPr="009D62EB">
        <w:rPr>
          <w:rFonts w:cs="Arial"/>
          <w:b/>
          <w:bCs/>
          <w:szCs w:val="16"/>
          <w:lang w:val="es-MX"/>
        </w:rPr>
        <w:t xml:space="preserve"> Security </w:t>
      </w:r>
      <w:proofErr w:type="spellStart"/>
      <w:r w:rsidRPr="009D62EB">
        <w:rPr>
          <w:rFonts w:cs="Arial"/>
          <w:b/>
          <w:bCs/>
          <w:szCs w:val="16"/>
          <w:lang w:val="es-MX"/>
        </w:rPr>
        <w:t>Assessor</w:t>
      </w:r>
      <w:proofErr w:type="spellEnd"/>
      <w:r w:rsidRPr="009D62EB">
        <w:rPr>
          <w:rFonts w:cs="Arial"/>
          <w:b/>
          <w:bCs/>
          <w:szCs w:val="16"/>
          <w:lang w:val="es-MX"/>
        </w:rPr>
        <w:t xml:space="preserve">), </w:t>
      </w:r>
      <w:r>
        <w:rPr>
          <w:rFonts w:cs="Arial"/>
          <w:b/>
          <w:bCs/>
          <w:szCs w:val="16"/>
          <w:lang w:val="es-MX"/>
        </w:rPr>
        <w:t>y</w:t>
      </w:r>
      <w:r w:rsidRPr="009D62EB">
        <w:rPr>
          <w:rFonts w:cs="Arial"/>
          <w:b/>
          <w:bCs/>
          <w:szCs w:val="16"/>
          <w:lang w:val="es-MX"/>
        </w:rPr>
        <w:t xml:space="preserve"> soportada por el documento </w:t>
      </w:r>
      <w:proofErr w:type="spellStart"/>
      <w:r w:rsidRPr="009D62EB">
        <w:rPr>
          <w:rFonts w:cs="Arial"/>
          <w:b/>
          <w:bCs/>
          <w:szCs w:val="16"/>
          <w:lang w:val="es-MX"/>
        </w:rPr>
        <w:t>AoC</w:t>
      </w:r>
      <w:proofErr w:type="spellEnd"/>
      <w:r w:rsidRPr="009D62EB">
        <w:rPr>
          <w:rFonts w:cs="Arial"/>
          <w:b/>
          <w:bCs/>
          <w:szCs w:val="16"/>
          <w:lang w:val="es-MX"/>
        </w:rPr>
        <w:t xml:space="preserve"> (“</w:t>
      </w:r>
      <w:proofErr w:type="spellStart"/>
      <w:r w:rsidRPr="009D62EB">
        <w:rPr>
          <w:rFonts w:cs="Arial"/>
          <w:b/>
          <w:bCs/>
          <w:szCs w:val="16"/>
          <w:lang w:val="es-MX"/>
        </w:rPr>
        <w:t>Attestation</w:t>
      </w:r>
      <w:proofErr w:type="spellEnd"/>
      <w:r w:rsidRPr="009D62EB">
        <w:rPr>
          <w:rFonts w:cs="Arial"/>
          <w:b/>
          <w:bCs/>
          <w:szCs w:val="16"/>
          <w:lang w:val="es-MX"/>
        </w:rPr>
        <w:t xml:space="preserve"> </w:t>
      </w:r>
      <w:proofErr w:type="spellStart"/>
      <w:r w:rsidRPr="009D62EB">
        <w:rPr>
          <w:rFonts w:cs="Arial"/>
          <w:b/>
          <w:bCs/>
          <w:szCs w:val="16"/>
          <w:lang w:val="es-MX"/>
        </w:rPr>
        <w:t>of</w:t>
      </w:r>
      <w:proofErr w:type="spellEnd"/>
      <w:r w:rsidRPr="009D62EB">
        <w:rPr>
          <w:rFonts w:cs="Arial"/>
          <w:b/>
          <w:bCs/>
          <w:szCs w:val="16"/>
          <w:lang w:val="es-MX"/>
        </w:rPr>
        <w:t xml:space="preserve"> </w:t>
      </w:r>
      <w:proofErr w:type="spellStart"/>
      <w:r w:rsidRPr="009D62EB">
        <w:rPr>
          <w:rFonts w:cs="Arial"/>
          <w:b/>
          <w:bCs/>
          <w:szCs w:val="16"/>
          <w:lang w:val="es-MX"/>
        </w:rPr>
        <w:t>Compliance</w:t>
      </w:r>
      <w:proofErr w:type="spellEnd"/>
      <w:r w:rsidRPr="009D62EB">
        <w:rPr>
          <w:rFonts w:cs="Arial"/>
          <w:b/>
          <w:bCs/>
          <w:szCs w:val="16"/>
          <w:lang w:val="es-MX"/>
        </w:rPr>
        <w:t>”) correspondiente.</w:t>
      </w:r>
      <w:r w:rsidR="00355FA6">
        <w:rPr>
          <w:rFonts w:cs="Arial"/>
          <w:b/>
          <w:bCs/>
          <w:szCs w:val="16"/>
          <w:lang w:val="es-MX"/>
        </w:rPr>
        <w:t xml:space="preserve"> </w:t>
      </w:r>
      <w:r w:rsidRPr="009D62EB">
        <w:rPr>
          <w:rFonts w:cs="Arial"/>
          <w:b/>
          <w:bCs/>
          <w:szCs w:val="16"/>
          <w:lang w:val="es-MX"/>
        </w:rPr>
        <w:t>Así mismo</w:t>
      </w:r>
      <w:r w:rsidR="00AA4622">
        <w:rPr>
          <w:rFonts w:cs="Arial"/>
          <w:b/>
          <w:bCs/>
          <w:szCs w:val="16"/>
          <w:lang w:val="es-MX"/>
        </w:rPr>
        <w:t>, las EASPBV</w:t>
      </w:r>
      <w:r w:rsidRPr="009D62EB">
        <w:rPr>
          <w:rFonts w:cs="Arial"/>
          <w:b/>
          <w:bCs/>
          <w:szCs w:val="16"/>
          <w:lang w:val="es-MX"/>
        </w:rPr>
        <w:t xml:space="preserve"> deben verificar</w:t>
      </w:r>
      <w:r w:rsidR="008D04BF">
        <w:rPr>
          <w:rFonts w:cs="Arial"/>
          <w:b/>
          <w:bCs/>
          <w:szCs w:val="16"/>
          <w:lang w:val="es-MX"/>
        </w:rPr>
        <w:t xml:space="preserve"> que la </w:t>
      </w:r>
      <w:r w:rsidRPr="009D62EB">
        <w:rPr>
          <w:rFonts w:cs="Arial"/>
          <w:b/>
          <w:bCs/>
          <w:szCs w:val="16"/>
          <w:lang w:val="es-MX"/>
        </w:rPr>
        <w:t>certificación PCI-DSS a que hace referencia el inciso anterior</w:t>
      </w:r>
      <w:r w:rsidR="008D04BF">
        <w:rPr>
          <w:rFonts w:cs="Arial"/>
          <w:b/>
          <w:bCs/>
          <w:szCs w:val="16"/>
          <w:lang w:val="es-MX"/>
        </w:rPr>
        <w:t xml:space="preserve"> este vigente</w:t>
      </w:r>
      <w:r w:rsidRPr="009D62EB">
        <w:rPr>
          <w:rFonts w:cs="Arial"/>
          <w:b/>
          <w:bCs/>
          <w:szCs w:val="16"/>
          <w:lang w:val="es-MX"/>
        </w:rPr>
        <w:t>. Si el participante obligado a contar con la certificación no la mantiene vigente, no podrá continuar prestando los servicios señalados en el inciso anterior.</w:t>
      </w:r>
    </w:p>
    <w:p w14:paraId="2CCDA05F" w14:textId="77777777" w:rsidR="00C7058B" w:rsidRPr="00EA61A9" w:rsidRDefault="00C7058B" w:rsidP="00C7058B">
      <w:pPr>
        <w:rPr>
          <w:rFonts w:cs="Arial"/>
          <w:bCs/>
          <w:sz w:val="10"/>
          <w:szCs w:val="16"/>
        </w:rPr>
      </w:pPr>
    </w:p>
    <w:p w14:paraId="678E2E42" w14:textId="77777777" w:rsidR="00C7058B" w:rsidRPr="004026B4" w:rsidRDefault="00C7058B" w:rsidP="00FD0A6A">
      <w:pPr>
        <w:rPr>
          <w:bCs/>
        </w:rPr>
      </w:pPr>
      <w:bookmarkStart w:id="1" w:name="_Hlk525575285"/>
      <w:r w:rsidRPr="004026B4">
        <w:rPr>
          <w:bCs/>
        </w:rPr>
        <w:t xml:space="preserve">2.3.9 Requerimientos mínimos para la implementación y uso de biometría como factor de autenticación electrónica. </w:t>
      </w:r>
      <w:bookmarkEnd w:id="1"/>
    </w:p>
    <w:p w14:paraId="54917A55" w14:textId="77777777" w:rsidR="00C7058B" w:rsidRPr="00FD0A6A" w:rsidRDefault="00C7058B" w:rsidP="00FD0A6A">
      <w:pPr>
        <w:pStyle w:val="Prrafodelista"/>
        <w:ind w:left="0"/>
        <w:rPr>
          <w:rFonts w:cs="Arial"/>
          <w:b/>
          <w:sz w:val="10"/>
          <w:szCs w:val="16"/>
          <w:lang w:val="es-CO"/>
        </w:rPr>
      </w:pPr>
    </w:p>
    <w:p w14:paraId="6CF4C173" w14:textId="76AA047C" w:rsidR="000019C0" w:rsidRDefault="00C7058B" w:rsidP="00B806E2">
      <w:pPr>
        <w:rPr>
          <w:rFonts w:cs="Arial"/>
          <w:bCs/>
          <w:szCs w:val="16"/>
          <w:lang w:val="es-CO"/>
        </w:rPr>
      </w:pPr>
      <w:r w:rsidRPr="00FD0A6A">
        <w:rPr>
          <w:rFonts w:cs="Arial"/>
          <w:bCs/>
          <w:szCs w:val="16"/>
          <w:lang w:val="es-CO"/>
        </w:rPr>
        <w:t xml:space="preserve">En aquellos eventos en que las entidades usen biometría como factor de autenticación electrónica, deben realizar el proceso de verificación de la identidad del cliente contra las bases de datos de la Registraduría Nacional del Estado Civil, </w:t>
      </w:r>
      <w:r w:rsidRPr="002501E2">
        <w:rPr>
          <w:rFonts w:cs="Arial"/>
          <w:bCs/>
          <w:szCs w:val="16"/>
          <w:lang w:val="es-CO"/>
        </w:rPr>
        <w:t xml:space="preserve">los operadores de servicios ciudadanos digitales o de identidad digital autorizados, o contra sus propias bases de datos. </w:t>
      </w:r>
    </w:p>
    <w:p w14:paraId="737B10F7" w14:textId="5346C0C0" w:rsidR="007047DC" w:rsidRPr="007047DC" w:rsidRDefault="007047DC" w:rsidP="007047DC">
      <w:pPr>
        <w:rPr>
          <w:rFonts w:cs="Arial"/>
          <w:szCs w:val="16"/>
        </w:rPr>
      </w:pPr>
    </w:p>
    <w:p w14:paraId="5C5D6AAD" w14:textId="06D26264" w:rsidR="007047DC" w:rsidRPr="007047DC" w:rsidRDefault="007047DC" w:rsidP="007047DC">
      <w:pPr>
        <w:rPr>
          <w:rFonts w:cs="Arial"/>
          <w:szCs w:val="16"/>
        </w:rPr>
      </w:pPr>
    </w:p>
    <w:p w14:paraId="50154D40" w14:textId="5C416F8F" w:rsidR="007047DC" w:rsidRPr="007047DC" w:rsidRDefault="007047DC" w:rsidP="007047DC">
      <w:pPr>
        <w:rPr>
          <w:rFonts w:cs="Arial"/>
          <w:szCs w:val="16"/>
        </w:rPr>
      </w:pPr>
    </w:p>
    <w:p w14:paraId="55619C96" w14:textId="1CC105F4" w:rsidR="007047DC" w:rsidRPr="007047DC" w:rsidRDefault="007047DC" w:rsidP="007047DC">
      <w:pPr>
        <w:rPr>
          <w:rFonts w:cs="Arial"/>
          <w:szCs w:val="16"/>
        </w:rPr>
      </w:pPr>
    </w:p>
    <w:p w14:paraId="340E24DA" w14:textId="1DA8966A" w:rsidR="007047DC" w:rsidRPr="007047DC" w:rsidRDefault="007047DC" w:rsidP="007047DC">
      <w:pPr>
        <w:rPr>
          <w:rFonts w:cs="Arial"/>
          <w:szCs w:val="16"/>
        </w:rPr>
      </w:pPr>
    </w:p>
    <w:p w14:paraId="679F2477" w14:textId="5F46DFC4" w:rsidR="007047DC" w:rsidRDefault="007047DC" w:rsidP="007047DC">
      <w:pPr>
        <w:rPr>
          <w:rFonts w:cs="Arial"/>
          <w:bCs/>
          <w:szCs w:val="16"/>
          <w:lang w:val="es-CO"/>
        </w:rPr>
      </w:pPr>
    </w:p>
    <w:p w14:paraId="3D0349AE" w14:textId="422E6C21" w:rsidR="007047DC" w:rsidRDefault="007047DC" w:rsidP="007047DC">
      <w:pPr>
        <w:rPr>
          <w:rFonts w:cs="Arial"/>
          <w:bCs/>
          <w:szCs w:val="16"/>
          <w:lang w:val="es-CO"/>
        </w:rPr>
      </w:pPr>
    </w:p>
    <w:p w14:paraId="09F7189D" w14:textId="677804B7" w:rsidR="007047DC" w:rsidRPr="007047DC" w:rsidRDefault="007047DC" w:rsidP="007047DC">
      <w:pPr>
        <w:tabs>
          <w:tab w:val="left" w:pos="7536"/>
        </w:tabs>
        <w:rPr>
          <w:rFonts w:cs="Arial"/>
          <w:szCs w:val="16"/>
        </w:rPr>
      </w:pPr>
      <w:r>
        <w:rPr>
          <w:rFonts w:cs="Arial"/>
          <w:szCs w:val="16"/>
        </w:rPr>
        <w:tab/>
      </w:r>
    </w:p>
    <w:sectPr w:rsidR="007047DC" w:rsidRPr="007047DC" w:rsidSect="006F2A9A">
      <w:footerReference w:type="default" r:id="rId10"/>
      <w:pgSz w:w="12240" w:h="18720" w:code="257"/>
      <w:pgMar w:top="1418" w:right="1701" w:bottom="1418" w:left="1701" w:header="1134" w:footer="1134"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856B0" w14:textId="77777777" w:rsidR="00E70F6E" w:rsidRDefault="00E70F6E">
      <w:r>
        <w:separator/>
      </w:r>
    </w:p>
  </w:endnote>
  <w:endnote w:type="continuationSeparator" w:id="0">
    <w:p w14:paraId="7C2C67D0" w14:textId="77777777" w:rsidR="00E70F6E" w:rsidRDefault="00E7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93F91" w14:textId="77777777" w:rsidR="00C7058B" w:rsidRDefault="00C7058B" w:rsidP="00D918B1">
    <w:pPr>
      <w:pStyle w:val="Piedepgina"/>
      <w:ind w:right="360"/>
      <w:rPr>
        <w:rFonts w:cs="Arial"/>
        <w:b/>
        <w:spacing w:val="20"/>
        <w:sz w:val="18"/>
        <w:szCs w:val="18"/>
      </w:rPr>
    </w:pPr>
  </w:p>
  <w:p w14:paraId="62A845D6" w14:textId="78E4BD95" w:rsidR="00C7058B" w:rsidRDefault="00C7058B" w:rsidP="00D82FD3">
    <w:pPr>
      <w:pStyle w:val="Piedepgina"/>
      <w:tabs>
        <w:tab w:val="clear" w:pos="8504"/>
        <w:tab w:val="right" w:pos="8647"/>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sidRPr="000E2384">
      <w:rPr>
        <w:rFonts w:cs="Arial"/>
        <w:b/>
        <w:spacing w:val="20"/>
        <w:sz w:val="18"/>
        <w:szCs w:val="18"/>
      </w:rPr>
      <w:tab/>
      <w:t>PÁGINA</w:t>
    </w:r>
    <w:r w:rsidR="00636DCE">
      <w:rPr>
        <w:rFonts w:cs="Arial"/>
        <w:b/>
        <w:spacing w:val="20"/>
        <w:sz w:val="18"/>
        <w:szCs w:val="18"/>
      </w:rPr>
      <w:t xml:space="preserve"> </w:t>
    </w:r>
    <w:r w:rsidR="00466376">
      <w:rPr>
        <w:rFonts w:cs="Arial"/>
        <w:b/>
        <w:spacing w:val="20"/>
        <w:sz w:val="18"/>
        <w:szCs w:val="18"/>
      </w:rPr>
      <w:t>9</w:t>
    </w:r>
    <w:r w:rsidRPr="000E2384">
      <w:rPr>
        <w:rFonts w:cs="Arial"/>
        <w:b/>
        <w:spacing w:val="20"/>
        <w:sz w:val="18"/>
        <w:szCs w:val="18"/>
      </w:rPr>
      <w:t xml:space="preserve"> </w:t>
    </w:r>
  </w:p>
  <w:p w14:paraId="6C8C0A5E" w14:textId="1D9D80E8" w:rsidR="00C7058B" w:rsidRPr="000E2384" w:rsidRDefault="00C7058B" w:rsidP="00D82FD3">
    <w:pPr>
      <w:pStyle w:val="Piedepgina"/>
      <w:tabs>
        <w:tab w:val="clear" w:pos="8504"/>
        <w:tab w:val="right" w:pos="8647"/>
      </w:tabs>
      <w:ind w:right="49"/>
      <w:rPr>
        <w:rFonts w:cs="Arial"/>
        <w:b/>
        <w:spacing w:val="20"/>
        <w:sz w:val="18"/>
        <w:szCs w:val="18"/>
      </w:rPr>
    </w:pPr>
    <w:r w:rsidRPr="000174B8">
      <w:rPr>
        <w:rFonts w:cs="Arial"/>
        <w:b/>
        <w:spacing w:val="20"/>
        <w:sz w:val="18"/>
        <w:szCs w:val="18"/>
      </w:rPr>
      <w:t>Circular Externa</w:t>
    </w:r>
    <w:r>
      <w:rPr>
        <w:rFonts w:cs="Arial"/>
        <w:b/>
        <w:spacing w:val="20"/>
        <w:sz w:val="18"/>
        <w:szCs w:val="18"/>
      </w:rPr>
      <w:t xml:space="preserve"> </w:t>
    </w:r>
    <w:r w:rsidR="00C154F8">
      <w:rPr>
        <w:rFonts w:cs="Arial"/>
        <w:b/>
        <w:spacing w:val="20"/>
        <w:sz w:val="18"/>
        <w:szCs w:val="18"/>
      </w:rPr>
      <w:t>020</w:t>
    </w:r>
    <w:r w:rsidR="00FA2EAC">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w:t>
    </w:r>
    <w:r w:rsidR="00FA2EAC">
      <w:rPr>
        <w:rFonts w:cs="Arial"/>
        <w:b/>
        <w:spacing w:val="20"/>
        <w:sz w:val="18"/>
        <w:szCs w:val="18"/>
      </w:rPr>
      <w:t>2</w:t>
    </w:r>
    <w:r>
      <w:rPr>
        <w:rFonts w:cs="Arial"/>
        <w:b/>
        <w:spacing w:val="20"/>
        <w:sz w:val="18"/>
        <w:szCs w:val="18"/>
      </w:rPr>
      <w:t>1</w:t>
    </w:r>
    <w:r>
      <w:rPr>
        <w:rFonts w:cs="Arial"/>
        <w:b/>
        <w:spacing w:val="20"/>
        <w:sz w:val="18"/>
        <w:szCs w:val="18"/>
      </w:rPr>
      <w:tab/>
    </w:r>
    <w:r>
      <w:rPr>
        <w:rFonts w:cs="Arial"/>
        <w:b/>
        <w:spacing w:val="20"/>
        <w:sz w:val="18"/>
        <w:szCs w:val="18"/>
      </w:rPr>
      <w:tab/>
    </w:r>
    <w:proofErr w:type="gramStart"/>
    <w:r w:rsidR="007834DF">
      <w:rPr>
        <w:rFonts w:cs="Arial"/>
        <w:b/>
        <w:sz w:val="18"/>
        <w:szCs w:val="18"/>
      </w:rPr>
      <w:t>Octubre</w:t>
    </w:r>
    <w:proofErr w:type="gramEnd"/>
    <w:r w:rsidR="007834DF">
      <w:rPr>
        <w:rFonts w:cs="Arial"/>
        <w:b/>
        <w:sz w:val="18"/>
        <w:szCs w:val="18"/>
      </w:rPr>
      <w:t xml:space="preserve"> </w:t>
    </w:r>
    <w:r w:rsidR="007834DF" w:rsidRPr="00CB2905">
      <w:rPr>
        <w:rFonts w:cs="Arial"/>
        <w:b/>
        <w:sz w:val="18"/>
        <w:szCs w:val="18"/>
      </w:rPr>
      <w:t>de</w:t>
    </w:r>
    <w:r w:rsidR="007834DF">
      <w:rPr>
        <w:rFonts w:cs="Arial"/>
        <w:b/>
        <w:sz w:val="18"/>
        <w:szCs w:val="18"/>
      </w:rPr>
      <w:t xml:space="preserve"> </w:t>
    </w:r>
    <w:r w:rsidR="007834DF" w:rsidRPr="00CB2905">
      <w:rPr>
        <w:rFonts w:cs="Arial"/>
        <w:b/>
        <w:sz w:val="18"/>
        <w:szCs w:val="18"/>
      </w:rPr>
      <w:t>20</w:t>
    </w:r>
    <w:r w:rsidR="007834DF">
      <w:rPr>
        <w:rFonts w:cs="Arial"/>
        <w:b/>
        <w:sz w:val="18"/>
        <w:szCs w:val="18"/>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6F3C" w14:textId="3EA26424" w:rsidR="003F0E63" w:rsidRPr="005642C0" w:rsidRDefault="007222C3" w:rsidP="00E81C66">
    <w:pPr>
      <w:pStyle w:val="Piedepgina"/>
      <w:framePr w:w="352" w:wrap="around" w:vAnchor="text" w:hAnchor="page" w:x="10071" w:y="166"/>
      <w:ind w:right="47"/>
      <w:rPr>
        <w:rStyle w:val="Nmerodepgina"/>
        <w:rFonts w:cs="Arial"/>
        <w:b/>
        <w:sz w:val="20"/>
        <w:szCs w:val="20"/>
      </w:rPr>
    </w:pPr>
    <w:r w:rsidRPr="005642C0">
      <w:rPr>
        <w:rStyle w:val="Nmerodepgina"/>
        <w:rFonts w:cs="Arial"/>
        <w:b/>
        <w:sz w:val="20"/>
        <w:szCs w:val="20"/>
      </w:rPr>
      <w:t>1</w:t>
    </w:r>
    <w:r w:rsidR="002F29AC" w:rsidRPr="005642C0">
      <w:rPr>
        <w:rStyle w:val="Nmerodepgina"/>
        <w:rFonts w:cs="Arial"/>
        <w:b/>
        <w:sz w:val="20"/>
        <w:szCs w:val="20"/>
      </w:rPr>
      <w:t>5</w:t>
    </w:r>
  </w:p>
  <w:p w14:paraId="5D873B32" w14:textId="77777777" w:rsidR="003F0E63" w:rsidRDefault="00C154F8" w:rsidP="00E81C66">
    <w:pPr>
      <w:pStyle w:val="Piedepgina"/>
      <w:tabs>
        <w:tab w:val="clear" w:pos="8504"/>
        <w:tab w:val="right" w:pos="8647"/>
      </w:tabs>
      <w:ind w:right="360"/>
      <w:rPr>
        <w:rFonts w:cs="Arial"/>
        <w:b/>
        <w:spacing w:val="20"/>
        <w:sz w:val="18"/>
        <w:szCs w:val="18"/>
      </w:rPr>
    </w:pPr>
  </w:p>
  <w:p w14:paraId="27F6C44F" w14:textId="399CA1DE" w:rsidR="00C7058B" w:rsidRDefault="007222C3" w:rsidP="00E81C66">
    <w:pPr>
      <w:pStyle w:val="Piedepgina"/>
      <w:tabs>
        <w:tab w:val="clear" w:pos="8504"/>
        <w:tab w:val="right" w:pos="8647"/>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0010557D">
      <w:rPr>
        <w:rFonts w:cs="Arial"/>
        <w:b/>
        <w:spacing w:val="20"/>
        <w:sz w:val="18"/>
        <w:szCs w:val="18"/>
      </w:rPr>
      <w:t xml:space="preserve">      </w:t>
    </w:r>
    <w:r>
      <w:rPr>
        <w:rFonts w:cs="Arial"/>
        <w:b/>
        <w:spacing w:val="20"/>
        <w:sz w:val="18"/>
        <w:szCs w:val="18"/>
      </w:rPr>
      <w:t xml:space="preserve"> </w:t>
    </w:r>
    <w:r w:rsidR="00E81C66">
      <w:rPr>
        <w:rFonts w:cs="Arial"/>
        <w:b/>
        <w:spacing w:val="20"/>
        <w:sz w:val="18"/>
        <w:szCs w:val="18"/>
      </w:rPr>
      <w:t xml:space="preserve">    </w:t>
    </w:r>
    <w:r w:rsidRPr="000E2384">
      <w:rPr>
        <w:rFonts w:cs="Arial"/>
        <w:b/>
        <w:spacing w:val="20"/>
        <w:sz w:val="18"/>
        <w:szCs w:val="18"/>
      </w:rPr>
      <w:t xml:space="preserve">PÁGINA </w:t>
    </w:r>
  </w:p>
  <w:p w14:paraId="40D5C7B1" w14:textId="6566011D" w:rsidR="003F0E63" w:rsidRPr="000E2384" w:rsidRDefault="007222C3" w:rsidP="00E81C66">
    <w:pPr>
      <w:pStyle w:val="Piedepgina"/>
      <w:tabs>
        <w:tab w:val="clear" w:pos="8504"/>
        <w:tab w:val="right" w:pos="8647"/>
      </w:tabs>
      <w:ind w:right="360"/>
      <w:rPr>
        <w:rFonts w:cs="Arial"/>
        <w:b/>
        <w:spacing w:val="20"/>
        <w:sz w:val="18"/>
        <w:szCs w:val="18"/>
      </w:rPr>
    </w:pPr>
    <w:r w:rsidRPr="000174B8">
      <w:rPr>
        <w:rFonts w:cs="Arial"/>
        <w:b/>
        <w:spacing w:val="20"/>
        <w:sz w:val="18"/>
        <w:szCs w:val="18"/>
      </w:rPr>
      <w:t xml:space="preserve">Circular Externa </w:t>
    </w:r>
    <w:r w:rsidR="00C154F8">
      <w:rPr>
        <w:rFonts w:cs="Arial"/>
        <w:b/>
        <w:spacing w:val="20"/>
        <w:sz w:val="18"/>
        <w:szCs w:val="18"/>
      </w:rPr>
      <w:t>020</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w:t>
    </w:r>
    <w:r w:rsidR="002F29AC">
      <w:rPr>
        <w:rFonts w:cs="Arial"/>
        <w:b/>
        <w:spacing w:val="20"/>
        <w:sz w:val="18"/>
        <w:szCs w:val="18"/>
      </w:rPr>
      <w:t>2</w:t>
    </w:r>
    <w:r>
      <w:rPr>
        <w:rFonts w:cs="Arial"/>
        <w:b/>
        <w:spacing w:val="20"/>
        <w:sz w:val="18"/>
        <w:szCs w:val="18"/>
      </w:rPr>
      <w:t>1</w:t>
    </w:r>
    <w:r>
      <w:rPr>
        <w:rFonts w:cs="Arial"/>
        <w:b/>
        <w:spacing w:val="20"/>
        <w:sz w:val="18"/>
        <w:szCs w:val="18"/>
      </w:rPr>
      <w:tab/>
    </w:r>
    <w:r>
      <w:rPr>
        <w:rFonts w:cs="Arial"/>
        <w:b/>
        <w:spacing w:val="20"/>
        <w:sz w:val="18"/>
        <w:szCs w:val="18"/>
      </w:rPr>
      <w:tab/>
      <w:t xml:space="preserve">                            </w:t>
    </w:r>
    <w:proofErr w:type="gramStart"/>
    <w:r w:rsidR="007834DF">
      <w:rPr>
        <w:rFonts w:cs="Arial"/>
        <w:b/>
        <w:sz w:val="18"/>
        <w:szCs w:val="18"/>
      </w:rPr>
      <w:t>Octubre</w:t>
    </w:r>
    <w:proofErr w:type="gramEnd"/>
    <w:r w:rsidR="007834DF">
      <w:rPr>
        <w:rFonts w:cs="Arial"/>
        <w:b/>
        <w:sz w:val="18"/>
        <w:szCs w:val="18"/>
      </w:rPr>
      <w:t xml:space="preserve"> </w:t>
    </w:r>
    <w:r w:rsidR="007834DF" w:rsidRPr="00CB2905">
      <w:rPr>
        <w:rFonts w:cs="Arial"/>
        <w:b/>
        <w:sz w:val="18"/>
        <w:szCs w:val="18"/>
      </w:rPr>
      <w:t>de</w:t>
    </w:r>
    <w:r w:rsidR="007834DF">
      <w:rPr>
        <w:rFonts w:cs="Arial"/>
        <w:b/>
        <w:sz w:val="18"/>
        <w:szCs w:val="18"/>
      </w:rPr>
      <w:t xml:space="preserve"> </w:t>
    </w:r>
    <w:r w:rsidR="007834DF" w:rsidRPr="00CB2905">
      <w:rPr>
        <w:rFonts w:cs="Arial"/>
        <w:b/>
        <w:sz w:val="18"/>
        <w:szCs w:val="18"/>
      </w:rPr>
      <w:t>20</w:t>
    </w:r>
    <w:r w:rsidR="007834DF">
      <w:rPr>
        <w:rFonts w:cs="Arial"/>
        <w:b/>
        <w:sz w:val="18"/>
        <w:szCs w:val="18"/>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BF026" w14:textId="77777777" w:rsidR="00E70F6E" w:rsidRDefault="00E70F6E">
      <w:r>
        <w:separator/>
      </w:r>
    </w:p>
  </w:footnote>
  <w:footnote w:type="continuationSeparator" w:id="0">
    <w:p w14:paraId="24C8B393" w14:textId="77777777" w:rsidR="00E70F6E" w:rsidRDefault="00E70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C636D" w14:textId="4D72ABA9" w:rsidR="00EE0A0B" w:rsidRPr="001C1C36" w:rsidRDefault="00EE0A0B" w:rsidP="001C1C36">
    <w:pPr>
      <w:pStyle w:val="Encabezado"/>
      <w:jc w:val="center"/>
      <w:rPr>
        <w:b/>
        <w:bCs/>
        <w:sz w:val="24"/>
        <w:szCs w:val="24"/>
        <w:lang w:val="es-ES"/>
      </w:rPr>
    </w:pPr>
    <w:r w:rsidRPr="001C1C36">
      <w:rPr>
        <w:b/>
        <w:bCs/>
        <w:sz w:val="24"/>
        <w:szCs w:val="24"/>
        <w:lang w:val="es-ES"/>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F8E9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1837A4"/>
    <w:multiLevelType w:val="hybridMultilevel"/>
    <w:tmpl w:val="B17C96A8"/>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6EF327B"/>
    <w:multiLevelType w:val="hybridMultilevel"/>
    <w:tmpl w:val="AD4825C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94A1946"/>
    <w:multiLevelType w:val="hybridMultilevel"/>
    <w:tmpl w:val="A8E04356"/>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0A37193E"/>
    <w:multiLevelType w:val="hybridMultilevel"/>
    <w:tmpl w:val="27EE4E82"/>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0B7B1779"/>
    <w:multiLevelType w:val="hybridMultilevel"/>
    <w:tmpl w:val="5536660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D273F0"/>
    <w:multiLevelType w:val="hybridMultilevel"/>
    <w:tmpl w:val="1D909A22"/>
    <w:lvl w:ilvl="0" w:tplc="7DA0E804">
      <w:start w:val="1"/>
      <w:numFmt w:val="decimal"/>
      <w:lvlText w:val="%1)"/>
      <w:lvlJc w:val="left"/>
      <w:pPr>
        <w:ind w:left="720" w:hanging="360"/>
      </w:pPr>
      <w:rPr>
        <w:b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0DDA0E72"/>
    <w:multiLevelType w:val="hybridMultilevel"/>
    <w:tmpl w:val="B1ACCB1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7A12BB0"/>
    <w:multiLevelType w:val="hybridMultilevel"/>
    <w:tmpl w:val="8162328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D520A88"/>
    <w:multiLevelType w:val="hybridMultilevel"/>
    <w:tmpl w:val="1CB0F710"/>
    <w:lvl w:ilvl="0" w:tplc="EB3A9A5A">
      <w:start w:val="1"/>
      <w:numFmt w:val="lowerLetter"/>
      <w:lvlText w:val="%1)"/>
      <w:lvlJc w:val="left"/>
      <w:pPr>
        <w:ind w:left="69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0" w15:restartNumberingAfterBreak="0">
    <w:nsid w:val="1ED879CE"/>
    <w:multiLevelType w:val="multilevel"/>
    <w:tmpl w:val="510EEAA0"/>
    <w:lvl w:ilvl="0">
      <w:start w:val="3"/>
      <w:numFmt w:val="decimal"/>
      <w:lvlText w:val="%1"/>
      <w:lvlJc w:val="left"/>
      <w:pPr>
        <w:ind w:left="360" w:hanging="360"/>
      </w:pPr>
      <w:rPr>
        <w:rFonts w:hint="default"/>
      </w:rPr>
    </w:lvl>
    <w:lvl w:ilvl="1">
      <w:start w:val="1"/>
      <w:numFmt w:val="lowerLetter"/>
      <w:lvlText w:val="%2."/>
      <w:lvlJc w:val="left"/>
      <w:pPr>
        <w:ind w:left="360" w:hanging="360"/>
      </w:pPr>
      <w:rPr>
        <w:rFonts w:ascii="Arial" w:eastAsia="MS Gothic" w:hAnsi="Arial" w:cs="Arial"/>
      </w:rPr>
    </w:lvl>
    <w:lvl w:ilvl="2">
      <w:start w:val="1"/>
      <w:numFmt w:val="lowerLetter"/>
      <w:lvlText w:val="%3."/>
      <w:lvlJc w:val="left"/>
      <w:pPr>
        <w:ind w:left="720" w:hanging="720"/>
      </w:pPr>
      <w:rPr>
        <w:rFonts w:ascii="Arial" w:eastAsia="MS Gothic" w:hAnsi="Arial" w:cs="Arial"/>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4C706E"/>
    <w:multiLevelType w:val="hybridMultilevel"/>
    <w:tmpl w:val="0C3EED44"/>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59914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0E164F"/>
    <w:multiLevelType w:val="hybridMultilevel"/>
    <w:tmpl w:val="A0100432"/>
    <w:lvl w:ilvl="0" w:tplc="2D46437E">
      <w:start w:val="1"/>
      <w:numFmt w:val="decimal"/>
      <w:lvlText w:val="%1)"/>
      <w:lvlJc w:val="left"/>
      <w:pPr>
        <w:ind w:left="720" w:hanging="360"/>
      </w:pPr>
      <w:rPr>
        <w:b w:val="0"/>
      </w:r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71345B9"/>
    <w:multiLevelType w:val="hybridMultilevel"/>
    <w:tmpl w:val="286E7358"/>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7AF2B5B"/>
    <w:multiLevelType w:val="hybridMultilevel"/>
    <w:tmpl w:val="192E5C9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D5E353B"/>
    <w:multiLevelType w:val="hybridMultilevel"/>
    <w:tmpl w:val="2F38BDA0"/>
    <w:lvl w:ilvl="0" w:tplc="5F06C3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DB64AFA"/>
    <w:multiLevelType w:val="hybridMultilevel"/>
    <w:tmpl w:val="4ADEAD4E"/>
    <w:lvl w:ilvl="0" w:tplc="0C0A0011">
      <w:start w:val="1"/>
      <w:numFmt w:val="decimal"/>
      <w:lvlText w:val="%1)"/>
      <w:lvlJc w:val="left"/>
      <w:pPr>
        <w:ind w:left="72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8" w15:restartNumberingAfterBreak="0">
    <w:nsid w:val="32CA3B6A"/>
    <w:multiLevelType w:val="hybridMultilevel"/>
    <w:tmpl w:val="37A29CE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62005F"/>
    <w:multiLevelType w:val="hybridMultilevel"/>
    <w:tmpl w:val="D54C782E"/>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7FE45EA"/>
    <w:multiLevelType w:val="hybridMultilevel"/>
    <w:tmpl w:val="ABE4B90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39826E87"/>
    <w:multiLevelType w:val="hybridMultilevel"/>
    <w:tmpl w:val="25CC7FD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A57655A"/>
    <w:multiLevelType w:val="hybridMultilevel"/>
    <w:tmpl w:val="0F46422C"/>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3BD76ED6"/>
    <w:multiLevelType w:val="hybridMultilevel"/>
    <w:tmpl w:val="C4F43920"/>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4C7B63"/>
    <w:multiLevelType w:val="hybridMultilevel"/>
    <w:tmpl w:val="B9047D6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3CA557D1"/>
    <w:multiLevelType w:val="hybridMultilevel"/>
    <w:tmpl w:val="7DC8C8AE"/>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40B52FA2"/>
    <w:multiLevelType w:val="hybridMultilevel"/>
    <w:tmpl w:val="20408C3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C72F0B"/>
    <w:multiLevelType w:val="hybridMultilevel"/>
    <w:tmpl w:val="359E6A6E"/>
    <w:lvl w:ilvl="0" w:tplc="8730D130">
      <w:start w:val="1"/>
      <w:numFmt w:val="lowerLetter"/>
      <w:lvlText w:val="%1."/>
      <w:lvlJc w:val="left"/>
      <w:pPr>
        <w:tabs>
          <w:tab w:val="num" w:pos="720"/>
        </w:tabs>
        <w:ind w:left="720" w:hanging="360"/>
      </w:pPr>
      <w:rPr>
        <w:rFonts w:ascii="Arial" w:eastAsia="MS Gothic" w:hAnsi="Arial" w:cs="Aria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7B1A02"/>
    <w:multiLevelType w:val="hybridMultilevel"/>
    <w:tmpl w:val="DF729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DF32E77"/>
    <w:multiLevelType w:val="hybridMultilevel"/>
    <w:tmpl w:val="71A646F2"/>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1D36219"/>
    <w:multiLevelType w:val="hybridMultilevel"/>
    <w:tmpl w:val="544414F6"/>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54213D9"/>
    <w:multiLevelType w:val="hybridMultilevel"/>
    <w:tmpl w:val="CCCC51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91C3F24"/>
    <w:multiLevelType w:val="hybridMultilevel"/>
    <w:tmpl w:val="2A2C325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5C0754CA"/>
    <w:multiLevelType w:val="hybridMultilevel"/>
    <w:tmpl w:val="19D2D130"/>
    <w:lvl w:ilvl="0" w:tplc="0C0A0019">
      <w:start w:val="1"/>
      <w:numFmt w:val="lowerLetter"/>
      <w:lvlText w:val="%1."/>
      <w:lvlJc w:val="left"/>
      <w:pPr>
        <w:ind w:left="142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D137AEC"/>
    <w:multiLevelType w:val="hybridMultilevel"/>
    <w:tmpl w:val="CBCAB1A6"/>
    <w:lvl w:ilvl="0" w:tplc="CD8ACFD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EE128BB"/>
    <w:multiLevelType w:val="hybridMultilevel"/>
    <w:tmpl w:val="9438D02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07127F4"/>
    <w:multiLevelType w:val="hybridMultilevel"/>
    <w:tmpl w:val="FA704B1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2BD4B20"/>
    <w:multiLevelType w:val="hybridMultilevel"/>
    <w:tmpl w:val="7DF0D9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15:restartNumberingAfterBreak="0">
    <w:nsid w:val="664A73B1"/>
    <w:multiLevelType w:val="hybridMultilevel"/>
    <w:tmpl w:val="518280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7F850A4"/>
    <w:multiLevelType w:val="hybridMultilevel"/>
    <w:tmpl w:val="C5E2FF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8DA42FC"/>
    <w:multiLevelType w:val="hybridMultilevel"/>
    <w:tmpl w:val="EA7A131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6C2176E7"/>
    <w:multiLevelType w:val="hybridMultilevel"/>
    <w:tmpl w:val="BA8E5F6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1E36881"/>
    <w:multiLevelType w:val="hybridMultilevel"/>
    <w:tmpl w:val="DA8484AC"/>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726B32D2"/>
    <w:multiLevelType w:val="hybridMultilevel"/>
    <w:tmpl w:val="A7BC7E6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7915975"/>
    <w:multiLevelType w:val="hybridMultilevel"/>
    <w:tmpl w:val="2C066D2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9AF0907"/>
    <w:multiLevelType w:val="hybridMultilevel"/>
    <w:tmpl w:val="F69A33C6"/>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B2627B7"/>
    <w:multiLevelType w:val="hybridMultilevel"/>
    <w:tmpl w:val="B3DA5AA6"/>
    <w:lvl w:ilvl="0" w:tplc="0C0A0019">
      <w:start w:val="1"/>
      <w:numFmt w:val="lowerLetter"/>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CE94797"/>
    <w:multiLevelType w:val="hybridMultilevel"/>
    <w:tmpl w:val="631CC01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15:restartNumberingAfterBreak="0">
    <w:nsid w:val="7FE13BDF"/>
    <w:multiLevelType w:val="hybridMultilevel"/>
    <w:tmpl w:val="3FA28E9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2"/>
  </w:num>
  <w:num w:numId="2">
    <w:abstractNumId w:val="27"/>
  </w:num>
  <w:num w:numId="3">
    <w:abstractNumId w:val="31"/>
  </w:num>
  <w:num w:numId="4">
    <w:abstractNumId w:val="28"/>
  </w:num>
  <w:num w:numId="5">
    <w:abstractNumId w:val="22"/>
  </w:num>
  <w:num w:numId="6">
    <w:abstractNumId w:val="10"/>
  </w:num>
  <w:num w:numId="7">
    <w:abstractNumId w:val="9"/>
  </w:num>
  <w:num w:numId="8">
    <w:abstractNumId w:val="44"/>
  </w:num>
  <w:num w:numId="9">
    <w:abstractNumId w:val="45"/>
  </w:num>
  <w:num w:numId="10">
    <w:abstractNumId w:val="3"/>
  </w:num>
  <w:num w:numId="11">
    <w:abstractNumId w:val="47"/>
  </w:num>
  <w:num w:numId="12">
    <w:abstractNumId w:val="48"/>
  </w:num>
  <w:num w:numId="13">
    <w:abstractNumId w:val="8"/>
  </w:num>
  <w:num w:numId="14">
    <w:abstractNumId w:val="40"/>
  </w:num>
  <w:num w:numId="15">
    <w:abstractNumId w:val="25"/>
  </w:num>
  <w:num w:numId="16">
    <w:abstractNumId w:val="14"/>
  </w:num>
  <w:num w:numId="17">
    <w:abstractNumId w:val="29"/>
  </w:num>
  <w:num w:numId="18">
    <w:abstractNumId w:val="23"/>
  </w:num>
  <w:num w:numId="19">
    <w:abstractNumId w:val="1"/>
  </w:num>
  <w:num w:numId="20">
    <w:abstractNumId w:val="24"/>
  </w:num>
  <w:num w:numId="21">
    <w:abstractNumId w:val="21"/>
  </w:num>
  <w:num w:numId="22">
    <w:abstractNumId w:val="42"/>
  </w:num>
  <w:num w:numId="23">
    <w:abstractNumId w:val="43"/>
  </w:num>
  <w:num w:numId="24">
    <w:abstractNumId w:val="19"/>
  </w:num>
  <w:num w:numId="25">
    <w:abstractNumId w:val="30"/>
  </w:num>
  <w:num w:numId="26">
    <w:abstractNumId w:val="36"/>
  </w:num>
  <w:num w:numId="27">
    <w:abstractNumId w:val="26"/>
  </w:num>
  <w:num w:numId="28">
    <w:abstractNumId w:val="34"/>
  </w:num>
  <w:num w:numId="29">
    <w:abstractNumId w:val="46"/>
  </w:num>
  <w:num w:numId="30">
    <w:abstractNumId w:val="33"/>
  </w:num>
  <w:num w:numId="31">
    <w:abstractNumId w:val="16"/>
  </w:num>
  <w:num w:numId="32">
    <w:abstractNumId w:val="0"/>
  </w:num>
  <w:num w:numId="33">
    <w:abstractNumId w:val="7"/>
  </w:num>
  <w:num w:numId="34">
    <w:abstractNumId w:val="5"/>
  </w:num>
  <w:num w:numId="35">
    <w:abstractNumId w:val="39"/>
  </w:num>
  <w:num w:numId="36">
    <w:abstractNumId w:val="41"/>
  </w:num>
  <w:num w:numId="37">
    <w:abstractNumId w:val="15"/>
  </w:num>
  <w:num w:numId="38">
    <w:abstractNumId w:val="38"/>
  </w:num>
  <w:num w:numId="39">
    <w:abstractNumId w:val="6"/>
  </w:num>
  <w:num w:numId="40">
    <w:abstractNumId w:val="2"/>
  </w:num>
  <w:num w:numId="41">
    <w:abstractNumId w:val="32"/>
  </w:num>
  <w:num w:numId="42">
    <w:abstractNumId w:val="11"/>
  </w:num>
  <w:num w:numId="43">
    <w:abstractNumId w:val="4"/>
  </w:num>
  <w:num w:numId="44">
    <w:abstractNumId w:val="20"/>
  </w:num>
  <w:num w:numId="45">
    <w:abstractNumId w:val="35"/>
  </w:num>
  <w:num w:numId="46">
    <w:abstractNumId w:val="17"/>
  </w:num>
  <w:num w:numId="47">
    <w:abstractNumId w:val="13"/>
  </w:num>
  <w:num w:numId="48">
    <w:abstractNumId w:val="18"/>
  </w:num>
  <w:num w:numId="49">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22"/>
    <w:rsid w:val="00000DA7"/>
    <w:rsid w:val="000019C0"/>
    <w:rsid w:val="00006332"/>
    <w:rsid w:val="00007675"/>
    <w:rsid w:val="00013473"/>
    <w:rsid w:val="00014357"/>
    <w:rsid w:val="00016B09"/>
    <w:rsid w:val="00016C1C"/>
    <w:rsid w:val="00023B8F"/>
    <w:rsid w:val="000305E4"/>
    <w:rsid w:val="00031177"/>
    <w:rsid w:val="0003565D"/>
    <w:rsid w:val="00040D02"/>
    <w:rsid w:val="0005281C"/>
    <w:rsid w:val="00052D22"/>
    <w:rsid w:val="00054403"/>
    <w:rsid w:val="00056557"/>
    <w:rsid w:val="00060F6F"/>
    <w:rsid w:val="00062B33"/>
    <w:rsid w:val="00064172"/>
    <w:rsid w:val="0007036E"/>
    <w:rsid w:val="00073257"/>
    <w:rsid w:val="00074DF3"/>
    <w:rsid w:val="00076B88"/>
    <w:rsid w:val="000778C3"/>
    <w:rsid w:val="00083A2E"/>
    <w:rsid w:val="00087D88"/>
    <w:rsid w:val="0009545F"/>
    <w:rsid w:val="000A2F68"/>
    <w:rsid w:val="000B0B2A"/>
    <w:rsid w:val="000B2B94"/>
    <w:rsid w:val="000C0FB5"/>
    <w:rsid w:val="000C1043"/>
    <w:rsid w:val="000C1F8A"/>
    <w:rsid w:val="000C25F1"/>
    <w:rsid w:val="000C306F"/>
    <w:rsid w:val="000C3BAE"/>
    <w:rsid w:val="000C4593"/>
    <w:rsid w:val="000C7222"/>
    <w:rsid w:val="000D4B1D"/>
    <w:rsid w:val="000E2384"/>
    <w:rsid w:val="000E35D7"/>
    <w:rsid w:val="000E3BDA"/>
    <w:rsid w:val="000E46B4"/>
    <w:rsid w:val="000E77AC"/>
    <w:rsid w:val="000F6702"/>
    <w:rsid w:val="000F6B76"/>
    <w:rsid w:val="000F7EF8"/>
    <w:rsid w:val="00103014"/>
    <w:rsid w:val="0010309B"/>
    <w:rsid w:val="001036CE"/>
    <w:rsid w:val="00104E75"/>
    <w:rsid w:val="0010557D"/>
    <w:rsid w:val="001116E6"/>
    <w:rsid w:val="00113AE7"/>
    <w:rsid w:val="00114742"/>
    <w:rsid w:val="00120BD4"/>
    <w:rsid w:val="00121363"/>
    <w:rsid w:val="001213B5"/>
    <w:rsid w:val="001247F5"/>
    <w:rsid w:val="00126CFB"/>
    <w:rsid w:val="00134491"/>
    <w:rsid w:val="00135230"/>
    <w:rsid w:val="001432CD"/>
    <w:rsid w:val="00146AB2"/>
    <w:rsid w:val="001506A8"/>
    <w:rsid w:val="00150778"/>
    <w:rsid w:val="0015099E"/>
    <w:rsid w:val="00150F58"/>
    <w:rsid w:val="00155A76"/>
    <w:rsid w:val="00155C2B"/>
    <w:rsid w:val="001606BD"/>
    <w:rsid w:val="001707E0"/>
    <w:rsid w:val="001723E4"/>
    <w:rsid w:val="00173E8B"/>
    <w:rsid w:val="00174A78"/>
    <w:rsid w:val="00176C59"/>
    <w:rsid w:val="00181475"/>
    <w:rsid w:val="00181776"/>
    <w:rsid w:val="00186D0A"/>
    <w:rsid w:val="00187594"/>
    <w:rsid w:val="0019043B"/>
    <w:rsid w:val="00191661"/>
    <w:rsid w:val="00192DAC"/>
    <w:rsid w:val="001930C3"/>
    <w:rsid w:val="00194B5B"/>
    <w:rsid w:val="00195B75"/>
    <w:rsid w:val="00196437"/>
    <w:rsid w:val="0019781F"/>
    <w:rsid w:val="001979AD"/>
    <w:rsid w:val="001A4825"/>
    <w:rsid w:val="001B526A"/>
    <w:rsid w:val="001B5E34"/>
    <w:rsid w:val="001C15D8"/>
    <w:rsid w:val="001C1C36"/>
    <w:rsid w:val="001C7B7E"/>
    <w:rsid w:val="001D1A22"/>
    <w:rsid w:val="001D4A0D"/>
    <w:rsid w:val="001D7E20"/>
    <w:rsid w:val="001E00B7"/>
    <w:rsid w:val="001E7184"/>
    <w:rsid w:val="001F7C4D"/>
    <w:rsid w:val="002054DC"/>
    <w:rsid w:val="00205ABE"/>
    <w:rsid w:val="00206D42"/>
    <w:rsid w:val="00212816"/>
    <w:rsid w:val="002134DF"/>
    <w:rsid w:val="0021366D"/>
    <w:rsid w:val="002214B4"/>
    <w:rsid w:val="00224874"/>
    <w:rsid w:val="0022726E"/>
    <w:rsid w:val="00230C41"/>
    <w:rsid w:val="00232D24"/>
    <w:rsid w:val="00236FF0"/>
    <w:rsid w:val="00237670"/>
    <w:rsid w:val="00245F6A"/>
    <w:rsid w:val="002464FF"/>
    <w:rsid w:val="002466E6"/>
    <w:rsid w:val="002501E2"/>
    <w:rsid w:val="00263265"/>
    <w:rsid w:val="002707A3"/>
    <w:rsid w:val="00272036"/>
    <w:rsid w:val="002820FD"/>
    <w:rsid w:val="0028279A"/>
    <w:rsid w:val="00283FBB"/>
    <w:rsid w:val="002912F3"/>
    <w:rsid w:val="002917FD"/>
    <w:rsid w:val="00295791"/>
    <w:rsid w:val="002965B8"/>
    <w:rsid w:val="002A15C5"/>
    <w:rsid w:val="002B44F7"/>
    <w:rsid w:val="002B4873"/>
    <w:rsid w:val="002B5B43"/>
    <w:rsid w:val="002D0C00"/>
    <w:rsid w:val="002D43E7"/>
    <w:rsid w:val="002E4935"/>
    <w:rsid w:val="002E4BA4"/>
    <w:rsid w:val="002E72F9"/>
    <w:rsid w:val="002F241B"/>
    <w:rsid w:val="002F29AC"/>
    <w:rsid w:val="002F577E"/>
    <w:rsid w:val="00300923"/>
    <w:rsid w:val="00304412"/>
    <w:rsid w:val="00306485"/>
    <w:rsid w:val="003114E4"/>
    <w:rsid w:val="003115C5"/>
    <w:rsid w:val="00312E5E"/>
    <w:rsid w:val="00314591"/>
    <w:rsid w:val="00317DF5"/>
    <w:rsid w:val="0032115C"/>
    <w:rsid w:val="003237D8"/>
    <w:rsid w:val="00324C54"/>
    <w:rsid w:val="00325D7E"/>
    <w:rsid w:val="00327F87"/>
    <w:rsid w:val="003317F4"/>
    <w:rsid w:val="0033613F"/>
    <w:rsid w:val="00342400"/>
    <w:rsid w:val="00342DB6"/>
    <w:rsid w:val="0034697D"/>
    <w:rsid w:val="00352076"/>
    <w:rsid w:val="00353C9D"/>
    <w:rsid w:val="00354C54"/>
    <w:rsid w:val="00355B5D"/>
    <w:rsid w:val="00355FA6"/>
    <w:rsid w:val="0035776E"/>
    <w:rsid w:val="00361EF9"/>
    <w:rsid w:val="003627C5"/>
    <w:rsid w:val="00362CE8"/>
    <w:rsid w:val="0036348B"/>
    <w:rsid w:val="00371ADF"/>
    <w:rsid w:val="00372416"/>
    <w:rsid w:val="00374959"/>
    <w:rsid w:val="00377B4F"/>
    <w:rsid w:val="00380D13"/>
    <w:rsid w:val="003834C4"/>
    <w:rsid w:val="00391603"/>
    <w:rsid w:val="00391CFB"/>
    <w:rsid w:val="0039683C"/>
    <w:rsid w:val="0039798A"/>
    <w:rsid w:val="003A1AC2"/>
    <w:rsid w:val="003A4864"/>
    <w:rsid w:val="003B094E"/>
    <w:rsid w:val="003B2FE6"/>
    <w:rsid w:val="003B678C"/>
    <w:rsid w:val="003B6AA8"/>
    <w:rsid w:val="003C2E2E"/>
    <w:rsid w:val="003C512C"/>
    <w:rsid w:val="003C5B92"/>
    <w:rsid w:val="003C6015"/>
    <w:rsid w:val="003C7935"/>
    <w:rsid w:val="003D5CC4"/>
    <w:rsid w:val="003E04FC"/>
    <w:rsid w:val="003E2A0A"/>
    <w:rsid w:val="003F09BB"/>
    <w:rsid w:val="003F188E"/>
    <w:rsid w:val="003F5366"/>
    <w:rsid w:val="003F6715"/>
    <w:rsid w:val="004009C2"/>
    <w:rsid w:val="004026B4"/>
    <w:rsid w:val="0040423D"/>
    <w:rsid w:val="0041409B"/>
    <w:rsid w:val="0041488E"/>
    <w:rsid w:val="0041526D"/>
    <w:rsid w:val="00421CA5"/>
    <w:rsid w:val="0042473F"/>
    <w:rsid w:val="0042781E"/>
    <w:rsid w:val="00427D82"/>
    <w:rsid w:val="00431EA3"/>
    <w:rsid w:val="004373C7"/>
    <w:rsid w:val="00442CB0"/>
    <w:rsid w:val="00443048"/>
    <w:rsid w:val="0044545B"/>
    <w:rsid w:val="00446B82"/>
    <w:rsid w:val="0044726D"/>
    <w:rsid w:val="004500C8"/>
    <w:rsid w:val="00451621"/>
    <w:rsid w:val="00454F8A"/>
    <w:rsid w:val="00455CEA"/>
    <w:rsid w:val="00460DC3"/>
    <w:rsid w:val="00461D50"/>
    <w:rsid w:val="00462950"/>
    <w:rsid w:val="00466376"/>
    <w:rsid w:val="00470100"/>
    <w:rsid w:val="00486D48"/>
    <w:rsid w:val="0048703B"/>
    <w:rsid w:val="004900EC"/>
    <w:rsid w:val="00492E72"/>
    <w:rsid w:val="004A03BD"/>
    <w:rsid w:val="004A3289"/>
    <w:rsid w:val="004A77FA"/>
    <w:rsid w:val="004B41BE"/>
    <w:rsid w:val="004B4F8D"/>
    <w:rsid w:val="004B53AD"/>
    <w:rsid w:val="004B5CC2"/>
    <w:rsid w:val="004B68DC"/>
    <w:rsid w:val="004C14AE"/>
    <w:rsid w:val="004C5761"/>
    <w:rsid w:val="004C6CE1"/>
    <w:rsid w:val="004C7534"/>
    <w:rsid w:val="004D549A"/>
    <w:rsid w:val="004D7C98"/>
    <w:rsid w:val="004E3D08"/>
    <w:rsid w:val="004F2D97"/>
    <w:rsid w:val="004F612E"/>
    <w:rsid w:val="004F6673"/>
    <w:rsid w:val="004F667E"/>
    <w:rsid w:val="005015B1"/>
    <w:rsid w:val="00506543"/>
    <w:rsid w:val="005105DB"/>
    <w:rsid w:val="00517905"/>
    <w:rsid w:val="00521C8B"/>
    <w:rsid w:val="00522A3F"/>
    <w:rsid w:val="005239FB"/>
    <w:rsid w:val="00526709"/>
    <w:rsid w:val="00531FE5"/>
    <w:rsid w:val="00532486"/>
    <w:rsid w:val="00543266"/>
    <w:rsid w:val="005436C3"/>
    <w:rsid w:val="005442C4"/>
    <w:rsid w:val="00550E81"/>
    <w:rsid w:val="0055488A"/>
    <w:rsid w:val="0056210B"/>
    <w:rsid w:val="005629D5"/>
    <w:rsid w:val="00562BFB"/>
    <w:rsid w:val="005642C0"/>
    <w:rsid w:val="0056437E"/>
    <w:rsid w:val="00564846"/>
    <w:rsid w:val="00565F96"/>
    <w:rsid w:val="00574669"/>
    <w:rsid w:val="005804BB"/>
    <w:rsid w:val="005825B8"/>
    <w:rsid w:val="0058666B"/>
    <w:rsid w:val="005B0CEA"/>
    <w:rsid w:val="005B5FB0"/>
    <w:rsid w:val="005C19EF"/>
    <w:rsid w:val="005C33B3"/>
    <w:rsid w:val="005C4A1B"/>
    <w:rsid w:val="005D03FF"/>
    <w:rsid w:val="005D1433"/>
    <w:rsid w:val="005D2347"/>
    <w:rsid w:val="005E1438"/>
    <w:rsid w:val="005E2E7C"/>
    <w:rsid w:val="005E477A"/>
    <w:rsid w:val="005E7809"/>
    <w:rsid w:val="005F35C9"/>
    <w:rsid w:val="00600326"/>
    <w:rsid w:val="006031B7"/>
    <w:rsid w:val="00607CB6"/>
    <w:rsid w:val="00611097"/>
    <w:rsid w:val="00612D3E"/>
    <w:rsid w:val="00614015"/>
    <w:rsid w:val="00624FE3"/>
    <w:rsid w:val="006252AC"/>
    <w:rsid w:val="006256C8"/>
    <w:rsid w:val="00627C8E"/>
    <w:rsid w:val="0063055F"/>
    <w:rsid w:val="00634727"/>
    <w:rsid w:val="00635C60"/>
    <w:rsid w:val="00636DCE"/>
    <w:rsid w:val="00640157"/>
    <w:rsid w:val="006415FE"/>
    <w:rsid w:val="006419C6"/>
    <w:rsid w:val="00641DA4"/>
    <w:rsid w:val="00643228"/>
    <w:rsid w:val="00644C63"/>
    <w:rsid w:val="00650C68"/>
    <w:rsid w:val="0065441B"/>
    <w:rsid w:val="00657569"/>
    <w:rsid w:val="00667150"/>
    <w:rsid w:val="00672083"/>
    <w:rsid w:val="00674D4A"/>
    <w:rsid w:val="006758F3"/>
    <w:rsid w:val="006768FE"/>
    <w:rsid w:val="00686E4C"/>
    <w:rsid w:val="00692000"/>
    <w:rsid w:val="006A207B"/>
    <w:rsid w:val="006A30FD"/>
    <w:rsid w:val="006A33CF"/>
    <w:rsid w:val="006A7E02"/>
    <w:rsid w:val="006B3B85"/>
    <w:rsid w:val="006B5141"/>
    <w:rsid w:val="006C150E"/>
    <w:rsid w:val="006C6F10"/>
    <w:rsid w:val="006D2853"/>
    <w:rsid w:val="006D3737"/>
    <w:rsid w:val="006D598B"/>
    <w:rsid w:val="006D64BA"/>
    <w:rsid w:val="006E053A"/>
    <w:rsid w:val="006E05B3"/>
    <w:rsid w:val="006E0B12"/>
    <w:rsid w:val="006F0DB7"/>
    <w:rsid w:val="007047DC"/>
    <w:rsid w:val="00706E5F"/>
    <w:rsid w:val="00707357"/>
    <w:rsid w:val="00710D49"/>
    <w:rsid w:val="007222C3"/>
    <w:rsid w:val="007256D4"/>
    <w:rsid w:val="00727071"/>
    <w:rsid w:val="00731BAE"/>
    <w:rsid w:val="00731C01"/>
    <w:rsid w:val="007349EE"/>
    <w:rsid w:val="00737F1F"/>
    <w:rsid w:val="007437A2"/>
    <w:rsid w:val="00753DFD"/>
    <w:rsid w:val="00760C49"/>
    <w:rsid w:val="00764FE8"/>
    <w:rsid w:val="007658F6"/>
    <w:rsid w:val="0076779C"/>
    <w:rsid w:val="00770415"/>
    <w:rsid w:val="007774AC"/>
    <w:rsid w:val="00781642"/>
    <w:rsid w:val="007834DF"/>
    <w:rsid w:val="00795CD7"/>
    <w:rsid w:val="007A14EC"/>
    <w:rsid w:val="007A3A42"/>
    <w:rsid w:val="007A6EB8"/>
    <w:rsid w:val="007B2CBB"/>
    <w:rsid w:val="007B36C6"/>
    <w:rsid w:val="007B4A82"/>
    <w:rsid w:val="007C36C0"/>
    <w:rsid w:val="007C4C45"/>
    <w:rsid w:val="007D2ED4"/>
    <w:rsid w:val="007E04B0"/>
    <w:rsid w:val="007E1D63"/>
    <w:rsid w:val="007E3115"/>
    <w:rsid w:val="007E40E3"/>
    <w:rsid w:val="007E6C9C"/>
    <w:rsid w:val="007F138C"/>
    <w:rsid w:val="007F301B"/>
    <w:rsid w:val="007F437B"/>
    <w:rsid w:val="008020A7"/>
    <w:rsid w:val="008035FA"/>
    <w:rsid w:val="0081258F"/>
    <w:rsid w:val="00812A9B"/>
    <w:rsid w:val="008139A3"/>
    <w:rsid w:val="00824127"/>
    <w:rsid w:val="0082464E"/>
    <w:rsid w:val="00825566"/>
    <w:rsid w:val="00831546"/>
    <w:rsid w:val="00832EC8"/>
    <w:rsid w:val="00842E18"/>
    <w:rsid w:val="00846556"/>
    <w:rsid w:val="00846D6C"/>
    <w:rsid w:val="008521A2"/>
    <w:rsid w:val="00854F4E"/>
    <w:rsid w:val="00856B69"/>
    <w:rsid w:val="00862400"/>
    <w:rsid w:val="008657FC"/>
    <w:rsid w:val="00866C36"/>
    <w:rsid w:val="00874F3F"/>
    <w:rsid w:val="00875DF1"/>
    <w:rsid w:val="0088119B"/>
    <w:rsid w:val="008822BC"/>
    <w:rsid w:val="00884034"/>
    <w:rsid w:val="00893869"/>
    <w:rsid w:val="008945D6"/>
    <w:rsid w:val="008954FC"/>
    <w:rsid w:val="008A27FB"/>
    <w:rsid w:val="008A374A"/>
    <w:rsid w:val="008A49C1"/>
    <w:rsid w:val="008B13CC"/>
    <w:rsid w:val="008B6707"/>
    <w:rsid w:val="008B785D"/>
    <w:rsid w:val="008C33A1"/>
    <w:rsid w:val="008D04BF"/>
    <w:rsid w:val="008E3A7F"/>
    <w:rsid w:val="008E5FF7"/>
    <w:rsid w:val="008F0C32"/>
    <w:rsid w:val="008F1109"/>
    <w:rsid w:val="008F5DAE"/>
    <w:rsid w:val="00903F9B"/>
    <w:rsid w:val="0090534D"/>
    <w:rsid w:val="009111D1"/>
    <w:rsid w:val="00916623"/>
    <w:rsid w:val="00917603"/>
    <w:rsid w:val="00931FC9"/>
    <w:rsid w:val="009418C1"/>
    <w:rsid w:val="00946CF2"/>
    <w:rsid w:val="0095181B"/>
    <w:rsid w:val="009649D5"/>
    <w:rsid w:val="00967A30"/>
    <w:rsid w:val="00982E6B"/>
    <w:rsid w:val="0098518D"/>
    <w:rsid w:val="00985261"/>
    <w:rsid w:val="00985E78"/>
    <w:rsid w:val="009969A0"/>
    <w:rsid w:val="00996CD1"/>
    <w:rsid w:val="009A164D"/>
    <w:rsid w:val="009A5912"/>
    <w:rsid w:val="009B10CA"/>
    <w:rsid w:val="009B13C4"/>
    <w:rsid w:val="009C3363"/>
    <w:rsid w:val="009D022F"/>
    <w:rsid w:val="009D0E8E"/>
    <w:rsid w:val="009D62EB"/>
    <w:rsid w:val="009D6354"/>
    <w:rsid w:val="009E08C9"/>
    <w:rsid w:val="009E462E"/>
    <w:rsid w:val="009E5AEF"/>
    <w:rsid w:val="009E75D9"/>
    <w:rsid w:val="009F322C"/>
    <w:rsid w:val="009F3290"/>
    <w:rsid w:val="009F68E0"/>
    <w:rsid w:val="009F712B"/>
    <w:rsid w:val="00A00C5A"/>
    <w:rsid w:val="00A01752"/>
    <w:rsid w:val="00A02ED1"/>
    <w:rsid w:val="00A05C44"/>
    <w:rsid w:val="00A0634B"/>
    <w:rsid w:val="00A12DF4"/>
    <w:rsid w:val="00A174FD"/>
    <w:rsid w:val="00A22E7A"/>
    <w:rsid w:val="00A2678E"/>
    <w:rsid w:val="00A336D8"/>
    <w:rsid w:val="00A33E34"/>
    <w:rsid w:val="00A375CA"/>
    <w:rsid w:val="00A379F8"/>
    <w:rsid w:val="00A42978"/>
    <w:rsid w:val="00A46492"/>
    <w:rsid w:val="00A47047"/>
    <w:rsid w:val="00A57D59"/>
    <w:rsid w:val="00A649B3"/>
    <w:rsid w:val="00A65D61"/>
    <w:rsid w:val="00A67CA3"/>
    <w:rsid w:val="00A728A5"/>
    <w:rsid w:val="00A72C66"/>
    <w:rsid w:val="00A72EA7"/>
    <w:rsid w:val="00A76179"/>
    <w:rsid w:val="00A80019"/>
    <w:rsid w:val="00A800CE"/>
    <w:rsid w:val="00A811B2"/>
    <w:rsid w:val="00A83D51"/>
    <w:rsid w:val="00AA0DCD"/>
    <w:rsid w:val="00AA3431"/>
    <w:rsid w:val="00AA3633"/>
    <w:rsid w:val="00AA4622"/>
    <w:rsid w:val="00AA6A32"/>
    <w:rsid w:val="00AA7381"/>
    <w:rsid w:val="00AB0090"/>
    <w:rsid w:val="00AB1122"/>
    <w:rsid w:val="00AB2338"/>
    <w:rsid w:val="00AB528F"/>
    <w:rsid w:val="00AC2ED0"/>
    <w:rsid w:val="00AD3E9F"/>
    <w:rsid w:val="00AD75F0"/>
    <w:rsid w:val="00AE13A1"/>
    <w:rsid w:val="00AE409F"/>
    <w:rsid w:val="00AE4733"/>
    <w:rsid w:val="00AE60EB"/>
    <w:rsid w:val="00AE68EC"/>
    <w:rsid w:val="00AE7B15"/>
    <w:rsid w:val="00AF78C5"/>
    <w:rsid w:val="00B02C74"/>
    <w:rsid w:val="00B06049"/>
    <w:rsid w:val="00B119A9"/>
    <w:rsid w:val="00B21904"/>
    <w:rsid w:val="00B34083"/>
    <w:rsid w:val="00B3535E"/>
    <w:rsid w:val="00B35672"/>
    <w:rsid w:val="00B418DF"/>
    <w:rsid w:val="00B53CE6"/>
    <w:rsid w:val="00B67793"/>
    <w:rsid w:val="00B70802"/>
    <w:rsid w:val="00B70B23"/>
    <w:rsid w:val="00B72FD5"/>
    <w:rsid w:val="00B76E13"/>
    <w:rsid w:val="00B7763F"/>
    <w:rsid w:val="00B800B0"/>
    <w:rsid w:val="00B806E2"/>
    <w:rsid w:val="00B82756"/>
    <w:rsid w:val="00B8713E"/>
    <w:rsid w:val="00B919E5"/>
    <w:rsid w:val="00B94114"/>
    <w:rsid w:val="00B959C8"/>
    <w:rsid w:val="00B9797E"/>
    <w:rsid w:val="00BA1140"/>
    <w:rsid w:val="00BB2FEC"/>
    <w:rsid w:val="00BB51E6"/>
    <w:rsid w:val="00BB6D55"/>
    <w:rsid w:val="00BC2CCE"/>
    <w:rsid w:val="00BC32F2"/>
    <w:rsid w:val="00BC4A05"/>
    <w:rsid w:val="00BC664C"/>
    <w:rsid w:val="00BD1BA8"/>
    <w:rsid w:val="00BD58BE"/>
    <w:rsid w:val="00BE29F7"/>
    <w:rsid w:val="00BE5217"/>
    <w:rsid w:val="00BF0413"/>
    <w:rsid w:val="00BF126E"/>
    <w:rsid w:val="00C00B5E"/>
    <w:rsid w:val="00C011F8"/>
    <w:rsid w:val="00C100B4"/>
    <w:rsid w:val="00C14A2F"/>
    <w:rsid w:val="00C154F8"/>
    <w:rsid w:val="00C21747"/>
    <w:rsid w:val="00C22BAA"/>
    <w:rsid w:val="00C22BD9"/>
    <w:rsid w:val="00C26B2A"/>
    <w:rsid w:val="00C31CC7"/>
    <w:rsid w:val="00C37AB4"/>
    <w:rsid w:val="00C406A1"/>
    <w:rsid w:val="00C40FE5"/>
    <w:rsid w:val="00C56FFA"/>
    <w:rsid w:val="00C57A6C"/>
    <w:rsid w:val="00C57B24"/>
    <w:rsid w:val="00C600D4"/>
    <w:rsid w:val="00C601D1"/>
    <w:rsid w:val="00C61B4F"/>
    <w:rsid w:val="00C62804"/>
    <w:rsid w:val="00C6333E"/>
    <w:rsid w:val="00C645C2"/>
    <w:rsid w:val="00C66801"/>
    <w:rsid w:val="00C7058B"/>
    <w:rsid w:val="00C7397A"/>
    <w:rsid w:val="00C75915"/>
    <w:rsid w:val="00C76715"/>
    <w:rsid w:val="00C76B54"/>
    <w:rsid w:val="00C81137"/>
    <w:rsid w:val="00C8243A"/>
    <w:rsid w:val="00C8532E"/>
    <w:rsid w:val="00C91AF5"/>
    <w:rsid w:val="00C91B0C"/>
    <w:rsid w:val="00C95DA1"/>
    <w:rsid w:val="00CA15A9"/>
    <w:rsid w:val="00CA390C"/>
    <w:rsid w:val="00CA5925"/>
    <w:rsid w:val="00CA5CE0"/>
    <w:rsid w:val="00CC1F5D"/>
    <w:rsid w:val="00CD0363"/>
    <w:rsid w:val="00CD074C"/>
    <w:rsid w:val="00CD3152"/>
    <w:rsid w:val="00CE1B8D"/>
    <w:rsid w:val="00CF2078"/>
    <w:rsid w:val="00CF2097"/>
    <w:rsid w:val="00CF25B5"/>
    <w:rsid w:val="00CF50D3"/>
    <w:rsid w:val="00CF50DD"/>
    <w:rsid w:val="00D0488F"/>
    <w:rsid w:val="00D068CE"/>
    <w:rsid w:val="00D16AC0"/>
    <w:rsid w:val="00D16C8B"/>
    <w:rsid w:val="00D16F43"/>
    <w:rsid w:val="00D21114"/>
    <w:rsid w:val="00D22D05"/>
    <w:rsid w:val="00D30A22"/>
    <w:rsid w:val="00D33490"/>
    <w:rsid w:val="00D36A1D"/>
    <w:rsid w:val="00D37ECA"/>
    <w:rsid w:val="00D410D5"/>
    <w:rsid w:val="00D4304F"/>
    <w:rsid w:val="00D458DC"/>
    <w:rsid w:val="00D469A9"/>
    <w:rsid w:val="00D519C3"/>
    <w:rsid w:val="00D54EDD"/>
    <w:rsid w:val="00D54FED"/>
    <w:rsid w:val="00D560F1"/>
    <w:rsid w:val="00D56C5F"/>
    <w:rsid w:val="00D62B02"/>
    <w:rsid w:val="00D72A8E"/>
    <w:rsid w:val="00D72EB9"/>
    <w:rsid w:val="00D762FE"/>
    <w:rsid w:val="00D77694"/>
    <w:rsid w:val="00D816C5"/>
    <w:rsid w:val="00D85A2F"/>
    <w:rsid w:val="00D90437"/>
    <w:rsid w:val="00D918B1"/>
    <w:rsid w:val="00D93AE1"/>
    <w:rsid w:val="00D93E07"/>
    <w:rsid w:val="00D9695F"/>
    <w:rsid w:val="00DA15FD"/>
    <w:rsid w:val="00DA4277"/>
    <w:rsid w:val="00DB46CE"/>
    <w:rsid w:val="00DC1B25"/>
    <w:rsid w:val="00DC57F6"/>
    <w:rsid w:val="00DC6848"/>
    <w:rsid w:val="00DC7BA4"/>
    <w:rsid w:val="00DD5024"/>
    <w:rsid w:val="00DD5425"/>
    <w:rsid w:val="00DE4D33"/>
    <w:rsid w:val="00DF1570"/>
    <w:rsid w:val="00DF4A5A"/>
    <w:rsid w:val="00DF6F4F"/>
    <w:rsid w:val="00E045F0"/>
    <w:rsid w:val="00E15818"/>
    <w:rsid w:val="00E205EE"/>
    <w:rsid w:val="00E23FE0"/>
    <w:rsid w:val="00E25427"/>
    <w:rsid w:val="00E270D1"/>
    <w:rsid w:val="00E315C8"/>
    <w:rsid w:val="00E324E4"/>
    <w:rsid w:val="00E436E7"/>
    <w:rsid w:val="00E51B87"/>
    <w:rsid w:val="00E6031E"/>
    <w:rsid w:val="00E60C63"/>
    <w:rsid w:val="00E62A89"/>
    <w:rsid w:val="00E70CFA"/>
    <w:rsid w:val="00E70F6E"/>
    <w:rsid w:val="00E75137"/>
    <w:rsid w:val="00E754D0"/>
    <w:rsid w:val="00E75C4F"/>
    <w:rsid w:val="00E77096"/>
    <w:rsid w:val="00E77883"/>
    <w:rsid w:val="00E8191F"/>
    <w:rsid w:val="00E81C66"/>
    <w:rsid w:val="00E85782"/>
    <w:rsid w:val="00E87338"/>
    <w:rsid w:val="00E87E88"/>
    <w:rsid w:val="00E9229C"/>
    <w:rsid w:val="00E93902"/>
    <w:rsid w:val="00E948FC"/>
    <w:rsid w:val="00E9774D"/>
    <w:rsid w:val="00EA145D"/>
    <w:rsid w:val="00EA67AA"/>
    <w:rsid w:val="00EA67B8"/>
    <w:rsid w:val="00EA7E82"/>
    <w:rsid w:val="00EB7F00"/>
    <w:rsid w:val="00EC2A9F"/>
    <w:rsid w:val="00EC66E8"/>
    <w:rsid w:val="00ED2666"/>
    <w:rsid w:val="00ED3226"/>
    <w:rsid w:val="00EE06CC"/>
    <w:rsid w:val="00EE0A0B"/>
    <w:rsid w:val="00EE0E9D"/>
    <w:rsid w:val="00EE18FB"/>
    <w:rsid w:val="00EE3CBA"/>
    <w:rsid w:val="00EE546B"/>
    <w:rsid w:val="00EE623D"/>
    <w:rsid w:val="00EF3E2A"/>
    <w:rsid w:val="00EF4053"/>
    <w:rsid w:val="00EF4A9A"/>
    <w:rsid w:val="00EF5F78"/>
    <w:rsid w:val="00F07DF3"/>
    <w:rsid w:val="00F153F3"/>
    <w:rsid w:val="00F20CE7"/>
    <w:rsid w:val="00F20E85"/>
    <w:rsid w:val="00F25587"/>
    <w:rsid w:val="00F27AB9"/>
    <w:rsid w:val="00F303A8"/>
    <w:rsid w:val="00F305A5"/>
    <w:rsid w:val="00F308AE"/>
    <w:rsid w:val="00F3122A"/>
    <w:rsid w:val="00F312F8"/>
    <w:rsid w:val="00F330BC"/>
    <w:rsid w:val="00F34A8D"/>
    <w:rsid w:val="00F41C1E"/>
    <w:rsid w:val="00F41E12"/>
    <w:rsid w:val="00F435E8"/>
    <w:rsid w:val="00F43E2F"/>
    <w:rsid w:val="00F508DB"/>
    <w:rsid w:val="00F53F63"/>
    <w:rsid w:val="00F562D4"/>
    <w:rsid w:val="00F62AA0"/>
    <w:rsid w:val="00F637C8"/>
    <w:rsid w:val="00F66A56"/>
    <w:rsid w:val="00F67BD7"/>
    <w:rsid w:val="00F706E1"/>
    <w:rsid w:val="00F73246"/>
    <w:rsid w:val="00F766F5"/>
    <w:rsid w:val="00F85E02"/>
    <w:rsid w:val="00F9043B"/>
    <w:rsid w:val="00F92517"/>
    <w:rsid w:val="00F92925"/>
    <w:rsid w:val="00F939D7"/>
    <w:rsid w:val="00F94C18"/>
    <w:rsid w:val="00F95F3E"/>
    <w:rsid w:val="00FA291E"/>
    <w:rsid w:val="00FA2EAC"/>
    <w:rsid w:val="00FA4A45"/>
    <w:rsid w:val="00FA662C"/>
    <w:rsid w:val="00FB08E9"/>
    <w:rsid w:val="00FB18C0"/>
    <w:rsid w:val="00FB2AEA"/>
    <w:rsid w:val="00FB3C36"/>
    <w:rsid w:val="00FB673F"/>
    <w:rsid w:val="00FB6B38"/>
    <w:rsid w:val="00FC2A21"/>
    <w:rsid w:val="00FC561E"/>
    <w:rsid w:val="00FC6700"/>
    <w:rsid w:val="00FD0A6A"/>
    <w:rsid w:val="00FD6004"/>
    <w:rsid w:val="00FD654A"/>
    <w:rsid w:val="00FE00C5"/>
    <w:rsid w:val="00FE170B"/>
    <w:rsid w:val="00FE2E49"/>
    <w:rsid w:val="00FE5FE4"/>
    <w:rsid w:val="00FF5803"/>
    <w:rsid w:val="00FF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6C43844C"/>
  <w15:docId w15:val="{82732873-C963-4BA1-B966-0D4726D75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Gothic" w:hAnsi="Calibri"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Descripcin">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013473"/>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character" w:customStyle="1" w:styleId="EncabezadoCar">
    <w:name w:val="Encabezado Car"/>
    <w:link w:val="Encabezado"/>
    <w:rsid w:val="003F09BB"/>
    <w:rPr>
      <w:rFonts w:ascii="Arial" w:hAnsi="Arial"/>
      <w:sz w:val="16"/>
      <w:szCs w:val="22"/>
      <w:lang w:val="es-ES_tradnl" w:eastAsia="es-ES"/>
    </w:rPr>
  </w:style>
  <w:style w:type="paragraph" w:styleId="Prrafodelista">
    <w:name w:val="List Paragraph"/>
    <w:basedOn w:val="Normal"/>
    <w:uiPriority w:val="34"/>
    <w:qFormat/>
    <w:rsid w:val="00C7058B"/>
    <w:pPr>
      <w:ind w:left="720"/>
      <w:contextualSpacing/>
    </w:pPr>
  </w:style>
  <w:style w:type="character" w:customStyle="1" w:styleId="Ninguno">
    <w:name w:val="Ninguno"/>
    <w:rsid w:val="001C15D8"/>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969442">
      <w:bodyDiv w:val="1"/>
      <w:marLeft w:val="0"/>
      <w:marRight w:val="0"/>
      <w:marTop w:val="0"/>
      <w:marBottom w:val="0"/>
      <w:divBdr>
        <w:top w:val="none" w:sz="0" w:space="0" w:color="auto"/>
        <w:left w:val="none" w:sz="0" w:space="0" w:color="auto"/>
        <w:bottom w:val="none" w:sz="0" w:space="0" w:color="auto"/>
        <w:right w:val="none" w:sz="0" w:space="0" w:color="auto"/>
      </w:divBdr>
    </w:div>
    <w:div w:id="244537824">
      <w:bodyDiv w:val="1"/>
      <w:marLeft w:val="0"/>
      <w:marRight w:val="0"/>
      <w:marTop w:val="0"/>
      <w:marBottom w:val="0"/>
      <w:divBdr>
        <w:top w:val="none" w:sz="0" w:space="0" w:color="auto"/>
        <w:left w:val="none" w:sz="0" w:space="0" w:color="auto"/>
        <w:bottom w:val="none" w:sz="0" w:space="0" w:color="auto"/>
        <w:right w:val="none" w:sz="0" w:space="0" w:color="auto"/>
      </w:divBdr>
    </w:div>
    <w:div w:id="430442258">
      <w:bodyDiv w:val="1"/>
      <w:marLeft w:val="0"/>
      <w:marRight w:val="0"/>
      <w:marTop w:val="0"/>
      <w:marBottom w:val="0"/>
      <w:divBdr>
        <w:top w:val="none" w:sz="0" w:space="0" w:color="auto"/>
        <w:left w:val="none" w:sz="0" w:space="0" w:color="auto"/>
        <w:bottom w:val="none" w:sz="0" w:space="0" w:color="auto"/>
        <w:right w:val="none" w:sz="0" w:space="0" w:color="auto"/>
      </w:divBdr>
    </w:div>
    <w:div w:id="850224905">
      <w:bodyDiv w:val="1"/>
      <w:marLeft w:val="0"/>
      <w:marRight w:val="0"/>
      <w:marTop w:val="0"/>
      <w:marBottom w:val="0"/>
      <w:divBdr>
        <w:top w:val="none" w:sz="0" w:space="0" w:color="auto"/>
        <w:left w:val="none" w:sz="0" w:space="0" w:color="auto"/>
        <w:bottom w:val="none" w:sz="0" w:space="0" w:color="auto"/>
        <w:right w:val="none" w:sz="0" w:space="0" w:color="auto"/>
      </w:divBdr>
    </w:div>
    <w:div w:id="886112353">
      <w:bodyDiv w:val="1"/>
      <w:marLeft w:val="0"/>
      <w:marRight w:val="0"/>
      <w:marTop w:val="0"/>
      <w:marBottom w:val="0"/>
      <w:divBdr>
        <w:top w:val="none" w:sz="0" w:space="0" w:color="auto"/>
        <w:left w:val="none" w:sz="0" w:space="0" w:color="auto"/>
        <w:bottom w:val="none" w:sz="0" w:space="0" w:color="auto"/>
        <w:right w:val="none" w:sz="0" w:space="0" w:color="auto"/>
      </w:divBdr>
    </w:div>
    <w:div w:id="1011833797">
      <w:bodyDiv w:val="1"/>
      <w:marLeft w:val="0"/>
      <w:marRight w:val="0"/>
      <w:marTop w:val="0"/>
      <w:marBottom w:val="0"/>
      <w:divBdr>
        <w:top w:val="none" w:sz="0" w:space="0" w:color="auto"/>
        <w:left w:val="none" w:sz="0" w:space="0" w:color="auto"/>
        <w:bottom w:val="none" w:sz="0" w:space="0" w:color="auto"/>
        <w:right w:val="none" w:sz="0" w:space="0" w:color="auto"/>
      </w:divBdr>
      <w:divsChild>
        <w:div w:id="612172371">
          <w:marLeft w:val="0"/>
          <w:marRight w:val="0"/>
          <w:marTop w:val="0"/>
          <w:marBottom w:val="150"/>
          <w:divBdr>
            <w:top w:val="none" w:sz="0" w:space="0" w:color="auto"/>
            <w:left w:val="none" w:sz="0" w:space="0" w:color="auto"/>
            <w:bottom w:val="none" w:sz="0" w:space="0" w:color="auto"/>
            <w:right w:val="none" w:sz="0" w:space="0" w:color="auto"/>
          </w:divBdr>
        </w:div>
        <w:div w:id="2138253279">
          <w:marLeft w:val="0"/>
          <w:marRight w:val="0"/>
          <w:marTop w:val="0"/>
          <w:marBottom w:val="0"/>
          <w:divBdr>
            <w:top w:val="none" w:sz="0" w:space="0" w:color="auto"/>
            <w:left w:val="none" w:sz="0" w:space="0" w:color="auto"/>
            <w:bottom w:val="none" w:sz="0" w:space="0" w:color="auto"/>
            <w:right w:val="none" w:sz="0" w:space="0" w:color="auto"/>
          </w:divBdr>
        </w:div>
      </w:divsChild>
    </w:div>
    <w:div w:id="1027219272">
      <w:bodyDiv w:val="1"/>
      <w:marLeft w:val="0"/>
      <w:marRight w:val="0"/>
      <w:marTop w:val="0"/>
      <w:marBottom w:val="0"/>
      <w:divBdr>
        <w:top w:val="none" w:sz="0" w:space="0" w:color="auto"/>
        <w:left w:val="none" w:sz="0" w:space="0" w:color="auto"/>
        <w:bottom w:val="none" w:sz="0" w:space="0" w:color="auto"/>
        <w:right w:val="none" w:sz="0" w:space="0" w:color="auto"/>
      </w:divBdr>
    </w:div>
    <w:div w:id="1271622639">
      <w:bodyDiv w:val="1"/>
      <w:marLeft w:val="0"/>
      <w:marRight w:val="0"/>
      <w:marTop w:val="0"/>
      <w:marBottom w:val="0"/>
      <w:divBdr>
        <w:top w:val="none" w:sz="0" w:space="0" w:color="auto"/>
        <w:left w:val="none" w:sz="0" w:space="0" w:color="auto"/>
        <w:bottom w:val="none" w:sz="0" w:space="0" w:color="auto"/>
        <w:right w:val="none" w:sz="0" w:space="0" w:color="auto"/>
      </w:divBdr>
    </w:div>
    <w:div w:id="1278945894">
      <w:bodyDiv w:val="1"/>
      <w:marLeft w:val="0"/>
      <w:marRight w:val="0"/>
      <w:marTop w:val="0"/>
      <w:marBottom w:val="0"/>
      <w:divBdr>
        <w:top w:val="none" w:sz="0" w:space="0" w:color="auto"/>
        <w:left w:val="none" w:sz="0" w:space="0" w:color="auto"/>
        <w:bottom w:val="none" w:sz="0" w:space="0" w:color="auto"/>
        <w:right w:val="none" w:sz="0" w:space="0" w:color="auto"/>
      </w:divBdr>
      <w:divsChild>
        <w:div w:id="283971292">
          <w:marLeft w:val="0"/>
          <w:marRight w:val="0"/>
          <w:marTop w:val="0"/>
          <w:marBottom w:val="0"/>
          <w:divBdr>
            <w:top w:val="none" w:sz="0" w:space="0" w:color="auto"/>
            <w:left w:val="none" w:sz="0" w:space="0" w:color="auto"/>
            <w:bottom w:val="none" w:sz="0" w:space="0" w:color="auto"/>
            <w:right w:val="none" w:sz="0" w:space="0" w:color="auto"/>
          </w:divBdr>
        </w:div>
        <w:div w:id="550456751">
          <w:marLeft w:val="0"/>
          <w:marRight w:val="0"/>
          <w:marTop w:val="0"/>
          <w:marBottom w:val="0"/>
          <w:divBdr>
            <w:top w:val="none" w:sz="0" w:space="0" w:color="auto"/>
            <w:left w:val="none" w:sz="0" w:space="0" w:color="auto"/>
            <w:bottom w:val="none" w:sz="0" w:space="0" w:color="auto"/>
            <w:right w:val="none" w:sz="0" w:space="0" w:color="auto"/>
          </w:divBdr>
        </w:div>
        <w:div w:id="1460957569">
          <w:marLeft w:val="0"/>
          <w:marRight w:val="0"/>
          <w:marTop w:val="0"/>
          <w:marBottom w:val="0"/>
          <w:divBdr>
            <w:top w:val="none" w:sz="0" w:space="0" w:color="auto"/>
            <w:left w:val="none" w:sz="0" w:space="0" w:color="auto"/>
            <w:bottom w:val="none" w:sz="0" w:space="0" w:color="auto"/>
            <w:right w:val="none" w:sz="0" w:space="0" w:color="auto"/>
          </w:divBdr>
        </w:div>
        <w:div w:id="1617322580">
          <w:marLeft w:val="0"/>
          <w:marRight w:val="0"/>
          <w:marTop w:val="0"/>
          <w:marBottom w:val="0"/>
          <w:divBdr>
            <w:top w:val="none" w:sz="0" w:space="0" w:color="auto"/>
            <w:left w:val="none" w:sz="0" w:space="0" w:color="auto"/>
            <w:bottom w:val="none" w:sz="0" w:space="0" w:color="auto"/>
            <w:right w:val="none" w:sz="0" w:space="0" w:color="auto"/>
          </w:divBdr>
        </w:div>
      </w:divsChild>
    </w:div>
    <w:div w:id="1286808625">
      <w:bodyDiv w:val="1"/>
      <w:marLeft w:val="0"/>
      <w:marRight w:val="0"/>
      <w:marTop w:val="0"/>
      <w:marBottom w:val="0"/>
      <w:divBdr>
        <w:top w:val="none" w:sz="0" w:space="0" w:color="auto"/>
        <w:left w:val="none" w:sz="0" w:space="0" w:color="auto"/>
        <w:bottom w:val="none" w:sz="0" w:space="0" w:color="auto"/>
        <w:right w:val="none" w:sz="0" w:space="0" w:color="auto"/>
      </w:divBdr>
    </w:div>
    <w:div w:id="1302419633">
      <w:bodyDiv w:val="1"/>
      <w:marLeft w:val="0"/>
      <w:marRight w:val="0"/>
      <w:marTop w:val="0"/>
      <w:marBottom w:val="0"/>
      <w:divBdr>
        <w:top w:val="none" w:sz="0" w:space="0" w:color="auto"/>
        <w:left w:val="none" w:sz="0" w:space="0" w:color="auto"/>
        <w:bottom w:val="none" w:sz="0" w:space="0" w:color="auto"/>
        <w:right w:val="none" w:sz="0" w:space="0" w:color="auto"/>
      </w:divBdr>
    </w:div>
    <w:div w:id="1506244867">
      <w:bodyDiv w:val="1"/>
      <w:marLeft w:val="0"/>
      <w:marRight w:val="0"/>
      <w:marTop w:val="0"/>
      <w:marBottom w:val="0"/>
      <w:divBdr>
        <w:top w:val="none" w:sz="0" w:space="0" w:color="auto"/>
        <w:left w:val="none" w:sz="0" w:space="0" w:color="auto"/>
        <w:bottom w:val="none" w:sz="0" w:space="0" w:color="auto"/>
        <w:right w:val="none" w:sz="0" w:space="0" w:color="auto"/>
      </w:divBdr>
    </w:div>
    <w:div w:id="211971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1BADF-907C-4BF7-BFB4-C2459020B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1411</Words>
  <Characters>8366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CAPITULO CUARTO: REGIMEN DE OFICINAS</vt:lpstr>
    </vt:vector>
  </TitlesOfParts>
  <Company/>
  <LinksUpToDate>false</LinksUpToDate>
  <CharactersWithSpaces>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REGIMEN DE OFICINAS</dc:title>
  <dc:subject/>
  <dc:creator>Soporte Técnico</dc:creator>
  <cp:keywords/>
  <cp:lastModifiedBy>Gabriel Armando Ospina Garcia</cp:lastModifiedBy>
  <cp:revision>4</cp:revision>
  <cp:lastPrinted>2013-11-07T14:15:00Z</cp:lastPrinted>
  <dcterms:created xsi:type="dcterms:W3CDTF">2021-10-08T22:23:00Z</dcterms:created>
  <dcterms:modified xsi:type="dcterms:W3CDTF">2021-10-09T02:18:00Z</dcterms:modified>
</cp:coreProperties>
</file>