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F24BB" w14:textId="77777777" w:rsidR="000424F7" w:rsidRPr="006D5835" w:rsidRDefault="000424F7" w:rsidP="000424F7">
      <w:pPr>
        <w:jc w:val="center"/>
        <w:rPr>
          <w:rFonts w:ascii="Arial" w:hAnsi="Arial" w:cs="Arial"/>
          <w:b/>
        </w:rPr>
      </w:pPr>
      <w:r>
        <w:rPr>
          <w:rFonts w:ascii="Arial" w:hAnsi="Arial" w:cs="Arial"/>
          <w:b/>
        </w:rPr>
        <w:t>A</w:t>
      </w:r>
      <w:r w:rsidRPr="000B1760">
        <w:rPr>
          <w:rFonts w:ascii="Arial" w:hAnsi="Arial" w:cs="Arial"/>
          <w:b/>
        </w:rPr>
        <w:t>NEXO TÉCNICO No</w:t>
      </w:r>
      <w:r>
        <w:rPr>
          <w:rFonts w:ascii="Arial" w:hAnsi="Arial" w:cs="Arial"/>
          <w:b/>
        </w:rPr>
        <w:t xml:space="preserve"> 2</w:t>
      </w:r>
      <w:r w:rsidRPr="000B1760">
        <w:rPr>
          <w:rFonts w:ascii="Arial" w:hAnsi="Arial" w:cs="Arial"/>
          <w:b/>
        </w:rPr>
        <w:t>.</w:t>
      </w:r>
    </w:p>
    <w:p w14:paraId="3CF0E756" w14:textId="77777777" w:rsidR="000424F7" w:rsidRPr="006D5835" w:rsidRDefault="000424F7" w:rsidP="000424F7">
      <w:pPr>
        <w:jc w:val="center"/>
        <w:rPr>
          <w:rFonts w:ascii="Arial" w:hAnsi="Arial" w:cs="Arial"/>
          <w:sz w:val="18"/>
        </w:rPr>
      </w:pPr>
    </w:p>
    <w:p w14:paraId="00E79A13" w14:textId="77777777" w:rsidR="000424F7" w:rsidRPr="006D5835" w:rsidRDefault="000424F7" w:rsidP="000424F7">
      <w:pPr>
        <w:jc w:val="center"/>
        <w:rPr>
          <w:rFonts w:ascii="Arial" w:hAnsi="Arial" w:cs="Arial"/>
          <w:sz w:val="18"/>
        </w:rPr>
      </w:pPr>
      <w:r w:rsidRPr="00081BC3">
        <w:rPr>
          <w:rFonts w:ascii="Arial" w:hAnsi="Arial" w:cs="Arial"/>
          <w:sz w:val="18"/>
        </w:rPr>
        <w:t xml:space="preserve">(Elaborado con base en el </w:t>
      </w:r>
      <w:r>
        <w:rPr>
          <w:rFonts w:ascii="Arial" w:hAnsi="Arial" w:cs="Arial"/>
          <w:sz w:val="18"/>
        </w:rPr>
        <w:t>Anexo No.</w:t>
      </w:r>
      <w:proofErr w:type="gramStart"/>
      <w:r>
        <w:rPr>
          <w:rFonts w:ascii="Arial" w:hAnsi="Arial" w:cs="Arial"/>
          <w:sz w:val="18"/>
        </w:rPr>
        <w:t xml:space="preserve">1 </w:t>
      </w:r>
      <w:r w:rsidRPr="00081BC3">
        <w:rPr>
          <w:rFonts w:ascii="Arial" w:hAnsi="Arial" w:cs="Arial"/>
          <w:sz w:val="18"/>
        </w:rPr>
        <w:t xml:space="preserve"> “</w:t>
      </w:r>
      <w:proofErr w:type="gramEnd"/>
      <w:r w:rsidRPr="004341BF">
        <w:rPr>
          <w:rFonts w:ascii="Arial" w:hAnsi="Arial" w:cs="Arial"/>
          <w:sz w:val="18"/>
        </w:rPr>
        <w:t>MANUAL PARA LA ELABORACIÓN DE TEXTOS NORMATIVOS-PROYECTOS DE DECRETO Y RESOLUCIÓN”</w:t>
      </w:r>
      <w:r>
        <w:rPr>
          <w:rFonts w:ascii="Arial" w:hAnsi="Arial" w:cs="Arial"/>
          <w:sz w:val="18"/>
        </w:rPr>
        <w:t xml:space="preserve">, adoptado mediante Decreto 1081 de 2015, modificado por Decreto 1609 del mismo año </w:t>
      </w:r>
      <w:r w:rsidRPr="00081BC3">
        <w:rPr>
          <w:rFonts w:ascii="Arial" w:hAnsi="Arial" w:cs="Arial"/>
          <w:sz w:val="18"/>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00"/>
      </w:tblGrid>
      <w:tr w:rsidR="000424F7" w14:paraId="560AACCF" w14:textId="77777777" w:rsidTr="004736CC">
        <w:trPr>
          <w:trHeight w:val="334"/>
        </w:trPr>
        <w:tc>
          <w:tcPr>
            <w:tcW w:w="9073" w:type="dxa"/>
          </w:tcPr>
          <w:p w14:paraId="500E777C" w14:textId="77777777" w:rsidR="000424F7" w:rsidRPr="006D5835" w:rsidRDefault="000424F7" w:rsidP="004736CC">
            <w:pPr>
              <w:jc w:val="center"/>
              <w:rPr>
                <w:rFonts w:ascii="Arial" w:hAnsi="Arial" w:cs="Arial"/>
                <w:b/>
                <w:szCs w:val="24"/>
              </w:rPr>
            </w:pPr>
            <w:r w:rsidRPr="00364268">
              <w:rPr>
                <w:rFonts w:ascii="Arial" w:hAnsi="Arial" w:cs="Arial"/>
                <w:b/>
                <w:sz w:val="20"/>
              </w:rPr>
              <w:t>FORMATO ÚNICO DE MEMORIA JUSTIFICATIVA</w:t>
            </w:r>
          </w:p>
        </w:tc>
      </w:tr>
      <w:tr w:rsidR="000424F7" w14:paraId="3442F175" w14:textId="77777777" w:rsidTr="004736CC">
        <w:trPr>
          <w:trHeight w:val="2111"/>
        </w:trPr>
        <w:tc>
          <w:tcPr>
            <w:tcW w:w="9073" w:type="dxa"/>
          </w:tcPr>
          <w:p w14:paraId="7294618E" w14:textId="77777777" w:rsidR="000424F7" w:rsidRPr="006D5835" w:rsidRDefault="000424F7" w:rsidP="004736CC">
            <w:pPr>
              <w:jc w:val="center"/>
              <w:rPr>
                <w:rFonts w:ascii="Arial" w:hAnsi="Arial" w:cs="Arial"/>
                <w:b/>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50"/>
            </w:tblGrid>
            <w:tr w:rsidR="000424F7" w14:paraId="6BEA6649" w14:textId="77777777" w:rsidTr="004736CC">
              <w:trPr>
                <w:trHeight w:val="645"/>
              </w:trPr>
              <w:tc>
                <w:tcPr>
                  <w:tcW w:w="8550" w:type="dxa"/>
                </w:tcPr>
                <w:p w14:paraId="416F750E" w14:textId="77777777" w:rsidR="000424F7" w:rsidRPr="006D5835" w:rsidRDefault="000424F7" w:rsidP="004736CC">
                  <w:pPr>
                    <w:pStyle w:val="Prrafodelista"/>
                    <w:numPr>
                      <w:ilvl w:val="0"/>
                      <w:numId w:val="1"/>
                    </w:numPr>
                    <w:ind w:left="358" w:hanging="284"/>
                    <w:rPr>
                      <w:rFonts w:ascii="Arial" w:hAnsi="Arial" w:cs="Arial"/>
                      <w:b/>
                      <w:sz w:val="22"/>
                      <w:szCs w:val="22"/>
                    </w:rPr>
                  </w:pPr>
                  <w:r w:rsidRPr="00364268">
                    <w:rPr>
                      <w:rFonts w:ascii="Arial" w:hAnsi="Arial" w:cs="Arial"/>
                      <w:b/>
                      <w:sz w:val="22"/>
                      <w:szCs w:val="22"/>
                    </w:rPr>
                    <w:t xml:space="preserve">ANTECEDENTES Y RAZONES DE OPORTUNIDAD QUE JUSTIFICAN SU EXPEDICIÓN. </w:t>
                  </w:r>
                  <w:r>
                    <w:rPr>
                      <w:rFonts w:ascii="Arial" w:hAnsi="Arial" w:cs="Arial"/>
                      <w:b/>
                      <w:sz w:val="22"/>
                      <w:szCs w:val="22"/>
                    </w:rPr>
                    <w:t xml:space="preserve">– OBLIGATORIAMENTE DEBE SER DILIGENCIADO POR EL ÁREA TÉCNICA  </w:t>
                  </w:r>
                </w:p>
              </w:tc>
            </w:tr>
          </w:tbl>
          <w:p w14:paraId="1A62F44F" w14:textId="77777777" w:rsidR="000424F7" w:rsidRPr="006D5835" w:rsidRDefault="000424F7" w:rsidP="004736CC">
            <w:pPr>
              <w:rPr>
                <w:rFonts w:ascii="Arial" w:hAnsi="Arial" w:cs="Arial"/>
                <w:b/>
                <w:szCs w:val="24"/>
              </w:rPr>
            </w:pPr>
            <w:r>
              <w:rPr>
                <w:rFonts w:ascii="Arial" w:hAnsi="Arial" w:cs="Arial"/>
                <w:b/>
                <w:szCs w:val="24"/>
              </w:rPr>
              <w:t xml:space="preserve"> </w:t>
            </w:r>
          </w:p>
          <w:p w14:paraId="614342DA" w14:textId="77777777" w:rsidR="000424F7" w:rsidRPr="006D5835" w:rsidRDefault="000424F7" w:rsidP="004736CC">
            <w:pPr>
              <w:ind w:left="214" w:right="214"/>
              <w:jc w:val="both"/>
              <w:rPr>
                <w:rFonts w:ascii="Arial" w:hAnsi="Arial" w:cs="Arial"/>
                <w:b/>
                <w:szCs w:val="24"/>
              </w:rPr>
            </w:pPr>
            <w:r w:rsidRPr="004D4DF8">
              <w:rPr>
                <w:rFonts w:ascii="Arial" w:hAnsi="Arial" w:cs="Arial"/>
                <w:b/>
                <w:szCs w:val="24"/>
              </w:rPr>
              <w:t>(Este campo deberá diligenciarse explicando en síntesis y de manera clara y concreta por qué se requiere la regulación de determinada materia por parte de la autoridad (es) administrativa (s), a través de la expedición del proyecto de acto administrativo según corresponda).</w:t>
            </w:r>
          </w:p>
          <w:p w14:paraId="6C68A253" w14:textId="77777777" w:rsidR="000424F7" w:rsidRPr="006D5835" w:rsidRDefault="000424F7" w:rsidP="004736CC">
            <w:pPr>
              <w:rPr>
                <w:rFonts w:ascii="Arial" w:hAnsi="Arial" w:cs="Arial"/>
                <w:b/>
                <w:szCs w:val="24"/>
              </w:rPr>
            </w:pPr>
            <w:r w:rsidRPr="004D4DF8">
              <w:rPr>
                <w:rFonts w:ascii="Arial" w:hAnsi="Arial" w:cs="Arial"/>
                <w:b/>
                <w:szCs w:val="24"/>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tblGrid>
            <w:tr w:rsidR="000424F7" w14:paraId="4EBA203E" w14:textId="77777777" w:rsidTr="004736CC">
              <w:trPr>
                <w:trHeight w:val="1232"/>
              </w:trPr>
              <w:tc>
                <w:tcPr>
                  <w:tcW w:w="8504" w:type="dxa"/>
                </w:tcPr>
                <w:p w14:paraId="19612D2E" w14:textId="77777777" w:rsidR="00A277D4" w:rsidRDefault="00A277D4" w:rsidP="00A277D4">
                  <w:pPr>
                    <w:pStyle w:val="Prrafodelista"/>
                    <w:suppressAutoHyphens/>
                    <w:ind w:left="0" w:right="283"/>
                    <w:jc w:val="both"/>
                    <w:rPr>
                      <w:rFonts w:ascii="Arial" w:eastAsia="Calibri" w:hAnsi="Arial" w:cs="Arial"/>
                      <w:sz w:val="23"/>
                      <w:szCs w:val="23"/>
                      <w:lang w:val="es-419" w:eastAsia="en-US"/>
                    </w:rPr>
                  </w:pPr>
                </w:p>
                <w:p w14:paraId="4D25D422" w14:textId="2D6A8B8F" w:rsidR="00C26666" w:rsidRDefault="00A277D4" w:rsidP="00C26666">
                  <w:pPr>
                    <w:pStyle w:val="Prrafodelista"/>
                    <w:suppressAutoHyphens/>
                    <w:ind w:left="0" w:right="283"/>
                    <w:jc w:val="both"/>
                    <w:rPr>
                      <w:rFonts w:ascii="Arial" w:eastAsia="Calibri" w:hAnsi="Arial" w:cs="Arial"/>
                      <w:sz w:val="23"/>
                      <w:szCs w:val="23"/>
                      <w:lang w:val="es-MX"/>
                    </w:rPr>
                  </w:pPr>
                  <w:r>
                    <w:rPr>
                      <w:rFonts w:ascii="Arial" w:eastAsia="Calibri" w:hAnsi="Arial" w:cs="Arial"/>
                      <w:sz w:val="23"/>
                      <w:szCs w:val="23"/>
                      <w:lang w:val="es-419"/>
                    </w:rPr>
                    <w:t>E</w:t>
                  </w:r>
                  <w:r>
                    <w:rPr>
                      <w:rFonts w:ascii="Arial" w:eastAsia="Calibri" w:hAnsi="Arial" w:cs="Arial"/>
                      <w:sz w:val="23"/>
                      <w:szCs w:val="23"/>
                      <w:lang w:val="es-419"/>
                    </w:rPr>
                    <w:t>l artículo 2 de la Ley 2114 de 2021,  establec</w:t>
                  </w:r>
                  <w:r w:rsidR="00C26666">
                    <w:rPr>
                      <w:rFonts w:ascii="Arial" w:eastAsia="Calibri" w:hAnsi="Arial" w:cs="Arial"/>
                      <w:sz w:val="23"/>
                      <w:szCs w:val="23"/>
                      <w:lang w:val="es-419"/>
                    </w:rPr>
                    <w:t>ió la</w:t>
                  </w:r>
                  <w:r w:rsidRPr="00A277D4">
                    <w:rPr>
                      <w:rFonts w:ascii="Arial" w:eastAsia="Calibri" w:hAnsi="Arial" w:cs="Arial"/>
                      <w:sz w:val="23"/>
                      <w:szCs w:val="23"/>
                      <w:lang w:val="es-419"/>
                    </w:rPr>
                    <w:t xml:space="preserve"> licencia parental flexible de tiempo parcial, en la cual, podrán cambiar un periodo determinado de su licencia de maternidad o de paternidad por un período de trabajo de medio tiempo, </w:t>
                  </w:r>
                  <w:r w:rsidR="00C26666">
                    <w:rPr>
                      <w:rFonts w:ascii="Arial" w:eastAsia="Calibri" w:hAnsi="Arial" w:cs="Arial"/>
                      <w:sz w:val="23"/>
                      <w:szCs w:val="23"/>
                      <w:lang w:val="es-419"/>
                    </w:rPr>
                    <w:t>por lo anterior, se hace necesario modificar e</w:t>
                  </w:r>
                  <w:r w:rsidR="00C26666">
                    <w:rPr>
                      <w:rFonts w:ascii="Arial" w:eastAsia="Calibri" w:hAnsi="Arial" w:cs="Arial"/>
                      <w:sz w:val="23"/>
                      <w:szCs w:val="23"/>
                      <w:lang w:val="es-419"/>
                    </w:rPr>
                    <w:t>l campo “26 -  LMA: Licencia de Maternidad o de paternidad”</w:t>
                  </w:r>
                  <w:r w:rsidR="00C26666">
                    <w:rPr>
                      <w:rFonts w:ascii="Arial" w:eastAsia="Calibri" w:hAnsi="Arial" w:cs="Arial"/>
                      <w:sz w:val="23"/>
                      <w:szCs w:val="23"/>
                      <w:lang w:val="es-419"/>
                    </w:rPr>
                    <w:t xml:space="preserve"> </w:t>
                  </w:r>
                  <w:r>
                    <w:rPr>
                      <w:rFonts w:ascii="Arial" w:eastAsia="Calibri" w:hAnsi="Arial" w:cs="Arial"/>
                      <w:sz w:val="23"/>
                      <w:szCs w:val="23"/>
                      <w:lang w:val="es-419"/>
                    </w:rPr>
                    <w:t xml:space="preserve">para que </w:t>
                  </w:r>
                  <w:r w:rsidR="00C26666">
                    <w:rPr>
                      <w:rFonts w:ascii="Arial" w:eastAsia="Calibri" w:hAnsi="Arial" w:cs="Arial"/>
                      <w:sz w:val="23"/>
                      <w:szCs w:val="23"/>
                      <w:lang w:val="es-419"/>
                    </w:rPr>
                    <w:t xml:space="preserve">en el periodo </w:t>
                  </w:r>
                  <w:r>
                    <w:rPr>
                      <w:rFonts w:ascii="Arial" w:eastAsia="Calibri" w:hAnsi="Arial" w:cs="Arial"/>
                      <w:sz w:val="23"/>
                      <w:szCs w:val="23"/>
                      <w:lang w:val="es-419"/>
                    </w:rPr>
                    <w:t xml:space="preserve">que se reporte dicha </w:t>
                  </w:r>
                  <w:r>
                    <w:rPr>
                      <w:rFonts w:ascii="Arial" w:eastAsia="Calibri" w:hAnsi="Arial" w:cs="Arial"/>
                      <w:sz w:val="23"/>
                      <w:szCs w:val="23"/>
                      <w:lang w:val="es-MX"/>
                    </w:rPr>
                    <w:t xml:space="preserve"> licencia, el aportante realice aportes al Sistema General de Riesgos Laborales correspondientes al periodo en el cual el trabajador está prestando el servicio</w:t>
                  </w:r>
                  <w:r w:rsidR="00C26666">
                    <w:rPr>
                      <w:rFonts w:ascii="Arial" w:eastAsia="Calibri" w:hAnsi="Arial" w:cs="Arial"/>
                      <w:sz w:val="23"/>
                      <w:szCs w:val="23"/>
                      <w:lang w:val="es-MX"/>
                    </w:rPr>
                    <w:t>.</w:t>
                  </w:r>
                </w:p>
                <w:p w14:paraId="6B78B361" w14:textId="1086868E" w:rsidR="00C26666" w:rsidRDefault="00C26666" w:rsidP="00C26666">
                  <w:pPr>
                    <w:pStyle w:val="Prrafodelista"/>
                    <w:suppressAutoHyphens/>
                    <w:ind w:left="0" w:right="283"/>
                    <w:jc w:val="both"/>
                    <w:rPr>
                      <w:rFonts w:ascii="Arial" w:eastAsia="Calibri" w:hAnsi="Arial" w:cs="Arial"/>
                      <w:sz w:val="23"/>
                      <w:szCs w:val="23"/>
                      <w:lang w:val="es-419"/>
                    </w:rPr>
                  </w:pPr>
                </w:p>
                <w:p w14:paraId="0779AE53" w14:textId="4F606246" w:rsidR="00C26666" w:rsidRDefault="00C26666" w:rsidP="00C26666">
                  <w:pPr>
                    <w:suppressAutoHyphens/>
                    <w:ind w:right="283"/>
                    <w:contextualSpacing/>
                    <w:jc w:val="both"/>
                    <w:rPr>
                      <w:rFonts w:ascii="Arial" w:eastAsia="Calibri" w:hAnsi="Arial" w:cs="Arial"/>
                      <w:sz w:val="23"/>
                      <w:szCs w:val="23"/>
                      <w:lang w:val="es-MX"/>
                    </w:rPr>
                  </w:pPr>
                  <w:r>
                    <w:rPr>
                      <w:rFonts w:ascii="Arial" w:eastAsia="Calibri" w:hAnsi="Arial" w:cs="Arial"/>
                      <w:sz w:val="23"/>
                      <w:szCs w:val="23"/>
                      <w:lang w:val="es-419"/>
                    </w:rPr>
                    <w:t>M</w:t>
                  </w:r>
                  <w:r>
                    <w:rPr>
                      <w:rFonts w:ascii="Arial" w:eastAsia="Calibri" w:hAnsi="Arial" w:cs="Arial"/>
                      <w:sz w:val="23"/>
                      <w:szCs w:val="23"/>
                      <w:lang w:val="es-419"/>
                    </w:rPr>
                    <w:t xml:space="preserve">ediante comunicación radicada con el número 202142301732922, el Ministerio del Trabajo, solicitó a esta cartera ajustar el procedimiento para </w:t>
                  </w:r>
                  <w:r>
                    <w:rPr>
                      <w:rFonts w:ascii="Arial" w:eastAsia="Calibri" w:hAnsi="Arial" w:cs="Arial"/>
                      <w:sz w:val="23"/>
                      <w:szCs w:val="23"/>
                      <w:lang w:val="es-419"/>
                    </w:rPr>
                    <w:t xml:space="preserve">permitir </w:t>
                  </w:r>
                  <w:r>
                    <w:rPr>
                      <w:rFonts w:ascii="Arial" w:eastAsia="Calibri" w:hAnsi="Arial" w:cs="Arial"/>
                      <w:sz w:val="23"/>
                      <w:szCs w:val="23"/>
                      <w:lang w:val="es-419"/>
                    </w:rPr>
                    <w:t>el pago de los aportes al Sistema General de Seguridad Social en Salud de las Víctimas del Conflicto armado</w:t>
                  </w:r>
                  <w:r>
                    <w:rPr>
                      <w:rFonts w:ascii="Arial" w:eastAsia="Calibri" w:hAnsi="Arial" w:cs="Arial"/>
                      <w:sz w:val="23"/>
                      <w:szCs w:val="23"/>
                      <w:lang w:val="es-419"/>
                    </w:rPr>
                    <w:t xml:space="preserve">, sobre el </w:t>
                  </w:r>
                  <w:r>
                    <w:rPr>
                      <w:rFonts w:ascii="Arial" w:eastAsia="Calibri" w:hAnsi="Arial" w:cs="Arial"/>
                      <w:sz w:val="23"/>
                      <w:szCs w:val="23"/>
                      <w:lang w:val="es-MX"/>
                    </w:rPr>
                    <w:t>pago pago único y excepcional</w:t>
                  </w:r>
                  <w:r>
                    <w:rPr>
                      <w:rFonts w:ascii="Arial" w:eastAsia="Calibri" w:hAnsi="Arial" w:cs="Arial"/>
                      <w:sz w:val="23"/>
                      <w:szCs w:val="23"/>
                      <w:lang w:val="es-MX"/>
                    </w:rPr>
                    <w:t xml:space="preserve"> reconocido a los Beneficiarios </w:t>
                  </w:r>
                  <w:r>
                    <w:rPr>
                      <w:rFonts w:ascii="Arial" w:eastAsia="Calibri" w:hAnsi="Arial" w:cs="Arial"/>
                      <w:sz w:val="23"/>
                      <w:szCs w:val="23"/>
                      <w:lang w:val="es-MX"/>
                    </w:rPr>
                    <w:t>de la Prestación Humanitaria Periódica.</w:t>
                  </w:r>
                </w:p>
                <w:p w14:paraId="65E79F68" w14:textId="77777777" w:rsidR="00C26666" w:rsidRDefault="00C26666" w:rsidP="00C26666">
                  <w:pPr>
                    <w:suppressAutoHyphens/>
                    <w:ind w:right="283"/>
                    <w:contextualSpacing/>
                    <w:jc w:val="both"/>
                    <w:rPr>
                      <w:rFonts w:ascii="Arial" w:eastAsia="Calibri" w:hAnsi="Arial" w:cs="Arial"/>
                      <w:sz w:val="23"/>
                      <w:szCs w:val="23"/>
                      <w:lang w:val="es-MX" w:eastAsia="en-US"/>
                    </w:rPr>
                  </w:pPr>
                </w:p>
                <w:p w14:paraId="1A734353" w14:textId="7F3C37AB" w:rsidR="00C26666" w:rsidRDefault="00710CAB" w:rsidP="00C26666">
                  <w:pPr>
                    <w:suppressAutoHyphens/>
                    <w:ind w:right="283"/>
                    <w:contextualSpacing/>
                    <w:jc w:val="both"/>
                    <w:rPr>
                      <w:rFonts w:ascii="Arial" w:eastAsia="Calibri" w:hAnsi="Arial" w:cs="Arial"/>
                      <w:sz w:val="23"/>
                      <w:szCs w:val="23"/>
                      <w:lang w:val="es-419"/>
                    </w:rPr>
                  </w:pPr>
                  <w:r>
                    <w:rPr>
                      <w:rFonts w:ascii="Arial" w:eastAsia="Calibri" w:hAnsi="Arial" w:cs="Arial"/>
                      <w:sz w:val="23"/>
                      <w:szCs w:val="23"/>
                      <w:lang w:val="es-419"/>
                    </w:rPr>
                    <w:t>M</w:t>
                  </w:r>
                  <w:r>
                    <w:rPr>
                      <w:rFonts w:ascii="Arial" w:eastAsia="Calibri" w:hAnsi="Arial" w:cs="Arial"/>
                      <w:sz w:val="23"/>
                      <w:szCs w:val="23"/>
                      <w:lang w:val="es-419"/>
                    </w:rPr>
                    <w:t>ediante comunicación radicada con el número 202142301652992, la Administradora de los Recursos del Sistema General de Seguridad Social en Salud – ADRES, solicitó a este Ministerio modificar el tipo de planilla “</w:t>
                  </w:r>
                  <w:r>
                    <w:rPr>
                      <w:rFonts w:ascii="Arial" w:eastAsia="Calibri" w:hAnsi="Arial" w:cs="Arial"/>
                      <w:i/>
                      <w:sz w:val="23"/>
                      <w:szCs w:val="23"/>
                      <w:lang w:val="es-419"/>
                    </w:rPr>
                    <w:t>X. Planilla para el pago de empresas en proceso de liquidación, reestructuración o en procesos concursales</w:t>
                  </w:r>
                  <w:r>
                    <w:rPr>
                      <w:rFonts w:ascii="Arial" w:eastAsia="Calibri" w:hAnsi="Arial" w:cs="Arial"/>
                      <w:sz w:val="23"/>
                      <w:szCs w:val="23"/>
                      <w:lang w:val="es-419"/>
                    </w:rPr>
                    <w:t>” para que el aportante reportado en este tipo de planilla sea diferente a los cotizantes reportados en la misma planilla, con el fin de evitar que algunos cotizantes independientes aporten al Sistema General de Seguridad Social en Salud con una tarifa inferior a la establecida en las normativa vigente</w:t>
                  </w:r>
                  <w:r>
                    <w:rPr>
                      <w:rFonts w:ascii="Arial" w:eastAsia="Calibri" w:hAnsi="Arial" w:cs="Arial"/>
                      <w:sz w:val="23"/>
                      <w:szCs w:val="23"/>
                      <w:lang w:val="es-419"/>
                    </w:rPr>
                    <w:t>.</w:t>
                  </w:r>
                </w:p>
                <w:p w14:paraId="0891C29D" w14:textId="77777777" w:rsidR="00C26666" w:rsidRDefault="00C26666" w:rsidP="00C26666">
                  <w:pPr>
                    <w:suppressAutoHyphens/>
                    <w:ind w:right="283"/>
                    <w:contextualSpacing/>
                    <w:jc w:val="both"/>
                    <w:rPr>
                      <w:rFonts w:ascii="Arial" w:eastAsia="Calibri" w:hAnsi="Arial" w:cs="Arial"/>
                      <w:sz w:val="23"/>
                      <w:szCs w:val="23"/>
                      <w:lang w:val="es-419" w:eastAsia="en-US"/>
                    </w:rPr>
                  </w:pPr>
                </w:p>
                <w:p w14:paraId="33FA6257" w14:textId="77777777" w:rsidR="00D60D80" w:rsidRDefault="00D60D80" w:rsidP="00C26666">
                  <w:pPr>
                    <w:pStyle w:val="Prrafodelista"/>
                    <w:suppressAutoHyphens/>
                    <w:ind w:left="0" w:right="283"/>
                    <w:jc w:val="both"/>
                    <w:rPr>
                      <w:rFonts w:ascii="Arial" w:eastAsia="Calibri" w:hAnsi="Arial" w:cs="Arial"/>
                      <w:sz w:val="23"/>
                      <w:szCs w:val="23"/>
                      <w:lang w:val="es-419"/>
                    </w:rPr>
                  </w:pPr>
                  <w:r>
                    <w:rPr>
                      <w:rFonts w:ascii="Arial" w:eastAsia="Calibri" w:hAnsi="Arial" w:cs="Arial"/>
                      <w:sz w:val="23"/>
                      <w:szCs w:val="23"/>
                      <w:lang w:val="es-419"/>
                    </w:rPr>
                    <w:t>L</w:t>
                  </w:r>
                  <w:r w:rsidR="00A277D4">
                    <w:rPr>
                      <w:rFonts w:ascii="Arial" w:eastAsia="Calibri" w:hAnsi="Arial" w:cs="Arial"/>
                      <w:sz w:val="23"/>
                      <w:szCs w:val="23"/>
                      <w:lang w:val="es-419"/>
                    </w:rPr>
                    <w:t>a longitud del campo “</w:t>
                  </w:r>
                  <w:r w:rsidR="00A277D4">
                    <w:rPr>
                      <w:rFonts w:ascii="Arial" w:eastAsia="Calibri" w:hAnsi="Arial" w:cs="Arial"/>
                      <w:i/>
                      <w:sz w:val="23"/>
                      <w:szCs w:val="23"/>
                      <w:lang w:val="es-419"/>
                    </w:rPr>
                    <w:t>días de mora</w:t>
                  </w:r>
                  <w:r w:rsidR="00A277D4">
                    <w:rPr>
                      <w:rFonts w:ascii="Arial" w:eastAsia="Calibri" w:hAnsi="Arial" w:cs="Arial"/>
                      <w:sz w:val="23"/>
                      <w:szCs w:val="23"/>
                      <w:lang w:val="es-419"/>
                    </w:rPr>
                    <w:t>”, actualmente se encuentra parametrizada para permitir el reporte de cuatro (04) posiciones, razón por la cual, se hace necesario ampliar su longitud en los anexos técnicos 2, 3, 4 y 5</w:t>
                  </w:r>
                  <w:r>
                    <w:rPr>
                      <w:rFonts w:ascii="Arial" w:eastAsia="Calibri" w:hAnsi="Arial" w:cs="Arial"/>
                      <w:sz w:val="23"/>
                      <w:szCs w:val="23"/>
                      <w:lang w:val="es-419"/>
                    </w:rPr>
                    <w:t>.</w:t>
                  </w:r>
                </w:p>
                <w:p w14:paraId="128FF6F1" w14:textId="77777777" w:rsidR="00D60D80" w:rsidRDefault="00D60D80" w:rsidP="00C26666">
                  <w:pPr>
                    <w:pStyle w:val="Prrafodelista"/>
                    <w:suppressAutoHyphens/>
                    <w:ind w:left="0" w:right="283"/>
                    <w:jc w:val="both"/>
                    <w:rPr>
                      <w:rFonts w:ascii="Arial" w:eastAsia="Calibri" w:hAnsi="Arial" w:cs="Arial"/>
                      <w:sz w:val="23"/>
                      <w:szCs w:val="23"/>
                      <w:lang w:val="es-419"/>
                    </w:rPr>
                  </w:pPr>
                </w:p>
                <w:p w14:paraId="2EFAF2C1" w14:textId="3FA6EF3F" w:rsidR="00D60D80" w:rsidRDefault="00D60D80" w:rsidP="00D60D80">
                  <w:pPr>
                    <w:pStyle w:val="Prrafodelista"/>
                    <w:suppressAutoHyphens/>
                    <w:ind w:left="0" w:right="283"/>
                    <w:jc w:val="both"/>
                    <w:rPr>
                      <w:rFonts w:ascii="Arial" w:eastAsia="Calibri" w:hAnsi="Arial" w:cs="Arial"/>
                      <w:sz w:val="23"/>
                      <w:szCs w:val="23"/>
                      <w:lang w:val="es-419"/>
                    </w:rPr>
                  </w:pPr>
                  <w:r>
                    <w:rPr>
                      <w:rFonts w:ascii="Arial" w:eastAsia="Calibri" w:hAnsi="Arial" w:cs="Arial"/>
                      <w:sz w:val="23"/>
                      <w:szCs w:val="23"/>
                      <w:lang w:val="es-419"/>
                    </w:rPr>
                    <w:t>Act</w:t>
                  </w:r>
                  <w:r w:rsidR="00A277D4">
                    <w:rPr>
                      <w:rFonts w:ascii="Arial" w:eastAsia="Calibri" w:hAnsi="Arial" w:cs="Arial"/>
                      <w:sz w:val="23"/>
                      <w:szCs w:val="23"/>
                      <w:lang w:val="es-419"/>
                    </w:rPr>
                    <w:t xml:space="preserve">ualmente </w:t>
                  </w:r>
                  <w:r>
                    <w:rPr>
                      <w:rFonts w:ascii="Arial" w:eastAsia="Calibri" w:hAnsi="Arial" w:cs="Arial"/>
                      <w:sz w:val="23"/>
                      <w:szCs w:val="23"/>
                      <w:lang w:val="es-419"/>
                    </w:rPr>
                    <w:t xml:space="preserve">la descripción de </w:t>
                  </w:r>
                  <w:r w:rsidR="00A277D4">
                    <w:rPr>
                      <w:rFonts w:ascii="Arial" w:eastAsia="Calibri" w:hAnsi="Arial" w:cs="Arial"/>
                      <w:sz w:val="23"/>
                      <w:szCs w:val="23"/>
                      <w:lang w:val="es-419"/>
                    </w:rPr>
                    <w:t xml:space="preserve">los tipos </w:t>
                  </w:r>
                  <w:r w:rsidR="00A277D4">
                    <w:rPr>
                      <w:rFonts w:ascii="Arial" w:hAnsi="Arial" w:cs="Arial"/>
                      <w:sz w:val="23"/>
                      <w:szCs w:val="23"/>
                      <w:lang w:val="es-419"/>
                    </w:rPr>
                    <w:t>de planilla “</w:t>
                  </w:r>
                  <w:r w:rsidR="00A277D4">
                    <w:rPr>
                      <w:rFonts w:ascii="Arial" w:eastAsia="Calibri" w:hAnsi="Arial" w:cs="Arial"/>
                      <w:sz w:val="23"/>
                      <w:szCs w:val="23"/>
                      <w:lang w:val="es-419"/>
                    </w:rPr>
                    <w:t xml:space="preserve">L. Planilla pago reliquidación” y “V - Planilla pago reliquidación enero de 2020 en adelante” no </w:t>
                  </w:r>
                  <w:r>
                    <w:rPr>
                      <w:rFonts w:ascii="Arial" w:eastAsia="Calibri" w:hAnsi="Arial" w:cs="Arial"/>
                      <w:sz w:val="23"/>
                      <w:szCs w:val="23"/>
                      <w:lang w:val="es-419"/>
                    </w:rPr>
                    <w:t>contempla la aclaración referente a que</w:t>
                  </w:r>
                  <w:r>
                    <w:rPr>
                      <w:rFonts w:ascii="Arial" w:eastAsia="Calibri" w:hAnsi="Arial" w:cs="Arial"/>
                      <w:sz w:val="23"/>
                      <w:szCs w:val="23"/>
                      <w:lang w:val="es-419"/>
                    </w:rPr>
                    <w:t xml:space="preserve"> dependiendo de la normatividad bajo la cual se reconoce la reliquidación de la pensión, podrá no haber obligación de liquidar intereses de mora</w:t>
                  </w:r>
                  <w:r>
                    <w:rPr>
                      <w:rFonts w:ascii="Arial" w:eastAsia="Calibri" w:hAnsi="Arial" w:cs="Arial"/>
                      <w:sz w:val="23"/>
                      <w:szCs w:val="23"/>
                      <w:lang w:val="es-419"/>
                    </w:rPr>
                    <w:t>, razón por la cual, se hace necesario hacer su inclusión.</w:t>
                  </w:r>
                </w:p>
                <w:p w14:paraId="1BAA78E7" w14:textId="5D68ADB2" w:rsidR="00D60D80" w:rsidRDefault="00D60D80" w:rsidP="00C26666">
                  <w:pPr>
                    <w:pStyle w:val="Prrafodelista"/>
                    <w:suppressAutoHyphens/>
                    <w:ind w:left="0" w:right="283"/>
                    <w:jc w:val="both"/>
                    <w:rPr>
                      <w:rFonts w:ascii="Arial" w:eastAsia="Calibri" w:hAnsi="Arial" w:cs="Arial"/>
                      <w:sz w:val="23"/>
                      <w:szCs w:val="23"/>
                      <w:lang w:val="es-419"/>
                    </w:rPr>
                  </w:pPr>
                  <w:r>
                    <w:rPr>
                      <w:rFonts w:ascii="Arial" w:eastAsia="Calibri" w:hAnsi="Arial" w:cs="Arial"/>
                      <w:sz w:val="23"/>
                      <w:szCs w:val="23"/>
                      <w:lang w:val="es-419"/>
                    </w:rPr>
                    <w:t xml:space="preserve"> </w:t>
                  </w:r>
                </w:p>
                <w:p w14:paraId="53949508" w14:textId="77777777" w:rsidR="00D60D80" w:rsidRDefault="00D60D80" w:rsidP="00C26666">
                  <w:pPr>
                    <w:pStyle w:val="Prrafodelista"/>
                    <w:suppressAutoHyphens/>
                    <w:ind w:left="0" w:right="283"/>
                    <w:jc w:val="both"/>
                    <w:rPr>
                      <w:rFonts w:ascii="Arial" w:eastAsia="Calibri" w:hAnsi="Arial" w:cs="Arial"/>
                      <w:sz w:val="23"/>
                      <w:szCs w:val="23"/>
                      <w:lang w:val="es-419"/>
                    </w:rPr>
                  </w:pPr>
                  <w:r>
                    <w:rPr>
                      <w:rFonts w:ascii="Arial" w:eastAsia="Calibri" w:hAnsi="Arial" w:cs="Arial"/>
                      <w:sz w:val="23"/>
                      <w:szCs w:val="23"/>
                      <w:lang w:val="es-419"/>
                    </w:rPr>
                    <w:t>E</w:t>
                  </w:r>
                  <w:r w:rsidR="00A277D4">
                    <w:rPr>
                      <w:rFonts w:ascii="Arial" w:eastAsia="Calibri" w:hAnsi="Arial" w:cs="Arial"/>
                      <w:sz w:val="23"/>
                      <w:szCs w:val="23"/>
                      <w:lang w:val="es-419"/>
                    </w:rPr>
                    <w:t>l “</w:t>
                  </w:r>
                  <w:r w:rsidR="00A277D4">
                    <w:rPr>
                      <w:rFonts w:ascii="Arial" w:eastAsia="Calibri" w:hAnsi="Arial" w:cs="Arial"/>
                      <w:i/>
                      <w:sz w:val="23"/>
                      <w:szCs w:val="23"/>
                      <w:lang w:val="es-419"/>
                    </w:rPr>
                    <w:t>Campo 63 – Valor total de mesada pensional</w:t>
                  </w:r>
                  <w:r w:rsidR="00A277D4">
                    <w:rPr>
                      <w:rFonts w:ascii="Arial" w:eastAsia="Calibri" w:hAnsi="Arial" w:cs="Arial"/>
                      <w:sz w:val="23"/>
                      <w:szCs w:val="23"/>
                      <w:lang w:val="es-419"/>
                    </w:rPr>
                    <w:t>”, esta parametrizado para reportar únicamente el valor mensual de la mesada pensional, por lo que es necesario ajustar la aclaración de este campo, para permitir el reporte de valores proporcionales a los días cotizados cuando la mesada pensional corresponda a un periodo inferior a 30 días</w:t>
                  </w:r>
                  <w:r>
                    <w:rPr>
                      <w:rFonts w:ascii="Arial" w:eastAsia="Calibri" w:hAnsi="Arial" w:cs="Arial"/>
                      <w:sz w:val="23"/>
                      <w:szCs w:val="23"/>
                      <w:lang w:val="es-419"/>
                    </w:rPr>
                    <w:t>.</w:t>
                  </w:r>
                </w:p>
                <w:p w14:paraId="0500042C" w14:textId="77777777" w:rsidR="00D60D80" w:rsidRDefault="00D60D80" w:rsidP="00C26666">
                  <w:pPr>
                    <w:pStyle w:val="Prrafodelista"/>
                    <w:suppressAutoHyphens/>
                    <w:ind w:left="0" w:right="283"/>
                    <w:jc w:val="both"/>
                    <w:rPr>
                      <w:rFonts w:ascii="Arial" w:eastAsia="Calibri" w:hAnsi="Arial" w:cs="Arial"/>
                      <w:sz w:val="23"/>
                      <w:szCs w:val="23"/>
                      <w:lang w:val="es-419"/>
                    </w:rPr>
                  </w:pPr>
                </w:p>
                <w:p w14:paraId="7870D216" w14:textId="3FC0647A" w:rsidR="00A277D4" w:rsidRDefault="00D60D80" w:rsidP="00C26666">
                  <w:pPr>
                    <w:pStyle w:val="Prrafodelista"/>
                    <w:suppressAutoHyphens/>
                    <w:ind w:left="0" w:right="283"/>
                    <w:jc w:val="both"/>
                    <w:rPr>
                      <w:rFonts w:ascii="Arial" w:eastAsia="Calibri" w:hAnsi="Arial" w:cs="Arial"/>
                      <w:sz w:val="23"/>
                      <w:szCs w:val="23"/>
                      <w:lang w:val="es-419" w:eastAsia="en-US"/>
                    </w:rPr>
                  </w:pPr>
                  <w:r>
                    <w:rPr>
                      <w:rFonts w:ascii="Arial" w:eastAsia="Calibri" w:hAnsi="Arial" w:cs="Arial"/>
                      <w:sz w:val="23"/>
                      <w:szCs w:val="23"/>
                      <w:lang w:val="es-419"/>
                    </w:rPr>
                    <w:t>A</w:t>
                  </w:r>
                  <w:r w:rsidR="00A277D4">
                    <w:rPr>
                      <w:rFonts w:ascii="Arial" w:eastAsia="Calibri" w:hAnsi="Arial" w:cs="Arial"/>
                      <w:sz w:val="23"/>
                      <w:szCs w:val="23"/>
                      <w:lang w:val="es-419"/>
                    </w:rPr>
                    <w:t xml:space="preserve">ctualmente la validación del tipo de pensión convenio internacional únicamente </w:t>
                  </w:r>
                  <w:proofErr w:type="spellStart"/>
                  <w:r w:rsidR="00A277D4">
                    <w:rPr>
                      <w:rFonts w:ascii="Arial" w:eastAsia="Calibri" w:hAnsi="Arial" w:cs="Arial"/>
                      <w:sz w:val="23"/>
                      <w:szCs w:val="23"/>
                      <w:lang w:val="es-419"/>
                    </w:rPr>
                    <w:t>esta</w:t>
                  </w:r>
                  <w:proofErr w:type="spellEnd"/>
                  <w:r w:rsidR="00A277D4">
                    <w:rPr>
                      <w:rFonts w:ascii="Arial" w:eastAsia="Calibri" w:hAnsi="Arial" w:cs="Arial"/>
                      <w:sz w:val="23"/>
                      <w:szCs w:val="23"/>
                      <w:lang w:val="es-419"/>
                    </w:rPr>
                    <w:t xml:space="preserve"> permitido para Administradoras del régimen de Prima Media, razón por la cual, es necesario adicionar la validación de este tipo de pensión para que pueda ser reportada por las Administradoras de Fondos de Pensiones del Régimen de Ahorro Individual con Solidaridad.</w:t>
                  </w:r>
                </w:p>
                <w:p w14:paraId="0A934CBD" w14:textId="77777777" w:rsidR="003079D5" w:rsidRPr="00A57E90" w:rsidRDefault="003079D5" w:rsidP="003079D5">
                  <w:pPr>
                    <w:suppressAutoHyphens/>
                    <w:ind w:right="283"/>
                    <w:contextualSpacing/>
                    <w:jc w:val="both"/>
                    <w:rPr>
                      <w:rFonts w:ascii="Arial" w:eastAsia="Arial" w:hAnsi="Arial" w:cs="Arial"/>
                      <w:sz w:val="23"/>
                      <w:szCs w:val="23"/>
                    </w:rPr>
                  </w:pPr>
                </w:p>
                <w:p w14:paraId="4FF39579" w14:textId="77777777" w:rsidR="004A56F8" w:rsidRPr="002C510C" w:rsidRDefault="001E6AC3" w:rsidP="00FE7B05">
                  <w:pPr>
                    <w:pStyle w:val="estilo1"/>
                    <w:suppressAutoHyphens/>
                    <w:ind w:left="0" w:right="9"/>
                    <w:jc w:val="both"/>
                    <w:rPr>
                      <w:rFonts w:ascii="Arial" w:hAnsi="Arial" w:cs="Arial"/>
                      <w:b/>
                      <w:szCs w:val="24"/>
                      <w:lang w:val="es-419"/>
                    </w:rPr>
                  </w:pPr>
                  <w:r w:rsidRPr="00FE7B05">
                    <w:rPr>
                      <w:rFonts w:ascii="Arial" w:hAnsi="Arial" w:cs="Arial"/>
                      <w:sz w:val="23"/>
                      <w:szCs w:val="23"/>
                      <w:lang w:val="es-MX"/>
                    </w:rPr>
                    <w:lastRenderedPageBreak/>
                    <w:t xml:space="preserve"> </w:t>
                  </w:r>
                </w:p>
              </w:tc>
            </w:tr>
          </w:tbl>
          <w:p w14:paraId="5573C9D5" w14:textId="77777777" w:rsidR="000424F7" w:rsidRPr="006D5835" w:rsidRDefault="000424F7" w:rsidP="004736CC">
            <w:pPr>
              <w:rPr>
                <w:rFonts w:ascii="Arial" w:hAnsi="Arial" w:cs="Arial"/>
                <w:b/>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0"/>
            </w:tblGrid>
            <w:tr w:rsidR="000424F7" w14:paraId="18429839" w14:textId="77777777" w:rsidTr="004736CC">
              <w:trPr>
                <w:trHeight w:val="735"/>
              </w:trPr>
              <w:tc>
                <w:tcPr>
                  <w:tcW w:w="8610" w:type="dxa"/>
                </w:tcPr>
                <w:p w14:paraId="5612CC04" w14:textId="77777777" w:rsidR="000424F7" w:rsidRPr="006D5835" w:rsidRDefault="000424F7" w:rsidP="004736CC">
                  <w:pPr>
                    <w:pStyle w:val="Prrafodelista"/>
                    <w:numPr>
                      <w:ilvl w:val="0"/>
                      <w:numId w:val="1"/>
                    </w:numPr>
                    <w:ind w:left="388" w:hanging="284"/>
                    <w:rPr>
                      <w:rFonts w:ascii="Arial" w:hAnsi="Arial" w:cs="Arial"/>
                      <w:b/>
                      <w:sz w:val="22"/>
                      <w:szCs w:val="22"/>
                    </w:rPr>
                  </w:pPr>
                  <w:r w:rsidRPr="00364268">
                    <w:rPr>
                      <w:rFonts w:ascii="Arial" w:hAnsi="Arial" w:cs="Arial"/>
                      <w:b/>
                      <w:sz w:val="22"/>
                      <w:szCs w:val="22"/>
                    </w:rPr>
                    <w:t>ÁMBITO DE APLICACIÓN DEL RESPECTIVO ACTO Y LOS SUJETOS A QUIENES VA DIRIGIDO.</w:t>
                  </w:r>
                  <w:r>
                    <w:rPr>
                      <w:rFonts w:ascii="Arial" w:hAnsi="Arial" w:cs="Arial"/>
                      <w:b/>
                      <w:sz w:val="22"/>
                      <w:szCs w:val="22"/>
                    </w:rPr>
                    <w:t xml:space="preserve"> OBLIGATORIAMENTE DEBE SER DILIGENCIADO POR EL ÁREA TÉCNICA  </w:t>
                  </w:r>
                </w:p>
                <w:p w14:paraId="2A2994EA" w14:textId="77777777" w:rsidR="000424F7" w:rsidRPr="006D5835" w:rsidRDefault="000424F7" w:rsidP="004736CC">
                  <w:pPr>
                    <w:rPr>
                      <w:rFonts w:ascii="Arial" w:hAnsi="Arial" w:cs="Arial"/>
                      <w:b/>
                      <w:szCs w:val="24"/>
                    </w:rPr>
                  </w:pPr>
                </w:p>
              </w:tc>
            </w:tr>
          </w:tbl>
          <w:p w14:paraId="4DD6738F" w14:textId="77777777" w:rsidR="000424F7" w:rsidRPr="006D5835" w:rsidRDefault="000424F7" w:rsidP="004736CC">
            <w:pPr>
              <w:rPr>
                <w:rFonts w:ascii="Arial" w:hAnsi="Arial" w:cs="Arial"/>
                <w:b/>
                <w:szCs w:val="24"/>
              </w:rPr>
            </w:pPr>
          </w:p>
          <w:p w14:paraId="371C1F46" w14:textId="77777777" w:rsidR="000424F7" w:rsidRPr="006D5835" w:rsidRDefault="000424F7" w:rsidP="004736CC">
            <w:pPr>
              <w:ind w:left="214"/>
              <w:rPr>
                <w:rFonts w:ascii="Arial" w:hAnsi="Arial" w:cs="Arial"/>
                <w:b/>
                <w:szCs w:val="24"/>
              </w:rPr>
            </w:pPr>
            <w:r w:rsidRPr="004D4DF8">
              <w:rPr>
                <w:rFonts w:ascii="Arial" w:hAnsi="Arial" w:cs="Arial"/>
                <w:b/>
                <w:szCs w:val="24"/>
              </w:rPr>
              <w:t>(</w:t>
            </w:r>
            <w:r w:rsidRPr="004D4DF8">
              <w:rPr>
                <w:rFonts w:ascii="Arial" w:hAnsi="Arial" w:cs="Arial"/>
                <w:b/>
                <w:sz w:val="22"/>
                <w:szCs w:val="22"/>
              </w:rPr>
              <w:t>Diligenciar este campo, enunciando las situaciones de hecho o derecho y las personas a las que va dirigido el acto</w:t>
            </w:r>
            <w:r w:rsidRPr="004D4DF8">
              <w:rPr>
                <w:rFonts w:ascii="Arial" w:hAnsi="Arial" w:cs="Arial"/>
                <w:b/>
                <w:szCs w:val="24"/>
              </w:rPr>
              <w:t>)</w:t>
            </w:r>
          </w:p>
          <w:p w14:paraId="4CE8909A" w14:textId="77777777" w:rsidR="000424F7" w:rsidRPr="006D5835" w:rsidRDefault="000424F7" w:rsidP="004736CC">
            <w:pPr>
              <w:ind w:left="214"/>
              <w:rPr>
                <w:rFonts w:ascii="Arial" w:hAnsi="Arial" w:cs="Arial"/>
                <w:b/>
                <w:szCs w:val="24"/>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0424F7" w14:paraId="535A4227" w14:textId="77777777" w:rsidTr="004736CC">
              <w:trPr>
                <w:trHeight w:val="673"/>
              </w:trPr>
              <w:tc>
                <w:tcPr>
                  <w:tcW w:w="8363" w:type="dxa"/>
                </w:tcPr>
                <w:p w14:paraId="11004B6D" w14:textId="74018BAD" w:rsidR="000424F7" w:rsidRPr="003079D5" w:rsidRDefault="003079D5" w:rsidP="00A5343B">
                  <w:pPr>
                    <w:pStyle w:val="Default"/>
                    <w:jc w:val="both"/>
                    <w:rPr>
                      <w:sz w:val="23"/>
                      <w:szCs w:val="23"/>
                      <w:lang w:val="es-ES_tradnl"/>
                    </w:rPr>
                  </w:pPr>
                  <w:r w:rsidRPr="00A57E90">
                    <w:rPr>
                      <w:sz w:val="23"/>
                      <w:szCs w:val="23"/>
                      <w:lang w:val="es-ES_tradnl"/>
                    </w:rPr>
                    <w:t xml:space="preserve">Aportantes, operadores de información, Administradoras del Sistema de Seguridad Social Integral y Parafiscales, Administradora de los Recursos del Sistema General de Seguridad Social en Salud </w:t>
                  </w:r>
                  <w:r>
                    <w:rPr>
                      <w:sz w:val="23"/>
                      <w:szCs w:val="23"/>
                      <w:lang w:val="es-ES_tradnl"/>
                    </w:rPr>
                    <w:t>–</w:t>
                  </w:r>
                  <w:r w:rsidRPr="00A57E90">
                    <w:rPr>
                      <w:sz w:val="23"/>
                      <w:szCs w:val="23"/>
                      <w:lang w:val="es-ES_tradnl"/>
                    </w:rPr>
                    <w:t xml:space="preserve"> ADRES</w:t>
                  </w:r>
                  <w:r w:rsidR="00D60D80">
                    <w:rPr>
                      <w:sz w:val="23"/>
                      <w:szCs w:val="23"/>
                      <w:lang w:val="es-ES_tradnl"/>
                    </w:rPr>
                    <w:t xml:space="preserve"> </w:t>
                  </w:r>
                  <w:r w:rsidRPr="00A57E90">
                    <w:rPr>
                      <w:sz w:val="23"/>
                      <w:szCs w:val="23"/>
                      <w:lang w:val="es-ES_tradnl"/>
                    </w:rPr>
                    <w:t>y Ministerio de Salud y Protección Social.</w:t>
                  </w:r>
                </w:p>
              </w:tc>
            </w:tr>
          </w:tbl>
          <w:p w14:paraId="48A8BCCA" w14:textId="77777777" w:rsidR="000424F7" w:rsidRPr="006D5835" w:rsidRDefault="000424F7" w:rsidP="004736CC">
            <w:pPr>
              <w:ind w:left="214"/>
              <w:rPr>
                <w:rFonts w:ascii="Arial" w:hAnsi="Arial" w:cs="Arial"/>
                <w:b/>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15"/>
            </w:tblGrid>
            <w:tr w:rsidR="000424F7" w14:paraId="4846550F" w14:textId="77777777" w:rsidTr="004736CC">
              <w:trPr>
                <w:trHeight w:val="540"/>
              </w:trPr>
              <w:tc>
                <w:tcPr>
                  <w:tcW w:w="8415" w:type="dxa"/>
                </w:tcPr>
                <w:p w14:paraId="0C5F7D6F" w14:textId="77777777" w:rsidR="000424F7" w:rsidRPr="006D5835" w:rsidRDefault="000424F7" w:rsidP="004736CC">
                  <w:pPr>
                    <w:pStyle w:val="Prrafodelista"/>
                    <w:ind w:left="0"/>
                    <w:rPr>
                      <w:rFonts w:ascii="Arial" w:hAnsi="Arial" w:cs="Arial"/>
                      <w:b/>
                      <w:szCs w:val="24"/>
                    </w:rPr>
                  </w:pPr>
                </w:p>
                <w:p w14:paraId="465BBBF4" w14:textId="77777777" w:rsidR="000424F7" w:rsidRPr="006D5835" w:rsidRDefault="000424F7" w:rsidP="004736CC">
                  <w:pPr>
                    <w:pStyle w:val="Prrafodelista"/>
                    <w:numPr>
                      <w:ilvl w:val="0"/>
                      <w:numId w:val="1"/>
                    </w:numPr>
                    <w:ind w:left="556" w:hanging="425"/>
                    <w:jc w:val="both"/>
                    <w:rPr>
                      <w:rFonts w:ascii="Arial" w:hAnsi="Arial" w:cs="Arial"/>
                      <w:b/>
                      <w:szCs w:val="24"/>
                    </w:rPr>
                  </w:pPr>
                  <w:r>
                    <w:rPr>
                      <w:rFonts w:ascii="Arial" w:hAnsi="Arial" w:cs="Arial"/>
                      <w:b/>
                      <w:szCs w:val="24"/>
                    </w:rPr>
                    <w:t>IMPACTO ECONÓMICO, SI FUERE EL CASO, EL CUAL DEBERÁ SEÑALAR EL COSTO O AHORRO, DE LA IMPLEMENTACIÓN DEL RESPECTIVO ACTO.</w:t>
                  </w:r>
                  <w:r>
                    <w:rPr>
                      <w:rFonts w:ascii="Arial" w:hAnsi="Arial" w:cs="Arial"/>
                      <w:b/>
                      <w:sz w:val="22"/>
                      <w:szCs w:val="22"/>
                    </w:rPr>
                    <w:t xml:space="preserve"> OBLIGATORIAMENTE DEBE SER DILIGENCIADO POR EL ÁREA TÉCNICA  </w:t>
                  </w:r>
                </w:p>
              </w:tc>
            </w:tr>
          </w:tbl>
          <w:p w14:paraId="4D39FCFC" w14:textId="77777777" w:rsidR="000424F7" w:rsidRPr="006D5835" w:rsidRDefault="000424F7" w:rsidP="004736CC">
            <w:pPr>
              <w:ind w:left="214"/>
              <w:rPr>
                <w:rFonts w:ascii="Arial" w:hAnsi="Arial" w:cs="Arial"/>
                <w:b/>
                <w:szCs w:val="24"/>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0424F7" w14:paraId="5D923658" w14:textId="77777777" w:rsidTr="0064785C">
              <w:trPr>
                <w:trHeight w:val="521"/>
              </w:trPr>
              <w:tc>
                <w:tcPr>
                  <w:tcW w:w="8363" w:type="dxa"/>
                </w:tcPr>
                <w:p w14:paraId="44AB35E6" w14:textId="77777777" w:rsidR="000424F7" w:rsidRPr="006D5835" w:rsidRDefault="000424F7" w:rsidP="004736CC">
                  <w:pPr>
                    <w:ind w:left="214"/>
                    <w:rPr>
                      <w:rFonts w:ascii="Arial" w:hAnsi="Arial" w:cs="Arial"/>
                      <w:b/>
                      <w:szCs w:val="24"/>
                    </w:rPr>
                  </w:pPr>
                </w:p>
                <w:p w14:paraId="773F9709" w14:textId="77777777" w:rsidR="000424F7" w:rsidRPr="006D5835" w:rsidRDefault="000424F7" w:rsidP="004736CC">
                  <w:pPr>
                    <w:ind w:left="214"/>
                    <w:rPr>
                      <w:rFonts w:ascii="Arial" w:hAnsi="Arial" w:cs="Arial"/>
                      <w:b/>
                      <w:szCs w:val="24"/>
                    </w:rPr>
                  </w:pPr>
                  <w:r w:rsidRPr="00705E2F">
                    <w:rPr>
                      <w:rFonts w:ascii="Arial" w:hAnsi="Arial" w:cs="Arial"/>
                    </w:rPr>
                    <w:t xml:space="preserve">Este acto </w:t>
                  </w:r>
                  <w:r>
                    <w:rPr>
                      <w:rFonts w:ascii="Arial" w:hAnsi="Arial" w:cs="Arial"/>
                    </w:rPr>
                    <w:t xml:space="preserve">proyecto de acto </w:t>
                  </w:r>
                  <w:r w:rsidRPr="00705E2F">
                    <w:rPr>
                      <w:rFonts w:ascii="Arial" w:hAnsi="Arial" w:cs="Arial"/>
                    </w:rPr>
                    <w:t>administrativo</w:t>
                  </w:r>
                  <w:r>
                    <w:rPr>
                      <w:rFonts w:ascii="Arial" w:hAnsi="Arial" w:cs="Arial"/>
                    </w:rPr>
                    <w:t xml:space="preserve"> no genera impacto económico </w:t>
                  </w:r>
                </w:p>
              </w:tc>
            </w:tr>
          </w:tbl>
          <w:p w14:paraId="4D3BB465" w14:textId="77777777" w:rsidR="000424F7" w:rsidRPr="006D5835" w:rsidRDefault="000424F7" w:rsidP="004736CC">
            <w:pPr>
              <w:ind w:left="214"/>
              <w:rPr>
                <w:rFonts w:ascii="Arial" w:hAnsi="Arial" w:cs="Arial"/>
                <w:b/>
                <w:szCs w:val="24"/>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1"/>
            </w:tblGrid>
            <w:tr w:rsidR="000424F7" w14:paraId="7FFF04C4" w14:textId="77777777" w:rsidTr="0064785C">
              <w:trPr>
                <w:trHeight w:val="3369"/>
              </w:trPr>
              <w:tc>
                <w:tcPr>
                  <w:tcW w:w="8401" w:type="dxa"/>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84"/>
                  </w:tblGrid>
                  <w:tr w:rsidR="000424F7" w14:paraId="2122DCB6" w14:textId="77777777" w:rsidTr="004736CC">
                    <w:trPr>
                      <w:trHeight w:val="585"/>
                    </w:trPr>
                    <w:tc>
                      <w:tcPr>
                        <w:tcW w:w="8543" w:type="dxa"/>
                      </w:tcPr>
                      <w:p w14:paraId="06846C26" w14:textId="77777777" w:rsidR="000424F7" w:rsidRPr="006D5835" w:rsidRDefault="000424F7" w:rsidP="004736CC">
                        <w:pPr>
                          <w:pStyle w:val="Prrafodelista"/>
                          <w:ind w:left="0"/>
                          <w:rPr>
                            <w:rFonts w:ascii="Arial" w:hAnsi="Arial" w:cs="Arial"/>
                            <w:b/>
                            <w:szCs w:val="24"/>
                          </w:rPr>
                        </w:pPr>
                      </w:p>
                      <w:p w14:paraId="21359F09" w14:textId="77777777" w:rsidR="000424F7" w:rsidRPr="006D5835" w:rsidRDefault="000424F7" w:rsidP="004736CC">
                        <w:pPr>
                          <w:pStyle w:val="Prrafodelista"/>
                          <w:numPr>
                            <w:ilvl w:val="0"/>
                            <w:numId w:val="1"/>
                          </w:numPr>
                          <w:ind w:left="406" w:hanging="406"/>
                          <w:rPr>
                            <w:rFonts w:ascii="Arial" w:hAnsi="Arial" w:cs="Arial"/>
                            <w:b/>
                            <w:szCs w:val="24"/>
                          </w:rPr>
                        </w:pPr>
                        <w:r>
                          <w:rPr>
                            <w:rFonts w:ascii="Arial" w:hAnsi="Arial" w:cs="Arial"/>
                            <w:b/>
                            <w:szCs w:val="24"/>
                          </w:rPr>
                          <w:t xml:space="preserve">DISPONIBILIDAD PRESUPUESTAL. </w:t>
                        </w:r>
                        <w:r>
                          <w:rPr>
                            <w:rFonts w:ascii="Arial" w:hAnsi="Arial" w:cs="Arial"/>
                            <w:b/>
                            <w:sz w:val="22"/>
                            <w:szCs w:val="22"/>
                          </w:rPr>
                          <w:t xml:space="preserve">OBLIGATORIAMENTE DEBE SER DILIGENCIADO POR EL ÁREA TÉCNICA  </w:t>
                        </w:r>
                      </w:p>
                    </w:tc>
                  </w:tr>
                </w:tbl>
                <w:p w14:paraId="5179EDAF" w14:textId="77777777" w:rsidR="000424F7" w:rsidRPr="006D5835" w:rsidRDefault="000424F7" w:rsidP="004736CC">
                  <w:pPr>
                    <w:pStyle w:val="Prrafodelista"/>
                    <w:ind w:left="1080"/>
                    <w:rPr>
                      <w:rFonts w:ascii="Arial" w:hAnsi="Arial" w:cs="Arial"/>
                      <w:b/>
                      <w:szCs w:val="24"/>
                    </w:rPr>
                  </w:pPr>
                </w:p>
                <w:p w14:paraId="4DA03BEC" w14:textId="77777777" w:rsidR="000424F7" w:rsidRPr="006D5835" w:rsidRDefault="000424F7" w:rsidP="004736CC">
                  <w:pPr>
                    <w:pStyle w:val="Prrafodelista"/>
                    <w:ind w:left="72" w:right="214"/>
                    <w:jc w:val="both"/>
                    <w:rPr>
                      <w:rFonts w:ascii="Arial" w:hAnsi="Arial" w:cs="Arial"/>
                      <w:b/>
                      <w:szCs w:val="24"/>
                    </w:rPr>
                  </w:pPr>
                  <w:r w:rsidRPr="004D4DF8">
                    <w:rPr>
                      <w:rFonts w:ascii="Arial" w:hAnsi="Arial" w:cs="Arial"/>
                      <w:b/>
                      <w:szCs w:val="24"/>
                    </w:rPr>
                    <w:t>(Diligenciar este campo enunciando los costos fiscales del proyecto normativo y la fuente para financiación de dicho costo. En caso de que el acto administrativo no involucre ningún aspecto presupuestal deberá dejar constancia de ello en este campo).</w:t>
                  </w:r>
                </w:p>
                <w:p w14:paraId="1727B569" w14:textId="77777777" w:rsidR="000424F7" w:rsidRPr="006D5835" w:rsidRDefault="000424F7" w:rsidP="004736CC">
                  <w:pPr>
                    <w:pStyle w:val="Prrafodelista"/>
                    <w:ind w:left="1080"/>
                    <w:rPr>
                      <w:rFonts w:ascii="Arial" w:hAnsi="Arial" w:cs="Arial"/>
                      <w:b/>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84"/>
                  </w:tblGrid>
                  <w:tr w:rsidR="000424F7" w14:paraId="3B13C3A5" w14:textId="77777777" w:rsidTr="004736CC">
                    <w:trPr>
                      <w:trHeight w:val="614"/>
                    </w:trPr>
                    <w:tc>
                      <w:tcPr>
                        <w:tcW w:w="8505" w:type="dxa"/>
                      </w:tcPr>
                      <w:p w14:paraId="69674D77" w14:textId="77777777" w:rsidR="000424F7" w:rsidRPr="006D5835" w:rsidRDefault="000424F7" w:rsidP="004736CC">
                        <w:pPr>
                          <w:jc w:val="both"/>
                          <w:rPr>
                            <w:rFonts w:ascii="Arial" w:hAnsi="Arial" w:cs="Arial"/>
                            <w:b/>
                            <w:szCs w:val="24"/>
                          </w:rPr>
                        </w:pPr>
                        <w:r w:rsidRPr="00503CD9">
                          <w:rPr>
                            <w:rFonts w:ascii="Arial" w:hAnsi="Arial" w:cs="Arial"/>
                          </w:rPr>
                          <w:t>Este proyecto de acto administrativo</w:t>
                        </w:r>
                        <w:r>
                          <w:rPr>
                            <w:rFonts w:ascii="Arial" w:hAnsi="Arial" w:cs="Arial"/>
                          </w:rPr>
                          <w:t>,</w:t>
                        </w:r>
                        <w:r w:rsidRPr="00503CD9">
                          <w:rPr>
                            <w:rFonts w:ascii="Arial" w:hAnsi="Arial" w:cs="Arial"/>
                          </w:rPr>
                          <w:t xml:space="preserve"> no necesita de disponibilidad presupuestal para su implementación.</w:t>
                        </w:r>
                      </w:p>
                    </w:tc>
                  </w:tr>
                </w:tbl>
                <w:p w14:paraId="00455CA0" w14:textId="77777777" w:rsidR="000424F7" w:rsidRPr="006D5835" w:rsidRDefault="000424F7" w:rsidP="004736CC">
                  <w:pPr>
                    <w:pStyle w:val="Prrafodelista"/>
                    <w:ind w:left="0"/>
                    <w:rPr>
                      <w:rFonts w:ascii="Arial" w:hAnsi="Arial" w:cs="Arial"/>
                      <w:b/>
                      <w:szCs w:val="24"/>
                    </w:rPr>
                  </w:pPr>
                </w:p>
              </w:tc>
            </w:tr>
          </w:tbl>
          <w:p w14:paraId="7566DE91" w14:textId="77777777" w:rsidR="000424F7" w:rsidRPr="006D5835" w:rsidRDefault="000424F7" w:rsidP="004736CC">
            <w:pPr>
              <w:rPr>
                <w:rFonts w:ascii="Arial" w:hAnsi="Arial" w:cs="Arial"/>
                <w:b/>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3"/>
            </w:tblGrid>
            <w:tr w:rsidR="000424F7" w14:paraId="354D95B9" w14:textId="77777777" w:rsidTr="004736CC">
              <w:trPr>
                <w:trHeight w:val="510"/>
              </w:trPr>
              <w:tc>
                <w:tcPr>
                  <w:tcW w:w="8543" w:type="dxa"/>
                </w:tcPr>
                <w:p w14:paraId="06756993" w14:textId="77777777" w:rsidR="000424F7" w:rsidRPr="006D5835" w:rsidRDefault="000424F7" w:rsidP="004736CC">
                  <w:pPr>
                    <w:pStyle w:val="Prrafodelista"/>
                    <w:numPr>
                      <w:ilvl w:val="0"/>
                      <w:numId w:val="1"/>
                    </w:numPr>
                    <w:ind w:left="406" w:hanging="436"/>
                    <w:rPr>
                      <w:rFonts w:ascii="Arial" w:hAnsi="Arial" w:cs="Arial"/>
                      <w:b/>
                      <w:szCs w:val="24"/>
                    </w:rPr>
                  </w:pPr>
                  <w:r>
                    <w:rPr>
                      <w:rFonts w:ascii="Arial" w:hAnsi="Arial" w:cs="Arial"/>
                      <w:b/>
                      <w:szCs w:val="24"/>
                    </w:rPr>
                    <w:t>DE SER NECESARIO, IMPACTO MEDIOAMBIENTAL O SOBRE EL PATRIMONIO CULTURAL DE LA NACIÓN.</w:t>
                  </w:r>
                  <w:r>
                    <w:rPr>
                      <w:rFonts w:ascii="Arial" w:hAnsi="Arial" w:cs="Arial"/>
                      <w:b/>
                      <w:sz w:val="22"/>
                      <w:szCs w:val="22"/>
                    </w:rPr>
                    <w:t xml:space="preserve"> OBLIGATORIAMENTE DEBE SER DILIGENCIADO POR EL ÁREA TÉCNICA  </w:t>
                  </w:r>
                </w:p>
                <w:p w14:paraId="615FDA7B" w14:textId="77777777" w:rsidR="000424F7" w:rsidRPr="006D5835" w:rsidRDefault="000424F7" w:rsidP="004736CC">
                  <w:pPr>
                    <w:pStyle w:val="Prrafodelista"/>
                    <w:ind w:left="775"/>
                    <w:rPr>
                      <w:rFonts w:ascii="Arial" w:hAnsi="Arial" w:cs="Arial"/>
                      <w:b/>
                      <w:szCs w:val="24"/>
                    </w:rPr>
                  </w:pPr>
                </w:p>
              </w:tc>
            </w:tr>
          </w:tbl>
          <w:p w14:paraId="7C75A967" w14:textId="77777777" w:rsidR="000424F7" w:rsidRPr="006D5835" w:rsidRDefault="000424F7" w:rsidP="004736CC">
            <w:pPr>
              <w:pStyle w:val="Prrafodelista"/>
              <w:ind w:left="1080"/>
              <w:rPr>
                <w:rFonts w:ascii="Arial" w:hAnsi="Arial" w:cs="Arial"/>
                <w:b/>
                <w:szCs w:val="24"/>
              </w:rPr>
            </w:pPr>
          </w:p>
          <w:p w14:paraId="48F0D465" w14:textId="77777777" w:rsidR="000424F7" w:rsidRPr="006D5835" w:rsidRDefault="000424F7" w:rsidP="004736CC">
            <w:pPr>
              <w:pStyle w:val="Prrafodelista"/>
              <w:ind w:left="72" w:right="214"/>
              <w:jc w:val="both"/>
              <w:rPr>
                <w:rFonts w:ascii="Arial" w:hAnsi="Arial" w:cs="Arial"/>
                <w:b/>
                <w:szCs w:val="24"/>
              </w:rPr>
            </w:pPr>
            <w:r w:rsidRPr="004D4DF8">
              <w:rPr>
                <w:rFonts w:ascii="Arial" w:hAnsi="Arial" w:cs="Arial"/>
                <w:b/>
                <w:szCs w:val="24"/>
              </w:rPr>
              <w:t>(Este campo se deberá diligenciar si el proyecto normativo tiene impacto en las áreas enunciadas, de lo contrario deberá señalarse que el proyecto normativo no tiene impacto en este ítem, con la debida justificación sobre el particular).</w:t>
            </w:r>
          </w:p>
          <w:p w14:paraId="5A1109D2" w14:textId="77777777" w:rsidR="000424F7" w:rsidRPr="006D5835" w:rsidRDefault="000424F7" w:rsidP="004736CC">
            <w:pPr>
              <w:pStyle w:val="Prrafodelista"/>
              <w:ind w:left="1080"/>
              <w:rPr>
                <w:rFonts w:ascii="Arial" w:hAnsi="Arial" w:cs="Arial"/>
                <w:b/>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8"/>
            </w:tblGrid>
            <w:tr w:rsidR="000424F7" w14:paraId="1225AA1A" w14:textId="77777777" w:rsidTr="004736CC">
              <w:trPr>
                <w:trHeight w:val="632"/>
              </w:trPr>
              <w:tc>
                <w:tcPr>
                  <w:tcW w:w="8468" w:type="dxa"/>
                </w:tcPr>
                <w:p w14:paraId="5AB2A30A" w14:textId="77777777" w:rsidR="000424F7" w:rsidRPr="006D5835" w:rsidRDefault="000424F7" w:rsidP="004736CC">
                  <w:pPr>
                    <w:jc w:val="both"/>
                    <w:rPr>
                      <w:rFonts w:ascii="Arial" w:hAnsi="Arial" w:cs="Arial"/>
                      <w:b/>
                      <w:szCs w:val="24"/>
                    </w:rPr>
                  </w:pPr>
                  <w:r w:rsidRPr="00705E2F">
                    <w:rPr>
                      <w:rFonts w:ascii="Arial" w:hAnsi="Arial" w:cs="Arial"/>
                    </w:rPr>
                    <w:t xml:space="preserve">Este </w:t>
                  </w:r>
                  <w:r>
                    <w:rPr>
                      <w:rFonts w:ascii="Arial" w:hAnsi="Arial" w:cs="Arial"/>
                    </w:rPr>
                    <w:t xml:space="preserve">proyecto de acto </w:t>
                  </w:r>
                  <w:r w:rsidRPr="00705E2F">
                    <w:rPr>
                      <w:rFonts w:ascii="Arial" w:hAnsi="Arial" w:cs="Arial"/>
                    </w:rPr>
                    <w:t>administrativo</w:t>
                  </w:r>
                  <w:r>
                    <w:rPr>
                      <w:rFonts w:ascii="Arial" w:hAnsi="Arial" w:cs="Arial"/>
                    </w:rPr>
                    <w:t>, no genera impacto m</w:t>
                  </w:r>
                  <w:r w:rsidRPr="00705E2F">
                    <w:rPr>
                      <w:rFonts w:ascii="Arial" w:hAnsi="Arial" w:cs="Arial"/>
                    </w:rPr>
                    <w:t xml:space="preserve">edioambiental </w:t>
                  </w:r>
                  <w:r>
                    <w:rPr>
                      <w:rFonts w:ascii="Arial" w:hAnsi="Arial" w:cs="Arial"/>
                    </w:rPr>
                    <w:t xml:space="preserve">ni </w:t>
                  </w:r>
                  <w:r w:rsidRPr="00705E2F">
                    <w:rPr>
                      <w:rFonts w:ascii="Arial" w:hAnsi="Arial" w:cs="Arial"/>
                    </w:rPr>
                    <w:t xml:space="preserve"> sobre el patrimonio cultural de la </w:t>
                  </w:r>
                  <w:r>
                    <w:rPr>
                      <w:rFonts w:ascii="Arial" w:hAnsi="Arial" w:cs="Arial"/>
                    </w:rPr>
                    <w:t>N</w:t>
                  </w:r>
                  <w:r w:rsidRPr="00705E2F">
                    <w:rPr>
                      <w:rFonts w:ascii="Arial" w:hAnsi="Arial" w:cs="Arial"/>
                    </w:rPr>
                    <w:t>ación</w:t>
                  </w:r>
                  <w:r>
                    <w:rPr>
                      <w:rFonts w:ascii="Arial" w:hAnsi="Arial" w:cs="Arial"/>
                    </w:rPr>
                    <w:t xml:space="preserve"> </w:t>
                  </w:r>
                </w:p>
              </w:tc>
            </w:tr>
          </w:tbl>
          <w:p w14:paraId="49FB5766" w14:textId="77777777" w:rsidR="000424F7" w:rsidRPr="006D5835" w:rsidRDefault="000424F7" w:rsidP="004736C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50"/>
            </w:tblGrid>
            <w:tr w:rsidR="000424F7" w14:paraId="0C9FA8AF" w14:textId="77777777" w:rsidTr="004736CC">
              <w:trPr>
                <w:trHeight w:val="945"/>
              </w:trPr>
              <w:tc>
                <w:tcPr>
                  <w:tcW w:w="8895" w:type="dxa"/>
                </w:tcPr>
                <w:p w14:paraId="4A54C77C" w14:textId="77777777" w:rsidR="000424F7" w:rsidRPr="006D5835" w:rsidRDefault="000424F7" w:rsidP="004736CC">
                  <w:pPr>
                    <w:pStyle w:val="Prrafodelista"/>
                    <w:ind w:left="1105"/>
                    <w:rPr>
                      <w:rFonts w:ascii="Arial" w:hAnsi="Arial" w:cs="Arial"/>
                      <w:b/>
                      <w:szCs w:val="24"/>
                    </w:rPr>
                  </w:pPr>
                </w:p>
                <w:p w14:paraId="3175BB50" w14:textId="77777777" w:rsidR="000424F7" w:rsidRPr="006D5835" w:rsidRDefault="000424F7" w:rsidP="004736CC">
                  <w:pPr>
                    <w:pStyle w:val="Prrafodelista"/>
                    <w:numPr>
                      <w:ilvl w:val="0"/>
                      <w:numId w:val="1"/>
                    </w:numPr>
                    <w:ind w:left="640" w:hanging="615"/>
                    <w:rPr>
                      <w:rFonts w:ascii="Arial" w:hAnsi="Arial" w:cs="Arial"/>
                      <w:b/>
                      <w:szCs w:val="24"/>
                    </w:rPr>
                  </w:pPr>
                  <w:r>
                    <w:rPr>
                      <w:rFonts w:ascii="Arial" w:hAnsi="Arial" w:cs="Arial"/>
                      <w:b/>
                      <w:szCs w:val="24"/>
                    </w:rPr>
                    <w:t xml:space="preserve">CUMPLIMIENTO DE LOS REQUISITOS DE CONSULTA Y PUBLICIDAD PREVISTOS EN LOS ARTÍCULOS 2.1.2.1.13 y 2.1.2.1.14 DEL DECRETO 1081 DE 2015, MODIFICADO POR EL DECRETO 1609 DEL MISMO AÑO. </w:t>
                  </w:r>
                  <w:r>
                    <w:rPr>
                      <w:rFonts w:ascii="Arial" w:hAnsi="Arial" w:cs="Arial"/>
                      <w:b/>
                      <w:sz w:val="22"/>
                      <w:szCs w:val="22"/>
                    </w:rPr>
                    <w:t xml:space="preserve">OBLIGATORIAMENTE DEBE SER DILIGENCIADO POR EL ÁREA TÉCNICA  </w:t>
                  </w:r>
                </w:p>
              </w:tc>
            </w:tr>
          </w:tbl>
          <w:p w14:paraId="6416F306" w14:textId="77777777" w:rsidR="000424F7" w:rsidRPr="006D5835" w:rsidRDefault="000424F7" w:rsidP="004736CC">
            <w:pPr>
              <w:pStyle w:val="Prrafodelista"/>
              <w:ind w:left="0"/>
              <w:rPr>
                <w:rFonts w:ascii="Arial" w:hAnsi="Arial" w:cs="Arial"/>
                <w:b/>
                <w:szCs w:val="24"/>
              </w:rPr>
            </w:pPr>
          </w:p>
          <w:p w14:paraId="5F7628E2" w14:textId="77777777" w:rsidR="000424F7" w:rsidRPr="006D5835" w:rsidRDefault="000424F7" w:rsidP="004736CC">
            <w:pPr>
              <w:ind w:right="214"/>
              <w:jc w:val="both"/>
              <w:rPr>
                <w:rFonts w:ascii="Arial" w:hAnsi="Arial" w:cs="Arial"/>
                <w:b/>
                <w:sz w:val="22"/>
                <w:szCs w:val="22"/>
              </w:rPr>
            </w:pPr>
            <w:r w:rsidRPr="004D4DF8">
              <w:rPr>
                <w:rFonts w:ascii="Arial" w:hAnsi="Arial" w:cs="Arial"/>
                <w:b/>
                <w:szCs w:val="24"/>
              </w:rPr>
              <w:t>(</w:t>
            </w:r>
            <w:r w:rsidRPr="004D4DF8">
              <w:rPr>
                <w:rFonts w:ascii="Arial" w:hAnsi="Arial" w:cs="Arial"/>
                <w:b/>
                <w:sz w:val="22"/>
                <w:szCs w:val="22"/>
              </w:rPr>
              <w:t>Deber de consultar</w:t>
            </w:r>
            <w:r w:rsidRPr="004D4DF8">
              <w:rPr>
                <w:rFonts w:ascii="Arial" w:hAnsi="Arial" w:cs="Arial"/>
                <w:b/>
                <w:szCs w:val="24"/>
              </w:rPr>
              <w:t xml:space="preserve">. </w:t>
            </w:r>
            <w:r w:rsidRPr="004D4DF8">
              <w:rPr>
                <w:rFonts w:ascii="Arial" w:hAnsi="Arial" w:cs="Arial"/>
                <w:b/>
                <w:sz w:val="22"/>
                <w:szCs w:val="22"/>
              </w:rPr>
              <w:t xml:space="preserve">Cuando la constitución y la ley así lo ordenen, deberán realizarse las consultas en ella señaladas, caso en el cual, a la memoria justificativa deberá anexarse la constancia que acredite que se ha cumplido dicho trámite. En caso de que no requiera consulta, deberá explicarse tal circunstancia en la memoria justificativa.  </w:t>
            </w:r>
          </w:p>
          <w:p w14:paraId="530B6208" w14:textId="77777777" w:rsidR="000424F7" w:rsidRPr="006D5835" w:rsidRDefault="000424F7" w:rsidP="004736CC">
            <w:pPr>
              <w:ind w:right="214"/>
              <w:jc w:val="both"/>
              <w:rPr>
                <w:rFonts w:ascii="Arial" w:hAnsi="Arial" w:cs="Arial"/>
                <w:b/>
                <w:sz w:val="22"/>
                <w:szCs w:val="22"/>
              </w:rPr>
            </w:pPr>
            <w:r w:rsidRPr="004D4DF8">
              <w:rPr>
                <w:rFonts w:ascii="Arial" w:hAnsi="Arial" w:cs="Arial"/>
                <w:b/>
                <w:sz w:val="22"/>
                <w:szCs w:val="22"/>
              </w:rPr>
              <w:t xml:space="preserve"> </w:t>
            </w:r>
          </w:p>
          <w:p w14:paraId="76BCB760" w14:textId="77777777" w:rsidR="000424F7" w:rsidRPr="006D5835" w:rsidRDefault="000424F7" w:rsidP="004736CC">
            <w:pPr>
              <w:ind w:right="214"/>
              <w:jc w:val="both"/>
              <w:rPr>
                <w:rFonts w:ascii="Arial" w:hAnsi="Arial" w:cs="Arial"/>
                <w:b/>
                <w:sz w:val="22"/>
                <w:szCs w:val="22"/>
              </w:rPr>
            </w:pPr>
            <w:r w:rsidRPr="004D4DF8">
              <w:rPr>
                <w:rFonts w:ascii="Arial" w:hAnsi="Arial" w:cs="Arial"/>
                <w:b/>
                <w:szCs w:val="24"/>
              </w:rPr>
              <w:t>(</w:t>
            </w:r>
            <w:r w:rsidRPr="004D4DF8">
              <w:rPr>
                <w:rFonts w:ascii="Arial" w:hAnsi="Arial" w:cs="Arial"/>
                <w:b/>
                <w:sz w:val="22"/>
                <w:szCs w:val="22"/>
              </w:rPr>
              <w:t>Deber de publicar</w:t>
            </w:r>
            <w:r w:rsidRPr="004D4DF8">
              <w:rPr>
                <w:rFonts w:ascii="Arial" w:hAnsi="Arial" w:cs="Arial"/>
                <w:b/>
                <w:szCs w:val="24"/>
              </w:rPr>
              <w:t xml:space="preserve">. </w:t>
            </w:r>
            <w:r w:rsidRPr="004D4DF8">
              <w:rPr>
                <w:rFonts w:ascii="Arial" w:hAnsi="Arial" w:cs="Arial"/>
                <w:b/>
                <w:sz w:val="22"/>
                <w:szCs w:val="22"/>
              </w:rPr>
              <w:t xml:space="preserve">Cuando de conformidad con la ley deba someterse a consideración del público la información sobre el correspondiente proyecto de acto administrativo, a la memoria justificativa se anexará la constancia del cumplimiento de dicha obligación, incluyendo el resultado de la evaluación de las observaciones ciudadanas que se hubieren presentado. Sin perjuicio del uso de los demás medios que se consideren necesarios, para dar a conocer el proyecto a los sectores interesados, ésta deberá estar disponible en el sitio web del Ministerio de Salud y Protección Social. En caso de que no requiera la publicación del proyecto, deberá explicarse tal circunstancia en la memoria justificativa.  </w:t>
            </w:r>
          </w:p>
          <w:p w14:paraId="40D3E259" w14:textId="77777777" w:rsidR="000424F7" w:rsidRDefault="000424F7" w:rsidP="004736CC">
            <w:pPr>
              <w:ind w:right="214"/>
              <w:jc w:val="both"/>
              <w:rPr>
                <w:rFonts w:ascii="Arial" w:hAnsi="Arial" w:cs="Arial"/>
                <w:b/>
                <w:i/>
                <w:sz w:val="22"/>
                <w:szCs w:val="22"/>
              </w:rPr>
            </w:pPr>
          </w:p>
          <w:p w14:paraId="1B9F4F92" w14:textId="77777777" w:rsidR="000424F7" w:rsidRDefault="000424F7" w:rsidP="004736CC">
            <w:pPr>
              <w:ind w:right="214"/>
              <w:jc w:val="both"/>
              <w:rPr>
                <w:rFonts w:ascii="Arial" w:hAnsi="Arial" w:cs="Arial"/>
              </w:rPr>
            </w:pPr>
            <w:r>
              <w:rPr>
                <w:rFonts w:ascii="Arial" w:hAnsi="Arial" w:cs="Arial"/>
              </w:rPr>
              <w:t xml:space="preserve">De acuerdo con la Constitución Política y la Ley, este </w:t>
            </w:r>
            <w:r w:rsidRPr="009015D0">
              <w:rPr>
                <w:rFonts w:ascii="Arial" w:hAnsi="Arial" w:cs="Arial"/>
              </w:rPr>
              <w:t xml:space="preserve">proyecto de </w:t>
            </w:r>
            <w:r>
              <w:rPr>
                <w:rFonts w:ascii="Arial" w:hAnsi="Arial" w:cs="Arial"/>
              </w:rPr>
              <w:t>r</w:t>
            </w:r>
            <w:r w:rsidRPr="009015D0">
              <w:rPr>
                <w:rFonts w:ascii="Arial" w:hAnsi="Arial" w:cs="Arial"/>
              </w:rPr>
              <w:t>esolución</w:t>
            </w:r>
            <w:r>
              <w:rPr>
                <w:rFonts w:ascii="Arial" w:hAnsi="Arial" w:cs="Arial"/>
              </w:rPr>
              <w:t>,</w:t>
            </w:r>
            <w:r w:rsidRPr="009015D0">
              <w:rPr>
                <w:rFonts w:ascii="Arial" w:hAnsi="Arial" w:cs="Arial"/>
              </w:rPr>
              <w:t xml:space="preserve"> no </w:t>
            </w:r>
            <w:r>
              <w:rPr>
                <w:rFonts w:ascii="Arial" w:hAnsi="Arial" w:cs="Arial"/>
              </w:rPr>
              <w:t xml:space="preserve">requiere consulta. </w:t>
            </w:r>
          </w:p>
          <w:p w14:paraId="49BC4258" w14:textId="77777777" w:rsidR="000424F7" w:rsidRPr="00CE2406" w:rsidRDefault="000424F7" w:rsidP="004736CC">
            <w:pPr>
              <w:ind w:right="214"/>
              <w:jc w:val="both"/>
              <w:rPr>
                <w:rFonts w:ascii="Arial" w:hAnsi="Arial" w:cs="Arial"/>
              </w:rPr>
            </w:pPr>
          </w:p>
          <w:p w14:paraId="564A0D8C" w14:textId="6726CF50" w:rsidR="000424F7" w:rsidRDefault="000424F7" w:rsidP="004736CC">
            <w:pPr>
              <w:ind w:right="214"/>
              <w:jc w:val="both"/>
              <w:rPr>
                <w:rFonts w:ascii="Arial" w:hAnsi="Arial" w:cs="Arial"/>
              </w:rPr>
            </w:pPr>
            <w:r w:rsidRPr="001E6AC3">
              <w:rPr>
                <w:rFonts w:ascii="Arial" w:hAnsi="Arial" w:cs="Arial"/>
              </w:rPr>
              <w:t>Este acto admini</w:t>
            </w:r>
            <w:r w:rsidR="004A70BD" w:rsidRPr="001E6AC3">
              <w:rPr>
                <w:rFonts w:ascii="Arial" w:hAnsi="Arial" w:cs="Arial"/>
              </w:rPr>
              <w:t>s</w:t>
            </w:r>
            <w:r w:rsidR="003079D5">
              <w:rPr>
                <w:rFonts w:ascii="Arial" w:hAnsi="Arial" w:cs="Arial"/>
              </w:rPr>
              <w:t>trativo se publicará</w:t>
            </w:r>
            <w:r w:rsidR="00FE7B05">
              <w:rPr>
                <w:rFonts w:ascii="Arial" w:hAnsi="Arial" w:cs="Arial"/>
              </w:rPr>
              <w:t xml:space="preserve"> </w:t>
            </w:r>
            <w:r w:rsidR="003079D5">
              <w:rPr>
                <w:rFonts w:ascii="Arial" w:hAnsi="Arial" w:cs="Arial"/>
              </w:rPr>
              <w:t>a partir d</w:t>
            </w:r>
            <w:r w:rsidR="00D60D80">
              <w:rPr>
                <w:rFonts w:ascii="Arial" w:hAnsi="Arial" w:cs="Arial"/>
              </w:rPr>
              <w:t>el jueves</w:t>
            </w:r>
            <w:r w:rsidR="003079D5">
              <w:rPr>
                <w:rFonts w:ascii="Arial" w:hAnsi="Arial" w:cs="Arial"/>
              </w:rPr>
              <w:t xml:space="preserve"> </w:t>
            </w:r>
            <w:r w:rsidR="00D60D80">
              <w:rPr>
                <w:rFonts w:ascii="Arial" w:hAnsi="Arial" w:cs="Arial"/>
              </w:rPr>
              <w:t>11</w:t>
            </w:r>
            <w:r w:rsidR="003079D5">
              <w:rPr>
                <w:rFonts w:ascii="Arial" w:hAnsi="Arial" w:cs="Arial"/>
              </w:rPr>
              <w:t xml:space="preserve"> de </w:t>
            </w:r>
            <w:r w:rsidR="00D60D80">
              <w:rPr>
                <w:rFonts w:ascii="Arial" w:hAnsi="Arial" w:cs="Arial"/>
              </w:rPr>
              <w:t>noviembre</w:t>
            </w:r>
            <w:r w:rsidR="003079D5">
              <w:rPr>
                <w:rFonts w:ascii="Arial" w:hAnsi="Arial" w:cs="Arial"/>
              </w:rPr>
              <w:t xml:space="preserve"> y hasta el </w:t>
            </w:r>
            <w:r w:rsidR="00D60D80">
              <w:rPr>
                <w:rFonts w:ascii="Arial" w:hAnsi="Arial" w:cs="Arial"/>
              </w:rPr>
              <w:t>25</w:t>
            </w:r>
            <w:r w:rsidR="003079D5">
              <w:rPr>
                <w:rFonts w:ascii="Arial" w:hAnsi="Arial" w:cs="Arial"/>
              </w:rPr>
              <w:t xml:space="preserve"> de </w:t>
            </w:r>
            <w:r w:rsidR="00D60D80">
              <w:rPr>
                <w:rFonts w:ascii="Arial" w:hAnsi="Arial" w:cs="Arial"/>
              </w:rPr>
              <w:t>noviembre</w:t>
            </w:r>
            <w:r w:rsidR="00A5343B" w:rsidRPr="001E6AC3">
              <w:rPr>
                <w:rFonts w:ascii="Arial" w:hAnsi="Arial" w:cs="Arial"/>
              </w:rPr>
              <w:t xml:space="preserve"> de 2021</w:t>
            </w:r>
            <w:r w:rsidR="00D60D80">
              <w:rPr>
                <w:rFonts w:ascii="Arial" w:hAnsi="Arial" w:cs="Arial"/>
              </w:rPr>
              <w:t>.</w:t>
            </w:r>
          </w:p>
          <w:p w14:paraId="6E9BB976" w14:textId="77777777" w:rsidR="00D60D80" w:rsidRPr="001E6AC3" w:rsidRDefault="00D60D80" w:rsidP="004736CC">
            <w:pPr>
              <w:ind w:right="214"/>
              <w:jc w:val="both"/>
              <w:rPr>
                <w:rFonts w:ascii="Arial" w:hAnsi="Arial" w:cs="Arial"/>
                <w:sz w:val="22"/>
                <w:szCs w:val="22"/>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0424F7" w14:paraId="1CF42331" w14:textId="77777777" w:rsidTr="004736CC">
              <w:trPr>
                <w:trHeight w:val="450"/>
              </w:trPr>
              <w:tc>
                <w:tcPr>
                  <w:tcW w:w="8505" w:type="dxa"/>
                </w:tcPr>
                <w:p w14:paraId="71F69D0E" w14:textId="77777777" w:rsidR="000424F7" w:rsidRPr="006D5835" w:rsidRDefault="000424F7" w:rsidP="004736CC">
                  <w:pPr>
                    <w:pStyle w:val="Prrafodelista"/>
                    <w:numPr>
                      <w:ilvl w:val="0"/>
                      <w:numId w:val="1"/>
                    </w:numPr>
                    <w:ind w:left="481" w:hanging="425"/>
                    <w:rPr>
                      <w:rFonts w:ascii="Arial" w:hAnsi="Arial" w:cs="Arial"/>
                      <w:b/>
                      <w:szCs w:val="24"/>
                    </w:rPr>
                  </w:pPr>
                  <w:r>
                    <w:rPr>
                      <w:rFonts w:ascii="Arial" w:hAnsi="Arial" w:cs="Arial"/>
                      <w:b/>
                      <w:szCs w:val="24"/>
                    </w:rPr>
                    <w:t>VIABILIDAD JURÍDICA.</w:t>
                  </w:r>
                </w:p>
              </w:tc>
            </w:tr>
          </w:tbl>
          <w:tbl>
            <w:tblPr>
              <w:tblpPr w:leftFromText="141" w:rightFromText="141" w:vertAnchor="text" w:horzAnchor="page" w:tblpX="218"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9"/>
            </w:tblGrid>
            <w:tr w:rsidR="000424F7" w14:paraId="7293E35E" w14:textId="77777777" w:rsidTr="004736CC">
              <w:trPr>
                <w:trHeight w:val="315"/>
              </w:trPr>
              <w:tc>
                <w:tcPr>
                  <w:tcW w:w="8359" w:type="dxa"/>
                </w:tcPr>
                <w:p w14:paraId="5CF6C114" w14:textId="77777777" w:rsidR="000424F7" w:rsidRPr="006D5835" w:rsidRDefault="000424F7" w:rsidP="004736CC">
                  <w:pPr>
                    <w:pStyle w:val="Prrafodelista"/>
                    <w:ind w:left="0"/>
                    <w:rPr>
                      <w:rFonts w:ascii="Arial" w:hAnsi="Arial" w:cs="Arial"/>
                      <w:b/>
                      <w:sz w:val="22"/>
                      <w:szCs w:val="22"/>
                    </w:rPr>
                  </w:pPr>
                  <w:r w:rsidRPr="00D75A55">
                    <w:rPr>
                      <w:rFonts w:ascii="Arial" w:hAnsi="Arial" w:cs="Arial"/>
                      <w:b/>
                      <w:sz w:val="22"/>
                      <w:szCs w:val="22"/>
                    </w:rPr>
                    <w:t xml:space="preserve">Análisis </w:t>
                  </w:r>
                  <w:r>
                    <w:rPr>
                      <w:rFonts w:ascii="Arial" w:hAnsi="Arial" w:cs="Arial"/>
                      <w:b/>
                      <w:sz w:val="22"/>
                      <w:szCs w:val="22"/>
                    </w:rPr>
                    <w:t xml:space="preserve">expreso y </w:t>
                  </w:r>
                  <w:r w:rsidRPr="00D75A55">
                    <w:rPr>
                      <w:rFonts w:ascii="Arial" w:hAnsi="Arial" w:cs="Arial"/>
                      <w:b/>
                      <w:sz w:val="22"/>
                      <w:szCs w:val="22"/>
                    </w:rPr>
                    <w:t xml:space="preserve">detallado de las normas que otorgan </w:t>
                  </w:r>
                  <w:r>
                    <w:rPr>
                      <w:rFonts w:ascii="Arial" w:hAnsi="Arial" w:cs="Arial"/>
                      <w:b/>
                      <w:sz w:val="22"/>
                      <w:szCs w:val="22"/>
                    </w:rPr>
                    <w:t xml:space="preserve">la </w:t>
                  </w:r>
                  <w:r w:rsidRPr="00D75A55">
                    <w:rPr>
                      <w:rFonts w:ascii="Arial" w:hAnsi="Arial" w:cs="Arial"/>
                      <w:b/>
                      <w:sz w:val="22"/>
                      <w:szCs w:val="22"/>
                    </w:rPr>
                    <w:t>competencia para la expedición del correspondiente acto.</w:t>
                  </w:r>
                </w:p>
                <w:p w14:paraId="0159F18A" w14:textId="77777777" w:rsidR="000424F7" w:rsidRPr="006D5835" w:rsidRDefault="000424F7" w:rsidP="004736CC">
                  <w:pPr>
                    <w:pStyle w:val="Prrafodelista"/>
                    <w:ind w:left="0"/>
                    <w:rPr>
                      <w:rFonts w:ascii="Arial" w:hAnsi="Arial" w:cs="Arial"/>
                      <w:b/>
                      <w:sz w:val="22"/>
                      <w:szCs w:val="22"/>
                    </w:rPr>
                  </w:pPr>
                </w:p>
              </w:tc>
            </w:tr>
          </w:tbl>
          <w:p w14:paraId="2E867BBF" w14:textId="77777777" w:rsidR="000424F7" w:rsidRPr="006D5835" w:rsidRDefault="000424F7" w:rsidP="004736CC">
            <w:pPr>
              <w:rPr>
                <w:rFonts w:ascii="Arial" w:hAnsi="Arial" w:cs="Arial"/>
                <w:b/>
                <w:szCs w:val="24"/>
              </w:rPr>
            </w:pPr>
          </w:p>
          <w:p w14:paraId="7846114B" w14:textId="77777777" w:rsidR="000424F7" w:rsidRPr="006D5835" w:rsidRDefault="000424F7" w:rsidP="004736CC">
            <w:pPr>
              <w:ind w:left="214" w:right="356"/>
              <w:jc w:val="both"/>
              <w:rPr>
                <w:rFonts w:ascii="Arial" w:hAnsi="Arial" w:cs="Arial"/>
                <w:b/>
                <w:sz w:val="22"/>
                <w:szCs w:val="22"/>
              </w:rPr>
            </w:pPr>
            <w:r w:rsidRPr="004D4DF8">
              <w:rPr>
                <w:rFonts w:ascii="Arial" w:hAnsi="Arial" w:cs="Arial"/>
                <w:b/>
                <w:sz w:val="22"/>
                <w:szCs w:val="22"/>
              </w:rPr>
              <w:t xml:space="preserve"> (Se deberá señalar en este ítem, las disposiciones de orden </w:t>
            </w:r>
            <w:proofErr w:type="gramStart"/>
            <w:r w:rsidRPr="004D4DF8">
              <w:rPr>
                <w:rFonts w:ascii="Arial" w:hAnsi="Arial" w:cs="Arial"/>
                <w:b/>
                <w:sz w:val="22"/>
                <w:szCs w:val="22"/>
              </w:rPr>
              <w:t>constitucional,  legal</w:t>
            </w:r>
            <w:proofErr w:type="gramEnd"/>
            <w:r w:rsidRPr="004D4DF8">
              <w:rPr>
                <w:rFonts w:ascii="Arial" w:hAnsi="Arial" w:cs="Arial"/>
                <w:b/>
                <w:sz w:val="22"/>
                <w:szCs w:val="22"/>
              </w:rPr>
              <w:t xml:space="preserve"> o reglamentario que asignan la competencia para expedir la resolución. Cuando se citen normas de distinta jerarquía, deberán mencionarse en primer lugar las constitucionales y luego las legales y reglamentarias, citando cronológicamente de la más antigua a la más nueva. Tratándose de actos administrativos referidos a reforma organizacional, se requiere además concepto técnico favorable del Departamento Administrativo de la Función Pública.</w:t>
            </w:r>
          </w:p>
          <w:p w14:paraId="33127251" w14:textId="77777777" w:rsidR="000424F7" w:rsidRDefault="000424F7" w:rsidP="004736CC">
            <w:pPr>
              <w:ind w:left="214" w:right="356"/>
              <w:jc w:val="both"/>
              <w:rPr>
                <w:rFonts w:ascii="Arial" w:hAnsi="Arial" w:cs="Arial"/>
                <w:b/>
                <w:i/>
                <w:sz w:val="22"/>
                <w:szCs w:val="22"/>
              </w:rPr>
            </w:pPr>
          </w:p>
          <w:p w14:paraId="65B861DE" w14:textId="77777777" w:rsidR="000424F7" w:rsidRDefault="000424F7" w:rsidP="004736CC">
            <w:pPr>
              <w:ind w:left="214" w:right="356"/>
              <w:jc w:val="both"/>
              <w:rPr>
                <w:rFonts w:ascii="Arial" w:hAnsi="Arial" w:cs="Arial"/>
                <w:szCs w:val="24"/>
              </w:rPr>
            </w:pPr>
            <w:r>
              <w:rPr>
                <w:rFonts w:ascii="Arial" w:hAnsi="Arial" w:cs="Arial"/>
                <w:szCs w:val="24"/>
              </w:rPr>
              <w:t>N</w:t>
            </w:r>
            <w:r w:rsidRPr="00BE1228">
              <w:rPr>
                <w:rFonts w:ascii="Arial" w:hAnsi="Arial" w:cs="Arial"/>
                <w:szCs w:val="24"/>
              </w:rPr>
              <w:t>umeral 23 del artículo 2 del Decreto – Ley 4107 de 2011</w:t>
            </w:r>
          </w:p>
          <w:p w14:paraId="6D8F76AF" w14:textId="77777777" w:rsidR="000424F7" w:rsidRPr="006D5835" w:rsidRDefault="000424F7" w:rsidP="004736CC">
            <w:pPr>
              <w:ind w:left="214" w:right="356"/>
              <w:jc w:val="both"/>
              <w:rPr>
                <w:rFonts w:ascii="Arial" w:hAnsi="Arial" w:cs="Arial"/>
                <w:b/>
                <w:i/>
                <w:sz w:val="22"/>
                <w:szCs w:val="22"/>
              </w:rPr>
            </w:pPr>
          </w:p>
          <w:tbl>
            <w:tblPr>
              <w:tblpPr w:leftFromText="141" w:rightFromText="141" w:vertAnchor="text" w:horzAnchor="margin"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6"/>
            </w:tblGrid>
            <w:tr w:rsidR="000424F7" w14:paraId="4309D167" w14:textId="77777777" w:rsidTr="004736CC">
              <w:trPr>
                <w:trHeight w:val="480"/>
              </w:trPr>
              <w:tc>
                <w:tcPr>
                  <w:tcW w:w="8356" w:type="dxa"/>
                </w:tcPr>
                <w:p w14:paraId="33C90D23" w14:textId="77777777" w:rsidR="000424F7" w:rsidRPr="006D5835" w:rsidRDefault="000424F7" w:rsidP="004736CC">
                  <w:pPr>
                    <w:pStyle w:val="Prrafodelista"/>
                    <w:ind w:left="0"/>
                    <w:rPr>
                      <w:rFonts w:ascii="Arial" w:hAnsi="Arial" w:cs="Arial"/>
                      <w:b/>
                      <w:sz w:val="22"/>
                      <w:szCs w:val="22"/>
                    </w:rPr>
                  </w:pPr>
                  <w:r w:rsidRPr="00651E59">
                    <w:rPr>
                      <w:rFonts w:ascii="Arial" w:hAnsi="Arial" w:cs="Arial"/>
                      <w:b/>
                      <w:sz w:val="22"/>
                      <w:szCs w:val="22"/>
                    </w:rPr>
                    <w:t>La vigencia de la ley o norma reglamentada o desarrollada.</w:t>
                  </w:r>
                </w:p>
              </w:tc>
            </w:tr>
          </w:tbl>
          <w:p w14:paraId="6AB34684" w14:textId="77777777" w:rsidR="000424F7" w:rsidRPr="006D5835" w:rsidRDefault="000424F7" w:rsidP="004736CC">
            <w:pPr>
              <w:pStyle w:val="Prrafodelista"/>
              <w:ind w:left="214" w:right="356"/>
              <w:jc w:val="both"/>
              <w:rPr>
                <w:rFonts w:ascii="Arial" w:hAnsi="Arial" w:cs="Arial"/>
                <w:b/>
                <w:szCs w:val="24"/>
              </w:rPr>
            </w:pPr>
          </w:p>
          <w:p w14:paraId="7AA51795" w14:textId="77777777" w:rsidR="000424F7" w:rsidRPr="006D5835" w:rsidRDefault="000424F7" w:rsidP="004736CC">
            <w:pPr>
              <w:pStyle w:val="Prrafodelista"/>
              <w:ind w:left="214" w:right="356"/>
              <w:jc w:val="both"/>
              <w:rPr>
                <w:rFonts w:ascii="Arial" w:hAnsi="Arial" w:cs="Arial"/>
                <w:b/>
                <w:szCs w:val="24"/>
              </w:rPr>
            </w:pPr>
            <w:r>
              <w:rPr>
                <w:rFonts w:ascii="Arial" w:hAnsi="Arial" w:cs="Arial"/>
                <w:b/>
                <w:szCs w:val="24"/>
              </w:rPr>
              <w:t>(Describir en este campo lo correspondiente a la norma que se busca desarrollar en el proyecto de resolución</w:t>
            </w:r>
            <w:r w:rsidRPr="004D4DF8">
              <w:rPr>
                <w:rFonts w:ascii="Arial" w:hAnsi="Arial" w:cs="Arial"/>
                <w:b/>
                <w:sz w:val="22"/>
                <w:szCs w:val="22"/>
              </w:rPr>
              <w:t xml:space="preserve">, </w:t>
            </w:r>
            <w:r>
              <w:rPr>
                <w:rFonts w:ascii="Arial" w:hAnsi="Arial" w:cs="Arial"/>
                <w:b/>
                <w:sz w:val="22"/>
                <w:szCs w:val="22"/>
              </w:rPr>
              <w:t xml:space="preserve">su </w:t>
            </w:r>
            <w:r w:rsidRPr="004D4DF8">
              <w:rPr>
                <w:rFonts w:ascii="Arial" w:hAnsi="Arial" w:cs="Arial"/>
                <w:b/>
                <w:sz w:val="22"/>
                <w:szCs w:val="22"/>
              </w:rPr>
              <w:t xml:space="preserve">fecha de expedición y vigencia. </w:t>
            </w:r>
          </w:p>
          <w:p w14:paraId="2A86A2F8" w14:textId="77777777" w:rsidR="000424F7" w:rsidRPr="006D5835" w:rsidRDefault="000424F7" w:rsidP="004736CC">
            <w:pPr>
              <w:ind w:left="214" w:right="356"/>
              <w:jc w:val="both"/>
              <w:rPr>
                <w:rFonts w:ascii="Arial" w:hAnsi="Arial" w:cs="Arial"/>
                <w:b/>
                <w:sz w:val="22"/>
                <w:szCs w:val="22"/>
              </w:rPr>
            </w:pPr>
          </w:p>
          <w:p w14:paraId="4FCC1797" w14:textId="77777777" w:rsidR="00D60D80" w:rsidRDefault="00D60D80" w:rsidP="00D60D80">
            <w:pPr>
              <w:suppressAutoHyphens/>
              <w:ind w:right="283"/>
              <w:contextualSpacing/>
              <w:jc w:val="both"/>
              <w:rPr>
                <w:rFonts w:ascii="Arial" w:eastAsia="Calibri" w:hAnsi="Arial" w:cs="Arial"/>
                <w:sz w:val="23"/>
                <w:szCs w:val="23"/>
                <w:lang w:val="es-419" w:eastAsia="en-US"/>
              </w:rPr>
            </w:pPr>
            <w:r>
              <w:rPr>
                <w:rFonts w:ascii="Arial" w:eastAsia="Arial" w:hAnsi="Arial" w:cs="Arial"/>
                <w:sz w:val="23"/>
                <w:szCs w:val="23"/>
              </w:rPr>
              <w:t xml:space="preserve">La finalidad de este acto administrativo, es ajustar los Anexos Técnicos 2, 3, 4 y 5,  para (i)  </w:t>
            </w:r>
            <w:r>
              <w:rPr>
                <w:rFonts w:ascii="Arial" w:eastAsia="Calibri" w:hAnsi="Arial" w:cs="Arial"/>
                <w:sz w:val="23"/>
                <w:szCs w:val="23"/>
                <w:lang w:val="es-419"/>
              </w:rPr>
              <w:t xml:space="preserve">modificar el campo “26 -  LMA: Licencia de Maternidad o de paternidad”, para que durante el tiempo que se reporte </w:t>
            </w:r>
            <w:r>
              <w:rPr>
                <w:rFonts w:ascii="Arial" w:eastAsia="Calibri" w:hAnsi="Arial" w:cs="Arial"/>
                <w:sz w:val="23"/>
                <w:szCs w:val="23"/>
                <w:lang w:val="es-MX"/>
              </w:rPr>
              <w:t>la licencia parental flexible de tiempo parcial, el aportante realice aportes al Sistema General de Riesgos Laborales correspondientes al periodo en el cual el trabajador está prestando el servicio; (</w:t>
            </w:r>
            <w:proofErr w:type="spellStart"/>
            <w:r>
              <w:rPr>
                <w:rFonts w:ascii="Arial" w:eastAsia="Calibri" w:hAnsi="Arial" w:cs="Arial"/>
                <w:sz w:val="23"/>
                <w:szCs w:val="23"/>
                <w:lang w:val="es-MX"/>
              </w:rPr>
              <w:t>ii</w:t>
            </w:r>
            <w:proofErr w:type="spellEnd"/>
            <w:r>
              <w:rPr>
                <w:rFonts w:ascii="Arial" w:eastAsia="Calibri" w:hAnsi="Arial" w:cs="Arial"/>
                <w:sz w:val="23"/>
                <w:szCs w:val="23"/>
                <w:lang w:val="es-MX"/>
              </w:rPr>
              <w:t>) modificar la aclaración al tipo de planilla “A – Planilla Cotizantes con novedad de ingreso” y del tipo de cotizante “63- Beneficiario de Prestación Humanitaria” para permitir el recaudo de la cotización a salud sobre las sumas por concepto del pago adicional a los beneficiarios de la Prestación Humanitaria; (</w:t>
            </w:r>
            <w:proofErr w:type="spellStart"/>
            <w:r>
              <w:rPr>
                <w:rFonts w:ascii="Arial" w:eastAsia="Calibri" w:hAnsi="Arial" w:cs="Arial"/>
                <w:sz w:val="23"/>
                <w:szCs w:val="23"/>
                <w:lang w:val="es-MX"/>
              </w:rPr>
              <w:t>iii</w:t>
            </w:r>
            <w:proofErr w:type="spellEnd"/>
            <w:r>
              <w:rPr>
                <w:rFonts w:ascii="Arial" w:eastAsia="Calibri" w:hAnsi="Arial" w:cs="Arial"/>
                <w:sz w:val="23"/>
                <w:szCs w:val="23"/>
                <w:lang w:val="es-MX"/>
              </w:rPr>
              <w:t xml:space="preserve">) </w:t>
            </w:r>
            <w:r>
              <w:rPr>
                <w:rFonts w:ascii="Arial" w:hAnsi="Arial" w:cs="Arial"/>
                <w:sz w:val="23"/>
                <w:szCs w:val="23"/>
                <w:lang w:val="es-419"/>
              </w:rPr>
              <w:t xml:space="preserve">modificar la aclaración del </w:t>
            </w:r>
            <w:r>
              <w:rPr>
                <w:rFonts w:ascii="Arial" w:hAnsi="Arial" w:cs="Arial"/>
                <w:sz w:val="23"/>
                <w:szCs w:val="23"/>
                <w:lang w:val="es-MX"/>
              </w:rPr>
              <w:t xml:space="preserve"> tipo de planilla “X. Planilla para el pago de empresas en proceso de liquidación, reestructuración o en procesos concursales:</w:t>
            </w:r>
            <w:r>
              <w:rPr>
                <w:rFonts w:ascii="Arial" w:eastAsia="Calibri" w:hAnsi="Arial" w:cs="Arial"/>
                <w:sz w:val="23"/>
                <w:szCs w:val="23"/>
                <w:lang w:val="es-MX"/>
              </w:rPr>
              <w:t xml:space="preserve">” </w:t>
            </w:r>
            <w:r>
              <w:rPr>
                <w:rFonts w:ascii="Arial" w:eastAsia="Calibri" w:hAnsi="Arial" w:cs="Arial"/>
                <w:sz w:val="23"/>
                <w:szCs w:val="23"/>
                <w:lang w:val="es-419"/>
              </w:rPr>
              <w:t xml:space="preserve">con el fin de evitar que algunos cotizantes independientes aporten al Sistema General de Seguridad Social en Salud con una tarifa inferior a la establecida en las normativa vigente;  ( </w:t>
            </w:r>
            <w:proofErr w:type="spellStart"/>
            <w:r>
              <w:rPr>
                <w:rFonts w:ascii="Arial" w:eastAsia="Calibri" w:hAnsi="Arial" w:cs="Arial"/>
                <w:sz w:val="23"/>
                <w:szCs w:val="23"/>
                <w:lang w:val="es-419"/>
              </w:rPr>
              <w:t>iv</w:t>
            </w:r>
            <w:proofErr w:type="spellEnd"/>
            <w:r>
              <w:rPr>
                <w:rFonts w:ascii="Arial" w:eastAsia="Calibri" w:hAnsi="Arial" w:cs="Arial"/>
                <w:sz w:val="23"/>
                <w:szCs w:val="23"/>
                <w:lang w:val="es-419"/>
              </w:rPr>
              <w:t xml:space="preserve"> ) ampliar la longitud del campo “días de mora” en los anexos técnicos 2, 3, 4 y 5; (v) modificar la aclaración de </w:t>
            </w:r>
            <w:r>
              <w:rPr>
                <w:rFonts w:ascii="Arial" w:hAnsi="Arial" w:cs="Arial"/>
                <w:sz w:val="23"/>
                <w:szCs w:val="23"/>
                <w:lang w:val="es-419"/>
              </w:rPr>
              <w:t>los tipos de planilla “</w:t>
            </w:r>
            <w:r>
              <w:rPr>
                <w:rFonts w:ascii="Arial" w:eastAsia="Calibri" w:hAnsi="Arial" w:cs="Arial"/>
                <w:sz w:val="23"/>
                <w:szCs w:val="23"/>
                <w:lang w:val="es-419"/>
              </w:rPr>
              <w:t>L. Planilla pago reliquidación” y “V - Planilla pago reliquidación enero de 2020 en adelante”, en donde dependiendo de la normatividad bajo la cual se reconoce la reliquidación de la pensión, podrá no haber obligación de liquidar intereses de mora, (vi) modificar la aclaración del campo “Campo 63 – Valor total de mesada pensional”, para permitir el reporte de valores proporcionales a los días cotizados cuando la mesada pensional corresponda a un periodo inferior a 30 días; y (</w:t>
            </w:r>
            <w:proofErr w:type="spellStart"/>
            <w:r>
              <w:rPr>
                <w:rFonts w:ascii="Arial" w:eastAsia="Calibri" w:hAnsi="Arial" w:cs="Arial"/>
                <w:sz w:val="23"/>
                <w:szCs w:val="23"/>
                <w:lang w:val="es-419"/>
              </w:rPr>
              <w:t>vii</w:t>
            </w:r>
            <w:proofErr w:type="spellEnd"/>
            <w:r>
              <w:rPr>
                <w:rFonts w:ascii="Arial" w:eastAsia="Calibri" w:hAnsi="Arial" w:cs="Arial"/>
                <w:sz w:val="23"/>
                <w:szCs w:val="23"/>
                <w:lang w:val="es-419"/>
              </w:rPr>
              <w:t>) adicionar la validación del tipo de pensión por convenio internacional para que pueda ser reportada por las Administradoras de Fondos de Pensiones del Régimen de Ahorro Individual con Solidaridad.</w:t>
            </w:r>
          </w:p>
          <w:p w14:paraId="63B1ED5F" w14:textId="77777777" w:rsidR="00D60D80" w:rsidRDefault="00D60D80" w:rsidP="00D60D80">
            <w:pPr>
              <w:suppressAutoHyphens/>
              <w:ind w:right="283"/>
              <w:contextualSpacing/>
              <w:jc w:val="both"/>
              <w:rPr>
                <w:rFonts w:ascii="Arial" w:eastAsia="Calibri" w:hAnsi="Arial" w:cs="Arial"/>
                <w:i/>
                <w:iCs/>
                <w:sz w:val="23"/>
                <w:szCs w:val="23"/>
                <w:lang w:val="es-419" w:eastAsia="en-US"/>
              </w:rPr>
            </w:pPr>
          </w:p>
          <w:p w14:paraId="0F147766" w14:textId="77777777" w:rsidR="003079D5" w:rsidRDefault="003079D5" w:rsidP="004736CC">
            <w:pPr>
              <w:jc w:val="both"/>
              <w:rPr>
                <w:rFonts w:ascii="Arial" w:hAnsi="Arial" w:cs="Arial"/>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8"/>
            </w:tblGrid>
            <w:tr w:rsidR="000424F7" w14:paraId="56E2769D" w14:textId="77777777" w:rsidTr="004736CC">
              <w:trPr>
                <w:trHeight w:val="850"/>
              </w:trPr>
              <w:tc>
                <w:tcPr>
                  <w:tcW w:w="8468" w:type="dxa"/>
                </w:tcPr>
                <w:p w14:paraId="1F353296" w14:textId="77777777" w:rsidR="000424F7" w:rsidRPr="006D5835" w:rsidRDefault="00F75C87" w:rsidP="004736CC">
                  <w:pPr>
                    <w:pStyle w:val="Prrafodelista"/>
                    <w:ind w:left="72"/>
                    <w:jc w:val="both"/>
                    <w:rPr>
                      <w:rFonts w:ascii="Arial" w:hAnsi="Arial" w:cs="Arial"/>
                      <w:b/>
                      <w:szCs w:val="24"/>
                    </w:rPr>
                  </w:pPr>
                  <w:r>
                    <w:rPr>
                      <w:rFonts w:ascii="Arial" w:hAnsi="Arial" w:cs="Arial"/>
                      <w:szCs w:val="24"/>
                    </w:rPr>
                    <w:t xml:space="preserve"> </w:t>
                  </w:r>
                  <w:r w:rsidR="000424F7" w:rsidRPr="00651E59">
                    <w:rPr>
                      <w:rFonts w:ascii="Arial" w:hAnsi="Arial" w:cs="Arial"/>
                      <w:b/>
                      <w:sz w:val="22"/>
                      <w:szCs w:val="22"/>
                    </w:rPr>
                    <w:t xml:space="preserve">Las disposiciones derogadas, subrogadas, modificadas, adicionadas o sustituidas, si alguno de estos efectos se produce con la expedición del respectivo acto.    </w:t>
                  </w:r>
                </w:p>
              </w:tc>
            </w:tr>
          </w:tbl>
          <w:p w14:paraId="48ED41DF" w14:textId="77777777" w:rsidR="000424F7" w:rsidRPr="006D5835" w:rsidRDefault="000424F7" w:rsidP="004736CC">
            <w:pPr>
              <w:ind w:left="214" w:right="356"/>
              <w:jc w:val="both"/>
              <w:rPr>
                <w:rFonts w:ascii="Arial" w:hAnsi="Arial" w:cs="Arial"/>
                <w:b/>
                <w:szCs w:val="24"/>
              </w:rPr>
            </w:pPr>
          </w:p>
          <w:p w14:paraId="5104E3E0" w14:textId="77777777" w:rsidR="000424F7" w:rsidRPr="006D5835" w:rsidRDefault="000424F7" w:rsidP="004736CC">
            <w:pPr>
              <w:ind w:left="214" w:right="356"/>
              <w:jc w:val="both"/>
              <w:rPr>
                <w:rFonts w:ascii="Arial" w:hAnsi="Arial" w:cs="Arial"/>
                <w:b/>
                <w:sz w:val="22"/>
                <w:szCs w:val="22"/>
              </w:rPr>
            </w:pPr>
            <w:r w:rsidRPr="004D4DF8">
              <w:rPr>
                <w:rFonts w:ascii="Arial" w:hAnsi="Arial" w:cs="Arial"/>
                <w:b/>
                <w:szCs w:val="24"/>
              </w:rPr>
              <w:t>(</w:t>
            </w:r>
            <w:r w:rsidRPr="004D4DF8">
              <w:rPr>
                <w:rFonts w:ascii="Arial" w:hAnsi="Arial" w:cs="Arial"/>
                <w:b/>
                <w:sz w:val="22"/>
                <w:szCs w:val="22"/>
              </w:rPr>
              <w:t>Relacionar en este campo el efecto que se produce con la expedición del proyecto de acto administrativo, lo cual exige identificar previamente la existencia de la norma que regule el mismo tema. En caso contrario se debe diligenciar este campo enunciando que con el proyecto de acto administrativo nuevo no se deroga, subroga, modifica, adiciona o sustituye ninguna disposición vigente).</w:t>
            </w:r>
          </w:p>
          <w:p w14:paraId="43A6D660" w14:textId="77777777" w:rsidR="000424F7" w:rsidRDefault="000424F7" w:rsidP="004736CC">
            <w:pPr>
              <w:ind w:left="214" w:right="356"/>
              <w:jc w:val="both"/>
              <w:rPr>
                <w:rFonts w:ascii="Arial" w:hAnsi="Arial" w:cs="Arial"/>
                <w:b/>
                <w:i/>
                <w:sz w:val="22"/>
                <w:szCs w:val="22"/>
              </w:rPr>
            </w:pPr>
          </w:p>
          <w:p w14:paraId="727AFE15" w14:textId="5AB791C7" w:rsidR="000424F7" w:rsidRPr="004C2991" w:rsidRDefault="000424F7" w:rsidP="004736CC">
            <w:pPr>
              <w:pStyle w:val="NormalWeb"/>
              <w:spacing w:before="0" w:beforeAutospacing="0" w:after="0" w:afterAutospacing="0"/>
              <w:jc w:val="both"/>
              <w:rPr>
                <w:rFonts w:ascii="Arial" w:hAnsi="Arial" w:cs="Arial"/>
                <w:sz w:val="23"/>
                <w:szCs w:val="23"/>
              </w:rPr>
            </w:pPr>
            <w:r w:rsidRPr="004C2991">
              <w:rPr>
                <w:rFonts w:ascii="Arial" w:hAnsi="Arial" w:cs="Arial"/>
                <w:sz w:val="23"/>
                <w:szCs w:val="23"/>
              </w:rPr>
              <w:t xml:space="preserve">Esta Resolución modifica </w:t>
            </w:r>
            <w:r w:rsidR="001C31D8" w:rsidRPr="004C2991">
              <w:rPr>
                <w:rFonts w:ascii="Arial" w:hAnsi="Arial" w:cs="Arial"/>
                <w:sz w:val="23"/>
                <w:szCs w:val="23"/>
              </w:rPr>
              <w:t xml:space="preserve">parcialmente </w:t>
            </w:r>
            <w:r w:rsidR="001E6AC3" w:rsidRPr="004C2991">
              <w:rPr>
                <w:rFonts w:ascii="Arial" w:hAnsi="Arial" w:cs="Arial"/>
                <w:sz w:val="23"/>
                <w:szCs w:val="23"/>
              </w:rPr>
              <w:t>los</w:t>
            </w:r>
            <w:r w:rsidR="002C510C" w:rsidRPr="004C2991">
              <w:rPr>
                <w:rFonts w:ascii="Arial" w:hAnsi="Arial" w:cs="Arial"/>
                <w:sz w:val="23"/>
                <w:szCs w:val="23"/>
              </w:rPr>
              <w:t xml:space="preserve"> anexo</w:t>
            </w:r>
            <w:r w:rsidR="001E6AC3" w:rsidRPr="004C2991">
              <w:rPr>
                <w:rFonts w:ascii="Arial" w:hAnsi="Arial" w:cs="Arial"/>
                <w:sz w:val="23"/>
                <w:szCs w:val="23"/>
              </w:rPr>
              <w:t>s</w:t>
            </w:r>
            <w:r w:rsidR="002C510C" w:rsidRPr="004C2991">
              <w:rPr>
                <w:rFonts w:ascii="Arial" w:hAnsi="Arial" w:cs="Arial"/>
                <w:sz w:val="23"/>
                <w:szCs w:val="23"/>
              </w:rPr>
              <w:t xml:space="preserve"> técnico</w:t>
            </w:r>
            <w:r w:rsidR="001E6AC3" w:rsidRPr="004C2991">
              <w:rPr>
                <w:rFonts w:ascii="Arial" w:hAnsi="Arial" w:cs="Arial"/>
                <w:sz w:val="23"/>
                <w:szCs w:val="23"/>
              </w:rPr>
              <w:t>s</w:t>
            </w:r>
            <w:r w:rsidR="002C510C" w:rsidRPr="004C2991">
              <w:rPr>
                <w:rFonts w:ascii="Arial" w:hAnsi="Arial" w:cs="Arial"/>
                <w:sz w:val="23"/>
                <w:szCs w:val="23"/>
              </w:rPr>
              <w:t xml:space="preserve"> </w:t>
            </w:r>
            <w:r w:rsidR="003079D5" w:rsidRPr="003C0249">
              <w:rPr>
                <w:rFonts w:ascii="Arial" w:eastAsia="Arial" w:hAnsi="Arial" w:cs="Arial"/>
                <w:sz w:val="23"/>
                <w:szCs w:val="23"/>
                <w:lang w:val="es-ES_tradnl"/>
              </w:rPr>
              <w:t>2, 4 y 5</w:t>
            </w:r>
            <w:r w:rsidR="003079D5" w:rsidRPr="00A57E90">
              <w:rPr>
                <w:rFonts w:ascii="Arial" w:eastAsia="Arial" w:hAnsi="Arial" w:cs="Arial"/>
                <w:sz w:val="23"/>
                <w:szCs w:val="23"/>
              </w:rPr>
              <w:t xml:space="preserve">, </w:t>
            </w:r>
            <w:r w:rsidR="00382F1F" w:rsidRPr="004C2991">
              <w:rPr>
                <w:rFonts w:ascii="Arial" w:hAnsi="Arial" w:cs="Arial"/>
                <w:sz w:val="23"/>
                <w:szCs w:val="23"/>
              </w:rPr>
              <w:t>de la Resolución 2388 de 2016 modificados por las Resoluciones 5858 de 2016, 980, 1608 y 3016 de 2017, 3559 de 2018, 736, 1740 y 2514 de 20</w:t>
            </w:r>
            <w:r w:rsidR="00C84D27" w:rsidRPr="004C2991">
              <w:rPr>
                <w:rFonts w:ascii="Arial" w:hAnsi="Arial" w:cs="Arial"/>
                <w:sz w:val="23"/>
                <w:szCs w:val="23"/>
              </w:rPr>
              <w:t xml:space="preserve">19, </w:t>
            </w:r>
            <w:r w:rsidR="00FA49BF" w:rsidRPr="004C2991">
              <w:rPr>
                <w:rFonts w:ascii="Arial" w:hAnsi="Arial" w:cs="Arial"/>
                <w:sz w:val="23"/>
                <w:szCs w:val="23"/>
              </w:rPr>
              <w:t xml:space="preserve">454, </w:t>
            </w:r>
            <w:r w:rsidR="00A06137" w:rsidRPr="004C2991">
              <w:rPr>
                <w:rFonts w:ascii="Arial" w:hAnsi="Arial" w:cs="Arial"/>
                <w:sz w:val="23"/>
                <w:szCs w:val="23"/>
              </w:rPr>
              <w:t>686,</w:t>
            </w:r>
            <w:r w:rsidR="00FA49BF" w:rsidRPr="004C2991">
              <w:rPr>
                <w:rFonts w:ascii="Arial" w:hAnsi="Arial" w:cs="Arial"/>
                <w:sz w:val="23"/>
                <w:szCs w:val="23"/>
              </w:rPr>
              <w:t>1438</w:t>
            </w:r>
            <w:r w:rsidR="002C510C" w:rsidRPr="004C2991">
              <w:rPr>
                <w:rFonts w:ascii="Arial" w:hAnsi="Arial" w:cs="Arial"/>
                <w:sz w:val="23"/>
                <w:szCs w:val="23"/>
              </w:rPr>
              <w:t>,</w:t>
            </w:r>
            <w:r w:rsidR="00A06137" w:rsidRPr="004C2991">
              <w:rPr>
                <w:rFonts w:ascii="Arial" w:hAnsi="Arial" w:cs="Arial"/>
                <w:sz w:val="23"/>
                <w:szCs w:val="23"/>
              </w:rPr>
              <w:t xml:space="preserve"> 1844</w:t>
            </w:r>
            <w:r w:rsidR="002C510C" w:rsidRPr="004C2991">
              <w:rPr>
                <w:rFonts w:ascii="Arial" w:hAnsi="Arial" w:cs="Arial"/>
                <w:sz w:val="23"/>
                <w:szCs w:val="23"/>
              </w:rPr>
              <w:t xml:space="preserve"> y 2421 </w:t>
            </w:r>
            <w:r w:rsidR="00382F1F" w:rsidRPr="004C2991">
              <w:rPr>
                <w:rFonts w:ascii="Arial" w:hAnsi="Arial" w:cs="Arial"/>
                <w:sz w:val="23"/>
                <w:szCs w:val="23"/>
              </w:rPr>
              <w:t>de 2020</w:t>
            </w:r>
            <w:r w:rsidR="00A5343B" w:rsidRPr="004C2991">
              <w:rPr>
                <w:rFonts w:ascii="Arial" w:hAnsi="Arial" w:cs="Arial"/>
                <w:sz w:val="23"/>
                <w:szCs w:val="23"/>
              </w:rPr>
              <w:t>,</w:t>
            </w:r>
            <w:r w:rsidR="003079D5">
              <w:rPr>
                <w:rFonts w:ascii="Arial" w:hAnsi="Arial" w:cs="Arial"/>
                <w:sz w:val="23"/>
                <w:szCs w:val="23"/>
              </w:rPr>
              <w:t xml:space="preserve"> 014, </w:t>
            </w:r>
            <w:r w:rsidR="00A5343B" w:rsidRPr="004C2991">
              <w:rPr>
                <w:rFonts w:ascii="Arial" w:hAnsi="Arial" w:cs="Arial"/>
                <w:sz w:val="23"/>
                <w:szCs w:val="23"/>
              </w:rPr>
              <w:t>638</w:t>
            </w:r>
            <w:r w:rsidR="00B455E6">
              <w:rPr>
                <w:rFonts w:ascii="Arial" w:hAnsi="Arial" w:cs="Arial"/>
                <w:sz w:val="23"/>
                <w:szCs w:val="23"/>
              </w:rPr>
              <w:t xml:space="preserve">, </w:t>
            </w:r>
            <w:r w:rsidR="003079D5">
              <w:rPr>
                <w:rFonts w:ascii="Arial" w:hAnsi="Arial" w:cs="Arial"/>
                <w:sz w:val="23"/>
                <w:szCs w:val="23"/>
              </w:rPr>
              <w:t>1365</w:t>
            </w:r>
            <w:r w:rsidR="00B455E6">
              <w:rPr>
                <w:rFonts w:ascii="Arial" w:hAnsi="Arial" w:cs="Arial"/>
                <w:sz w:val="23"/>
                <w:szCs w:val="23"/>
              </w:rPr>
              <w:t xml:space="preserve"> y 1697</w:t>
            </w:r>
            <w:r w:rsidR="00A5343B" w:rsidRPr="004C2991">
              <w:rPr>
                <w:rFonts w:ascii="Arial" w:hAnsi="Arial" w:cs="Arial"/>
                <w:sz w:val="23"/>
                <w:szCs w:val="23"/>
              </w:rPr>
              <w:t xml:space="preserve"> </w:t>
            </w:r>
            <w:r w:rsidR="007373C7" w:rsidRPr="004C2991">
              <w:rPr>
                <w:rFonts w:ascii="Arial" w:hAnsi="Arial" w:cs="Arial"/>
                <w:sz w:val="23"/>
                <w:szCs w:val="23"/>
              </w:rPr>
              <w:t>de 2021.</w:t>
            </w:r>
          </w:p>
          <w:p w14:paraId="73726A54" w14:textId="77777777" w:rsidR="000424F7" w:rsidRPr="00FA513A" w:rsidRDefault="000424F7" w:rsidP="004736CC">
            <w:pPr>
              <w:ind w:left="214" w:right="356"/>
              <w:jc w:val="both"/>
              <w:rPr>
                <w:rFonts w:ascii="Arial" w:hAnsi="Arial" w:cs="Arial"/>
                <w:b/>
                <w:i/>
                <w:sz w:val="22"/>
                <w:szCs w:val="22"/>
                <w:lang w:val="es-ES"/>
              </w:rPr>
            </w:pPr>
          </w:p>
          <w:tbl>
            <w:tblPr>
              <w:tblpPr w:leftFromText="141" w:rightFromText="141" w:vertAnchor="text" w:horzAnchor="margin" w:tblpXSpec="right" w:tblpY="7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1"/>
            </w:tblGrid>
            <w:tr w:rsidR="00FE7B05" w14:paraId="73B5123E" w14:textId="77777777" w:rsidTr="00FE7B05">
              <w:trPr>
                <w:trHeight w:val="701"/>
              </w:trPr>
              <w:tc>
                <w:tcPr>
                  <w:tcW w:w="8461" w:type="dxa"/>
                </w:tcPr>
                <w:p w14:paraId="07661EB7" w14:textId="77777777" w:rsidR="00FE7B05" w:rsidRPr="006D5835" w:rsidRDefault="00FE7B05" w:rsidP="00FE7B05">
                  <w:pPr>
                    <w:rPr>
                      <w:rFonts w:ascii="Arial" w:hAnsi="Arial" w:cs="Arial"/>
                      <w:b/>
                      <w:szCs w:val="24"/>
                    </w:rPr>
                  </w:pPr>
                  <w:r w:rsidRPr="00503CD9">
                    <w:rPr>
                      <w:rFonts w:ascii="Arial" w:hAnsi="Arial" w:cs="Arial"/>
                      <w:szCs w:val="24"/>
                    </w:rPr>
                    <w:t>Ninguno</w:t>
                  </w:r>
                </w:p>
              </w:tc>
            </w:tr>
          </w:tbl>
          <w:p w14:paraId="0489C478" w14:textId="77777777" w:rsidR="000424F7" w:rsidRPr="006D5835" w:rsidRDefault="000424F7" w:rsidP="000424F7">
            <w:pPr>
              <w:pStyle w:val="Prrafodelista"/>
              <w:numPr>
                <w:ilvl w:val="0"/>
                <w:numId w:val="2"/>
              </w:numPr>
              <w:jc w:val="both"/>
              <w:rPr>
                <w:rFonts w:ascii="Arial" w:hAnsi="Arial" w:cs="Arial"/>
                <w:b/>
                <w:szCs w:val="24"/>
              </w:rPr>
            </w:pPr>
            <w:r w:rsidRPr="00C7041D">
              <w:rPr>
                <w:rFonts w:ascii="Arial" w:hAnsi="Arial" w:cs="Arial"/>
                <w:b/>
                <w:szCs w:val="24"/>
              </w:rPr>
              <w:t xml:space="preserve"> CUALQUIER OTRO ASPECTO QUE LA ENTIDAD REMITENTE CONSIDERE RELEVANTE O DE IMPORTANCIA PARA LA ADOPCIÓN DE LA DECISIÓN.</w:t>
            </w:r>
          </w:p>
        </w:tc>
      </w:tr>
    </w:tbl>
    <w:p w14:paraId="0735E262" w14:textId="77777777" w:rsidR="00A10955" w:rsidRDefault="00A10955"/>
    <w:tbl>
      <w:tblPr>
        <w:tblpPr w:leftFromText="141" w:rightFromText="141" w:vertAnchor="text" w:horzAnchor="margin" w:tblpXSpec="center" w:tblpY="-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6"/>
      </w:tblGrid>
      <w:tr w:rsidR="00FE7B05" w14:paraId="15F3E1E3" w14:textId="77777777" w:rsidTr="00FE7B05">
        <w:trPr>
          <w:trHeight w:val="480"/>
        </w:trPr>
        <w:tc>
          <w:tcPr>
            <w:tcW w:w="8356" w:type="dxa"/>
          </w:tcPr>
          <w:p w14:paraId="393A8B04" w14:textId="77777777" w:rsidR="00FE7B05" w:rsidRPr="006D5835" w:rsidRDefault="00FE7B05" w:rsidP="00FE7B05">
            <w:pPr>
              <w:pStyle w:val="Prrafodelista"/>
              <w:ind w:left="0"/>
              <w:jc w:val="both"/>
              <w:rPr>
                <w:rFonts w:ascii="Arial" w:hAnsi="Arial" w:cs="Arial"/>
                <w:b/>
                <w:sz w:val="22"/>
                <w:szCs w:val="22"/>
              </w:rPr>
            </w:pPr>
            <w:r>
              <w:rPr>
                <w:rFonts w:ascii="Arial" w:hAnsi="Arial" w:cs="Arial"/>
                <w:b/>
                <w:sz w:val="22"/>
                <w:szCs w:val="22"/>
              </w:rPr>
              <w:t xml:space="preserve">Revisión y análisis de las decisiones judiciales de los órganos de cierre de cada jurisdicción que pudieren tener impacto o ser relevantes para la expedición del acto </w:t>
            </w:r>
          </w:p>
        </w:tc>
      </w:tr>
    </w:tbl>
    <w:p w14:paraId="482D753D" w14:textId="77777777" w:rsidR="000424F7" w:rsidRPr="006D5835" w:rsidRDefault="000424F7" w:rsidP="000424F7">
      <w:pPr>
        <w:pStyle w:val="Prrafodelista"/>
        <w:ind w:left="214" w:right="356"/>
        <w:jc w:val="both"/>
        <w:rPr>
          <w:rFonts w:ascii="Arial" w:hAnsi="Arial" w:cs="Arial"/>
          <w:b/>
          <w:szCs w:val="24"/>
        </w:rPr>
      </w:pPr>
      <w:r>
        <w:rPr>
          <w:rFonts w:ascii="Arial" w:hAnsi="Arial" w:cs="Arial"/>
          <w:b/>
          <w:szCs w:val="24"/>
        </w:rPr>
        <w:t xml:space="preserve">Se deben relacionar en este campo las decisiones judiciales proferidas por los órganos de cierre de la respectiva jurisdicción que se tornen relevantes para la expedición del acto. Cuando el área técnica tenga conocimiento de decisiones judiciales sobre el particular, deberá relacionarlas, con una breve descripción de lo que haya resuelto el órgano judicial.    </w:t>
      </w:r>
    </w:p>
    <w:p w14:paraId="12F792B5" w14:textId="77777777" w:rsidR="000424F7" w:rsidRPr="006D5835" w:rsidRDefault="000424F7" w:rsidP="000424F7">
      <w:pPr>
        <w:pStyle w:val="Prrafodelista"/>
        <w:ind w:left="214" w:right="356"/>
        <w:jc w:val="both"/>
        <w:rPr>
          <w:rFonts w:ascii="Arial" w:hAnsi="Arial" w:cs="Arial"/>
          <w:b/>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0424F7" w14:paraId="7E410D1D" w14:textId="77777777" w:rsidTr="004736CC">
        <w:trPr>
          <w:trHeight w:val="450"/>
        </w:trPr>
        <w:tc>
          <w:tcPr>
            <w:tcW w:w="8505" w:type="dxa"/>
          </w:tcPr>
          <w:p w14:paraId="3EC3F2A9" w14:textId="77777777" w:rsidR="000424F7" w:rsidRPr="006D5835" w:rsidRDefault="000424F7" w:rsidP="004736CC">
            <w:pPr>
              <w:rPr>
                <w:rFonts w:ascii="Arial" w:hAnsi="Arial" w:cs="Arial"/>
                <w:b/>
                <w:szCs w:val="24"/>
              </w:rPr>
            </w:pPr>
            <w:r w:rsidRPr="00503CD9">
              <w:rPr>
                <w:rFonts w:ascii="Arial" w:hAnsi="Arial" w:cs="Arial"/>
                <w:szCs w:val="24"/>
              </w:rPr>
              <w:t>No se tiene conocimiento de decisiones judiciales</w:t>
            </w:r>
          </w:p>
        </w:tc>
      </w:tr>
    </w:tbl>
    <w:p w14:paraId="20A11BEE" w14:textId="77777777" w:rsidR="000424F7" w:rsidRPr="006D5835" w:rsidRDefault="000424F7" w:rsidP="000424F7">
      <w:pPr>
        <w:rPr>
          <w:rFonts w:ascii="Arial" w:hAnsi="Arial" w:cs="Arial"/>
          <w:b/>
          <w:szCs w:val="24"/>
        </w:rPr>
      </w:pPr>
    </w:p>
    <w:tbl>
      <w:tblPr>
        <w:tblpPr w:leftFromText="141" w:rightFromText="141" w:vertAnchor="text" w:horzAnchor="margin"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5"/>
      </w:tblGrid>
      <w:tr w:rsidR="000424F7" w14:paraId="60D22444" w14:textId="77777777" w:rsidTr="004736CC">
        <w:trPr>
          <w:trHeight w:val="480"/>
        </w:trPr>
        <w:tc>
          <w:tcPr>
            <w:tcW w:w="8645" w:type="dxa"/>
          </w:tcPr>
          <w:p w14:paraId="5FB93FD1" w14:textId="77777777" w:rsidR="000424F7" w:rsidRPr="006D5835" w:rsidRDefault="000424F7" w:rsidP="004736CC">
            <w:pPr>
              <w:pStyle w:val="Prrafodelista"/>
              <w:ind w:left="0"/>
              <w:jc w:val="both"/>
              <w:rPr>
                <w:rFonts w:ascii="Arial" w:hAnsi="Arial" w:cs="Arial"/>
                <w:b/>
                <w:sz w:val="22"/>
                <w:szCs w:val="22"/>
              </w:rPr>
            </w:pPr>
            <w:r>
              <w:rPr>
                <w:rFonts w:ascii="Arial" w:hAnsi="Arial" w:cs="Arial"/>
                <w:b/>
                <w:sz w:val="22"/>
                <w:szCs w:val="22"/>
              </w:rPr>
              <w:t xml:space="preserve">Advertencia de cualquier otra circunstancia jurídica que pueda ser relevante para la expedición del acto </w:t>
            </w:r>
          </w:p>
        </w:tc>
      </w:tr>
    </w:tbl>
    <w:p w14:paraId="78C641C1" w14:textId="77777777" w:rsidR="000424F7" w:rsidRPr="006D5835" w:rsidRDefault="000424F7" w:rsidP="000424F7">
      <w:pPr>
        <w:rPr>
          <w:rFonts w:ascii="Arial" w:hAnsi="Arial" w:cs="Arial"/>
          <w:b/>
          <w:szCs w:val="24"/>
        </w:rPr>
      </w:pPr>
    </w:p>
    <w:tbl>
      <w:tblPr>
        <w:tblpPr w:leftFromText="141" w:rightFromText="141" w:vertAnchor="text" w:horzAnchor="margin"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6"/>
      </w:tblGrid>
      <w:tr w:rsidR="000424F7" w14:paraId="63EA8F9F" w14:textId="77777777" w:rsidTr="004736CC">
        <w:trPr>
          <w:trHeight w:val="480"/>
        </w:trPr>
        <w:tc>
          <w:tcPr>
            <w:tcW w:w="8356" w:type="dxa"/>
          </w:tcPr>
          <w:p w14:paraId="68D58F62" w14:textId="77777777" w:rsidR="000424F7" w:rsidRPr="006D5835" w:rsidRDefault="000424F7" w:rsidP="004736CC">
            <w:pPr>
              <w:pStyle w:val="Prrafodelista"/>
              <w:ind w:left="0"/>
              <w:jc w:val="both"/>
              <w:rPr>
                <w:rFonts w:ascii="Arial" w:hAnsi="Arial" w:cs="Arial"/>
                <w:b/>
                <w:sz w:val="22"/>
                <w:szCs w:val="22"/>
              </w:rPr>
            </w:pPr>
            <w:r w:rsidRPr="0075577F">
              <w:rPr>
                <w:rFonts w:ascii="Arial" w:hAnsi="Arial" w:cs="Arial"/>
                <w:sz w:val="22"/>
                <w:szCs w:val="22"/>
              </w:rPr>
              <w:t>Ninguna</w:t>
            </w:r>
          </w:p>
        </w:tc>
      </w:tr>
    </w:tbl>
    <w:p w14:paraId="3894AB9E" w14:textId="77777777" w:rsidR="000424F7" w:rsidRPr="006D5835" w:rsidRDefault="000424F7" w:rsidP="007F38A5">
      <w:pPr>
        <w:pStyle w:val="Prrafodelista"/>
        <w:ind w:left="214" w:right="356"/>
        <w:jc w:val="both"/>
        <w:rPr>
          <w:rFonts w:ascii="Arial" w:hAnsi="Arial" w:cs="Arial"/>
          <w:b/>
          <w:szCs w:val="24"/>
        </w:rPr>
      </w:pPr>
    </w:p>
    <w:sectPr w:rsidR="000424F7" w:rsidRPr="006D5835" w:rsidSect="000424F7">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48589" w14:textId="77777777" w:rsidR="000D7A8F" w:rsidRDefault="000D7A8F" w:rsidP="000424F7">
      <w:r>
        <w:separator/>
      </w:r>
    </w:p>
  </w:endnote>
  <w:endnote w:type="continuationSeparator" w:id="0">
    <w:p w14:paraId="69AA18A6" w14:textId="77777777" w:rsidR="000D7A8F" w:rsidRDefault="000D7A8F" w:rsidP="0004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lbertus Extra Bold">
    <w:altName w:val="Aria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D4CE5" w14:textId="77777777" w:rsidR="000D7A8F" w:rsidRDefault="000D7A8F" w:rsidP="000424F7">
      <w:r>
        <w:separator/>
      </w:r>
    </w:p>
  </w:footnote>
  <w:footnote w:type="continuationSeparator" w:id="0">
    <w:p w14:paraId="107E887C" w14:textId="77777777" w:rsidR="000D7A8F" w:rsidRDefault="000D7A8F" w:rsidP="00042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099E8" w14:textId="77777777" w:rsidR="000424F7" w:rsidRDefault="000424F7" w:rsidP="000424F7">
    <w:pPr>
      <w:pStyle w:val="Encabezado"/>
      <w:jc w:val="center"/>
      <w:rPr>
        <w:rFonts w:ascii="Albertus Extra Bold" w:hAnsi="Albertus Extra Bold"/>
        <w:sz w:val="14"/>
      </w:rPr>
    </w:pPr>
    <w:r>
      <w:rPr>
        <w:noProof/>
        <w:lang w:val="en-US" w:eastAsia="en-US"/>
      </w:rPr>
      <mc:AlternateContent>
        <mc:Choice Requires="wps">
          <w:drawing>
            <wp:anchor distT="0" distB="0" distL="114300" distR="114300" simplePos="0" relativeHeight="251662336" behindDoc="0" locked="0" layoutInCell="0" allowOverlap="1" wp14:anchorId="416267AA" wp14:editId="772FC0EB">
              <wp:simplePos x="0" y="0"/>
              <wp:positionH relativeFrom="column">
                <wp:posOffset>3765550</wp:posOffset>
              </wp:positionH>
              <wp:positionV relativeFrom="paragraph">
                <wp:posOffset>374015</wp:posOffset>
              </wp:positionV>
              <wp:extent cx="2103755" cy="635"/>
              <wp:effectExtent l="0" t="0" r="2984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1C65B"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" o:allowincell="f" strokeweight="1pt">
              <v:stroke startarrowwidth="narrow" startarrowlength="short" endarrowwidth="narrow" endarrowlength="short"/>
            </v:line>
          </w:pict>
        </mc:Fallback>
      </mc:AlternateContent>
    </w:r>
    <w:r>
      <w:rPr>
        <w:noProof/>
        <w:lang w:val="en-US" w:eastAsia="en-US"/>
      </w:rPr>
      <mc:AlternateContent>
        <mc:Choice Requires="wps">
          <w:drawing>
            <wp:anchor distT="0" distB="0" distL="114300" distR="114300" simplePos="0" relativeHeight="251661312" behindDoc="0" locked="0" layoutInCell="0" allowOverlap="1" wp14:anchorId="7E08E13E" wp14:editId="35B5FAB0">
              <wp:simplePos x="0" y="0"/>
              <wp:positionH relativeFrom="column">
                <wp:posOffset>-166370</wp:posOffset>
              </wp:positionH>
              <wp:positionV relativeFrom="paragraph">
                <wp:posOffset>374015</wp:posOffset>
              </wp:positionV>
              <wp:extent cx="2103755" cy="635"/>
              <wp:effectExtent l="0" t="0" r="2984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C8778"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" o:allowincell="f" strokeweight="1pt">
              <v:stroke startarrowwidth="narrow" startarrowlength="short" endarrowwidth="narrow" endarrowlength="short"/>
            </v:line>
          </w:pict>
        </mc:Fallback>
      </mc:AlternateContent>
    </w:r>
    <w:proofErr w:type="gramStart"/>
    <w:r>
      <w:rPr>
        <w:rFonts w:ascii="Albertus Extra Bold" w:hAnsi="Albertus Extra Bold"/>
        <w:sz w:val="14"/>
      </w:rPr>
      <w:t>REPUBLICA  DE</w:t>
    </w:r>
    <w:proofErr w:type="gramEnd"/>
    <w:r>
      <w:rPr>
        <w:rFonts w:ascii="Albertus Extra Bold" w:hAnsi="Albertus Extra Bold"/>
        <w:sz w:val="14"/>
      </w:rPr>
      <w:t xml:space="preserve">  COLOMBIA</w:t>
    </w:r>
  </w:p>
  <w:p w14:paraId="19FD33A6" w14:textId="77777777" w:rsidR="000424F7" w:rsidRDefault="000424F7" w:rsidP="000424F7">
    <w:pPr>
      <w:pStyle w:val="Encabezado"/>
      <w:jc w:val="center"/>
    </w:pPr>
    <w:r>
      <w:rPr>
        <w:noProof/>
        <w:lang w:val="en-US" w:eastAsia="en-US"/>
      </w:rPr>
      <mc:AlternateContent>
        <mc:Choice Requires="wps">
          <w:drawing>
            <wp:anchor distT="0" distB="0" distL="114299" distR="114299" simplePos="0" relativeHeight="251659264" behindDoc="0" locked="0" layoutInCell="0" allowOverlap="1" wp14:anchorId="215F12D2" wp14:editId="5761D6CF">
              <wp:simplePos x="0" y="0"/>
              <wp:positionH relativeFrom="column">
                <wp:posOffset>-166371</wp:posOffset>
              </wp:positionH>
              <wp:positionV relativeFrom="paragraph">
                <wp:posOffset>265430</wp:posOffset>
              </wp:positionV>
              <wp:extent cx="0" cy="10350500"/>
              <wp:effectExtent l="0" t="0" r="19050" b="317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F93A8" id="Line 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pt,20.9pt" to="-13.1pt,8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" o:allowincell="f" strokeweight="1pt">
              <v:stroke startarrowwidth="narrow" startarrowlength="short" endarrowwidth="narrow" endarrowlength="short"/>
            </v:line>
          </w:pict>
        </mc:Fallback>
      </mc:AlternateContent>
    </w:r>
    <w:r>
      <w:rPr>
        <w:noProof/>
        <w:lang w:val="en-US" w:eastAsia="en-US"/>
      </w:rPr>
      <mc:AlternateContent>
        <mc:Choice Requires="wps">
          <w:drawing>
            <wp:anchor distT="0" distB="0" distL="114300" distR="114300" simplePos="0" relativeHeight="251660288" behindDoc="0" locked="0" layoutInCell="0" allowOverlap="1" wp14:anchorId="5F7A98D7" wp14:editId="7D46618B">
              <wp:simplePos x="0" y="0"/>
              <wp:positionH relativeFrom="column">
                <wp:posOffset>5868670</wp:posOffset>
              </wp:positionH>
              <wp:positionV relativeFrom="paragraph">
                <wp:posOffset>265430</wp:posOffset>
              </wp:positionV>
              <wp:extent cx="635" cy="10351135"/>
              <wp:effectExtent l="0" t="0" r="37465" b="311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3511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203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0.9pt" to="462.15pt,8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" o:allowincell="f" strokeweight="1pt">
              <v:stroke startarrowwidth="narrow" startarrowlength="short" endarrowwidth="narrow" endarrowlength="short"/>
            </v:line>
          </w:pict>
        </mc:Fallback>
      </mc:AlternateContent>
    </w:r>
    <w:r>
      <w:object w:dxaOrig="2496" w:dyaOrig="2556" w14:anchorId="10191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4.75pt">
          <v:imagedata r:id="rId1" o:title=""/>
        </v:shape>
        <o:OLEObject Type="Embed" ProgID="PBrush" ShapeID="_x0000_i1025" DrawAspect="Content" ObjectID="_1697977395" r:id="rId2"/>
      </w:object>
    </w:r>
  </w:p>
  <w:p w14:paraId="21B31D08" w14:textId="77777777" w:rsidR="000424F7" w:rsidRDefault="000424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2097F"/>
    <w:multiLevelType w:val="hybridMultilevel"/>
    <w:tmpl w:val="1A1C0E42"/>
    <w:lvl w:ilvl="0" w:tplc="6D42DD66">
      <w:start w:val="1"/>
      <w:numFmt w:val="lowerRoman"/>
      <w:lvlText w:val="(%1)"/>
      <w:lvlJc w:val="left"/>
      <w:pPr>
        <w:ind w:left="720" w:hanging="720"/>
      </w:pPr>
      <w:rPr>
        <w:rFonts w:eastAsia="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E264E0"/>
    <w:multiLevelType w:val="hybridMultilevel"/>
    <w:tmpl w:val="87264308"/>
    <w:lvl w:ilvl="0" w:tplc="FD2E7B02">
      <w:start w:val="1"/>
      <w:numFmt w:val="upperRoman"/>
      <w:lvlText w:val="%1."/>
      <w:lvlJc w:val="left"/>
      <w:pPr>
        <w:ind w:left="862" w:hanging="72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A44069"/>
    <w:multiLevelType w:val="hybridMultilevel"/>
    <w:tmpl w:val="87264308"/>
    <w:lvl w:ilvl="0" w:tplc="FD2E7B02">
      <w:start w:val="1"/>
      <w:numFmt w:val="upperRoman"/>
      <w:lvlText w:val="%1."/>
      <w:lvlJc w:val="left"/>
      <w:pPr>
        <w:ind w:left="862" w:hanging="72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FA644E7"/>
    <w:multiLevelType w:val="hybridMultilevel"/>
    <w:tmpl w:val="D56E5EB0"/>
    <w:lvl w:ilvl="0" w:tplc="3D509990">
      <w:start w:val="1"/>
      <w:numFmt w:val="lowerRoman"/>
      <w:lvlText w:val="(%1)"/>
      <w:lvlJc w:val="left"/>
      <w:pPr>
        <w:ind w:left="720" w:hanging="72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4F7"/>
    <w:rsid w:val="000003F4"/>
    <w:rsid w:val="000424F7"/>
    <w:rsid w:val="00086A78"/>
    <w:rsid w:val="000D7A8F"/>
    <w:rsid w:val="0012389B"/>
    <w:rsid w:val="001C31D8"/>
    <w:rsid w:val="001E6AC3"/>
    <w:rsid w:val="002536D3"/>
    <w:rsid w:val="002643A6"/>
    <w:rsid w:val="002C510C"/>
    <w:rsid w:val="003079D5"/>
    <w:rsid w:val="00373B4B"/>
    <w:rsid w:val="00382F1F"/>
    <w:rsid w:val="003C169D"/>
    <w:rsid w:val="003D053D"/>
    <w:rsid w:val="00425ED5"/>
    <w:rsid w:val="004A56F8"/>
    <w:rsid w:val="004A70BD"/>
    <w:rsid w:val="004C2991"/>
    <w:rsid w:val="004D1691"/>
    <w:rsid w:val="004F62A8"/>
    <w:rsid w:val="005472BF"/>
    <w:rsid w:val="00550794"/>
    <w:rsid w:val="005C575E"/>
    <w:rsid w:val="0061421C"/>
    <w:rsid w:val="0064222F"/>
    <w:rsid w:val="0064785C"/>
    <w:rsid w:val="006E5099"/>
    <w:rsid w:val="00710CAB"/>
    <w:rsid w:val="00733E07"/>
    <w:rsid w:val="007373C7"/>
    <w:rsid w:val="007F38A5"/>
    <w:rsid w:val="00816EC3"/>
    <w:rsid w:val="00825FA6"/>
    <w:rsid w:val="008A766D"/>
    <w:rsid w:val="008D2FF4"/>
    <w:rsid w:val="008F29DD"/>
    <w:rsid w:val="00906A4C"/>
    <w:rsid w:val="00915367"/>
    <w:rsid w:val="00982B25"/>
    <w:rsid w:val="00A06137"/>
    <w:rsid w:val="00A10955"/>
    <w:rsid w:val="00A277D4"/>
    <w:rsid w:val="00A5343B"/>
    <w:rsid w:val="00A73A10"/>
    <w:rsid w:val="00A8258E"/>
    <w:rsid w:val="00A92E8E"/>
    <w:rsid w:val="00AF5887"/>
    <w:rsid w:val="00B455E6"/>
    <w:rsid w:val="00BC700D"/>
    <w:rsid w:val="00C26666"/>
    <w:rsid w:val="00C84D27"/>
    <w:rsid w:val="00CD4E96"/>
    <w:rsid w:val="00D04D31"/>
    <w:rsid w:val="00D60D80"/>
    <w:rsid w:val="00D73D04"/>
    <w:rsid w:val="00E73A5B"/>
    <w:rsid w:val="00EC118B"/>
    <w:rsid w:val="00F75C87"/>
    <w:rsid w:val="00FA49BF"/>
    <w:rsid w:val="00FE7B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14D13"/>
  <w15:chartTrackingRefBased/>
  <w15:docId w15:val="{E694355D-DD65-4FFF-BBAD-6B35C420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F7"/>
    <w:pPr>
      <w:spacing w:after="0" w:line="240" w:lineRule="auto"/>
    </w:pPr>
    <w:rPr>
      <w:rFonts w:ascii="Times New Roman" w:eastAsia="Times New Roman" w:hAnsi="Times New Roman" w:cs="Times New Roman"/>
      <w:sz w:val="24"/>
      <w:szCs w:val="20"/>
      <w:lang w:val="es-ES_tradnl" w:eastAsia="es-ES"/>
    </w:rPr>
  </w:style>
  <w:style w:type="paragraph" w:styleId="Ttulo5">
    <w:name w:val="heading 5"/>
    <w:basedOn w:val="Normal"/>
    <w:next w:val="Normal"/>
    <w:link w:val="Ttulo5Car"/>
    <w:uiPriority w:val="99"/>
    <w:qFormat/>
    <w:rsid w:val="00A5343B"/>
    <w:pPr>
      <w:keepNext/>
      <w:keepLines/>
      <w:spacing w:before="200" w:line="276" w:lineRule="auto"/>
      <w:ind w:left="1008" w:hanging="1008"/>
      <w:outlineLvl w:val="4"/>
    </w:pPr>
    <w:rPr>
      <w:rFonts w:ascii="Cambria" w:hAnsi="Cambria"/>
      <w:color w:val="243F60"/>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424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rsid w:val="000424F7"/>
    <w:pPr>
      <w:spacing w:before="100" w:beforeAutospacing="1" w:after="100" w:afterAutospacing="1"/>
    </w:pPr>
    <w:rPr>
      <w:szCs w:val="24"/>
      <w:lang w:val="es-ES"/>
    </w:rPr>
  </w:style>
  <w:style w:type="paragraph" w:styleId="Prrafodelista">
    <w:name w:val="List Paragraph"/>
    <w:basedOn w:val="Normal"/>
    <w:link w:val="PrrafodelistaCar"/>
    <w:uiPriority w:val="34"/>
    <w:qFormat/>
    <w:rsid w:val="000424F7"/>
    <w:pPr>
      <w:ind w:left="720"/>
      <w:contextualSpacing/>
    </w:pPr>
  </w:style>
  <w:style w:type="character" w:customStyle="1" w:styleId="PrrafodelistaCar">
    <w:name w:val="Párrafo de lista Car"/>
    <w:link w:val="Prrafodelista"/>
    <w:uiPriority w:val="34"/>
    <w:locked/>
    <w:rsid w:val="000424F7"/>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unhideWhenUsed/>
    <w:rsid w:val="000424F7"/>
    <w:pPr>
      <w:tabs>
        <w:tab w:val="center" w:pos="4419"/>
        <w:tab w:val="right" w:pos="8838"/>
      </w:tabs>
    </w:pPr>
  </w:style>
  <w:style w:type="character" w:customStyle="1" w:styleId="EncabezadoCar">
    <w:name w:val="Encabezado Car"/>
    <w:basedOn w:val="Fuentedeprrafopredeter"/>
    <w:link w:val="Encabezado"/>
    <w:uiPriority w:val="99"/>
    <w:rsid w:val="000424F7"/>
    <w:rPr>
      <w:rFonts w:ascii="Times New Roman" w:eastAsia="Times New Roman" w:hAnsi="Times New Roman" w:cs="Times New Roman"/>
      <w:sz w:val="24"/>
      <w:szCs w:val="20"/>
      <w:lang w:val="es-ES_tradnl" w:eastAsia="es-ES"/>
    </w:rPr>
  </w:style>
  <w:style w:type="paragraph" w:styleId="Piedepgina">
    <w:name w:val="footer"/>
    <w:basedOn w:val="Normal"/>
    <w:link w:val="PiedepginaCar"/>
    <w:uiPriority w:val="99"/>
    <w:unhideWhenUsed/>
    <w:rsid w:val="000424F7"/>
    <w:pPr>
      <w:tabs>
        <w:tab w:val="center" w:pos="4419"/>
        <w:tab w:val="right" w:pos="8838"/>
      </w:tabs>
    </w:pPr>
  </w:style>
  <w:style w:type="character" w:customStyle="1" w:styleId="PiedepginaCar">
    <w:name w:val="Pie de página Car"/>
    <w:basedOn w:val="Fuentedeprrafopredeter"/>
    <w:link w:val="Piedepgina"/>
    <w:uiPriority w:val="99"/>
    <w:rsid w:val="000424F7"/>
    <w:rPr>
      <w:rFonts w:ascii="Times New Roman" w:eastAsia="Times New Roman" w:hAnsi="Times New Roman" w:cs="Times New Roman"/>
      <w:sz w:val="24"/>
      <w:szCs w:val="20"/>
      <w:lang w:val="es-ES_tradnl" w:eastAsia="es-ES"/>
    </w:rPr>
  </w:style>
  <w:style w:type="paragraph" w:customStyle="1" w:styleId="estilo1">
    <w:name w:val="estilo1"/>
    <w:basedOn w:val="Normal"/>
    <w:rsid w:val="00AF5887"/>
    <w:pPr>
      <w:spacing w:before="230" w:after="230" w:line="216" w:lineRule="atLeast"/>
      <w:ind w:left="230" w:right="230"/>
    </w:pPr>
    <w:rPr>
      <w:rFonts w:ascii="Verdana" w:hAnsi="Verdana"/>
      <w:color w:val="000000"/>
      <w:sz w:val="18"/>
      <w:szCs w:val="18"/>
      <w:lang w:val="es-CO" w:eastAsia="es-CO"/>
    </w:rPr>
  </w:style>
  <w:style w:type="paragraph" w:styleId="Textocomentario">
    <w:name w:val="annotation text"/>
    <w:basedOn w:val="Normal"/>
    <w:link w:val="TextocomentarioCar"/>
    <w:rsid w:val="003D053D"/>
    <w:rPr>
      <w:sz w:val="20"/>
      <w:lang w:val="es-CO"/>
    </w:rPr>
  </w:style>
  <w:style w:type="character" w:customStyle="1" w:styleId="TextocomentarioCar">
    <w:name w:val="Texto comentario Car"/>
    <w:basedOn w:val="Fuentedeprrafopredeter"/>
    <w:link w:val="Textocomentario"/>
    <w:rsid w:val="003D053D"/>
    <w:rPr>
      <w:rFonts w:ascii="Times New Roman" w:eastAsia="Times New Roman" w:hAnsi="Times New Roman" w:cs="Times New Roman"/>
      <w:sz w:val="20"/>
      <w:szCs w:val="20"/>
      <w:lang w:eastAsia="es-ES"/>
    </w:rPr>
  </w:style>
  <w:style w:type="character" w:customStyle="1" w:styleId="Ttulo5Car">
    <w:name w:val="Título 5 Car"/>
    <w:basedOn w:val="Fuentedeprrafopredeter"/>
    <w:link w:val="Ttulo5"/>
    <w:uiPriority w:val="99"/>
    <w:rsid w:val="00A5343B"/>
    <w:rPr>
      <w:rFonts w:ascii="Cambria" w:eastAsia="Times New Roman" w:hAnsi="Cambria"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78652">
      <w:bodyDiv w:val="1"/>
      <w:marLeft w:val="0"/>
      <w:marRight w:val="0"/>
      <w:marTop w:val="0"/>
      <w:marBottom w:val="0"/>
      <w:divBdr>
        <w:top w:val="none" w:sz="0" w:space="0" w:color="auto"/>
        <w:left w:val="none" w:sz="0" w:space="0" w:color="auto"/>
        <w:bottom w:val="none" w:sz="0" w:space="0" w:color="auto"/>
        <w:right w:val="none" w:sz="0" w:space="0" w:color="auto"/>
      </w:divBdr>
    </w:div>
    <w:div w:id="262612143">
      <w:bodyDiv w:val="1"/>
      <w:marLeft w:val="0"/>
      <w:marRight w:val="0"/>
      <w:marTop w:val="0"/>
      <w:marBottom w:val="0"/>
      <w:divBdr>
        <w:top w:val="none" w:sz="0" w:space="0" w:color="auto"/>
        <w:left w:val="none" w:sz="0" w:space="0" w:color="auto"/>
        <w:bottom w:val="none" w:sz="0" w:space="0" w:color="auto"/>
        <w:right w:val="none" w:sz="0" w:space="0" w:color="auto"/>
      </w:divBdr>
    </w:div>
    <w:div w:id="312948914">
      <w:bodyDiv w:val="1"/>
      <w:marLeft w:val="0"/>
      <w:marRight w:val="0"/>
      <w:marTop w:val="0"/>
      <w:marBottom w:val="0"/>
      <w:divBdr>
        <w:top w:val="none" w:sz="0" w:space="0" w:color="auto"/>
        <w:left w:val="none" w:sz="0" w:space="0" w:color="auto"/>
        <w:bottom w:val="none" w:sz="0" w:space="0" w:color="auto"/>
        <w:right w:val="none" w:sz="0" w:space="0" w:color="auto"/>
      </w:divBdr>
    </w:div>
    <w:div w:id="852034895">
      <w:bodyDiv w:val="1"/>
      <w:marLeft w:val="0"/>
      <w:marRight w:val="0"/>
      <w:marTop w:val="0"/>
      <w:marBottom w:val="0"/>
      <w:divBdr>
        <w:top w:val="none" w:sz="0" w:space="0" w:color="auto"/>
        <w:left w:val="none" w:sz="0" w:space="0" w:color="auto"/>
        <w:bottom w:val="none" w:sz="0" w:space="0" w:color="auto"/>
        <w:right w:val="none" w:sz="0" w:space="0" w:color="auto"/>
      </w:divBdr>
    </w:div>
    <w:div w:id="893546934">
      <w:bodyDiv w:val="1"/>
      <w:marLeft w:val="0"/>
      <w:marRight w:val="0"/>
      <w:marTop w:val="0"/>
      <w:marBottom w:val="0"/>
      <w:divBdr>
        <w:top w:val="none" w:sz="0" w:space="0" w:color="auto"/>
        <w:left w:val="none" w:sz="0" w:space="0" w:color="auto"/>
        <w:bottom w:val="none" w:sz="0" w:space="0" w:color="auto"/>
        <w:right w:val="none" w:sz="0" w:space="0" w:color="auto"/>
      </w:divBdr>
    </w:div>
    <w:div w:id="130038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7987C-A05C-4DF7-AC57-34390F26CD9C}"/>
</file>

<file path=customXml/itemProps2.xml><?xml version="1.0" encoding="utf-8"?>
<ds:datastoreItem xmlns:ds="http://schemas.openxmlformats.org/officeDocument/2006/customXml" ds:itemID="{7067A631-4580-460A-A34B-399CB43EE58B}"/>
</file>

<file path=customXml/itemProps3.xml><?xml version="1.0" encoding="utf-8"?>
<ds:datastoreItem xmlns:ds="http://schemas.openxmlformats.org/officeDocument/2006/customXml" ds:itemID="{98746A4E-0DF3-4C44-ABC7-B5C0D9BCF9D1}"/>
</file>

<file path=docProps/app.xml><?xml version="1.0" encoding="utf-8"?>
<Properties xmlns="http://schemas.openxmlformats.org/officeDocument/2006/extended-properties" xmlns:vt="http://schemas.openxmlformats.org/officeDocument/2006/docPropsVTypes">
  <Template>Normal</Template>
  <TotalTime>215</TotalTime>
  <Pages>4</Pages>
  <Words>1734</Words>
  <Characters>9542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Lemus</dc:creator>
  <cp:keywords/>
  <dc:description/>
  <cp:lastModifiedBy>Maria Fernanda Vargas Cardozo</cp:lastModifiedBy>
  <cp:revision>31</cp:revision>
  <dcterms:created xsi:type="dcterms:W3CDTF">2020-04-18T17:33:00Z</dcterms:created>
  <dcterms:modified xsi:type="dcterms:W3CDTF">2021-11-09T20:37:00Z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0x010100E7DFAB718FF44848B67536ACD193E98D</vt:lpwstr>
  </property>
</Properties>
</file>