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1"/>
        <w:gridCol w:w="2393"/>
        <w:gridCol w:w="2454"/>
      </w:tblGrid>
      <w:tr w:rsidR="00DE3F75" w:rsidRPr="00E47006" w14:paraId="3E31340B" w14:textId="77777777" w:rsidTr="00A4684B">
        <w:tc>
          <w:tcPr>
            <w:tcW w:w="3981" w:type="dxa"/>
          </w:tcPr>
          <w:p w14:paraId="7E418B53" w14:textId="77777777" w:rsidR="00DE3F75" w:rsidRPr="00E47006" w:rsidRDefault="00DE3F75" w:rsidP="00DE3F75">
            <w:pPr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MINISTERIO DEL TRABAJO</w:t>
            </w:r>
            <w:r w:rsidRPr="00E47006">
              <w:rPr>
                <w:rFonts w:ascii="Arial Narrow" w:hAnsi="Arial Narrow" w:cs="Arial"/>
                <w:lang w:val="es-CO"/>
              </w:rPr>
              <w:t xml:space="preserve"> </w:t>
            </w:r>
            <w:r w:rsidRPr="00E47006">
              <w:rPr>
                <w:rFonts w:ascii="Arial Narrow" w:hAnsi="Arial Narrow" w:cs="Arial"/>
                <w:b/>
                <w:lang w:val="es-CO"/>
              </w:rPr>
              <w:t>MEMORIA JUSTIFICATIVA</w:t>
            </w:r>
            <w:r w:rsidRPr="00E47006">
              <w:rPr>
                <w:rFonts w:ascii="Arial Narrow" w:hAnsi="Arial Narrow" w:cs="Arial"/>
                <w:lang w:val="es-CO"/>
              </w:rPr>
              <w:t xml:space="preserve"> </w:t>
            </w:r>
          </w:p>
        </w:tc>
        <w:tc>
          <w:tcPr>
            <w:tcW w:w="2393" w:type="dxa"/>
          </w:tcPr>
          <w:p w14:paraId="338AFBCB" w14:textId="640E822B" w:rsidR="00A4684B" w:rsidRPr="00E47006" w:rsidRDefault="00DE3F75">
            <w:pPr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Fecha</w:t>
            </w:r>
            <w:r w:rsidR="006C0A9A" w:rsidRPr="00E47006">
              <w:rPr>
                <w:rFonts w:ascii="Arial Narrow" w:hAnsi="Arial Narrow" w:cs="Arial"/>
                <w:b/>
                <w:lang w:val="es-CO"/>
              </w:rPr>
              <w:t xml:space="preserve">    </w:t>
            </w:r>
            <w:r w:rsidR="00A4684B" w:rsidRPr="00E47006">
              <w:rPr>
                <w:rFonts w:ascii="Arial Narrow" w:hAnsi="Arial Narrow" w:cs="Arial"/>
                <w:b/>
                <w:lang w:val="es-CO"/>
              </w:rPr>
              <w:t xml:space="preserve">                         </w:t>
            </w:r>
          </w:p>
        </w:tc>
        <w:tc>
          <w:tcPr>
            <w:tcW w:w="2454" w:type="dxa"/>
          </w:tcPr>
          <w:p w14:paraId="75EA7256" w14:textId="0F8021FE" w:rsidR="00DE3F75" w:rsidRPr="00E47006" w:rsidRDefault="00C62D89" w:rsidP="00B50555">
            <w:pPr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 xml:space="preserve">Mayo </w:t>
            </w:r>
            <w:bookmarkStart w:id="0" w:name="_GoBack"/>
            <w:bookmarkEnd w:id="0"/>
            <w:r w:rsidR="00B50555">
              <w:rPr>
                <w:rFonts w:ascii="Arial Narrow" w:hAnsi="Arial Narrow" w:cs="Arial"/>
                <w:b/>
                <w:lang w:val="es-CO"/>
              </w:rPr>
              <w:t>de 2022</w:t>
            </w:r>
          </w:p>
        </w:tc>
      </w:tr>
      <w:tr w:rsidR="00DE3F75" w:rsidRPr="00E47006" w14:paraId="0486D24E" w14:textId="77777777" w:rsidTr="006C0A9A">
        <w:tc>
          <w:tcPr>
            <w:tcW w:w="3981" w:type="dxa"/>
          </w:tcPr>
          <w:p w14:paraId="00A66BEE" w14:textId="186D1801" w:rsidR="00DE3F75" w:rsidRPr="00E47006" w:rsidRDefault="006C0A9A" w:rsidP="006C0A9A">
            <w:pPr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 xml:space="preserve">Área </w:t>
            </w:r>
            <w:r w:rsidR="00DE3F75" w:rsidRPr="00E47006">
              <w:rPr>
                <w:rFonts w:ascii="Arial Narrow" w:hAnsi="Arial Narrow" w:cs="Arial"/>
                <w:b/>
                <w:lang w:val="es-CO"/>
              </w:rPr>
              <w:t>Responsable</w:t>
            </w:r>
            <w:r w:rsidRPr="00E47006">
              <w:rPr>
                <w:rFonts w:ascii="Arial Narrow" w:hAnsi="Arial Narrow" w:cs="Arial"/>
                <w:b/>
                <w:lang w:val="es-CO"/>
              </w:rPr>
              <w:t>:</w:t>
            </w:r>
          </w:p>
        </w:tc>
        <w:tc>
          <w:tcPr>
            <w:tcW w:w="4847" w:type="dxa"/>
            <w:gridSpan w:val="2"/>
          </w:tcPr>
          <w:p w14:paraId="0444C4AB" w14:textId="568D2094" w:rsidR="003C22E0" w:rsidRPr="00E47006" w:rsidRDefault="00E511A4" w:rsidP="003B5F84">
            <w:pPr>
              <w:rPr>
                <w:rFonts w:ascii="Arial Narrow" w:hAnsi="Arial Narrow" w:cs="Arial"/>
                <w:bCs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Dirección</w:t>
            </w:r>
            <w:r w:rsidRPr="00E47006">
              <w:rPr>
                <w:rFonts w:ascii="Arial Narrow" w:hAnsi="Arial Narrow" w:cs="Arial"/>
                <w:bCs/>
                <w:lang w:val="es-CO"/>
              </w:rPr>
              <w:t xml:space="preserve"> </w:t>
            </w:r>
            <w:r w:rsidR="003B5F84" w:rsidRPr="00E47006">
              <w:rPr>
                <w:rFonts w:ascii="Arial Narrow" w:hAnsi="Arial Narrow" w:cs="Arial"/>
                <w:bCs/>
                <w:lang w:val="es-CO"/>
              </w:rPr>
              <w:t>de Regulación de la Operación del Aseguramiento en Salud, Riesgos Laborales y Pensiones</w:t>
            </w:r>
          </w:p>
          <w:p w14:paraId="04F0F4CA" w14:textId="2C3E94EA" w:rsidR="003C22E0" w:rsidRPr="00E47006" w:rsidRDefault="003C22E0" w:rsidP="003B5F84">
            <w:pPr>
              <w:rPr>
                <w:rFonts w:ascii="Arial Narrow" w:hAnsi="Arial Narrow" w:cs="Arial"/>
                <w:bCs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Subdirección de Riesgos Laborales</w:t>
            </w:r>
          </w:p>
          <w:p w14:paraId="5DAB025F" w14:textId="05C9A395" w:rsidR="00DE3F75" w:rsidRPr="00E47006" w:rsidRDefault="003B5F84" w:rsidP="003B5F84">
            <w:pPr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bCs/>
                <w:lang w:val="es-CO"/>
              </w:rPr>
              <w:t>Ministerio de Salud y Protección Social</w:t>
            </w:r>
            <w:r w:rsidR="005B294E" w:rsidRPr="00E47006">
              <w:rPr>
                <w:rFonts w:ascii="Arial Narrow" w:hAnsi="Arial Narrow" w:cs="Arial"/>
                <w:bCs/>
                <w:lang w:val="es-CO"/>
              </w:rPr>
              <w:t>.</w:t>
            </w:r>
          </w:p>
        </w:tc>
      </w:tr>
      <w:tr w:rsidR="00105AF5" w:rsidRPr="00E47006" w14:paraId="2770C2AF" w14:textId="77777777" w:rsidTr="006C0A9A">
        <w:tc>
          <w:tcPr>
            <w:tcW w:w="3981" w:type="dxa"/>
          </w:tcPr>
          <w:p w14:paraId="73F7B30E" w14:textId="3F2A6127" w:rsidR="00105AF5" w:rsidRPr="00E47006" w:rsidRDefault="00105AF5" w:rsidP="006C0A9A">
            <w:pPr>
              <w:rPr>
                <w:rFonts w:ascii="Arial Narrow" w:hAnsi="Arial Narrow" w:cs="Arial"/>
                <w:b/>
                <w:color w:val="000000" w:themeColor="text1"/>
                <w:lang w:val="es-CO"/>
              </w:rPr>
            </w:pPr>
            <w:r w:rsidRPr="00E47006">
              <w:rPr>
                <w:rFonts w:ascii="Arial Narrow" w:hAnsi="Arial Narrow" w:cs="Arial"/>
                <w:b/>
                <w:color w:val="000000" w:themeColor="text1"/>
                <w:lang w:val="es-CO"/>
              </w:rPr>
              <w:t xml:space="preserve">Proyecto de </w:t>
            </w:r>
            <w:r w:rsidR="00F107BA" w:rsidRPr="00E47006">
              <w:rPr>
                <w:rFonts w:ascii="Arial Narrow" w:hAnsi="Arial Narrow" w:cs="Arial"/>
                <w:b/>
                <w:color w:val="000000" w:themeColor="text1"/>
                <w:lang w:val="es-CO"/>
              </w:rPr>
              <w:t>Decreto</w:t>
            </w:r>
            <w:r w:rsidR="00FF0F2D" w:rsidRPr="00E47006">
              <w:rPr>
                <w:rFonts w:ascii="Arial Narrow" w:hAnsi="Arial Narrow" w:cs="Arial"/>
                <w:b/>
                <w:color w:val="000000" w:themeColor="text1"/>
                <w:lang w:val="es-CO"/>
              </w:rPr>
              <w:t>:</w:t>
            </w:r>
          </w:p>
        </w:tc>
        <w:tc>
          <w:tcPr>
            <w:tcW w:w="4847" w:type="dxa"/>
            <w:gridSpan w:val="2"/>
          </w:tcPr>
          <w:p w14:paraId="009D23BD" w14:textId="0095F2FB" w:rsidR="00105AF5" w:rsidRPr="00E47006" w:rsidRDefault="00DC1498" w:rsidP="001C30F7">
            <w:pPr>
              <w:jc w:val="both"/>
              <w:rPr>
                <w:rFonts w:ascii="Arial Narrow" w:hAnsi="Arial Narrow" w:cs="Arial"/>
                <w:color w:val="000000" w:themeColor="text1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Por el cual se reglamentan los requisitos del flujo de recursos entre el Sistema de Riesgos Laborales y el Sistema General de Seguridad Social en Salud</w:t>
            </w:r>
            <w:r w:rsidR="00D60BC1" w:rsidRPr="00E47006">
              <w:rPr>
                <w:rFonts w:ascii="Arial Narrow" w:hAnsi="Arial Narrow" w:cs="Arial"/>
                <w:lang w:val="es-CO"/>
              </w:rPr>
              <w:t>.</w:t>
            </w:r>
          </w:p>
        </w:tc>
      </w:tr>
      <w:tr w:rsidR="00DE3F75" w:rsidRPr="00E47006" w14:paraId="14C9A599" w14:textId="77777777" w:rsidTr="006C0A9A">
        <w:tc>
          <w:tcPr>
            <w:tcW w:w="3981" w:type="dxa"/>
          </w:tcPr>
          <w:p w14:paraId="262A604F" w14:textId="77777777" w:rsidR="0060316C" w:rsidRPr="00E47006" w:rsidRDefault="0060316C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7B50C778" w14:textId="77777777" w:rsidR="0060316C" w:rsidRPr="00E47006" w:rsidRDefault="0060316C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7AFD8956" w14:textId="77777777" w:rsidR="0060316C" w:rsidRPr="00E47006" w:rsidRDefault="0060316C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403F1CD1" w14:textId="77777777" w:rsidR="0060316C" w:rsidRPr="00E47006" w:rsidRDefault="0060316C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73B4642F" w14:textId="77777777" w:rsidR="0060316C" w:rsidRPr="00E47006" w:rsidRDefault="0060316C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0E862C63" w14:textId="77777777" w:rsidR="0060316C" w:rsidRPr="00E47006" w:rsidRDefault="0060316C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54B36CF0" w14:textId="77777777" w:rsidR="0060316C" w:rsidRPr="00E47006" w:rsidRDefault="0060316C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433E9B01" w14:textId="4C618836" w:rsidR="00DE3F75" w:rsidRPr="00E47006" w:rsidRDefault="003B5F84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1. Antecedentes y razones de oportunidad y conveniencia que justifican su expedición</w:t>
            </w:r>
          </w:p>
        </w:tc>
        <w:tc>
          <w:tcPr>
            <w:tcW w:w="4847" w:type="dxa"/>
            <w:gridSpan w:val="2"/>
          </w:tcPr>
          <w:p w14:paraId="5F39A35D" w14:textId="77777777" w:rsidR="00A27899" w:rsidRPr="00E47006" w:rsidRDefault="00A27899" w:rsidP="00A27899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Que el artículo 24 de la Ley 1562 de 2012, precisa el flujo de recursos entre el Sistema General de Riesgos Laborales y el Sistema General de Seguridad Social en Salud que busca garantizar el reembolso derivado de las prestaciones asistenciales y económicas de acuerdo al origen de las mismas entre estos dos sistemas y facultó al Ministerio de Salud y Protección Social en coordinación con el Ministerio del Trabajo reglamentar los requisitos para garantizar el adecuado y oportuno flujo de recursos entre los dos sistemas.</w:t>
            </w:r>
          </w:p>
          <w:p w14:paraId="413D10CF" w14:textId="77777777" w:rsidR="00A27899" w:rsidRPr="00E47006" w:rsidRDefault="00A27899" w:rsidP="00A27899">
            <w:pPr>
              <w:pStyle w:val="Textoindependiente"/>
              <w:suppressAutoHyphens/>
              <w:rPr>
                <w:rFonts w:ascii="Arial Narrow" w:hAnsi="Arial Narrow" w:cs="Arial"/>
                <w:szCs w:val="24"/>
                <w:lang w:val="es-CO"/>
              </w:rPr>
            </w:pPr>
          </w:p>
          <w:p w14:paraId="5EBAAFDC" w14:textId="77777777" w:rsidR="00A27899" w:rsidRPr="00E47006" w:rsidRDefault="00A27899" w:rsidP="00A27899">
            <w:pPr>
              <w:pStyle w:val="Default"/>
              <w:suppressAutoHyphens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47006">
              <w:rPr>
                <w:rFonts w:ascii="Arial Narrow" w:hAnsi="Arial Narrow"/>
                <w:bCs/>
                <w:sz w:val="22"/>
                <w:szCs w:val="22"/>
              </w:rPr>
              <w:t>Que el numeral 8, del artículo 2 del Decreto – Ley 4107 de 2011, establece como función del Ministerio de Salud y Protección Social formular y evaluar las políticas, planes, programas y proyectos en materia de protección de los usuarios, de promoción y prevención, de aseguramiento en salud y riesgos laborales, de prestación de servicios y atención primaria, de financiamiento y de sistemas de información, así como los demás componentes del Sistema General de Seguridad Social en Salud.</w:t>
            </w:r>
          </w:p>
          <w:p w14:paraId="3AF982E2" w14:textId="77777777" w:rsidR="00A27899" w:rsidRPr="00E47006" w:rsidRDefault="00A27899" w:rsidP="00A27899">
            <w:pPr>
              <w:pStyle w:val="Default"/>
              <w:suppressAutoHyphens/>
              <w:jc w:val="both"/>
              <w:rPr>
                <w:rFonts w:ascii="Arial Narrow" w:hAnsi="Arial Narrow"/>
                <w:bCs/>
              </w:rPr>
            </w:pPr>
          </w:p>
          <w:p w14:paraId="111EEA87" w14:textId="77777777" w:rsidR="00A27899" w:rsidRPr="00E47006" w:rsidRDefault="00A27899" w:rsidP="00A27899">
            <w:pPr>
              <w:pStyle w:val="Default"/>
              <w:suppressAutoHyphens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47006">
              <w:rPr>
                <w:rFonts w:ascii="Arial Narrow" w:hAnsi="Arial Narrow"/>
                <w:bCs/>
                <w:sz w:val="22"/>
                <w:szCs w:val="22"/>
              </w:rPr>
              <w:t xml:space="preserve">Que se hace necesario reglamentar los requisitos y el procedimiento que deben realizar las entidades mencionadas, </w:t>
            </w:r>
            <w:r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>para garantizar el adecuado y oportuno flujo de recursos entre el Sistema General de Riesgos Laborales y el Sistema General de Seguridad Social en Salud</w:t>
            </w:r>
            <w:r w:rsidRPr="00E47006">
              <w:rPr>
                <w:rFonts w:ascii="Arial Narrow" w:hAnsi="Arial Narrow"/>
                <w:bCs/>
                <w:sz w:val="22"/>
                <w:szCs w:val="22"/>
              </w:rPr>
              <w:t xml:space="preserve">. </w:t>
            </w:r>
          </w:p>
          <w:p w14:paraId="4FD4CE0D" w14:textId="77777777" w:rsidR="00E511A4" w:rsidRPr="00E47006" w:rsidRDefault="00E511A4" w:rsidP="00981089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555913C5" w14:textId="77777777" w:rsidR="00981089" w:rsidRPr="00E47006" w:rsidRDefault="00981089" w:rsidP="00981089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Razones de oportunidad y conveniencia que justifican su expedición</w:t>
            </w:r>
          </w:p>
          <w:p w14:paraId="555844FB" w14:textId="77777777" w:rsidR="00981089" w:rsidRPr="00E47006" w:rsidRDefault="00981089" w:rsidP="00981089">
            <w:pPr>
              <w:jc w:val="both"/>
              <w:rPr>
                <w:rFonts w:ascii="Arial Narrow" w:hAnsi="Arial Narrow" w:cs="Arial"/>
                <w:lang w:val="es-CO"/>
              </w:rPr>
            </w:pPr>
          </w:p>
          <w:p w14:paraId="30FADE88" w14:textId="77777777" w:rsidR="00DF6B89" w:rsidRPr="00E47006" w:rsidRDefault="00981089" w:rsidP="00DF6B89">
            <w:pPr>
              <w:pStyle w:val="Default"/>
              <w:suppressAutoHyphens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Conforme a los antecedentes expuestos, </w:t>
            </w:r>
            <w:r w:rsidR="00DF6B89"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>Objetivo: Reglamentar el flujo de recursos entre el Sistema General de Riesgos Laborales y el Sistema General de Seguridad Social en Salud, para el reconocimiento y pago de prestaciones asistenciales y económicas, derivadas de la atención de eventos de origen laboral y de origen común.</w:t>
            </w:r>
          </w:p>
          <w:p w14:paraId="2337DD80" w14:textId="77777777" w:rsidR="00DF6B89" w:rsidRPr="00E47006" w:rsidRDefault="00DF6B89" w:rsidP="00DF6B89">
            <w:pPr>
              <w:pStyle w:val="Default"/>
              <w:suppressAutoHyphens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1394607" w14:textId="77777777" w:rsidR="00DF6B89" w:rsidRPr="00E47006" w:rsidRDefault="00DF6B89" w:rsidP="00DF6B89">
            <w:pPr>
              <w:pStyle w:val="Default"/>
              <w:suppressAutoHyphens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>¿Qué se pretende?</w:t>
            </w:r>
          </w:p>
          <w:p w14:paraId="755AAF01" w14:textId="77777777" w:rsidR="00DF6B89" w:rsidRPr="00E47006" w:rsidRDefault="00DF6B89" w:rsidP="00DF6B89">
            <w:pPr>
              <w:pStyle w:val="Default"/>
              <w:suppressAutoHyphens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D403BCD" w14:textId="77777777" w:rsidR="00DF6B89" w:rsidRPr="00E47006" w:rsidRDefault="00DF6B89" w:rsidP="00DF6B89">
            <w:pPr>
              <w:pStyle w:val="Default"/>
              <w:suppressAutoHyphens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Garantizar el reembolso derivado de las prestaciones asistenciales y económicas de acuerdo al origen de las mismas entre el Sistema General de Seguridad Social en Salud y el Sistema General de Riesgos Laborales y definir los requisitos para garantizar el adecuado y oportuno flujo de recursos entre los dos sistemas.</w:t>
            </w:r>
          </w:p>
          <w:p w14:paraId="20F5E7C8" w14:textId="1412D17A" w:rsidR="00DE3F75" w:rsidRPr="00E47006" w:rsidRDefault="00DE3F75" w:rsidP="00275A38">
            <w:pPr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DE3F75" w:rsidRPr="00E47006" w14:paraId="61BE3665" w14:textId="77777777" w:rsidTr="006C0A9A">
        <w:tc>
          <w:tcPr>
            <w:tcW w:w="3981" w:type="dxa"/>
          </w:tcPr>
          <w:p w14:paraId="16E28C11" w14:textId="77777777" w:rsidR="00DE3F75" w:rsidRPr="00E47006" w:rsidRDefault="003B5F84" w:rsidP="003B5F84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lastRenderedPageBreak/>
              <w:t>2. Ámbito de aplicación del respectivo acto y los sujetos a quienes va dirigido</w:t>
            </w:r>
          </w:p>
        </w:tc>
        <w:tc>
          <w:tcPr>
            <w:tcW w:w="4847" w:type="dxa"/>
            <w:gridSpan w:val="2"/>
          </w:tcPr>
          <w:p w14:paraId="68019306" w14:textId="267E1481" w:rsidR="00DF6B89" w:rsidRPr="00E47006" w:rsidRDefault="00DF6B89" w:rsidP="00DF6B89">
            <w:pPr>
              <w:pStyle w:val="Default"/>
              <w:suppressAutoHyphens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>Las disposiciones de</w:t>
            </w:r>
            <w:r w:rsidR="00773279"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l </w:t>
            </w:r>
            <w:r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presente </w:t>
            </w:r>
            <w:r w:rsidR="00773279"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>decreto</w:t>
            </w:r>
            <w:r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se aplicarán a las Entidades Promotoras de Salud – EPS y entidades obligadas a compensar, regímenes especiales en salud de las universidades públicas que señala la Ley 647 de 2001, entidades Administradoras de Riesgos Laborales - ARL, prestadores de servicios de salud, empleadores y afiliados que conforman los Sistema Generales de Seguridad Social en Salud y de Riesgos Laborales.</w:t>
            </w:r>
          </w:p>
          <w:p w14:paraId="0C242578" w14:textId="0978527F" w:rsidR="00DE3F75" w:rsidRPr="00E47006" w:rsidRDefault="00DE3F75" w:rsidP="009C0AC2">
            <w:pPr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3B5F84" w:rsidRPr="00E47006" w14:paraId="172E486D" w14:textId="77777777" w:rsidTr="00981089">
        <w:tc>
          <w:tcPr>
            <w:tcW w:w="8828" w:type="dxa"/>
            <w:gridSpan w:val="3"/>
          </w:tcPr>
          <w:p w14:paraId="5939BDAC" w14:textId="139735DE" w:rsidR="003B5F84" w:rsidRPr="00E47006" w:rsidRDefault="003B5F84">
            <w:pPr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3. Viabilidad jurídica</w:t>
            </w:r>
          </w:p>
        </w:tc>
      </w:tr>
      <w:tr w:rsidR="00981089" w:rsidRPr="00E47006" w14:paraId="66CD21D7" w14:textId="77777777" w:rsidTr="006C0A9A">
        <w:tc>
          <w:tcPr>
            <w:tcW w:w="3981" w:type="dxa"/>
          </w:tcPr>
          <w:p w14:paraId="659D4860" w14:textId="77777777" w:rsidR="00981089" w:rsidRPr="00E47006" w:rsidRDefault="00981089" w:rsidP="00922C6D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3.1. Análisis expreso y detallado de las normas que otorgan la competencia para la expedición del correspondiente acto</w:t>
            </w:r>
          </w:p>
        </w:tc>
        <w:tc>
          <w:tcPr>
            <w:tcW w:w="4847" w:type="dxa"/>
            <w:gridSpan w:val="2"/>
          </w:tcPr>
          <w:p w14:paraId="302877B1" w14:textId="3567D3FA" w:rsidR="006F42CE" w:rsidRPr="00E47006" w:rsidRDefault="006F42CE" w:rsidP="006F42CE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El artículo 24 de la Ley 1562 de 2012, precisa el flujo de recursos entre el Sistema General de Riesgos Laborales y el Sistema General de Seguridad Social en Salud que busca garantizar el reembolso derivado de las prestaciones asistenciales y económicas de acuerdo al origen de las mismas entre estos dos sistemas y facultó al Ministerio de Salud y Protección Social en coordinación con el Ministerio del Trabajo reglamentar los requisitos para garantizar el adecuado y oportuno flujo de recursos entre los dos sistemas.</w:t>
            </w:r>
          </w:p>
          <w:p w14:paraId="1B849992" w14:textId="77777777" w:rsidR="006F42CE" w:rsidRPr="00E47006" w:rsidRDefault="006F42CE" w:rsidP="006F42CE">
            <w:pPr>
              <w:pStyle w:val="Textoindependiente"/>
              <w:suppressAutoHyphens/>
              <w:rPr>
                <w:rFonts w:ascii="Arial Narrow" w:hAnsi="Arial Narrow" w:cs="Arial"/>
                <w:szCs w:val="24"/>
                <w:lang w:val="es-CO"/>
              </w:rPr>
            </w:pPr>
          </w:p>
          <w:p w14:paraId="49042877" w14:textId="2363ADB5" w:rsidR="006F42CE" w:rsidRPr="00E47006" w:rsidRDefault="006F42CE" w:rsidP="006F42CE">
            <w:pPr>
              <w:pStyle w:val="Default"/>
              <w:suppressAutoHyphens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47006">
              <w:rPr>
                <w:rFonts w:ascii="Arial Narrow" w:hAnsi="Arial Narrow"/>
                <w:bCs/>
                <w:sz w:val="22"/>
                <w:szCs w:val="22"/>
              </w:rPr>
              <w:t>El numeral 8, del artículo 2 del Decreto – Ley 4107 de 2011, establece como función del Ministerio de Salud y Protección Social formular y evaluar las políticas, planes, programas y proyectos en materia de protección de los usuarios, de promoción y prevención, de aseguramiento en salud y riesgos laborales, de prestación de servicios y atención primaria, de financiamiento y de sistemas de información, así como los demás componentes del Sistema General de Seguridad Social en Salud.</w:t>
            </w:r>
          </w:p>
          <w:p w14:paraId="0F807C91" w14:textId="77777777" w:rsidR="009C0AC2" w:rsidRPr="00E47006" w:rsidRDefault="009C0AC2" w:rsidP="00A72F47">
            <w:pPr>
              <w:pStyle w:val="Default"/>
              <w:suppressAutoHyphens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4F377DBF" w14:textId="69004626" w:rsidR="006F42CE" w:rsidRPr="00E47006" w:rsidRDefault="006F42CE" w:rsidP="006F42CE">
            <w:pPr>
              <w:pStyle w:val="Default"/>
              <w:suppressAutoHyphens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47006">
              <w:rPr>
                <w:rFonts w:ascii="Arial Narrow" w:hAnsi="Arial Narrow"/>
                <w:bCs/>
                <w:sz w:val="22"/>
                <w:szCs w:val="22"/>
              </w:rPr>
              <w:t xml:space="preserve">Por lo anterior se hace necesario reglamentar los requisitos y el procedimiento que deben realizar las entidades mencionadas, </w:t>
            </w:r>
            <w:r w:rsidRPr="00E47006">
              <w:rPr>
                <w:rFonts w:ascii="Arial Narrow" w:hAnsi="Arial Narrow"/>
                <w:color w:val="000000" w:themeColor="text1"/>
                <w:sz w:val="22"/>
                <w:szCs w:val="22"/>
              </w:rPr>
              <w:t>para garantizar el adecuado y oportuno flujo de recursos entre el Sistema General de Riesgos Laborales y el Sistema General de Seguridad Social en Salud</w:t>
            </w:r>
            <w:r w:rsidRPr="00E47006">
              <w:rPr>
                <w:rFonts w:ascii="Arial Narrow" w:hAnsi="Arial Narrow"/>
                <w:bCs/>
                <w:sz w:val="22"/>
                <w:szCs w:val="22"/>
              </w:rPr>
              <w:t xml:space="preserve">. </w:t>
            </w:r>
          </w:p>
          <w:p w14:paraId="735D8BE7" w14:textId="5676329C" w:rsidR="006F42CE" w:rsidRPr="00E47006" w:rsidRDefault="006F42CE" w:rsidP="00A72F47">
            <w:pPr>
              <w:pStyle w:val="Default"/>
              <w:suppressAutoHyphens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981089" w:rsidRPr="00E47006" w14:paraId="21FFFB8D" w14:textId="77777777" w:rsidTr="006C0A9A">
        <w:tc>
          <w:tcPr>
            <w:tcW w:w="3981" w:type="dxa"/>
          </w:tcPr>
          <w:p w14:paraId="669817EF" w14:textId="77777777" w:rsidR="00981089" w:rsidRPr="00E47006" w:rsidRDefault="00981089" w:rsidP="00922C6D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3.2. Vigencia de la Ley o norma Reglamentada o desarrollada</w:t>
            </w:r>
          </w:p>
        </w:tc>
        <w:tc>
          <w:tcPr>
            <w:tcW w:w="4847" w:type="dxa"/>
            <w:gridSpan w:val="2"/>
          </w:tcPr>
          <w:p w14:paraId="0D91809F" w14:textId="69B4BF2C" w:rsidR="00905855" w:rsidRPr="00E47006" w:rsidRDefault="006F42CE" w:rsidP="00E47006">
            <w:pPr>
              <w:ind w:left="12"/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iCs/>
                <w:lang w:val="es-CO"/>
              </w:rPr>
              <w:t>Se encuentra vigente el artículo 24 de la Ley 1562 de 2012.</w:t>
            </w:r>
          </w:p>
        </w:tc>
      </w:tr>
      <w:tr w:rsidR="00981089" w:rsidRPr="00E47006" w14:paraId="569B283C" w14:textId="77777777" w:rsidTr="006C0A9A">
        <w:tc>
          <w:tcPr>
            <w:tcW w:w="3981" w:type="dxa"/>
          </w:tcPr>
          <w:p w14:paraId="74621501" w14:textId="77777777" w:rsidR="00981089" w:rsidRPr="00E47006" w:rsidRDefault="00981089" w:rsidP="00922C6D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3.3. Disposiciones derogadas, subrogadas, modificadas, adicionadas o sustituidas</w:t>
            </w:r>
          </w:p>
        </w:tc>
        <w:tc>
          <w:tcPr>
            <w:tcW w:w="4847" w:type="dxa"/>
            <w:gridSpan w:val="2"/>
          </w:tcPr>
          <w:p w14:paraId="71CCBDD2" w14:textId="55F5408B" w:rsidR="00981089" w:rsidRPr="00E47006" w:rsidRDefault="00A23F47" w:rsidP="00120E7D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No se derogada, se subroga, modifica, adiciona o sustituye norma alguna.</w:t>
            </w:r>
          </w:p>
        </w:tc>
      </w:tr>
      <w:tr w:rsidR="00981089" w:rsidRPr="00E47006" w14:paraId="5353EF33" w14:textId="77777777" w:rsidTr="006C0A9A">
        <w:tc>
          <w:tcPr>
            <w:tcW w:w="3981" w:type="dxa"/>
          </w:tcPr>
          <w:p w14:paraId="196364E2" w14:textId="77777777" w:rsidR="00981089" w:rsidRPr="00E47006" w:rsidRDefault="00981089" w:rsidP="00922C6D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lastRenderedPageBreak/>
              <w:t>3.4. Revisión y análisis de las decisiones judiciales de los órganos de cierre de cada jurisdicción que pudieran tener impacto o ser relevantes para la expedición del acto.</w:t>
            </w:r>
          </w:p>
        </w:tc>
        <w:tc>
          <w:tcPr>
            <w:tcW w:w="4847" w:type="dxa"/>
            <w:gridSpan w:val="2"/>
          </w:tcPr>
          <w:p w14:paraId="1521F8D6" w14:textId="581E6569" w:rsidR="00981089" w:rsidRPr="00E47006" w:rsidRDefault="001A5E3C" w:rsidP="00101B21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color w:val="000000" w:themeColor="text1"/>
                <w:lang w:val="es-CO"/>
              </w:rPr>
              <w:t>No se presentan decisiones de este tipo que afecten directamente y sean relevantes para la expedición del acto.</w:t>
            </w:r>
          </w:p>
        </w:tc>
      </w:tr>
      <w:tr w:rsidR="00981089" w:rsidRPr="00E47006" w14:paraId="08577E5D" w14:textId="77777777" w:rsidTr="006C0A9A">
        <w:tc>
          <w:tcPr>
            <w:tcW w:w="3981" w:type="dxa"/>
          </w:tcPr>
          <w:p w14:paraId="560C5FFA" w14:textId="77777777" w:rsidR="00981089" w:rsidRPr="00E47006" w:rsidRDefault="00981089" w:rsidP="00922C6D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3.5. Advertencia de cualquier otra circunstancia jurídica que pueda ser relevante para la expedición del acto</w:t>
            </w:r>
          </w:p>
        </w:tc>
        <w:tc>
          <w:tcPr>
            <w:tcW w:w="4847" w:type="dxa"/>
            <w:gridSpan w:val="2"/>
          </w:tcPr>
          <w:p w14:paraId="33CADB9A" w14:textId="5A56FF88" w:rsidR="00981089" w:rsidRPr="00E47006" w:rsidRDefault="00A23F47" w:rsidP="00A23F47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No se advertencia de cualquier otra circunstancia jurídica que pueda ser relevante para la expedición del acto</w:t>
            </w:r>
          </w:p>
        </w:tc>
      </w:tr>
      <w:tr w:rsidR="00981089" w:rsidRPr="00E47006" w14:paraId="1FFF9420" w14:textId="77777777" w:rsidTr="006C0A9A">
        <w:tc>
          <w:tcPr>
            <w:tcW w:w="3981" w:type="dxa"/>
          </w:tcPr>
          <w:p w14:paraId="1F9759FA" w14:textId="5616E36F" w:rsidR="00981089" w:rsidRPr="00E47006" w:rsidRDefault="00981089" w:rsidP="00922C6D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4. El impacto económico, si es el caso, el cual deberá señalar el costo o ahorro de implementación del respectivo acto</w:t>
            </w:r>
          </w:p>
        </w:tc>
        <w:tc>
          <w:tcPr>
            <w:tcW w:w="4847" w:type="dxa"/>
            <w:gridSpan w:val="2"/>
          </w:tcPr>
          <w:p w14:paraId="0C639B66" w14:textId="11A20F07" w:rsidR="00981089" w:rsidRPr="00E47006" w:rsidRDefault="00981089" w:rsidP="00981089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4.</w:t>
            </w:r>
            <w:r w:rsidR="00363C70" w:rsidRPr="00E47006">
              <w:rPr>
                <w:rFonts w:ascii="Arial Narrow" w:hAnsi="Arial Narrow" w:cs="Arial"/>
                <w:lang w:val="es-CO"/>
              </w:rPr>
              <w:t>1</w:t>
            </w:r>
            <w:r w:rsidR="00B566B0" w:rsidRPr="00E47006">
              <w:rPr>
                <w:rFonts w:ascii="Arial Narrow" w:hAnsi="Arial Narrow" w:cs="Arial"/>
                <w:lang w:val="es-CO"/>
              </w:rPr>
              <w:t xml:space="preserve"> </w:t>
            </w:r>
            <w:r w:rsidR="009D32EB" w:rsidRPr="00E47006">
              <w:rPr>
                <w:rFonts w:ascii="Arial Narrow" w:hAnsi="Arial Narrow" w:cs="Arial"/>
                <w:lang w:val="es-CO"/>
              </w:rPr>
              <w:t xml:space="preserve">IMPACTO ECONOMICO PARA EL </w:t>
            </w:r>
            <w:r w:rsidR="006051E3" w:rsidRPr="00E47006">
              <w:rPr>
                <w:rFonts w:ascii="Arial Narrow" w:hAnsi="Arial Narrow" w:cs="Arial"/>
                <w:lang w:val="es-CO"/>
              </w:rPr>
              <w:t>ESTADO</w:t>
            </w:r>
            <w:r w:rsidRPr="00E47006">
              <w:rPr>
                <w:rFonts w:ascii="Arial Narrow" w:hAnsi="Arial Narrow" w:cs="Arial"/>
                <w:lang w:val="es-CO"/>
              </w:rPr>
              <w:t xml:space="preserve"> No hay impacto económico</w:t>
            </w:r>
            <w:r w:rsidR="005F6530" w:rsidRPr="00E47006">
              <w:rPr>
                <w:rFonts w:ascii="Arial Narrow" w:hAnsi="Arial Narrow" w:cs="Arial"/>
                <w:lang w:val="es-CO"/>
              </w:rPr>
              <w:t xml:space="preserve">. </w:t>
            </w:r>
            <w:r w:rsidR="00363C70" w:rsidRPr="00E47006">
              <w:rPr>
                <w:rFonts w:ascii="Arial Narrow" w:hAnsi="Arial Narrow" w:cs="Arial"/>
                <w:lang w:val="es-CO"/>
              </w:rPr>
              <w:t>L</w:t>
            </w:r>
            <w:r w:rsidRPr="00E47006">
              <w:rPr>
                <w:rFonts w:ascii="Arial Narrow" w:hAnsi="Arial Narrow" w:cs="Arial"/>
                <w:lang w:val="es-CO"/>
              </w:rPr>
              <w:t xml:space="preserve">os recursos </w:t>
            </w:r>
            <w:r w:rsidR="00633AD7" w:rsidRPr="00E47006">
              <w:rPr>
                <w:rFonts w:ascii="Arial Narrow" w:hAnsi="Arial Narrow" w:cs="Arial"/>
                <w:lang w:val="es-CO"/>
              </w:rPr>
              <w:t>provi</w:t>
            </w:r>
            <w:r w:rsidRPr="00E47006">
              <w:rPr>
                <w:rFonts w:ascii="Arial Narrow" w:hAnsi="Arial Narrow" w:cs="Arial"/>
                <w:lang w:val="es-CO"/>
              </w:rPr>
              <w:t xml:space="preserve">enen </w:t>
            </w:r>
            <w:r w:rsidR="00633AD7" w:rsidRPr="00E47006">
              <w:rPr>
                <w:rFonts w:ascii="Arial Narrow" w:hAnsi="Arial Narrow" w:cs="Arial"/>
                <w:lang w:val="es-CO"/>
              </w:rPr>
              <w:t xml:space="preserve">en el caso del Sistema General de Riesgos Laborales </w:t>
            </w:r>
            <w:r w:rsidRPr="00E47006">
              <w:rPr>
                <w:rFonts w:ascii="Arial Narrow" w:hAnsi="Arial Narrow" w:cs="Arial"/>
                <w:lang w:val="es-CO"/>
              </w:rPr>
              <w:t>de los aportes de la nómina</w:t>
            </w:r>
            <w:r w:rsidR="00B05E9A" w:rsidRPr="00E47006">
              <w:rPr>
                <w:rFonts w:ascii="Arial Narrow" w:hAnsi="Arial Narrow" w:cs="Arial"/>
                <w:lang w:val="es-CO"/>
              </w:rPr>
              <w:t>,</w:t>
            </w:r>
            <w:r w:rsidRPr="00E47006">
              <w:rPr>
                <w:rFonts w:ascii="Arial Narrow" w:hAnsi="Arial Narrow" w:cs="Arial"/>
                <w:lang w:val="es-CO"/>
              </w:rPr>
              <w:t xml:space="preserve"> que hacen los empleadores a</w:t>
            </w:r>
            <w:r w:rsidR="00633AD7" w:rsidRPr="00E47006">
              <w:rPr>
                <w:rFonts w:ascii="Arial Narrow" w:hAnsi="Arial Narrow" w:cs="Arial"/>
                <w:lang w:val="es-CO"/>
              </w:rPr>
              <w:t xml:space="preserve"> </w:t>
            </w:r>
            <w:r w:rsidRPr="00E47006">
              <w:rPr>
                <w:rFonts w:ascii="Arial Narrow" w:hAnsi="Arial Narrow" w:cs="Arial"/>
                <w:lang w:val="es-CO"/>
              </w:rPr>
              <w:t>l</w:t>
            </w:r>
            <w:r w:rsidR="00633AD7" w:rsidRPr="00E47006">
              <w:rPr>
                <w:rFonts w:ascii="Arial Narrow" w:hAnsi="Arial Narrow" w:cs="Arial"/>
                <w:lang w:val="es-CO"/>
              </w:rPr>
              <w:t>os</w:t>
            </w:r>
            <w:r w:rsidRPr="00E47006">
              <w:rPr>
                <w:rFonts w:ascii="Arial Narrow" w:hAnsi="Arial Narrow" w:cs="Arial"/>
                <w:lang w:val="es-CO"/>
              </w:rPr>
              <w:t xml:space="preserve"> Sistema</w:t>
            </w:r>
            <w:r w:rsidR="00633AD7" w:rsidRPr="00E47006">
              <w:rPr>
                <w:rFonts w:ascii="Arial Narrow" w:hAnsi="Arial Narrow" w:cs="Arial"/>
                <w:lang w:val="es-CO"/>
              </w:rPr>
              <w:t>s</w:t>
            </w:r>
            <w:r w:rsidRPr="00E47006">
              <w:rPr>
                <w:rFonts w:ascii="Arial Narrow" w:hAnsi="Arial Narrow" w:cs="Arial"/>
                <w:lang w:val="es-CO"/>
              </w:rPr>
              <w:t xml:space="preserve"> General de Riesgos Laborales</w:t>
            </w:r>
            <w:r w:rsidR="00633AD7" w:rsidRPr="00E47006">
              <w:rPr>
                <w:rFonts w:ascii="Arial Narrow" w:hAnsi="Arial Narrow" w:cs="Arial"/>
                <w:lang w:val="es-CO"/>
              </w:rPr>
              <w:t xml:space="preserve"> y en el caso de las EPS provienen de los recursos que reconoce el Sistema por UPC dentro del plan de beneficios</w:t>
            </w:r>
            <w:r w:rsidRPr="00E47006">
              <w:rPr>
                <w:rFonts w:ascii="Arial Narrow" w:hAnsi="Arial Narrow" w:cs="Arial"/>
                <w:lang w:val="es-CO"/>
              </w:rPr>
              <w:t>.</w:t>
            </w:r>
          </w:p>
          <w:p w14:paraId="644D47C8" w14:textId="77777777" w:rsidR="00981089" w:rsidRPr="00E47006" w:rsidRDefault="00981089" w:rsidP="00981089">
            <w:pPr>
              <w:jc w:val="both"/>
              <w:rPr>
                <w:rFonts w:ascii="Arial Narrow" w:hAnsi="Arial Narrow" w:cs="Arial"/>
                <w:lang w:val="es-CO"/>
              </w:rPr>
            </w:pPr>
          </w:p>
          <w:p w14:paraId="03C7B88C" w14:textId="5D5D1997" w:rsidR="00922C6D" w:rsidRPr="00E47006" w:rsidRDefault="00981089" w:rsidP="00922C6D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 xml:space="preserve">4.2 IMPACTO ECONÓMICO PARA LOS PARTICULARES DESTINATARIOS DE LA NORMA: </w:t>
            </w:r>
            <w:r w:rsidR="00633AD7" w:rsidRPr="00E47006">
              <w:rPr>
                <w:rFonts w:ascii="Arial Narrow" w:hAnsi="Arial Narrow" w:cs="Arial"/>
                <w:lang w:val="es-CO"/>
              </w:rPr>
              <w:t>N</w:t>
            </w:r>
            <w:r w:rsidR="005A3FD1" w:rsidRPr="00E47006">
              <w:rPr>
                <w:rFonts w:ascii="Arial Narrow" w:hAnsi="Arial Narrow" w:cs="Arial"/>
                <w:lang w:val="es-CO"/>
              </w:rPr>
              <w:t xml:space="preserve">o se genera impacto económico para </w:t>
            </w:r>
            <w:r w:rsidR="004A1D48" w:rsidRPr="00E47006">
              <w:rPr>
                <w:rFonts w:ascii="Arial Narrow" w:hAnsi="Arial Narrow" w:cs="Arial"/>
                <w:lang w:val="es-CO"/>
              </w:rPr>
              <w:t xml:space="preserve">los </w:t>
            </w:r>
            <w:r w:rsidR="005A3FD1" w:rsidRPr="00E47006">
              <w:rPr>
                <w:rFonts w:ascii="Arial Narrow" w:hAnsi="Arial Narrow" w:cs="Arial"/>
                <w:lang w:val="es-CO"/>
              </w:rPr>
              <w:t>particulares</w:t>
            </w:r>
            <w:r w:rsidR="004A1D48" w:rsidRPr="00E47006">
              <w:rPr>
                <w:rFonts w:ascii="Arial Narrow" w:hAnsi="Arial Narrow" w:cs="Arial"/>
                <w:lang w:val="es-CO"/>
              </w:rPr>
              <w:t>. L</w:t>
            </w:r>
            <w:r w:rsidRPr="00E47006">
              <w:rPr>
                <w:rFonts w:ascii="Arial Narrow" w:hAnsi="Arial Narrow" w:cs="Arial"/>
                <w:lang w:val="es-CO"/>
              </w:rPr>
              <w:t>as entidades Administradoras de Riesgos Laborales, administran los recursos del Sistema General de Riesgos Laborales</w:t>
            </w:r>
            <w:r w:rsidR="00FA7A26" w:rsidRPr="00E47006">
              <w:rPr>
                <w:rFonts w:ascii="Arial Narrow" w:hAnsi="Arial Narrow" w:cs="Arial"/>
                <w:lang w:val="es-CO"/>
              </w:rPr>
              <w:t xml:space="preserve">, estas </w:t>
            </w:r>
            <w:r w:rsidR="00633AD7" w:rsidRPr="00E47006">
              <w:rPr>
                <w:rFonts w:ascii="Arial Narrow" w:hAnsi="Arial Narrow" w:cs="Arial"/>
                <w:lang w:val="es-CO"/>
              </w:rPr>
              <w:t xml:space="preserve">reconocen </w:t>
            </w:r>
            <w:r w:rsidRPr="00E47006">
              <w:rPr>
                <w:rFonts w:ascii="Arial Narrow" w:hAnsi="Arial Narrow" w:cs="Arial"/>
                <w:lang w:val="es-CO"/>
              </w:rPr>
              <w:t xml:space="preserve">las prestaciones asistenciales y económicas </w:t>
            </w:r>
            <w:r w:rsidR="008C5F91" w:rsidRPr="00E47006">
              <w:rPr>
                <w:rFonts w:ascii="Arial Narrow" w:hAnsi="Arial Narrow" w:cs="Arial"/>
                <w:lang w:val="es-CO"/>
              </w:rPr>
              <w:t xml:space="preserve">por las contingencias </w:t>
            </w:r>
            <w:r w:rsidR="00633AD7" w:rsidRPr="00E47006">
              <w:rPr>
                <w:rFonts w:ascii="Arial Narrow" w:hAnsi="Arial Narrow" w:cs="Arial"/>
                <w:lang w:val="es-CO"/>
              </w:rPr>
              <w:t xml:space="preserve">de origen laboral </w:t>
            </w:r>
            <w:r w:rsidRPr="00E47006">
              <w:rPr>
                <w:rFonts w:ascii="Arial Narrow" w:hAnsi="Arial Narrow" w:cs="Arial"/>
                <w:lang w:val="es-CO"/>
              </w:rPr>
              <w:t xml:space="preserve">y reconocer </w:t>
            </w:r>
            <w:r w:rsidR="007F531B" w:rsidRPr="00E47006">
              <w:rPr>
                <w:rFonts w:ascii="Arial Narrow" w:hAnsi="Arial Narrow" w:cs="Arial"/>
                <w:lang w:val="es-CO"/>
              </w:rPr>
              <w:t xml:space="preserve">el pago </w:t>
            </w:r>
            <w:r w:rsidR="0089079A" w:rsidRPr="00E47006">
              <w:rPr>
                <w:rFonts w:ascii="Arial Narrow" w:hAnsi="Arial Narrow" w:cs="Arial"/>
                <w:lang w:val="es-CO"/>
              </w:rPr>
              <w:t xml:space="preserve">de los servicios </w:t>
            </w:r>
            <w:r w:rsidR="00995343" w:rsidRPr="00E47006">
              <w:rPr>
                <w:rFonts w:ascii="Arial Narrow" w:hAnsi="Arial Narrow" w:cs="Arial"/>
                <w:lang w:val="es-CO"/>
              </w:rPr>
              <w:t>prestados</w:t>
            </w:r>
            <w:r w:rsidR="00BF2B79" w:rsidRPr="00E47006">
              <w:rPr>
                <w:rFonts w:ascii="Arial Narrow" w:hAnsi="Arial Narrow" w:cs="Arial"/>
                <w:lang w:val="es-CO"/>
              </w:rPr>
              <w:t xml:space="preserve"> que se deriven de </w:t>
            </w:r>
            <w:r w:rsidR="00633AD7" w:rsidRPr="00E47006">
              <w:rPr>
                <w:rFonts w:ascii="Arial Narrow" w:hAnsi="Arial Narrow" w:cs="Arial"/>
                <w:lang w:val="es-CO"/>
              </w:rPr>
              <w:t xml:space="preserve">una </w:t>
            </w:r>
            <w:r w:rsidR="00ED70FC" w:rsidRPr="00E47006">
              <w:rPr>
                <w:rFonts w:ascii="Arial Narrow" w:hAnsi="Arial Narrow" w:cs="Arial"/>
                <w:lang w:val="es-CO"/>
              </w:rPr>
              <w:t>enfe</w:t>
            </w:r>
            <w:r w:rsidR="00ED70FC" w:rsidRPr="00E47006">
              <w:rPr>
                <w:rFonts w:ascii="Arial Narrow" w:hAnsi="Arial Narrow" w:cs="Arial"/>
                <w:iCs/>
                <w:lang w:val="es-CO"/>
              </w:rPr>
              <w:t>rmedad</w:t>
            </w:r>
            <w:r w:rsidR="00633AD7" w:rsidRPr="00E47006">
              <w:rPr>
                <w:rFonts w:ascii="Arial Narrow" w:hAnsi="Arial Narrow" w:cs="Arial"/>
                <w:iCs/>
                <w:lang w:val="es-CO"/>
              </w:rPr>
              <w:t xml:space="preserve"> o accidente de trabajo</w:t>
            </w:r>
            <w:r w:rsidR="00416D5C" w:rsidRPr="00E47006">
              <w:rPr>
                <w:rFonts w:ascii="Arial Narrow" w:hAnsi="Arial Narrow" w:cs="Arial"/>
                <w:iCs/>
                <w:lang w:val="es-CO"/>
              </w:rPr>
              <w:t xml:space="preserve"> y a su vez reconoce a las EPS e IPS las prestaciones prestadas a los afiliados que sufran un accidente o enfermedad laboral</w:t>
            </w:r>
            <w:r w:rsidR="00D74716" w:rsidRPr="00E47006">
              <w:rPr>
                <w:rFonts w:ascii="Arial Narrow" w:hAnsi="Arial Narrow" w:cs="Arial"/>
                <w:iCs/>
                <w:lang w:val="es-CO"/>
              </w:rPr>
              <w:t>.</w:t>
            </w:r>
            <w:r w:rsidRPr="00E47006">
              <w:rPr>
                <w:rFonts w:ascii="Arial Narrow" w:hAnsi="Arial Narrow" w:cs="Arial"/>
                <w:lang w:val="es-CO"/>
              </w:rPr>
              <w:t xml:space="preserve"> </w:t>
            </w:r>
          </w:p>
        </w:tc>
      </w:tr>
      <w:tr w:rsidR="00981089" w:rsidRPr="00E47006" w14:paraId="36D9B097" w14:textId="77777777" w:rsidTr="006C0A9A">
        <w:tc>
          <w:tcPr>
            <w:tcW w:w="3981" w:type="dxa"/>
          </w:tcPr>
          <w:p w14:paraId="2AE24B1F" w14:textId="77777777" w:rsidR="00981089" w:rsidRPr="00E47006" w:rsidRDefault="00981089" w:rsidP="00981089">
            <w:pPr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5. Disponibilidad presupuestal</w:t>
            </w:r>
          </w:p>
        </w:tc>
        <w:tc>
          <w:tcPr>
            <w:tcW w:w="4847" w:type="dxa"/>
            <w:gridSpan w:val="2"/>
          </w:tcPr>
          <w:p w14:paraId="4668A047" w14:textId="4728029F" w:rsidR="00981089" w:rsidRPr="00E47006" w:rsidRDefault="00A32DB7" w:rsidP="00A32DB7">
            <w:pPr>
              <w:rPr>
                <w:rFonts w:ascii="Arial Narrow" w:hAnsi="Arial Narrow" w:cs="Arial"/>
                <w:color w:val="000000" w:themeColor="text1"/>
                <w:lang w:val="es-CO"/>
              </w:rPr>
            </w:pPr>
            <w:r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No </w:t>
            </w:r>
            <w:r w:rsidR="00ED70FC" w:rsidRPr="00E47006">
              <w:rPr>
                <w:rFonts w:ascii="Arial Narrow" w:hAnsi="Arial Narrow" w:cs="Arial"/>
                <w:color w:val="000000" w:themeColor="text1"/>
                <w:lang w:val="es-CO"/>
              </w:rPr>
              <w:t>requiere</w:t>
            </w:r>
            <w:r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 disponibilidad presupuestal.</w:t>
            </w:r>
          </w:p>
        </w:tc>
      </w:tr>
      <w:tr w:rsidR="00981089" w:rsidRPr="00E47006" w14:paraId="32852311" w14:textId="77777777" w:rsidTr="006C0A9A">
        <w:tc>
          <w:tcPr>
            <w:tcW w:w="3981" w:type="dxa"/>
          </w:tcPr>
          <w:p w14:paraId="585860CE" w14:textId="77777777" w:rsidR="00981089" w:rsidRPr="00E47006" w:rsidRDefault="00981089" w:rsidP="00981089">
            <w:pPr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6. Impacto medioambiental o sobre el patrimonio cultural de la Nación</w:t>
            </w:r>
          </w:p>
        </w:tc>
        <w:tc>
          <w:tcPr>
            <w:tcW w:w="4847" w:type="dxa"/>
            <w:gridSpan w:val="2"/>
          </w:tcPr>
          <w:p w14:paraId="51869168" w14:textId="553ED084" w:rsidR="00981089" w:rsidRPr="00E47006" w:rsidRDefault="00416D5C" w:rsidP="00A32DB7">
            <w:pPr>
              <w:rPr>
                <w:rFonts w:ascii="Arial Narrow" w:hAnsi="Arial Narrow" w:cs="Arial"/>
                <w:color w:val="000000" w:themeColor="text1"/>
                <w:lang w:val="es-CO"/>
              </w:rPr>
            </w:pPr>
            <w:r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El proyecto de </w:t>
            </w:r>
            <w:r w:rsidR="004F7907" w:rsidRPr="00E47006">
              <w:rPr>
                <w:rFonts w:ascii="Arial Narrow" w:hAnsi="Arial Narrow" w:cs="Arial"/>
                <w:color w:val="000000" w:themeColor="text1"/>
                <w:lang w:val="es-CO"/>
              </w:rPr>
              <w:t>decreto</w:t>
            </w:r>
            <w:r w:rsidR="00A32DB7"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 no tiene impacto alguno en el </w:t>
            </w:r>
            <w:r w:rsidR="00376CF6" w:rsidRPr="00E47006">
              <w:rPr>
                <w:rFonts w:ascii="Arial Narrow" w:hAnsi="Arial Narrow" w:cs="Arial"/>
                <w:color w:val="000000" w:themeColor="text1"/>
                <w:lang w:val="es-CO"/>
              </w:rPr>
              <w:t>medioambiente, ni</w:t>
            </w:r>
            <w:r w:rsidR="00A32DB7"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 en el patrimonio cultural de la Nación.</w:t>
            </w:r>
          </w:p>
        </w:tc>
      </w:tr>
      <w:tr w:rsidR="00981089" w:rsidRPr="00E47006" w14:paraId="47C1FB50" w14:textId="77777777" w:rsidTr="00981089">
        <w:tc>
          <w:tcPr>
            <w:tcW w:w="8828" w:type="dxa"/>
            <w:gridSpan w:val="3"/>
          </w:tcPr>
          <w:p w14:paraId="389F0650" w14:textId="64F96234" w:rsidR="00981089" w:rsidRPr="00E47006" w:rsidRDefault="00981089" w:rsidP="00981089">
            <w:pPr>
              <w:rPr>
                <w:rFonts w:ascii="Arial Narrow" w:hAnsi="Arial Narrow" w:cs="Arial"/>
                <w:b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7. Consultas y publicidad</w:t>
            </w:r>
          </w:p>
        </w:tc>
      </w:tr>
      <w:tr w:rsidR="00981089" w:rsidRPr="00E47006" w14:paraId="7EBDF898" w14:textId="77777777" w:rsidTr="00981089">
        <w:tc>
          <w:tcPr>
            <w:tcW w:w="8828" w:type="dxa"/>
            <w:gridSpan w:val="3"/>
          </w:tcPr>
          <w:p w14:paraId="294BF580" w14:textId="2182192C" w:rsidR="00006422" w:rsidRPr="00E47006" w:rsidRDefault="00981089" w:rsidP="00981089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7.1. Consultas. De conformidad con lo ordenado en la Constitución y la ley deben realizarse consultas: Sí: __</w:t>
            </w:r>
            <w:r w:rsidR="003B5CFA" w:rsidRPr="00E47006">
              <w:rPr>
                <w:rFonts w:ascii="Arial Narrow" w:hAnsi="Arial Narrow" w:cs="Arial"/>
                <w:u w:val="single"/>
                <w:lang w:val="es-CO"/>
              </w:rPr>
              <w:t>X</w:t>
            </w:r>
            <w:r w:rsidRPr="00E47006">
              <w:rPr>
                <w:rFonts w:ascii="Arial Narrow" w:hAnsi="Arial Narrow" w:cs="Arial"/>
                <w:lang w:val="es-CO"/>
              </w:rPr>
              <w:t xml:space="preserve">___ No: _____ [señalar con una X] </w:t>
            </w:r>
          </w:p>
          <w:p w14:paraId="01828B04" w14:textId="77777777" w:rsidR="00006422" w:rsidRPr="00E47006" w:rsidRDefault="00006422" w:rsidP="00981089">
            <w:pPr>
              <w:jc w:val="both"/>
              <w:rPr>
                <w:rFonts w:ascii="Arial Narrow" w:hAnsi="Arial Narrow" w:cs="Arial"/>
                <w:lang w:val="es-CO"/>
              </w:rPr>
            </w:pPr>
          </w:p>
          <w:p w14:paraId="77D2F424" w14:textId="6216031E" w:rsidR="00981089" w:rsidRPr="00E47006" w:rsidRDefault="00981089" w:rsidP="00981089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Nota. Si su respuesta es afirmativa deberá anexar a la memoria justificativa la constancia que acredite que se ha cumplido dicho trámite.</w:t>
            </w:r>
          </w:p>
          <w:p w14:paraId="2DAA7101" w14:textId="1C465432" w:rsidR="00A06B56" w:rsidRPr="00E47006" w:rsidRDefault="00A06B56" w:rsidP="00637175">
            <w:pPr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981089" w:rsidRPr="00E47006" w14:paraId="10F48ED9" w14:textId="77777777" w:rsidTr="00981089">
        <w:tc>
          <w:tcPr>
            <w:tcW w:w="8828" w:type="dxa"/>
            <w:gridSpan w:val="3"/>
          </w:tcPr>
          <w:p w14:paraId="58F6D920" w14:textId="487CE301" w:rsidR="00981089" w:rsidRPr="00E47006" w:rsidRDefault="00981089" w:rsidP="00006422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>7.2. Publicidad: Se realizó la publicación del proyecto para consideración del público: Sí __</w:t>
            </w:r>
            <w:r w:rsidR="00FB0F8A" w:rsidRPr="00E47006">
              <w:rPr>
                <w:rFonts w:ascii="Arial Narrow" w:hAnsi="Arial Narrow" w:cs="Arial"/>
                <w:color w:val="000000" w:themeColor="text1"/>
                <w:lang w:val="es-CO"/>
              </w:rPr>
              <w:t>X</w:t>
            </w:r>
            <w:r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__ </w:t>
            </w:r>
            <w:r w:rsidRPr="00E47006">
              <w:rPr>
                <w:rFonts w:ascii="Arial Narrow" w:hAnsi="Arial Narrow" w:cs="Arial"/>
                <w:lang w:val="es-CO"/>
              </w:rPr>
              <w:t xml:space="preserve">No ____. </w:t>
            </w:r>
          </w:p>
        </w:tc>
      </w:tr>
      <w:tr w:rsidR="00981089" w:rsidRPr="00E47006" w14:paraId="00CC1192" w14:textId="77777777" w:rsidTr="004A31E1">
        <w:trPr>
          <w:trHeight w:val="1074"/>
        </w:trPr>
        <w:tc>
          <w:tcPr>
            <w:tcW w:w="8828" w:type="dxa"/>
            <w:gridSpan w:val="3"/>
          </w:tcPr>
          <w:p w14:paraId="1118D5BB" w14:textId="4E41A339" w:rsidR="00981089" w:rsidRPr="00E47006" w:rsidRDefault="00981089" w:rsidP="004A31E1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/>
                <w:b/>
                <w:lang w:val="es-CO"/>
              </w:rPr>
              <w:t>8. Otros aspectos.</w:t>
            </w:r>
            <w:r w:rsidRPr="00E47006">
              <w:rPr>
                <w:rFonts w:ascii="Arial Narrow" w:hAnsi="Arial Narrow"/>
                <w:color w:val="000000" w:themeColor="text1"/>
                <w:lang w:val="es-CO"/>
              </w:rPr>
              <w:t xml:space="preserve"> </w:t>
            </w:r>
            <w:r w:rsidR="0009423E" w:rsidRPr="00E47006">
              <w:rPr>
                <w:rFonts w:ascii="Arial Narrow" w:hAnsi="Arial Narrow"/>
                <w:color w:val="000000" w:themeColor="text1"/>
                <w:lang w:val="es-CO"/>
              </w:rPr>
              <w:t xml:space="preserve">Se busca con </w:t>
            </w:r>
            <w:r w:rsidR="00CC6490" w:rsidRPr="00E47006">
              <w:rPr>
                <w:rFonts w:ascii="Arial Narrow" w:hAnsi="Arial Narrow"/>
                <w:color w:val="000000" w:themeColor="text1"/>
                <w:lang w:val="es-CO"/>
              </w:rPr>
              <w:t>el</w:t>
            </w:r>
            <w:r w:rsidR="0009423E" w:rsidRPr="00E47006">
              <w:rPr>
                <w:rFonts w:ascii="Arial Narrow" w:hAnsi="Arial Narrow"/>
                <w:color w:val="000000" w:themeColor="text1"/>
                <w:lang w:val="es-CO"/>
              </w:rPr>
              <w:t xml:space="preserve"> presente proyecto g</w:t>
            </w:r>
            <w:r w:rsidR="0009423E" w:rsidRPr="00E47006">
              <w:rPr>
                <w:rFonts w:ascii="Arial Narrow" w:hAnsi="Arial Narrow" w:cs="Arial"/>
                <w:lang w:val="es-CO"/>
              </w:rPr>
              <w:t xml:space="preserve">arantizar el reembolso derivado de las prestaciones asistenciales y económicas </w:t>
            </w:r>
            <w:r w:rsidR="004A31E1" w:rsidRPr="00E47006">
              <w:rPr>
                <w:rFonts w:ascii="Arial Narrow" w:hAnsi="Arial Narrow" w:cs="Arial"/>
                <w:lang w:val="es-CO"/>
              </w:rPr>
              <w:t>de acuerdo con el</w:t>
            </w:r>
            <w:r w:rsidR="0009423E" w:rsidRPr="00E47006">
              <w:rPr>
                <w:rFonts w:ascii="Arial Narrow" w:hAnsi="Arial Narrow" w:cs="Arial"/>
                <w:lang w:val="es-CO"/>
              </w:rPr>
              <w:t xml:space="preserve"> origen de </w:t>
            </w:r>
            <w:r w:rsidR="004A31E1" w:rsidRPr="00E47006">
              <w:rPr>
                <w:rFonts w:ascii="Arial Narrow" w:hAnsi="Arial Narrow" w:cs="Arial"/>
                <w:lang w:val="es-CO"/>
              </w:rPr>
              <w:t>estas</w:t>
            </w:r>
            <w:r w:rsidR="0009423E" w:rsidRPr="00E47006">
              <w:rPr>
                <w:rFonts w:ascii="Arial Narrow" w:hAnsi="Arial Narrow" w:cs="Arial"/>
                <w:lang w:val="es-CO"/>
              </w:rPr>
              <w:t xml:space="preserve"> entre el Sistema General de Seguridad Social en Salud y el Sistema General de Riesgos Laborales y definir los requisitos para garantizar el adecuado y oportuno flujo de recursos entre los dos sistemas.</w:t>
            </w:r>
          </w:p>
        </w:tc>
      </w:tr>
      <w:tr w:rsidR="00981089" w:rsidRPr="00E47006" w14:paraId="1276FF39" w14:textId="77777777" w:rsidTr="00981089">
        <w:tc>
          <w:tcPr>
            <w:tcW w:w="8828" w:type="dxa"/>
            <w:gridSpan w:val="3"/>
          </w:tcPr>
          <w:p w14:paraId="2FCACF14" w14:textId="6FD40A9E" w:rsidR="00981089" w:rsidRPr="00E47006" w:rsidRDefault="00981089" w:rsidP="006A0A48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9. Matriz de comentarios.</w:t>
            </w:r>
            <w:r w:rsidRPr="00E47006">
              <w:rPr>
                <w:rFonts w:ascii="Arial Narrow" w:hAnsi="Arial Narrow" w:cs="Arial"/>
                <w:lang w:val="es-CO"/>
              </w:rPr>
              <w:t xml:space="preserve"> </w:t>
            </w:r>
            <w:r w:rsidR="00416D5C" w:rsidRPr="00E47006">
              <w:rPr>
                <w:rFonts w:ascii="Arial Narrow" w:hAnsi="Arial Narrow" w:cs="Arial"/>
                <w:lang w:val="es-CO"/>
              </w:rPr>
              <w:t xml:space="preserve">Una vez se publique </w:t>
            </w:r>
            <w:r w:rsidR="00B37C3B" w:rsidRPr="00E47006">
              <w:rPr>
                <w:rFonts w:ascii="Arial Narrow" w:hAnsi="Arial Narrow" w:cs="Arial"/>
                <w:lang w:val="es-CO"/>
              </w:rPr>
              <w:t>el decreto</w:t>
            </w:r>
            <w:r w:rsidR="00416D5C" w:rsidRPr="00E47006">
              <w:rPr>
                <w:rFonts w:ascii="Arial Narrow" w:hAnsi="Arial Narrow" w:cs="Arial"/>
                <w:lang w:val="es-CO"/>
              </w:rPr>
              <w:t xml:space="preserve"> se</w:t>
            </w:r>
            <w:r w:rsidR="002E4CF8"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 adjunta</w:t>
            </w:r>
            <w:r w:rsidR="00416D5C"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rá la </w:t>
            </w:r>
            <w:r w:rsidR="002E4CF8" w:rsidRPr="00E47006">
              <w:rPr>
                <w:rFonts w:ascii="Arial Narrow" w:hAnsi="Arial Narrow" w:cs="Arial"/>
                <w:color w:val="000000" w:themeColor="text1"/>
                <w:lang w:val="es-CO"/>
              </w:rPr>
              <w:t>Matriz</w:t>
            </w:r>
            <w:r w:rsidR="00416D5C"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, con los </w:t>
            </w:r>
            <w:r w:rsidR="002E4CF8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 xml:space="preserve">comentarios recibidos al proyecto </w:t>
            </w:r>
            <w:r w:rsidR="002D163E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>decreto</w:t>
            </w:r>
            <w:r w:rsidR="00D37832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>.</w:t>
            </w:r>
          </w:p>
        </w:tc>
      </w:tr>
      <w:tr w:rsidR="00981089" w:rsidRPr="00E47006" w14:paraId="32CC1407" w14:textId="77777777" w:rsidTr="00981089">
        <w:tc>
          <w:tcPr>
            <w:tcW w:w="8828" w:type="dxa"/>
            <w:gridSpan w:val="3"/>
          </w:tcPr>
          <w:p w14:paraId="7A29DB39" w14:textId="283C214B" w:rsidR="00981089" w:rsidRPr="00E47006" w:rsidRDefault="00981089" w:rsidP="00B33987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10. Informe Global y publicación del mismo.</w:t>
            </w:r>
            <w:r w:rsidRPr="00E47006">
              <w:rPr>
                <w:rFonts w:ascii="Arial Narrow" w:hAnsi="Arial Narrow" w:cs="Arial"/>
                <w:lang w:val="es-CO"/>
              </w:rPr>
              <w:t xml:space="preserve"> </w:t>
            </w:r>
            <w:r w:rsidR="002E4CF8" w:rsidRPr="00E47006">
              <w:rPr>
                <w:rFonts w:ascii="Arial Narrow" w:hAnsi="Arial Narrow" w:cs="Arial"/>
                <w:color w:val="000000" w:themeColor="text1"/>
                <w:lang w:val="es-CO"/>
              </w:rPr>
              <w:t xml:space="preserve">Se adjunta informe </w:t>
            </w:r>
            <w:r w:rsidR="002E4CF8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 xml:space="preserve">emitido por la </w:t>
            </w:r>
            <w:r w:rsidR="00B33987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>Subdirección</w:t>
            </w:r>
            <w:r w:rsidR="002E4CF8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 xml:space="preserve"> de </w:t>
            </w:r>
            <w:r w:rsidR="00D37832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>R</w:t>
            </w:r>
            <w:r w:rsidR="00B33987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>iesgos Laborales</w:t>
            </w:r>
            <w:r w:rsidR="002E4CF8" w:rsidRPr="00E47006">
              <w:rPr>
                <w:rFonts w:ascii="Arial Narrow" w:hAnsi="Arial Narrow" w:cs="Arial"/>
                <w:color w:val="000000" w:themeColor="text1"/>
                <w:shd w:val="clear" w:color="auto" w:fill="FFFFFF"/>
                <w:lang w:val="es-CO"/>
              </w:rPr>
              <w:t>.</w:t>
            </w:r>
          </w:p>
        </w:tc>
      </w:tr>
      <w:tr w:rsidR="00981089" w:rsidRPr="00E47006" w14:paraId="71F5CC11" w14:textId="77777777" w:rsidTr="00981089">
        <w:tc>
          <w:tcPr>
            <w:tcW w:w="8828" w:type="dxa"/>
            <w:gridSpan w:val="3"/>
          </w:tcPr>
          <w:p w14:paraId="5A292B94" w14:textId="77777777" w:rsidR="00981089" w:rsidRPr="00E47006" w:rsidRDefault="00981089" w:rsidP="00981089">
            <w:pPr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b/>
                <w:lang w:val="es-CO"/>
              </w:rPr>
              <w:t>11. Coordinación:</w:t>
            </w:r>
            <w:r w:rsidRPr="00E47006">
              <w:rPr>
                <w:rFonts w:ascii="Arial Narrow" w:hAnsi="Arial Narrow" w:cs="Arial"/>
                <w:lang w:val="es-CO"/>
              </w:rPr>
              <w:t xml:space="preserve"> De acuerdo con la materia del proyecto intervienen otros ministerios y/o departamentos administrativos: Sí _X_ No ____. </w:t>
            </w:r>
          </w:p>
          <w:p w14:paraId="7879C133" w14:textId="2F09D87C" w:rsidR="00981089" w:rsidRPr="00E47006" w:rsidRDefault="00981089" w:rsidP="00AE40B0">
            <w:pPr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t xml:space="preserve">Intervino el Ministerio de </w:t>
            </w:r>
            <w:r w:rsidR="00AE40B0" w:rsidRPr="00E47006">
              <w:rPr>
                <w:rFonts w:ascii="Arial Narrow" w:hAnsi="Arial Narrow" w:cs="Arial"/>
                <w:lang w:val="es-CO"/>
              </w:rPr>
              <w:t>Trabajo</w:t>
            </w:r>
            <w:r w:rsidRPr="00E47006">
              <w:rPr>
                <w:rFonts w:ascii="Arial Narrow" w:hAnsi="Arial Narrow" w:cs="Arial"/>
                <w:lang w:val="es-CO"/>
              </w:rPr>
              <w:t>.</w:t>
            </w:r>
          </w:p>
        </w:tc>
      </w:tr>
      <w:tr w:rsidR="00981089" w:rsidRPr="00E47006" w14:paraId="634DAC8E" w14:textId="77777777" w:rsidTr="00981089">
        <w:tc>
          <w:tcPr>
            <w:tcW w:w="8828" w:type="dxa"/>
            <w:gridSpan w:val="3"/>
          </w:tcPr>
          <w:p w14:paraId="7DA2A2D4" w14:textId="7155598D" w:rsidR="00981089" w:rsidRPr="00E47006" w:rsidRDefault="00981089" w:rsidP="00981089">
            <w:pPr>
              <w:rPr>
                <w:rFonts w:ascii="Arial Narrow" w:hAnsi="Arial Narrow" w:cs="Arial"/>
                <w:lang w:val="es-CO"/>
              </w:rPr>
            </w:pPr>
            <w:r w:rsidRPr="00E47006">
              <w:rPr>
                <w:rFonts w:ascii="Arial Narrow" w:hAnsi="Arial Narrow" w:cs="Arial"/>
                <w:lang w:val="es-CO"/>
              </w:rPr>
              <w:lastRenderedPageBreak/>
              <w:t>12. Seguridad Jurídica: Dentro del año inmediatamente anterior ya se había reglamentado la misma materia: Sí___</w:t>
            </w:r>
            <w:r w:rsidR="00AF5C50" w:rsidRPr="00E47006">
              <w:rPr>
                <w:rFonts w:ascii="Arial Narrow" w:hAnsi="Arial Narrow" w:cs="Arial"/>
                <w:lang w:val="es-CO"/>
              </w:rPr>
              <w:t xml:space="preserve">___ No __X__ </w:t>
            </w:r>
          </w:p>
        </w:tc>
      </w:tr>
    </w:tbl>
    <w:p w14:paraId="3DAD8F66" w14:textId="77777777" w:rsidR="00DE3F75" w:rsidRPr="00E47006" w:rsidRDefault="00DE3F75">
      <w:pPr>
        <w:rPr>
          <w:rFonts w:ascii="Arial Narrow" w:hAnsi="Arial Narrow"/>
          <w:lang w:val="es-CO"/>
        </w:rPr>
      </w:pPr>
    </w:p>
    <w:sectPr w:rsidR="00DE3F75" w:rsidRPr="00E4700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61509" w14:textId="77777777" w:rsidR="005340A5" w:rsidRDefault="005340A5" w:rsidP="00F20022">
      <w:pPr>
        <w:spacing w:after="0" w:line="240" w:lineRule="auto"/>
      </w:pPr>
      <w:r>
        <w:separator/>
      </w:r>
    </w:p>
  </w:endnote>
  <w:endnote w:type="continuationSeparator" w:id="0">
    <w:p w14:paraId="191EF50E" w14:textId="77777777" w:rsidR="005340A5" w:rsidRDefault="005340A5" w:rsidP="00F2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98121" w14:textId="77777777" w:rsidR="005340A5" w:rsidRDefault="005340A5" w:rsidP="00F20022">
      <w:pPr>
        <w:spacing w:after="0" w:line="240" w:lineRule="auto"/>
      </w:pPr>
      <w:r>
        <w:separator/>
      </w:r>
    </w:p>
  </w:footnote>
  <w:footnote w:type="continuationSeparator" w:id="0">
    <w:p w14:paraId="4DF6E93C" w14:textId="77777777" w:rsidR="005340A5" w:rsidRDefault="005340A5" w:rsidP="00F2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D1B8" w14:textId="4314C6A3" w:rsidR="00F20022" w:rsidRDefault="00601011">
    <w:pPr>
      <w:pStyle w:val="Encabezado"/>
    </w:pPr>
    <w:r>
      <w:rPr>
        <w:rFonts w:asciiTheme="majorHAnsi" w:hAnsiTheme="majorHAnsi" w:cs="Free 3 of 9"/>
        <w:noProof/>
        <w:sz w:val="48"/>
        <w:szCs w:val="48"/>
        <w:lang w:val="es-CO" w:eastAsia="es-CO"/>
      </w:rPr>
      <w:drawing>
        <wp:inline distT="0" distB="0" distL="0" distR="0" wp14:anchorId="0F153C66" wp14:editId="3CBADF16">
          <wp:extent cx="2490098" cy="540000"/>
          <wp:effectExtent l="0" t="0" r="571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salud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09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E35111" w14:textId="77777777" w:rsidR="00F20022" w:rsidRDefault="00F200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51BA3"/>
    <w:multiLevelType w:val="hybridMultilevel"/>
    <w:tmpl w:val="9F46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75"/>
    <w:rsid w:val="00006422"/>
    <w:rsid w:val="00013356"/>
    <w:rsid w:val="00043B3C"/>
    <w:rsid w:val="0009423E"/>
    <w:rsid w:val="00101B21"/>
    <w:rsid w:val="00105042"/>
    <w:rsid w:val="00105AF5"/>
    <w:rsid w:val="00120E7D"/>
    <w:rsid w:val="001215A1"/>
    <w:rsid w:val="00152547"/>
    <w:rsid w:val="0016069F"/>
    <w:rsid w:val="001742D7"/>
    <w:rsid w:val="00197628"/>
    <w:rsid w:val="001A5E3C"/>
    <w:rsid w:val="001C30F7"/>
    <w:rsid w:val="001D0C2F"/>
    <w:rsid w:val="001F7D3E"/>
    <w:rsid w:val="00233060"/>
    <w:rsid w:val="00253F93"/>
    <w:rsid w:val="00275A38"/>
    <w:rsid w:val="002C19CE"/>
    <w:rsid w:val="002C2C56"/>
    <w:rsid w:val="002D163E"/>
    <w:rsid w:val="002E4CF8"/>
    <w:rsid w:val="00324DA5"/>
    <w:rsid w:val="00356C96"/>
    <w:rsid w:val="003616E1"/>
    <w:rsid w:val="00363C70"/>
    <w:rsid w:val="00376CF6"/>
    <w:rsid w:val="00383200"/>
    <w:rsid w:val="003B5CFA"/>
    <w:rsid w:val="003B5F84"/>
    <w:rsid w:val="003C062B"/>
    <w:rsid w:val="003C22E0"/>
    <w:rsid w:val="00416D5C"/>
    <w:rsid w:val="00463BC2"/>
    <w:rsid w:val="004A1D48"/>
    <w:rsid w:val="004A31E1"/>
    <w:rsid w:val="004C21F3"/>
    <w:rsid w:val="004F7907"/>
    <w:rsid w:val="005340A5"/>
    <w:rsid w:val="00535B66"/>
    <w:rsid w:val="00574D74"/>
    <w:rsid w:val="00584EE1"/>
    <w:rsid w:val="00592933"/>
    <w:rsid w:val="005A3FD1"/>
    <w:rsid w:val="005A41E6"/>
    <w:rsid w:val="005A66F4"/>
    <w:rsid w:val="005B294E"/>
    <w:rsid w:val="005E5B3B"/>
    <w:rsid w:val="005F6530"/>
    <w:rsid w:val="00601011"/>
    <w:rsid w:val="0060316C"/>
    <w:rsid w:val="006051E3"/>
    <w:rsid w:val="00620126"/>
    <w:rsid w:val="00633AD7"/>
    <w:rsid w:val="00637175"/>
    <w:rsid w:val="006628B7"/>
    <w:rsid w:val="0068239C"/>
    <w:rsid w:val="006A0192"/>
    <w:rsid w:val="006A0A48"/>
    <w:rsid w:val="006C0A9A"/>
    <w:rsid w:val="006F42CE"/>
    <w:rsid w:val="007063F2"/>
    <w:rsid w:val="0071362A"/>
    <w:rsid w:val="00716E64"/>
    <w:rsid w:val="007674D1"/>
    <w:rsid w:val="00773279"/>
    <w:rsid w:val="00781C60"/>
    <w:rsid w:val="007F531B"/>
    <w:rsid w:val="008226E3"/>
    <w:rsid w:val="00871EA3"/>
    <w:rsid w:val="0089079A"/>
    <w:rsid w:val="008C5F91"/>
    <w:rsid w:val="008E43A1"/>
    <w:rsid w:val="008F5639"/>
    <w:rsid w:val="0090059C"/>
    <w:rsid w:val="00905855"/>
    <w:rsid w:val="00911871"/>
    <w:rsid w:val="00922C6D"/>
    <w:rsid w:val="00927165"/>
    <w:rsid w:val="00962C20"/>
    <w:rsid w:val="00981089"/>
    <w:rsid w:val="00985D2D"/>
    <w:rsid w:val="00995343"/>
    <w:rsid w:val="009A2584"/>
    <w:rsid w:val="009C0AC2"/>
    <w:rsid w:val="009D32EB"/>
    <w:rsid w:val="00A06B56"/>
    <w:rsid w:val="00A12686"/>
    <w:rsid w:val="00A23F47"/>
    <w:rsid w:val="00A27899"/>
    <w:rsid w:val="00A32DB7"/>
    <w:rsid w:val="00A4684B"/>
    <w:rsid w:val="00A51AF2"/>
    <w:rsid w:val="00A57066"/>
    <w:rsid w:val="00A63F39"/>
    <w:rsid w:val="00A72F47"/>
    <w:rsid w:val="00AE40B0"/>
    <w:rsid w:val="00AF5C50"/>
    <w:rsid w:val="00B038DF"/>
    <w:rsid w:val="00B05E9A"/>
    <w:rsid w:val="00B322C1"/>
    <w:rsid w:val="00B33987"/>
    <w:rsid w:val="00B37C3B"/>
    <w:rsid w:val="00B50555"/>
    <w:rsid w:val="00B566B0"/>
    <w:rsid w:val="00B60C0C"/>
    <w:rsid w:val="00B6334B"/>
    <w:rsid w:val="00BF2B79"/>
    <w:rsid w:val="00C03722"/>
    <w:rsid w:val="00C62D89"/>
    <w:rsid w:val="00CC6490"/>
    <w:rsid w:val="00CF23D9"/>
    <w:rsid w:val="00D13F2A"/>
    <w:rsid w:val="00D37832"/>
    <w:rsid w:val="00D60BC1"/>
    <w:rsid w:val="00D74716"/>
    <w:rsid w:val="00D778F6"/>
    <w:rsid w:val="00DA4458"/>
    <w:rsid w:val="00DC1498"/>
    <w:rsid w:val="00DC62B1"/>
    <w:rsid w:val="00DD7922"/>
    <w:rsid w:val="00DE3F75"/>
    <w:rsid w:val="00DE66A3"/>
    <w:rsid w:val="00DF6B89"/>
    <w:rsid w:val="00E47006"/>
    <w:rsid w:val="00E511A4"/>
    <w:rsid w:val="00E80685"/>
    <w:rsid w:val="00EC5D24"/>
    <w:rsid w:val="00ED70FC"/>
    <w:rsid w:val="00EE2637"/>
    <w:rsid w:val="00F107BA"/>
    <w:rsid w:val="00F20022"/>
    <w:rsid w:val="00F56F71"/>
    <w:rsid w:val="00FA7A26"/>
    <w:rsid w:val="00FB0F8A"/>
    <w:rsid w:val="00FB226C"/>
    <w:rsid w:val="00FB340D"/>
    <w:rsid w:val="00FB5420"/>
    <w:rsid w:val="00FC1870"/>
    <w:rsid w:val="00FC79B5"/>
    <w:rsid w:val="00FD0245"/>
    <w:rsid w:val="00FD0902"/>
    <w:rsid w:val="00FD41FF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A894"/>
  <w15:docId w15:val="{6FC6FB49-BA08-47F9-8459-8D4FCF93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5F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022"/>
  </w:style>
  <w:style w:type="paragraph" w:styleId="Piedepgina">
    <w:name w:val="footer"/>
    <w:basedOn w:val="Normal"/>
    <w:link w:val="PiedepginaCar"/>
    <w:uiPriority w:val="99"/>
    <w:unhideWhenUsed/>
    <w:rsid w:val="00F20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022"/>
  </w:style>
  <w:style w:type="paragraph" w:customStyle="1" w:styleId="Default">
    <w:name w:val="Default"/>
    <w:rsid w:val="00E511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rsid w:val="00A72F4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2F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TextocomentarioCar">
    <w:name w:val="Texto comentario Car"/>
    <w:basedOn w:val="Fuentedeprrafopredeter"/>
    <w:link w:val="Textocomentario"/>
    <w:rsid w:val="00A72F47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01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A27899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8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27899"/>
    <w:rPr>
      <w:rFonts w:ascii="Arial" w:eastAsia="Times New Roman" w:hAnsi="Arial" w:cs="Times New Roman"/>
      <w:color w:val="00008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DFAB718FF44848B67536ACD193E98D" ma:contentTypeVersion="0" ma:contentTypeDescription="Crear nuevo documento." ma:contentTypeScope="" ma:versionID="18375fb5598c4f23a8c6776e58016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287C2-93B7-4612-AB48-85F5F5900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34236-2004-4BE6-9CE8-76168FFDFBB4}"/>
</file>

<file path=customXml/itemProps3.xml><?xml version="1.0" encoding="utf-8"?>
<ds:datastoreItem xmlns:ds="http://schemas.openxmlformats.org/officeDocument/2006/customXml" ds:itemID="{95B6F4E1-E332-42B4-A45D-9E8B1CA5C8D6}"/>
</file>

<file path=customXml/itemProps4.xml><?xml version="1.0" encoding="utf-8"?>
<ds:datastoreItem xmlns:ds="http://schemas.openxmlformats.org/officeDocument/2006/customXml" ds:itemID="{66A44B5F-BD53-4FFB-BBB3-1A87D55F7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1220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Rivera</dc:creator>
  <cp:lastModifiedBy>Maria Victoria Martinez Navarro</cp:lastModifiedBy>
  <cp:revision>3</cp:revision>
  <cp:lastPrinted>2022-05-05T20:29:00Z</cp:lastPrinted>
  <dcterms:created xsi:type="dcterms:W3CDTF">2022-05-05T14:40:00Z</dcterms:created>
  <dcterms:modified xsi:type="dcterms:W3CDTF">2022-05-05T20:30:00Z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0x010100E7DFAB718FF44848B67536ACD193E98D</vt:lpwstr>
  </property>
</Properties>
</file>