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0676" w14:textId="77777777" w:rsidR="00215380" w:rsidRPr="001F5BD8" w:rsidRDefault="00215380" w:rsidP="00215380">
      <w:pPr>
        <w:jc w:val="center"/>
        <w:rPr>
          <w:rFonts w:ascii="Arial" w:hAnsi="Arial" w:cs="Arial"/>
          <w:sz w:val="22"/>
          <w:szCs w:val="22"/>
        </w:rPr>
      </w:pPr>
      <w:r w:rsidRPr="001F5BD8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215380" w:rsidRPr="001F5BD8" w14:paraId="758F4320" w14:textId="77777777" w:rsidTr="006A3B1F">
        <w:trPr>
          <w:trHeight w:val="334"/>
        </w:trPr>
        <w:tc>
          <w:tcPr>
            <w:tcW w:w="9073" w:type="dxa"/>
          </w:tcPr>
          <w:p w14:paraId="298F1726" w14:textId="77777777" w:rsidR="00F96F69" w:rsidRPr="00437AF8" w:rsidRDefault="00F96F69" w:rsidP="00E34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E79B090" w14:textId="53B297FA" w:rsidR="00E34D52" w:rsidRPr="00437AF8" w:rsidRDefault="00E34D52" w:rsidP="00E34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7AF8">
              <w:rPr>
                <w:rFonts w:ascii="Arial" w:hAnsi="Arial" w:cs="Arial"/>
                <w:b/>
                <w:bCs/>
                <w:sz w:val="23"/>
                <w:szCs w:val="23"/>
              </w:rPr>
              <w:t>ANEXO TÉCNICO No. 1</w:t>
            </w:r>
          </w:p>
          <w:p w14:paraId="2D775A08" w14:textId="77777777" w:rsidR="00E34D52" w:rsidRPr="00437AF8" w:rsidRDefault="00E34D52" w:rsidP="007E23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6C5B6F4" w14:textId="77777777" w:rsidR="00E34D52" w:rsidRPr="00437AF8" w:rsidRDefault="00E34D52" w:rsidP="00E34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7AF8">
              <w:rPr>
                <w:rFonts w:ascii="Arial" w:hAnsi="Arial" w:cs="Arial"/>
                <w:b/>
                <w:bCs/>
                <w:sz w:val="23"/>
                <w:szCs w:val="23"/>
              </w:rPr>
              <w:t>FORMATO DE CUESTIONARIO PREVIO A LA ELABORACION DEL ACTO</w:t>
            </w:r>
          </w:p>
          <w:p w14:paraId="7A088481" w14:textId="77777777" w:rsidR="00E34D52" w:rsidRPr="00437AF8" w:rsidRDefault="00E34D52" w:rsidP="00E34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7AF8">
              <w:rPr>
                <w:rFonts w:ascii="Arial" w:hAnsi="Arial" w:cs="Arial"/>
                <w:b/>
                <w:bCs/>
                <w:sz w:val="23"/>
                <w:szCs w:val="23"/>
              </w:rPr>
              <w:t>ADMINISTRATIVO QUE DEBE SER DILIGENCIADO POR EL ÁREA TÉCNICA</w:t>
            </w:r>
          </w:p>
          <w:p w14:paraId="33D04F36" w14:textId="77777777" w:rsidR="00E34D52" w:rsidRPr="00437AF8" w:rsidRDefault="00E34D52" w:rsidP="00E34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7AF8">
              <w:rPr>
                <w:rFonts w:ascii="Arial" w:hAnsi="Arial" w:cs="Arial"/>
                <w:b/>
                <w:bCs/>
                <w:sz w:val="23"/>
                <w:szCs w:val="23"/>
              </w:rPr>
              <w:t>GENERADORA DE LA PROPUESTA</w:t>
            </w:r>
          </w:p>
          <w:p w14:paraId="597B9851" w14:textId="77777777" w:rsidR="00D3130E" w:rsidRPr="00437AF8" w:rsidRDefault="00D3130E" w:rsidP="006A3B1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15380" w:rsidRPr="001F5BD8" w14:paraId="5C01DE38" w14:textId="77777777" w:rsidTr="00437AF8">
        <w:trPr>
          <w:trHeight w:val="4535"/>
        </w:trPr>
        <w:tc>
          <w:tcPr>
            <w:tcW w:w="9073" w:type="dxa"/>
          </w:tcPr>
          <w:p w14:paraId="140F0B74" w14:textId="77777777" w:rsidR="00D3130E" w:rsidRPr="00437AF8" w:rsidRDefault="00D3130E">
            <w:pPr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aconcuadrcul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D3130E" w:rsidRPr="00437AF8" w14:paraId="2B202B8F" w14:textId="77777777" w:rsidTr="00F96F69">
              <w:trPr>
                <w:trHeight w:val="1205"/>
              </w:trPr>
              <w:tc>
                <w:tcPr>
                  <w:tcW w:w="8505" w:type="dxa"/>
                </w:tcPr>
                <w:p w14:paraId="2037191D" w14:textId="77777777" w:rsidR="00E34D52" w:rsidRPr="00437AF8" w:rsidRDefault="00E34D52" w:rsidP="00E34D52">
                  <w:pPr>
                    <w:autoSpaceDE w:val="0"/>
                    <w:autoSpaceDN w:val="0"/>
                    <w:adjustRightInd w:val="0"/>
                    <w:spacing w:line="276" w:lineRule="auto"/>
                    <w:ind w:left="708"/>
                    <w:jc w:val="both"/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</w:pPr>
                </w:p>
                <w:p w14:paraId="7CCB3B4F" w14:textId="7BAF8DA8" w:rsidR="00E34D52" w:rsidRPr="00437AF8" w:rsidRDefault="00E34D52" w:rsidP="00EA477C">
                  <w:pPr>
                    <w:tabs>
                      <w:tab w:val="left" w:pos="589"/>
                      <w:tab w:val="left" w:pos="765"/>
                      <w:tab w:val="left" w:pos="960"/>
                      <w:tab w:val="left" w:pos="1014"/>
                    </w:tabs>
                    <w:autoSpaceDE w:val="0"/>
                    <w:autoSpaceDN w:val="0"/>
                    <w:adjustRightInd w:val="0"/>
                    <w:spacing w:line="276" w:lineRule="auto"/>
                    <w:ind w:left="164"/>
                    <w:jc w:val="center"/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  <w:t xml:space="preserve">PROYECTO DE </w:t>
                  </w:r>
                  <w:r w:rsidR="00297AC6" w:rsidRPr="00437AF8"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  <w:t>RESOLUCIÓN</w:t>
                  </w:r>
                  <w:r w:rsidRPr="00437AF8"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  <w:t>:</w:t>
                  </w:r>
                </w:p>
                <w:p w14:paraId="591E4250" w14:textId="77777777" w:rsidR="007F3955" w:rsidRPr="00437AF8" w:rsidRDefault="007F3955" w:rsidP="007F3955">
                  <w:pPr>
                    <w:jc w:val="center"/>
                    <w:rPr>
                      <w:rFonts w:ascii="Arial" w:hAnsi="Arial" w:cs="Arial"/>
                      <w:i/>
                      <w:sz w:val="23"/>
                      <w:szCs w:val="23"/>
                    </w:rPr>
                  </w:pPr>
                </w:p>
                <w:p w14:paraId="2B78DEEE" w14:textId="49415934" w:rsidR="00737D6F" w:rsidRPr="007E234B" w:rsidRDefault="00737D6F" w:rsidP="007E234B">
                  <w:pPr>
                    <w:pStyle w:val="Sinespaciado"/>
                    <w:suppressAutoHyphens/>
                    <w:ind w:left="-142" w:right="-141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7E234B">
                    <w:rPr>
                      <w:rFonts w:ascii="Arial" w:hAnsi="Arial" w:cs="Arial"/>
                      <w:i/>
                      <w:sz w:val="23"/>
                      <w:szCs w:val="23"/>
                    </w:rPr>
                    <w:t>“</w:t>
                  </w:r>
                  <w:r w:rsidR="00B52EA9" w:rsidRPr="00B52EA9">
                    <w:rPr>
                      <w:rFonts w:ascii="Arial" w:hAnsi="Arial" w:cs="Arial"/>
                      <w:i/>
                      <w:sz w:val="23"/>
                      <w:szCs w:val="23"/>
                    </w:rPr>
                    <w:t>Por la cual se define el valor máximo de recobro de las pruebas diagnósticas y de anticuerpos para SARS- CoV-2 (COVID-19)"</w:t>
                  </w:r>
                  <w:r w:rsidRPr="00437AF8">
                    <w:rPr>
                      <w:rFonts w:ascii="Arial" w:hAnsi="Arial" w:cs="Arial"/>
                      <w:i/>
                      <w:sz w:val="23"/>
                      <w:szCs w:val="23"/>
                    </w:rPr>
                    <w:t>”</w:t>
                  </w:r>
                </w:p>
                <w:p w14:paraId="570D0FB3" w14:textId="77777777" w:rsidR="00D3130E" w:rsidRPr="00437AF8" w:rsidRDefault="00D3130E" w:rsidP="006A3B1F">
                  <w:pPr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0C33C526" w14:textId="77777777" w:rsidR="00D3130E" w:rsidRPr="00437AF8" w:rsidRDefault="00D3130E" w:rsidP="00D3130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91EFF1F" w14:textId="77777777" w:rsidR="00D3130E" w:rsidRPr="00437AF8" w:rsidRDefault="008D4BD5" w:rsidP="008D4BD5">
            <w:pPr>
              <w:tabs>
                <w:tab w:val="left" w:pos="643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437AF8">
              <w:rPr>
                <w:rFonts w:ascii="Arial" w:hAnsi="Arial" w:cs="Arial"/>
                <w:b/>
                <w:sz w:val="23"/>
                <w:szCs w:val="23"/>
              </w:rPr>
              <w:tab/>
            </w:r>
          </w:p>
          <w:tbl>
            <w:tblPr>
              <w:tblW w:w="0" w:type="auto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50"/>
            </w:tblGrid>
            <w:tr w:rsidR="00215380" w:rsidRPr="00437AF8" w14:paraId="72D87CE3" w14:textId="77777777" w:rsidTr="009420EA">
              <w:trPr>
                <w:trHeight w:val="645"/>
              </w:trPr>
              <w:tc>
                <w:tcPr>
                  <w:tcW w:w="8550" w:type="dxa"/>
                </w:tcPr>
                <w:p w14:paraId="752E2A91" w14:textId="67D0EA8B" w:rsidR="00E34D52" w:rsidRPr="00437AF8" w:rsidRDefault="00E34D52" w:rsidP="00E34D52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1. </w:t>
                  </w: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 xml:space="preserve">Cuál es la finalidad del acto administrativo que se </w:t>
                  </w:r>
                  <w:r w:rsidR="004E5090"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>va a</w:t>
                  </w: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 expedir.</w:t>
                  </w:r>
                </w:p>
                <w:p w14:paraId="0723E282" w14:textId="77777777" w:rsidR="00E34D52" w:rsidRPr="00437AF8" w:rsidRDefault="00E34D52" w:rsidP="00E34D52">
                  <w:pPr>
                    <w:autoSpaceDE w:val="0"/>
                    <w:autoSpaceDN w:val="0"/>
                    <w:adjustRightInd w:val="0"/>
                    <w:spacing w:line="276" w:lineRule="auto"/>
                    <w:ind w:left="708"/>
                    <w:jc w:val="both"/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  <w:t>(Diligenciar este campo explicando de manera concreta y seleccionando una sola</w:t>
                  </w:r>
                  <w:r w:rsidR="00A22E98" w:rsidRPr="00437AF8"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  <w:t xml:space="preserve"> </w:t>
                  </w:r>
                  <w:r w:rsidRPr="00437AF8"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  <w:t>finalidad del proyecto de acto).</w:t>
                  </w:r>
                </w:p>
                <w:p w14:paraId="06B54303" w14:textId="77777777" w:rsidR="00215380" w:rsidRPr="00437AF8" w:rsidRDefault="00215380" w:rsidP="00E34D52">
                  <w:pPr>
                    <w:pStyle w:val="Prrafodelista"/>
                    <w:ind w:left="358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763C1682" w14:textId="77777777" w:rsidR="00215380" w:rsidRPr="00437AF8" w:rsidRDefault="00215380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37AF8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14:paraId="7A3877C7" w14:textId="77777777" w:rsidR="00215380" w:rsidRPr="00437AF8" w:rsidRDefault="00215380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37AF8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5"/>
            </w:tblGrid>
            <w:tr w:rsidR="00215380" w:rsidRPr="00437AF8" w14:paraId="35CAEB7B" w14:textId="77777777" w:rsidTr="009420EA">
              <w:trPr>
                <w:trHeight w:val="836"/>
              </w:trPr>
              <w:tc>
                <w:tcPr>
                  <w:tcW w:w="8505" w:type="dxa"/>
                </w:tcPr>
                <w:p w14:paraId="7070AA1B" w14:textId="25216346" w:rsidR="00235ACB" w:rsidRPr="00437AF8" w:rsidRDefault="00235ACB" w:rsidP="004E5090">
                  <w:pPr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787C89BC" w14:textId="31B5FD53" w:rsidR="00B52EA9" w:rsidRDefault="004E5090" w:rsidP="008816DF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La finalidad del proyecto de acto administrativo </w:t>
                  </w:r>
                  <w:r w:rsidRPr="008816DF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es</w:t>
                  </w:r>
                  <w:r w:rsidR="00235ACB" w:rsidRPr="008816DF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="00B52EA9" w:rsidRP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definir el valor máximo de recobro de las pruebas diagnósticas y de Anticuerpos para SARS- CoV-2 (COVID-19) para ser reconocidos por parte de la Administradora de los Recursos del Sistema General de Seguridad Social en Salud - ADRES, prescrit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a</w:t>
                  </w:r>
                  <w:r w:rsidR="00B52EA9" w:rsidRP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s a los afiliados de los Regímenes Contributivo y Subsidiado a partir del 1 de julio de 2022.</w:t>
                  </w:r>
                </w:p>
                <w:p w14:paraId="4A735995" w14:textId="77777777" w:rsidR="001F532D" w:rsidRDefault="001F532D" w:rsidP="008816DF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</w:p>
                <w:p w14:paraId="44F487B3" w14:textId="224DA403" w:rsidR="00B52EA9" w:rsidRDefault="00935193" w:rsidP="00935193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Lo anterior teniendo en cuenta que 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al terminarse la emergencia sanitaria el próximo 30 de junio, dichos procedimientos dejan de ser financiados con recursos del FOME y su valor de reconocimiento debe ser ajustado atendiendo a la dinámica de la pandemia y en atención a la sostenibilidad del sistema y al uso eficiente de los recursos.  </w:t>
                  </w:r>
                </w:p>
                <w:p w14:paraId="50EB0589" w14:textId="77777777" w:rsidR="00935193" w:rsidRDefault="00935193" w:rsidP="008816DF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</w:p>
                <w:p w14:paraId="47C8731A" w14:textId="384502F2" w:rsidR="00935193" w:rsidRPr="00B52EA9" w:rsidRDefault="008A58ED" w:rsidP="008816DF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Bajo esta finalidad, el acto administrativo 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establece el valor máximo de recobro el cual es estimado teniendo en cuenta la metodología prevista para el efecto y descrita en el documento </w:t>
                  </w:r>
                  <w:r w:rsidR="00B52EA9" w:rsidRP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técnico “METODOLOGÍA PARA ESTABLECER EL VALOR MÁXIMO DE RECOBRO DE LAS PRUEBAS DIAGNÓSTICAS (MOLECULAR Y ANTÍGENO) Y DE ANTICUERPOS IgG e IgM PARA SARS CoV-2 (COVID-19)”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. </w:t>
                  </w:r>
                </w:p>
                <w:p w14:paraId="25383009" w14:textId="77978A87" w:rsidR="00B90077" w:rsidRDefault="00B90077" w:rsidP="008816DF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0BAA6544" w14:textId="77777777" w:rsidR="00B90077" w:rsidRDefault="00B90077" w:rsidP="008816DF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3B89F00D" w14:textId="634045CA" w:rsidR="00296FEA" w:rsidRPr="00437AF8" w:rsidRDefault="00296FEA" w:rsidP="008A58ED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  <w:tr w:rsidR="00332EFD" w:rsidRPr="00437AF8" w14:paraId="7354D9DA" w14:textId="77777777" w:rsidTr="00106A28">
              <w:trPr>
                <w:trHeight w:val="101"/>
              </w:trPr>
              <w:tc>
                <w:tcPr>
                  <w:tcW w:w="8505" w:type="dxa"/>
                </w:tcPr>
                <w:p w14:paraId="275497EB" w14:textId="4E0EBA30" w:rsidR="00332EFD" w:rsidRPr="00437AF8" w:rsidRDefault="00332EFD" w:rsidP="00991D51">
                  <w:pPr>
                    <w:spacing w:line="276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14:paraId="7764DADD" w14:textId="77777777" w:rsidR="00215380" w:rsidRPr="00437AF8" w:rsidRDefault="00215380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5"/>
            </w:tblGrid>
            <w:tr w:rsidR="00215380" w:rsidRPr="00437AF8" w14:paraId="32326EF7" w14:textId="77777777" w:rsidTr="009420EA">
              <w:trPr>
                <w:trHeight w:val="735"/>
              </w:trPr>
              <w:tc>
                <w:tcPr>
                  <w:tcW w:w="8505" w:type="dxa"/>
                </w:tcPr>
                <w:p w14:paraId="732D3C2E" w14:textId="77777777" w:rsidR="00115DCE" w:rsidRPr="00437AF8" w:rsidRDefault="00115DCE" w:rsidP="00115DCE">
                  <w:pPr>
                    <w:autoSpaceDE w:val="0"/>
                    <w:autoSpaceDN w:val="0"/>
                    <w:adjustRightInd w:val="0"/>
                    <w:spacing w:line="276" w:lineRule="auto"/>
                    <w:ind w:left="705" w:hanging="705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lastRenderedPageBreak/>
                    <w:t xml:space="preserve">2. </w:t>
                  </w: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>Identifique la problemática y el objetivo que persigue la emisión del acto administrativo.</w:t>
                  </w:r>
                </w:p>
                <w:p w14:paraId="296AA022" w14:textId="77777777" w:rsidR="00115DCE" w:rsidRPr="00437AF8" w:rsidRDefault="00115DCE" w:rsidP="00115DCE">
                  <w:pPr>
                    <w:autoSpaceDE w:val="0"/>
                    <w:autoSpaceDN w:val="0"/>
                    <w:adjustRightInd w:val="0"/>
                    <w:spacing w:line="276" w:lineRule="auto"/>
                    <w:ind w:left="705"/>
                    <w:jc w:val="both"/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i/>
                      <w:iCs/>
                      <w:sz w:val="23"/>
                      <w:szCs w:val="23"/>
                    </w:rPr>
                    <w:t>(Elaborar respuesta explicando de manera concreta el problema y el fin de la expedición del acto administrativo)</w:t>
                  </w:r>
                </w:p>
                <w:p w14:paraId="7A8DEFB8" w14:textId="77777777" w:rsidR="00215380" w:rsidRPr="00437AF8" w:rsidRDefault="00215380" w:rsidP="00115DCE">
                  <w:pPr>
                    <w:pStyle w:val="Prrafodelista"/>
                    <w:ind w:left="388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53D7BCCA" w14:textId="77777777" w:rsidR="00215380" w:rsidRPr="00437AF8" w:rsidRDefault="00215380" w:rsidP="006A3B1F">
            <w:pPr>
              <w:ind w:left="214"/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63"/>
            </w:tblGrid>
            <w:tr w:rsidR="00215380" w:rsidRPr="00437AF8" w14:paraId="5EF08D18" w14:textId="77777777" w:rsidTr="00855232">
              <w:trPr>
                <w:trHeight w:val="978"/>
              </w:trPr>
              <w:tc>
                <w:tcPr>
                  <w:tcW w:w="8363" w:type="dxa"/>
                </w:tcPr>
                <w:p w14:paraId="1BB64935" w14:textId="51631983" w:rsidR="00F96F69" w:rsidRPr="00437AF8" w:rsidRDefault="00F96F69" w:rsidP="00F961C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16728107" w14:textId="7177CB11" w:rsidR="00A22E98" w:rsidRPr="00437AF8" w:rsidRDefault="000E4006" w:rsidP="00F961C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>Planteamiento del problema</w:t>
                  </w:r>
                  <w:r w:rsidR="00272439"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 y el objetivo perseguido</w:t>
                  </w:r>
                  <w:r w:rsidR="00A22E98" w:rsidRPr="00437AF8">
                    <w:rPr>
                      <w:rFonts w:ascii="Arial" w:hAnsi="Arial" w:cs="Arial"/>
                      <w:sz w:val="23"/>
                      <w:szCs w:val="23"/>
                    </w:rPr>
                    <w:t>:</w:t>
                  </w:r>
                </w:p>
                <w:p w14:paraId="41CCB5BF" w14:textId="77777777" w:rsidR="000E4006" w:rsidRPr="00437AF8" w:rsidRDefault="000E4006" w:rsidP="00F961C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42A95A37" w14:textId="0F2B93BB" w:rsidR="00B52EA9" w:rsidRDefault="003F310D" w:rsidP="00B52EA9">
                  <w:pPr>
                    <w:tabs>
                      <w:tab w:val="left" w:pos="53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La problemática </w:t>
                  </w:r>
                  <w:r w:rsidR="00106A28">
                    <w:rPr>
                      <w:rFonts w:ascii="Arial" w:hAnsi="Arial" w:cs="Arial"/>
                      <w:sz w:val="23"/>
                      <w:szCs w:val="23"/>
                    </w:rPr>
                    <w:t xml:space="preserve">es </w:t>
                  </w:r>
                  <w:r w:rsidR="00C64152">
                    <w:rPr>
                      <w:rFonts w:ascii="Arial" w:hAnsi="Arial" w:cs="Arial"/>
                      <w:sz w:val="23"/>
                      <w:szCs w:val="23"/>
                    </w:rPr>
                    <w:t>que en razón a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la terminación de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la emergencia </w:t>
                  </w:r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sanitaria, desde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el próximo 1 de julio las pruebas </w:t>
                  </w:r>
                  <w:r w:rsidR="00665AE0" w:rsidRP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diagnósticas y de Anticuerpos para SARS- CoV-2 (COVID-19)</w:t>
                  </w:r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ya no </w:t>
                  </w:r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tendrán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un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valor de reconocimiento </w:t>
                  </w:r>
                  <w:r w:rsid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y pago </w:t>
                  </w:r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y </w:t>
                  </w:r>
                  <w:proofErr w:type="gramStart"/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dejaran</w:t>
                  </w:r>
                  <w:proofErr w:type="gramEnd"/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de ser financiados con recursos del FOME, dispuestos por el Ministerio de Hacienda en razón a la pandemia. </w:t>
                  </w:r>
                </w:p>
                <w:p w14:paraId="18C3024A" w14:textId="77777777" w:rsidR="00B52EA9" w:rsidRDefault="00B52EA9" w:rsidP="00C641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535EFB4E" w14:textId="72A71708" w:rsidR="001218A0" w:rsidRDefault="00CC0778" w:rsidP="001218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Por lo anterior, </w:t>
                  </w:r>
                  <w:r w:rsidR="001E3E0C" w:rsidRPr="00437AF8">
                    <w:rPr>
                      <w:rFonts w:ascii="Arial" w:hAnsi="Arial" w:cs="Arial"/>
                      <w:sz w:val="23"/>
                      <w:szCs w:val="23"/>
                    </w:rPr>
                    <w:t>el objeto perseguido</w:t>
                  </w:r>
                  <w:r w:rsidR="001218A0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en el presente acto administrativo </w:t>
                  </w:r>
                  <w:r w:rsidR="001E3E0C" w:rsidRPr="00437AF8">
                    <w:rPr>
                      <w:rFonts w:ascii="Arial" w:hAnsi="Arial" w:cs="Arial"/>
                      <w:sz w:val="23"/>
                      <w:szCs w:val="23"/>
                    </w:rPr>
                    <w:t>es</w:t>
                  </w: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 w:rsidR="00665AE0">
                    <w:rPr>
                      <w:rFonts w:ascii="Arial" w:hAnsi="Arial" w:cs="Arial"/>
                      <w:sz w:val="23"/>
                      <w:szCs w:val="23"/>
                    </w:rPr>
                    <w:t xml:space="preserve">definir el </w:t>
                  </w:r>
                  <w:r w:rsidR="00665AE0" w:rsidRP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valor máximo de recobro de las pruebas diagnósticas y de Anticuerpos para SARS- CoV-2 (COVID-19)</w:t>
                  </w:r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y la fuente de financiación, de la cual se indica que será la </w:t>
                  </w:r>
                  <w:r w:rsidR="00665AE0" w:rsidRP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Administradora de los Recursos del Sistema General de Seguridad Social en Salud </w:t>
                  </w:r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–</w:t>
                  </w:r>
                  <w:r w:rsidR="00665AE0" w:rsidRPr="00B52EA9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ADRES</w:t>
                  </w:r>
                  <w:r w:rsidR="00665AE0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quien reconozca dichos valores.</w:t>
                  </w:r>
                </w:p>
                <w:p w14:paraId="365B12E4" w14:textId="5C2FCF83" w:rsidR="00F96F69" w:rsidRPr="00437AF8" w:rsidRDefault="00F96F69" w:rsidP="00585ED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14:paraId="4D61AA82" w14:textId="77777777" w:rsidR="00215380" w:rsidRPr="00437AF8" w:rsidRDefault="00215380" w:rsidP="006A3B1F">
            <w:pPr>
              <w:ind w:left="214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6D7206F" w14:textId="77777777" w:rsidR="00215380" w:rsidRPr="00437AF8" w:rsidRDefault="00215380" w:rsidP="006A3B1F">
            <w:pPr>
              <w:pStyle w:val="Prrafodelista"/>
              <w:ind w:left="1080"/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W w:w="0" w:type="auto"/>
              <w:tblInd w:w="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215380" w:rsidRPr="00437AF8" w14:paraId="4C764AD4" w14:textId="77777777" w:rsidTr="006A3B1F">
              <w:trPr>
                <w:trHeight w:val="540"/>
              </w:trPr>
              <w:tc>
                <w:tcPr>
                  <w:tcW w:w="8415" w:type="dxa"/>
                </w:tcPr>
                <w:p w14:paraId="760408AE" w14:textId="77777777" w:rsidR="00215380" w:rsidRPr="00437AF8" w:rsidRDefault="00215380" w:rsidP="006A3B1F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  <w:p w14:paraId="13CDEA8F" w14:textId="77777777" w:rsidR="00115DCE" w:rsidRPr="00437AF8" w:rsidRDefault="00115DCE" w:rsidP="00115DCE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3. </w:t>
                  </w: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>¿Existe algún acto administrativo vigente que regule el mismo tema?</w:t>
                  </w:r>
                </w:p>
                <w:p w14:paraId="5DAC206D" w14:textId="55BB5ADC" w:rsidR="00115DCE" w:rsidRPr="00437AF8" w:rsidRDefault="00115DCE" w:rsidP="00115DCE">
                  <w:pPr>
                    <w:autoSpaceDE w:val="0"/>
                    <w:autoSpaceDN w:val="0"/>
                    <w:adjustRightInd w:val="0"/>
                    <w:spacing w:line="276" w:lineRule="auto"/>
                    <w:ind w:firstLine="708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>SI</w:t>
                  </w:r>
                  <w:r w:rsidR="00B26A44"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 __</w:t>
                  </w:r>
                  <w:r w:rsidR="00EF4F6B">
                    <w:rPr>
                      <w:rFonts w:ascii="Arial" w:hAnsi="Arial" w:cs="Arial"/>
                      <w:b/>
                      <w:sz w:val="23"/>
                      <w:szCs w:val="23"/>
                    </w:rPr>
                    <w:t>x</w:t>
                  </w:r>
                  <w:r w:rsidR="00B26A44"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__ (pase a la pregunta 4).  </w:t>
                  </w: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>NO</w:t>
                  </w:r>
                  <w:r w:rsidR="00EF4F6B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 w:rsidR="00B26A44" w:rsidRPr="00437AF8">
                    <w:rPr>
                      <w:rFonts w:ascii="Arial" w:hAnsi="Arial" w:cs="Arial"/>
                      <w:sz w:val="23"/>
                      <w:szCs w:val="23"/>
                    </w:rPr>
                    <w:t>__</w:t>
                  </w: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 (pase a la pregunta 6)</w:t>
                  </w:r>
                </w:p>
                <w:p w14:paraId="2F64E372" w14:textId="77777777" w:rsidR="00215380" w:rsidRPr="00437AF8" w:rsidRDefault="00215380" w:rsidP="00115DCE">
                  <w:pPr>
                    <w:pStyle w:val="Prrafodelista"/>
                    <w:ind w:left="556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71218C9E" w14:textId="77777777" w:rsidR="00215380" w:rsidRPr="00437AF8" w:rsidRDefault="00215380" w:rsidP="006A3B1F">
            <w:pPr>
              <w:pStyle w:val="Prrafodelista"/>
              <w:ind w:left="1080"/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63"/>
            </w:tblGrid>
            <w:tr w:rsidR="00215380" w:rsidRPr="00437AF8" w14:paraId="2347F34F" w14:textId="77777777" w:rsidTr="001E3E0C">
              <w:trPr>
                <w:trHeight w:val="523"/>
              </w:trPr>
              <w:tc>
                <w:tcPr>
                  <w:tcW w:w="8363" w:type="dxa"/>
                </w:tcPr>
                <w:p w14:paraId="767284E7" w14:textId="77777777" w:rsidR="00141DDB" w:rsidRDefault="00141DDB" w:rsidP="00EF4F6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color w:val="000000"/>
                      <w:spacing w:val="-3"/>
                      <w:sz w:val="23"/>
                      <w:szCs w:val="23"/>
                    </w:rPr>
                  </w:pPr>
                </w:p>
                <w:p w14:paraId="508F449C" w14:textId="2C9919C4" w:rsidR="00215380" w:rsidRPr="00437AF8" w:rsidRDefault="00141DDB" w:rsidP="00141D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pacing w:val="-3"/>
                      <w:sz w:val="23"/>
                      <w:szCs w:val="23"/>
                    </w:rPr>
                    <w:t>Estas pruebas actualmente son reconocidas conforme la prevé la resolución 1463 modificada por la Resolución 1630 de 2020</w:t>
                  </w:r>
                  <w:r w:rsidR="00B90077">
                    <w:rPr>
                      <w:rFonts w:ascii="Arial" w:hAnsi="Arial" w:cs="Arial"/>
                      <w:bCs/>
                      <w:color w:val="000000"/>
                      <w:spacing w:val="-3"/>
                      <w:sz w:val="23"/>
                      <w:szCs w:val="23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color w:val="000000"/>
                      <w:spacing w:val="-3"/>
                      <w:sz w:val="23"/>
                      <w:szCs w:val="23"/>
                    </w:rPr>
                    <w:t xml:space="preserve">no obstante estas tienen vigencia solo hasta la culminación de la emergencia sanitaria, es decir hasta el próximo 30 de junio. </w:t>
                  </w:r>
                </w:p>
              </w:tc>
            </w:tr>
          </w:tbl>
          <w:p w14:paraId="1A4DE0FD" w14:textId="77777777" w:rsidR="00215380" w:rsidRPr="00437AF8" w:rsidRDefault="00215380" w:rsidP="006A3B1F">
            <w:pPr>
              <w:ind w:left="214"/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01"/>
            </w:tblGrid>
            <w:tr w:rsidR="00215380" w:rsidRPr="00437AF8" w14:paraId="44BCFAC1" w14:textId="77777777" w:rsidTr="0023133E">
              <w:trPr>
                <w:trHeight w:val="1247"/>
              </w:trPr>
              <w:tc>
                <w:tcPr>
                  <w:tcW w:w="8401" w:type="dxa"/>
                </w:tcPr>
                <w:tbl>
                  <w:tblPr>
                    <w:tblpPr w:leftFromText="141" w:rightFromText="141" w:vertAnchor="page" w:horzAnchor="margin" w:tblpY="34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84"/>
                  </w:tblGrid>
                  <w:tr w:rsidR="0023133E" w:rsidRPr="00437AF8" w14:paraId="1AFD125B" w14:textId="77777777" w:rsidTr="0023133E">
                    <w:trPr>
                      <w:trHeight w:val="585"/>
                    </w:trPr>
                    <w:tc>
                      <w:tcPr>
                        <w:tcW w:w="8184" w:type="dxa"/>
                      </w:tcPr>
                      <w:p w14:paraId="3AD3BE0F" w14:textId="77777777" w:rsidR="0023133E" w:rsidRPr="00437AF8" w:rsidRDefault="0023133E" w:rsidP="0023133E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</w:pPr>
                      </w:p>
                      <w:p w14:paraId="682F28F4" w14:textId="77777777" w:rsidR="0023133E" w:rsidRPr="00437AF8" w:rsidRDefault="0023133E" w:rsidP="0023133E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</w:pPr>
                        <w:r w:rsidRPr="00437AF8"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  <w:t xml:space="preserve">4. </w:t>
                        </w:r>
                        <w:r w:rsidRPr="00437AF8"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  <w:tab/>
                          <w:t>Si ya existe, explique por qué resulta insuficiente</w:t>
                        </w:r>
                      </w:p>
                      <w:p w14:paraId="7442FADE" w14:textId="77777777" w:rsidR="0023133E" w:rsidRPr="00437AF8" w:rsidRDefault="0023133E" w:rsidP="0023133E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708"/>
                          <w:jc w:val="both"/>
                          <w:rPr>
                            <w:rFonts w:ascii="Arial" w:hAnsi="Arial" w:cs="Arial"/>
                            <w:b/>
                            <w:i/>
                            <w:iCs/>
                            <w:sz w:val="23"/>
                            <w:szCs w:val="23"/>
                          </w:rPr>
                        </w:pPr>
                        <w:r w:rsidRPr="00437AF8">
                          <w:rPr>
                            <w:rFonts w:ascii="Arial" w:hAnsi="Arial" w:cs="Arial"/>
                            <w:b/>
                            <w:i/>
                            <w:iCs/>
                            <w:sz w:val="23"/>
                            <w:szCs w:val="23"/>
                          </w:rPr>
                          <w:t>(Responder esta pregunta señalando de manera clara y concisa las razones por las cuales el acto administrativo vigente resulta insuficiente)</w:t>
                        </w:r>
                      </w:p>
                      <w:p w14:paraId="489F1BDF" w14:textId="77777777" w:rsidR="0023133E" w:rsidRPr="00437AF8" w:rsidRDefault="0023133E" w:rsidP="0023133E">
                        <w:pPr>
                          <w:pStyle w:val="Prrafodelista"/>
                          <w:ind w:left="406"/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tbl>
                  <w:tblPr>
                    <w:tblpPr w:leftFromText="141" w:rightFromText="141" w:vertAnchor="page" w:horzAnchor="margin" w:tblpY="2371"/>
                    <w:tblOverlap w:val="never"/>
                    <w:tblW w:w="822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3"/>
                  </w:tblGrid>
                  <w:tr w:rsidR="00215380" w:rsidRPr="00437AF8" w14:paraId="4DF2DA39" w14:textId="77777777" w:rsidTr="00807F90">
                    <w:trPr>
                      <w:trHeight w:val="695"/>
                    </w:trPr>
                    <w:tc>
                      <w:tcPr>
                        <w:tcW w:w="8223" w:type="dxa"/>
                      </w:tcPr>
                      <w:p w14:paraId="7589EB0C" w14:textId="21FC32F4" w:rsidR="00B90077" w:rsidRDefault="00F1125F" w:rsidP="001E3E0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>Como ya se indicó la R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 xml:space="preserve">esolución 1463 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 xml:space="preserve">de 2020 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 xml:space="preserve">modificada por la Resolución 1630 de 2020, 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>estará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 xml:space="preserve"> vigen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>te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pacing w:val="-3"/>
                            <w:sz w:val="23"/>
                            <w:szCs w:val="23"/>
                          </w:rPr>
                          <w:t xml:space="preserve"> solo hasta la culminación de la emergencia sanitaria, es decir hasta el próximo 30 de junio. </w:t>
                        </w:r>
                      </w:p>
                      <w:p w14:paraId="0FE9C3CA" w14:textId="77777777" w:rsidR="00B90077" w:rsidRDefault="00B90077" w:rsidP="001E3E0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3"/>
                            <w:szCs w:val="23"/>
                          </w:rPr>
                        </w:pPr>
                      </w:p>
                      <w:p w14:paraId="1B6D5F6F" w14:textId="470B19CE" w:rsidR="00AF2EEC" w:rsidRPr="00437AF8" w:rsidRDefault="00C94153" w:rsidP="001E3E0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3"/>
                            <w:szCs w:val="23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</w:tbl>
                <w:p w14:paraId="78AA9FAF" w14:textId="77777777" w:rsidR="00215380" w:rsidRPr="00437AF8" w:rsidRDefault="00215380" w:rsidP="006A3B1F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20EC9375" w14:textId="77777777" w:rsidR="00215380" w:rsidRPr="00437AF8" w:rsidRDefault="00215380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EE1C513" w14:textId="77777777" w:rsidR="00215380" w:rsidRPr="00437AF8" w:rsidRDefault="00215380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31"/>
            </w:tblGrid>
            <w:tr w:rsidR="00215380" w:rsidRPr="00437AF8" w14:paraId="7D6D0EC2" w14:textId="77777777" w:rsidTr="00437AF8">
              <w:trPr>
                <w:trHeight w:val="510"/>
              </w:trPr>
              <w:tc>
                <w:tcPr>
                  <w:tcW w:w="8331" w:type="dxa"/>
                </w:tcPr>
                <w:p w14:paraId="26522E04" w14:textId="77777777" w:rsidR="00115DCE" w:rsidRPr="00437AF8" w:rsidRDefault="00115DCE" w:rsidP="00115DCE">
                  <w:pPr>
                    <w:autoSpaceDE w:val="0"/>
                    <w:autoSpaceDN w:val="0"/>
                    <w:adjustRightInd w:val="0"/>
                    <w:spacing w:line="276" w:lineRule="auto"/>
                    <w:ind w:left="705" w:hanging="705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5. </w:t>
                  </w: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>Si ya existe un acto administrativo que regule el mismo tema, especifique según sea el caso si el proyecto:</w:t>
                  </w:r>
                </w:p>
                <w:p w14:paraId="39BC0733" w14:textId="77777777" w:rsidR="00215380" w:rsidRPr="00437AF8" w:rsidRDefault="00215380" w:rsidP="00115DCE">
                  <w:pPr>
                    <w:pStyle w:val="Prrafodelista"/>
                    <w:ind w:left="406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5BDC2382" w14:textId="77777777" w:rsidR="00215380" w:rsidRPr="00437AF8" w:rsidRDefault="00215380" w:rsidP="006A3B1F">
            <w:pPr>
              <w:pStyle w:val="Prrafodelista"/>
              <w:ind w:left="1080"/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63"/>
            </w:tblGrid>
            <w:tr w:rsidR="00215380" w:rsidRPr="00437AF8" w14:paraId="437D1A72" w14:textId="77777777" w:rsidTr="00437AF8">
              <w:trPr>
                <w:trHeight w:val="1261"/>
              </w:trPr>
              <w:tc>
                <w:tcPr>
                  <w:tcW w:w="8363" w:type="dxa"/>
                </w:tcPr>
                <w:p w14:paraId="274B15F5" w14:textId="77777777" w:rsidR="00215380" w:rsidRPr="00437AF8" w:rsidRDefault="00215380" w:rsidP="00221D75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</w:p>
                <w:p w14:paraId="069628C8" w14:textId="77777777" w:rsidR="00115DCE" w:rsidRPr="0023133E" w:rsidRDefault="00115DCE" w:rsidP="00221D75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  <w:r w:rsidRPr="0023133E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a) Deroga</w:t>
                  </w:r>
                </w:p>
                <w:p w14:paraId="49A72CCA" w14:textId="251FC848" w:rsidR="00115DCE" w:rsidRPr="0023133E" w:rsidRDefault="00115DCE" w:rsidP="00221D75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  <w:r w:rsidRPr="0023133E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b) Modifica</w:t>
                  </w:r>
                  <w:r w:rsidR="00046444" w:rsidRPr="0023133E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 xml:space="preserve">  </w:t>
                  </w:r>
                </w:p>
                <w:p w14:paraId="2D6E1AB3" w14:textId="77777777" w:rsidR="00115DCE" w:rsidRPr="00A865DE" w:rsidRDefault="00115DCE" w:rsidP="00221D75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  <w:r w:rsidRPr="00A865DE"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c) Sustituye</w:t>
                  </w:r>
                </w:p>
                <w:p w14:paraId="74030C48" w14:textId="1FEF10C0" w:rsidR="00115DCE" w:rsidRPr="00437AF8" w:rsidRDefault="00115DCE" w:rsidP="00221D75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</w:p>
                <w:p w14:paraId="55C5B3A9" w14:textId="54290FC2" w:rsidR="00215380" w:rsidRDefault="00DC1ECD" w:rsidP="0051695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  <w:t>NA</w:t>
                  </w:r>
                </w:p>
                <w:p w14:paraId="7D9B0C9C" w14:textId="77777777" w:rsidR="0023133E" w:rsidRDefault="0023133E" w:rsidP="0051695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</w:p>
                <w:p w14:paraId="33FB1C65" w14:textId="1C8A3835" w:rsidR="0023133E" w:rsidRPr="00437AF8" w:rsidRDefault="0023133E" w:rsidP="0051695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</w:tbl>
          <w:p w14:paraId="316C5364" w14:textId="5903E50A" w:rsidR="00215380" w:rsidRPr="00437AF8" w:rsidRDefault="00215380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pPr w:leftFromText="141" w:rightFromText="141" w:vertAnchor="text" w:horzAnchor="margin" w:tblpX="274" w:tblpY="-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59"/>
            </w:tblGrid>
            <w:tr w:rsidR="00807F90" w:rsidRPr="00437AF8" w14:paraId="2C8D0AD6" w14:textId="77777777" w:rsidTr="00437AF8">
              <w:trPr>
                <w:trHeight w:val="815"/>
              </w:trPr>
              <w:tc>
                <w:tcPr>
                  <w:tcW w:w="8359" w:type="dxa"/>
                </w:tcPr>
                <w:p w14:paraId="5A15357E" w14:textId="77777777" w:rsidR="00807F90" w:rsidRPr="00437AF8" w:rsidRDefault="00807F90" w:rsidP="00807F90">
                  <w:pPr>
                    <w:pStyle w:val="Prrafodelista"/>
                    <w:ind w:left="1105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  <w:p w14:paraId="7AB20D51" w14:textId="77777777" w:rsidR="00807F90" w:rsidRPr="00437AF8" w:rsidRDefault="00807F90" w:rsidP="00807F90">
                  <w:pPr>
                    <w:autoSpaceDE w:val="0"/>
                    <w:autoSpaceDN w:val="0"/>
                    <w:adjustRightInd w:val="0"/>
                    <w:ind w:left="705" w:hanging="705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6. </w:t>
                  </w: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>Indique la disposición (es) de orden constitucional o legal que otorgan la competencia para expedir el acto administrativo.</w:t>
                  </w:r>
                </w:p>
                <w:p w14:paraId="1BB5E7DF" w14:textId="77777777" w:rsidR="00807F90" w:rsidRPr="00437AF8" w:rsidRDefault="00807F90" w:rsidP="00807F90">
                  <w:pPr>
                    <w:pStyle w:val="Prrafodelista"/>
                    <w:ind w:left="640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0D7D3A40" w14:textId="183068F1" w:rsidR="0023133E" w:rsidRDefault="0023133E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436A82A" w14:textId="77777777" w:rsidR="0023133E" w:rsidRPr="00437AF8" w:rsidRDefault="0023133E" w:rsidP="006A3B1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Style w:val="Tablaconcuadrcula"/>
              <w:tblpPr w:leftFromText="141" w:rightFromText="141" w:vertAnchor="text" w:horzAnchor="margin" w:tblpX="274" w:tblpY="-2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59"/>
            </w:tblGrid>
            <w:tr w:rsidR="003B3DFB" w:rsidRPr="00437AF8" w14:paraId="41E7D688" w14:textId="77777777" w:rsidTr="00437AF8">
              <w:trPr>
                <w:trHeight w:val="3246"/>
              </w:trPr>
              <w:tc>
                <w:tcPr>
                  <w:tcW w:w="8359" w:type="dxa"/>
                </w:tcPr>
                <w:p w14:paraId="721A6E1A" w14:textId="52BAC399" w:rsidR="003B3DFB" w:rsidRPr="00437AF8" w:rsidRDefault="00596ADB" w:rsidP="003B3DFB">
                  <w:pPr>
                    <w:pStyle w:val="Prrafodelista"/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  </w:t>
                  </w:r>
                </w:p>
                <w:p w14:paraId="7AFEC577" w14:textId="77777777" w:rsidR="003B3DFB" w:rsidRPr="00437AF8" w:rsidRDefault="003B3DFB" w:rsidP="003B3DFB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 Constitución Política, artículos 48, 49 y 189 (numeral 11).</w:t>
                  </w:r>
                </w:p>
                <w:p w14:paraId="1AEA6756" w14:textId="77777777" w:rsidR="003B3DFB" w:rsidRPr="00437AF8" w:rsidRDefault="003B3DFB" w:rsidP="003B3DFB">
                  <w:pPr>
                    <w:pStyle w:val="Prrafodelista"/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2D8B0085" w14:textId="77777777" w:rsidR="003B3DFB" w:rsidRPr="00437AF8" w:rsidRDefault="003B3DFB" w:rsidP="003B3DFB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>Ley 100 de 1993, artículo 173, numeral 3 que faculta al ministro para expedir normas administrativas de obligatorio cumplimiento.</w:t>
                  </w:r>
                </w:p>
                <w:p w14:paraId="489FC396" w14:textId="77777777" w:rsidR="003B3DFB" w:rsidRPr="00437AF8" w:rsidRDefault="003B3DFB" w:rsidP="003B3DFB">
                  <w:pPr>
                    <w:pStyle w:val="Prrafodelista"/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341F2018" w14:textId="35F31AED" w:rsidR="003B3DFB" w:rsidRPr="00437AF8" w:rsidRDefault="003B3DFB" w:rsidP="003B3DFB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Decreto – Ley 4107 de 2011, artículo </w:t>
                  </w:r>
                  <w:r w:rsidR="00807F90" w:rsidRPr="00437AF8">
                    <w:rPr>
                      <w:rFonts w:ascii="Arial" w:hAnsi="Arial" w:cs="Arial"/>
                      <w:sz w:val="23"/>
                      <w:szCs w:val="23"/>
                    </w:rPr>
                    <w:t>2</w:t>
                  </w: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>.</w:t>
                  </w:r>
                </w:p>
                <w:p w14:paraId="291F00F4" w14:textId="77777777" w:rsidR="003B3DFB" w:rsidRPr="00437AF8" w:rsidRDefault="003B3DFB" w:rsidP="003B3DFB">
                  <w:pPr>
                    <w:pStyle w:val="Prrafodelista"/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6F6CFFE1" w14:textId="2608569D" w:rsidR="00F1125F" w:rsidRDefault="003B3DFB" w:rsidP="003B3DFB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>Ley 19</w:t>
                  </w:r>
                  <w:r w:rsidR="00F1125F">
                    <w:rPr>
                      <w:rFonts w:ascii="Arial" w:hAnsi="Arial" w:cs="Arial"/>
                      <w:sz w:val="23"/>
                      <w:szCs w:val="23"/>
                    </w:rPr>
                    <w:t>66</w:t>
                  </w:r>
                  <w:r w:rsidRPr="00437AF8">
                    <w:rPr>
                      <w:rFonts w:ascii="Arial" w:hAnsi="Arial" w:cs="Arial"/>
                      <w:sz w:val="23"/>
                      <w:szCs w:val="23"/>
                    </w:rPr>
                    <w:t xml:space="preserve"> del 2019- </w:t>
                  </w:r>
                  <w:r w:rsidR="00F1125F" w:rsidRPr="00F1125F">
                    <w:rPr>
                      <w:rFonts w:ascii="Arial" w:hAnsi="Arial" w:cs="Arial"/>
                      <w:sz w:val="23"/>
                      <w:szCs w:val="23"/>
                    </w:rPr>
                    <w:t>Por medio de la cual se adoptan medidas para la gestión y transparencia en el Sistema de Seguridad Social en Salud y se dictan otras disposiciones</w:t>
                  </w:r>
                  <w:r w:rsidR="00F1125F">
                    <w:rPr>
                      <w:rFonts w:ascii="Arial" w:hAnsi="Arial" w:cs="Arial"/>
                      <w:sz w:val="23"/>
                      <w:szCs w:val="23"/>
                    </w:rPr>
                    <w:t xml:space="preserve">, articulo 5. </w:t>
                  </w:r>
                </w:p>
                <w:p w14:paraId="43A15266" w14:textId="28EF9A9B" w:rsid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0B0AF06C" w14:textId="3DB616FB" w:rsid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0D9C7A6C" w14:textId="47112F8A" w:rsid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7959A4B6" w14:textId="7F10C350" w:rsid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4121D52A" w14:textId="49FB84E6" w:rsid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512640D3" w14:textId="4391AD41" w:rsid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46B05ED8" w14:textId="77336233" w:rsid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094B47A6" w14:textId="77777777" w:rsidR="00F1125F" w:rsidRPr="00F1125F" w:rsidRDefault="00F1125F" w:rsidP="00F1125F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52668421" w14:textId="77777777" w:rsidR="003B3DFB" w:rsidRPr="00437AF8" w:rsidRDefault="003B3DFB" w:rsidP="003B3DFB">
                  <w:pPr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="279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63"/>
            </w:tblGrid>
            <w:tr w:rsidR="00437AF8" w:rsidRPr="00437AF8" w14:paraId="5A60662E" w14:textId="77777777" w:rsidTr="00437AF8">
              <w:trPr>
                <w:trHeight w:val="450"/>
              </w:trPr>
              <w:tc>
                <w:tcPr>
                  <w:tcW w:w="8363" w:type="dxa"/>
                </w:tcPr>
                <w:p w14:paraId="1926F735" w14:textId="77777777" w:rsidR="00437AF8" w:rsidRPr="00437AF8" w:rsidRDefault="00437AF8" w:rsidP="00437AF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06E67D8E" w14:textId="77777777" w:rsidR="00437AF8" w:rsidRPr="00437AF8" w:rsidRDefault="00437AF8" w:rsidP="00437AF8">
                  <w:pPr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7. </w:t>
                  </w:r>
                  <w:r w:rsidRPr="00437AF8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>Identifique el destinario de la norma (¿A quién se aplica?).</w:t>
                  </w:r>
                </w:p>
                <w:p w14:paraId="536B6722" w14:textId="77777777" w:rsidR="00437AF8" w:rsidRPr="00437AF8" w:rsidRDefault="00437AF8" w:rsidP="00437AF8">
                  <w:pPr>
                    <w:pStyle w:val="Prrafodelista"/>
                    <w:ind w:left="481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7118576D" w14:textId="4DDEDEAB" w:rsidR="003B3DFB" w:rsidRPr="00437AF8" w:rsidRDefault="003B3DFB" w:rsidP="00FD197F">
            <w:pPr>
              <w:pStyle w:val="Prrafodelista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A6BCBD5" w14:textId="3B27B78B" w:rsidR="00215380" w:rsidRPr="00437AF8" w:rsidRDefault="00215380" w:rsidP="00FD197F">
            <w:pPr>
              <w:pStyle w:val="Prrafodelista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tbl>
            <w:tblPr>
              <w:tblpPr w:leftFromText="141" w:rightFromText="141" w:vertAnchor="text" w:horzAnchor="margin" w:tblpX="279" w:tblpY="-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59"/>
            </w:tblGrid>
            <w:tr w:rsidR="00437AF8" w:rsidRPr="00437AF8" w14:paraId="1B169516" w14:textId="77777777" w:rsidTr="00437AF8">
              <w:trPr>
                <w:trHeight w:val="1686"/>
              </w:trPr>
              <w:tc>
                <w:tcPr>
                  <w:tcW w:w="8359" w:type="dxa"/>
                </w:tcPr>
                <w:p w14:paraId="56502FC8" w14:textId="77777777" w:rsidR="00437AF8" w:rsidRPr="00437AF8" w:rsidRDefault="00437AF8" w:rsidP="00437AF8">
                  <w:pPr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>Las normas contenidas en la presente Resolución aplican a los siguientes sujetos:</w:t>
                  </w:r>
                </w:p>
                <w:p w14:paraId="5D45FE72" w14:textId="77777777" w:rsidR="00437AF8" w:rsidRPr="00437AF8" w:rsidRDefault="00437AF8" w:rsidP="00437AF8">
                  <w:pPr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</w:p>
                <w:p w14:paraId="613F3FBE" w14:textId="77777777" w:rsidR="00437AF8" w:rsidRPr="00437AF8" w:rsidRDefault="00437AF8" w:rsidP="00437AF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>La Administradora de los Recursos del Sistema de Seguridad Social en Salud (ADRES)</w:t>
                  </w:r>
                </w:p>
                <w:p w14:paraId="527D3E2E" w14:textId="77777777" w:rsidR="00437AF8" w:rsidRPr="00437AF8" w:rsidRDefault="00437AF8" w:rsidP="00437AF8">
                  <w:pPr>
                    <w:pStyle w:val="Prrafodelista"/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</w:p>
                <w:p w14:paraId="6B26620A" w14:textId="7BB2CBA0" w:rsidR="00E00365" w:rsidRDefault="00437AF8" w:rsidP="00437AF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 xml:space="preserve">Entidades Promotoras de Salud (EPS) </w:t>
                  </w:r>
                  <w:r w:rsidR="00E00365"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 xml:space="preserve">de los </w:t>
                  </w:r>
                  <w:r w:rsidR="00E00365" w:rsidRPr="00B84494">
                    <w:rPr>
                      <w:rFonts w:ascii="Arial" w:hAnsi="Arial" w:cs="Arial"/>
                      <w:sz w:val="23"/>
                      <w:szCs w:val="23"/>
                    </w:rPr>
                    <w:t>regímenes contributivo y subsidiad</w:t>
                  </w:r>
                  <w:r w:rsidR="00E00365">
                    <w:rPr>
                      <w:rFonts w:ascii="Arial" w:hAnsi="Arial" w:cs="Arial"/>
                      <w:sz w:val="23"/>
                      <w:szCs w:val="23"/>
                    </w:rPr>
                    <w:t>o</w:t>
                  </w:r>
                </w:p>
                <w:p w14:paraId="3A8BFC77" w14:textId="77777777" w:rsidR="00E00365" w:rsidRPr="00E00365" w:rsidRDefault="00E00365" w:rsidP="00E00365">
                  <w:pPr>
                    <w:pStyle w:val="Prrafodelista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</w:p>
                <w:p w14:paraId="29C7429A" w14:textId="00CC52FE" w:rsidR="00437AF8" w:rsidRDefault="00E00365" w:rsidP="00437AF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  <w:r w:rsidRPr="00437AF8"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>L</w:t>
                  </w:r>
                  <w:r w:rsidR="00437AF8" w:rsidRPr="00437AF8"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>as</w:t>
                  </w:r>
                  <w:r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 xml:space="preserve"> demás</w:t>
                  </w:r>
                  <w:r w:rsidR="00437AF8" w:rsidRPr="00437AF8"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  <w:t xml:space="preserve"> Entidades Obligadas a Compensar – EOC </w:t>
                  </w:r>
                </w:p>
                <w:p w14:paraId="2065D002" w14:textId="77777777" w:rsidR="00DF28ED" w:rsidRPr="00DF28ED" w:rsidRDefault="00DF28ED" w:rsidP="00DF28ED">
                  <w:pPr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</w:p>
                <w:p w14:paraId="71C7F9B1" w14:textId="77777777" w:rsidR="0023133E" w:rsidRPr="0023133E" w:rsidRDefault="0023133E" w:rsidP="0023133E">
                  <w:pPr>
                    <w:jc w:val="both"/>
                    <w:rPr>
                      <w:rFonts w:ascii="Arial" w:hAnsi="Arial" w:cs="Arial"/>
                      <w:sz w:val="23"/>
                      <w:szCs w:val="23"/>
                      <w:lang w:val="es-CO" w:eastAsia="es-CO"/>
                    </w:rPr>
                  </w:pPr>
                </w:p>
                <w:p w14:paraId="73F1B76C" w14:textId="77777777" w:rsidR="00437AF8" w:rsidRPr="00437AF8" w:rsidRDefault="00437AF8" w:rsidP="00437AF8">
                  <w:pPr>
                    <w:pStyle w:val="Prrafodelista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7DB93000" w14:textId="44736E67" w:rsidR="009420EA" w:rsidRPr="00437AF8" w:rsidRDefault="009420EA" w:rsidP="00FD197F">
            <w:pPr>
              <w:pStyle w:val="Prrafodelista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7171809" w14:textId="7038986D" w:rsidR="00437AF8" w:rsidRPr="00437AF8" w:rsidRDefault="00437AF8" w:rsidP="00930B66">
            <w:pPr>
              <w:ind w:left="214" w:right="356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4EB6F916" w14:textId="46CD8900" w:rsidR="00215380" w:rsidRDefault="002A1F77" w:rsidP="002A1F77">
      <w:pPr>
        <w:tabs>
          <w:tab w:val="left" w:pos="29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</w:p>
    <w:p w14:paraId="5C7EACAA" w14:textId="6B0943D7" w:rsidR="000E5001" w:rsidRDefault="000E5001" w:rsidP="00527B29">
      <w:pPr>
        <w:tabs>
          <w:tab w:val="left" w:pos="2445"/>
        </w:tabs>
        <w:rPr>
          <w:rFonts w:ascii="Arial" w:hAnsi="Arial" w:cs="Arial"/>
          <w:b/>
          <w:sz w:val="22"/>
          <w:szCs w:val="22"/>
        </w:rPr>
      </w:pPr>
    </w:p>
    <w:p w14:paraId="5D7C8D82" w14:textId="0E4D9E8E" w:rsidR="006F4F47" w:rsidRDefault="006F4F47" w:rsidP="00527B29">
      <w:pPr>
        <w:tabs>
          <w:tab w:val="left" w:pos="2445"/>
        </w:tabs>
        <w:rPr>
          <w:rFonts w:ascii="Arial" w:hAnsi="Arial" w:cs="Arial"/>
          <w:b/>
          <w:sz w:val="22"/>
          <w:szCs w:val="22"/>
        </w:rPr>
      </w:pPr>
    </w:p>
    <w:p w14:paraId="52C85765" w14:textId="6ACDA52A" w:rsidR="006F4F47" w:rsidRDefault="006F4F47" w:rsidP="00527B29">
      <w:pPr>
        <w:tabs>
          <w:tab w:val="left" w:pos="2445"/>
        </w:tabs>
        <w:rPr>
          <w:rFonts w:ascii="Arial" w:hAnsi="Arial" w:cs="Arial"/>
          <w:b/>
          <w:sz w:val="22"/>
          <w:szCs w:val="22"/>
        </w:rPr>
      </w:pPr>
    </w:p>
    <w:p w14:paraId="6E46368A" w14:textId="16A736C2" w:rsidR="006F4F47" w:rsidRDefault="006F4F47" w:rsidP="00527B29">
      <w:pPr>
        <w:tabs>
          <w:tab w:val="left" w:pos="2445"/>
        </w:tabs>
        <w:rPr>
          <w:rFonts w:ascii="Arial" w:hAnsi="Arial" w:cs="Arial"/>
          <w:b/>
          <w:sz w:val="22"/>
          <w:szCs w:val="22"/>
        </w:rPr>
      </w:pPr>
    </w:p>
    <w:p w14:paraId="27EC763D" w14:textId="3580B9C2" w:rsidR="006F4F47" w:rsidRDefault="006F4F47" w:rsidP="00527B29">
      <w:pPr>
        <w:tabs>
          <w:tab w:val="left" w:pos="2445"/>
        </w:tabs>
        <w:rPr>
          <w:rFonts w:ascii="Arial" w:hAnsi="Arial" w:cs="Arial"/>
          <w:b/>
          <w:sz w:val="22"/>
          <w:szCs w:val="22"/>
        </w:rPr>
      </w:pPr>
    </w:p>
    <w:p w14:paraId="266318C7" w14:textId="77777777" w:rsidR="006F4F47" w:rsidRDefault="006F4F47" w:rsidP="00527B29">
      <w:pPr>
        <w:tabs>
          <w:tab w:val="left" w:pos="2445"/>
        </w:tabs>
        <w:rPr>
          <w:rFonts w:ascii="Arial" w:hAnsi="Arial" w:cs="Arial"/>
          <w:b/>
          <w:sz w:val="22"/>
          <w:szCs w:val="22"/>
        </w:rPr>
      </w:pPr>
    </w:p>
    <w:p w14:paraId="20ECD118" w14:textId="3EC329FB" w:rsidR="00940628" w:rsidRPr="00530F4C" w:rsidRDefault="00A865DE" w:rsidP="00940628">
      <w:pPr>
        <w:ind w:right="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MARCELA BRUN VERGARA</w:t>
      </w:r>
    </w:p>
    <w:p w14:paraId="381E3A06" w14:textId="27BCB4A5" w:rsidR="00215380" w:rsidRPr="001F5BD8" w:rsidRDefault="00940628" w:rsidP="00406985">
      <w:pPr>
        <w:spacing w:line="276" w:lineRule="auto"/>
        <w:ind w:right="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</w:t>
      </w:r>
      <w:r w:rsidR="00A865DE">
        <w:rPr>
          <w:rFonts w:ascii="Arial" w:hAnsi="Arial" w:cs="Arial"/>
          <w:sz w:val="22"/>
          <w:szCs w:val="22"/>
        </w:rPr>
        <w:t>a</w:t>
      </w:r>
      <w:r w:rsidR="00115DCE" w:rsidRPr="001F5BD8">
        <w:rPr>
          <w:rFonts w:ascii="Arial" w:hAnsi="Arial" w:cs="Arial"/>
          <w:sz w:val="22"/>
          <w:szCs w:val="22"/>
        </w:rPr>
        <w:t xml:space="preserve"> de Regulación de Beneficios, Costos y Tarifas del Aseguramiento en Salud </w:t>
      </w:r>
    </w:p>
    <w:sectPr w:rsidR="00215380" w:rsidRPr="001F5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7720" w14:textId="77777777" w:rsidR="00F27046" w:rsidRDefault="00F27046" w:rsidP="00701C5B">
      <w:r>
        <w:separator/>
      </w:r>
    </w:p>
  </w:endnote>
  <w:endnote w:type="continuationSeparator" w:id="0">
    <w:p w14:paraId="08C54F7F" w14:textId="77777777" w:rsidR="00F27046" w:rsidRDefault="00F27046" w:rsidP="0070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A7F7" w14:textId="77777777" w:rsidR="00F27046" w:rsidRDefault="00F27046" w:rsidP="00701C5B">
      <w:r>
        <w:separator/>
      </w:r>
    </w:p>
  </w:footnote>
  <w:footnote w:type="continuationSeparator" w:id="0">
    <w:p w14:paraId="352D636F" w14:textId="77777777" w:rsidR="00F27046" w:rsidRDefault="00F27046" w:rsidP="0070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A59"/>
    <w:multiLevelType w:val="hybridMultilevel"/>
    <w:tmpl w:val="4FFCCAEC"/>
    <w:lvl w:ilvl="0" w:tplc="704EE1A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5B8F"/>
    <w:multiLevelType w:val="hybridMultilevel"/>
    <w:tmpl w:val="2FAC3F1E"/>
    <w:lvl w:ilvl="0" w:tplc="820C72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1EB"/>
    <w:multiLevelType w:val="hybridMultilevel"/>
    <w:tmpl w:val="5E1489A8"/>
    <w:lvl w:ilvl="0" w:tplc="381AAB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315B"/>
    <w:multiLevelType w:val="hybridMultilevel"/>
    <w:tmpl w:val="B4F48E4E"/>
    <w:lvl w:ilvl="0" w:tplc="6B44B1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2B3"/>
    <w:multiLevelType w:val="hybridMultilevel"/>
    <w:tmpl w:val="44A6EA96"/>
    <w:lvl w:ilvl="0" w:tplc="CFBACA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672AF"/>
    <w:multiLevelType w:val="hybridMultilevel"/>
    <w:tmpl w:val="1ACEC338"/>
    <w:lvl w:ilvl="0" w:tplc="D7FC750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46C9"/>
    <w:multiLevelType w:val="hybridMultilevel"/>
    <w:tmpl w:val="6F5C7628"/>
    <w:lvl w:ilvl="0" w:tplc="0F28BE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44069"/>
    <w:multiLevelType w:val="hybridMultilevel"/>
    <w:tmpl w:val="87264308"/>
    <w:lvl w:ilvl="0" w:tplc="FD2E7B02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D0E72"/>
    <w:multiLevelType w:val="multilevel"/>
    <w:tmpl w:val="17DA8D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AF49FE"/>
    <w:multiLevelType w:val="hybridMultilevel"/>
    <w:tmpl w:val="DB920A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E149D"/>
    <w:multiLevelType w:val="hybridMultilevel"/>
    <w:tmpl w:val="EE5E0F0A"/>
    <w:lvl w:ilvl="0" w:tplc="4AF65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14AA1"/>
    <w:multiLevelType w:val="hybridMultilevel"/>
    <w:tmpl w:val="5178E83A"/>
    <w:lvl w:ilvl="0" w:tplc="B6AEC1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2627"/>
    <w:multiLevelType w:val="hybridMultilevel"/>
    <w:tmpl w:val="BCEA0792"/>
    <w:lvl w:ilvl="0" w:tplc="1FE6F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320B8"/>
    <w:multiLevelType w:val="multilevel"/>
    <w:tmpl w:val="EACC50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75785B11"/>
    <w:multiLevelType w:val="hybridMultilevel"/>
    <w:tmpl w:val="4882F77E"/>
    <w:lvl w:ilvl="0" w:tplc="411066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92D18"/>
    <w:multiLevelType w:val="hybridMultilevel"/>
    <w:tmpl w:val="7EE6A986"/>
    <w:lvl w:ilvl="0" w:tplc="8AA68B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82517">
    <w:abstractNumId w:val="8"/>
  </w:num>
  <w:num w:numId="2" w16cid:durableId="439031469">
    <w:abstractNumId w:val="7"/>
  </w:num>
  <w:num w:numId="3" w16cid:durableId="1695645661">
    <w:abstractNumId w:val="9"/>
  </w:num>
  <w:num w:numId="4" w16cid:durableId="812258098">
    <w:abstractNumId w:val="0"/>
  </w:num>
  <w:num w:numId="5" w16cid:durableId="1792169348">
    <w:abstractNumId w:val="15"/>
  </w:num>
  <w:num w:numId="6" w16cid:durableId="481774402">
    <w:abstractNumId w:val="3"/>
  </w:num>
  <w:num w:numId="7" w16cid:durableId="1489201923">
    <w:abstractNumId w:val="2"/>
  </w:num>
  <w:num w:numId="8" w16cid:durableId="807209172">
    <w:abstractNumId w:val="1"/>
  </w:num>
  <w:num w:numId="9" w16cid:durableId="2062708227">
    <w:abstractNumId w:val="4"/>
  </w:num>
  <w:num w:numId="10" w16cid:durableId="1608613659">
    <w:abstractNumId w:val="5"/>
  </w:num>
  <w:num w:numId="11" w16cid:durableId="654915460">
    <w:abstractNumId w:val="6"/>
  </w:num>
  <w:num w:numId="12" w16cid:durableId="1621841584">
    <w:abstractNumId w:val="11"/>
  </w:num>
  <w:num w:numId="13" w16cid:durableId="1826896292">
    <w:abstractNumId w:val="10"/>
  </w:num>
  <w:num w:numId="14" w16cid:durableId="67265238">
    <w:abstractNumId w:val="14"/>
  </w:num>
  <w:num w:numId="15" w16cid:durableId="215898947">
    <w:abstractNumId w:val="12"/>
  </w:num>
  <w:num w:numId="16" w16cid:durableId="18149788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80"/>
    <w:rsid w:val="000004EB"/>
    <w:rsid w:val="00002574"/>
    <w:rsid w:val="00006BA1"/>
    <w:rsid w:val="00020A9C"/>
    <w:rsid w:val="000448B2"/>
    <w:rsid w:val="00046444"/>
    <w:rsid w:val="00046D63"/>
    <w:rsid w:val="00057007"/>
    <w:rsid w:val="00066651"/>
    <w:rsid w:val="0007188F"/>
    <w:rsid w:val="000755EF"/>
    <w:rsid w:val="00081CD5"/>
    <w:rsid w:val="0009438E"/>
    <w:rsid w:val="000B3609"/>
    <w:rsid w:val="000C119F"/>
    <w:rsid w:val="000C2A18"/>
    <w:rsid w:val="000D72C3"/>
    <w:rsid w:val="000E2E06"/>
    <w:rsid w:val="000E4006"/>
    <w:rsid w:val="000E5001"/>
    <w:rsid w:val="000E57A9"/>
    <w:rsid w:val="000F6CB3"/>
    <w:rsid w:val="00105F6E"/>
    <w:rsid w:val="001065C9"/>
    <w:rsid w:val="001066AA"/>
    <w:rsid w:val="00106A28"/>
    <w:rsid w:val="00115DCE"/>
    <w:rsid w:val="00116331"/>
    <w:rsid w:val="001218A0"/>
    <w:rsid w:val="001308CD"/>
    <w:rsid w:val="00134AB1"/>
    <w:rsid w:val="00141DDB"/>
    <w:rsid w:val="00145F1B"/>
    <w:rsid w:val="00152C18"/>
    <w:rsid w:val="001557F1"/>
    <w:rsid w:val="00157600"/>
    <w:rsid w:val="00161478"/>
    <w:rsid w:val="00171444"/>
    <w:rsid w:val="001773C4"/>
    <w:rsid w:val="001871C9"/>
    <w:rsid w:val="001A1BC5"/>
    <w:rsid w:val="001B5121"/>
    <w:rsid w:val="001B5915"/>
    <w:rsid w:val="001B776E"/>
    <w:rsid w:val="001C26AA"/>
    <w:rsid w:val="001C77A0"/>
    <w:rsid w:val="001E3E0C"/>
    <w:rsid w:val="001E46A8"/>
    <w:rsid w:val="001F532D"/>
    <w:rsid w:val="001F5BD8"/>
    <w:rsid w:val="001F6656"/>
    <w:rsid w:val="00201C33"/>
    <w:rsid w:val="002117B9"/>
    <w:rsid w:val="00215380"/>
    <w:rsid w:val="00220E0F"/>
    <w:rsid w:val="0022153A"/>
    <w:rsid w:val="00221D75"/>
    <w:rsid w:val="00225EF6"/>
    <w:rsid w:val="0023133E"/>
    <w:rsid w:val="00231EC4"/>
    <w:rsid w:val="00235ACB"/>
    <w:rsid w:val="00253B70"/>
    <w:rsid w:val="00262437"/>
    <w:rsid w:val="002641FF"/>
    <w:rsid w:val="00272439"/>
    <w:rsid w:val="002725F6"/>
    <w:rsid w:val="002851B5"/>
    <w:rsid w:val="00286C2B"/>
    <w:rsid w:val="00296FEA"/>
    <w:rsid w:val="00297AC6"/>
    <w:rsid w:val="00297DCA"/>
    <w:rsid w:val="002A1F77"/>
    <w:rsid w:val="002B7650"/>
    <w:rsid w:val="002C0233"/>
    <w:rsid w:val="0031721F"/>
    <w:rsid w:val="00323F3F"/>
    <w:rsid w:val="003255DC"/>
    <w:rsid w:val="00332EFD"/>
    <w:rsid w:val="003340BC"/>
    <w:rsid w:val="003432A5"/>
    <w:rsid w:val="003564AC"/>
    <w:rsid w:val="003630B7"/>
    <w:rsid w:val="00370462"/>
    <w:rsid w:val="00373F0C"/>
    <w:rsid w:val="003A1823"/>
    <w:rsid w:val="003A5C27"/>
    <w:rsid w:val="003B1BE6"/>
    <w:rsid w:val="003B35A6"/>
    <w:rsid w:val="003B3DFB"/>
    <w:rsid w:val="003C2A54"/>
    <w:rsid w:val="003D05C7"/>
    <w:rsid w:val="003D1307"/>
    <w:rsid w:val="003D6ABD"/>
    <w:rsid w:val="003F1A5E"/>
    <w:rsid w:val="003F2494"/>
    <w:rsid w:val="003F310D"/>
    <w:rsid w:val="00406985"/>
    <w:rsid w:val="004144E5"/>
    <w:rsid w:val="00423DC5"/>
    <w:rsid w:val="0042444A"/>
    <w:rsid w:val="004362B4"/>
    <w:rsid w:val="00437AF8"/>
    <w:rsid w:val="0044464B"/>
    <w:rsid w:val="00463620"/>
    <w:rsid w:val="0047605D"/>
    <w:rsid w:val="00477A31"/>
    <w:rsid w:val="004A307A"/>
    <w:rsid w:val="004A410C"/>
    <w:rsid w:val="004A7D01"/>
    <w:rsid w:val="004E5090"/>
    <w:rsid w:val="004E7D88"/>
    <w:rsid w:val="00501134"/>
    <w:rsid w:val="0050157E"/>
    <w:rsid w:val="00506528"/>
    <w:rsid w:val="00513845"/>
    <w:rsid w:val="0051695B"/>
    <w:rsid w:val="005225E0"/>
    <w:rsid w:val="00527B29"/>
    <w:rsid w:val="00535D09"/>
    <w:rsid w:val="005403E7"/>
    <w:rsid w:val="00545489"/>
    <w:rsid w:val="00562B7F"/>
    <w:rsid w:val="005852D7"/>
    <w:rsid w:val="00585ED4"/>
    <w:rsid w:val="00591981"/>
    <w:rsid w:val="00592F8D"/>
    <w:rsid w:val="00595318"/>
    <w:rsid w:val="00596ADB"/>
    <w:rsid w:val="005B1BAF"/>
    <w:rsid w:val="005B43C2"/>
    <w:rsid w:val="005D36BF"/>
    <w:rsid w:val="005D7A9C"/>
    <w:rsid w:val="005F007E"/>
    <w:rsid w:val="005F1310"/>
    <w:rsid w:val="005F1379"/>
    <w:rsid w:val="005F1A66"/>
    <w:rsid w:val="005F4744"/>
    <w:rsid w:val="00604FB8"/>
    <w:rsid w:val="00610B21"/>
    <w:rsid w:val="00621BA0"/>
    <w:rsid w:val="00665AE0"/>
    <w:rsid w:val="00680147"/>
    <w:rsid w:val="00690FB8"/>
    <w:rsid w:val="00696A35"/>
    <w:rsid w:val="006A3B1F"/>
    <w:rsid w:val="006B24D6"/>
    <w:rsid w:val="006B466D"/>
    <w:rsid w:val="006C453E"/>
    <w:rsid w:val="006C6D1C"/>
    <w:rsid w:val="006D0454"/>
    <w:rsid w:val="006D5A03"/>
    <w:rsid w:val="006E263F"/>
    <w:rsid w:val="006E3DE5"/>
    <w:rsid w:val="006E43E6"/>
    <w:rsid w:val="006F411E"/>
    <w:rsid w:val="006F4F47"/>
    <w:rsid w:val="00701C5B"/>
    <w:rsid w:val="007123A6"/>
    <w:rsid w:val="00713B1B"/>
    <w:rsid w:val="00723615"/>
    <w:rsid w:val="00724BF8"/>
    <w:rsid w:val="00727074"/>
    <w:rsid w:val="00734F64"/>
    <w:rsid w:val="00737D6F"/>
    <w:rsid w:val="007579FD"/>
    <w:rsid w:val="007733F0"/>
    <w:rsid w:val="007768ED"/>
    <w:rsid w:val="0077720F"/>
    <w:rsid w:val="007804E9"/>
    <w:rsid w:val="00790600"/>
    <w:rsid w:val="00790C36"/>
    <w:rsid w:val="007A55FD"/>
    <w:rsid w:val="007B5A59"/>
    <w:rsid w:val="007B7B1C"/>
    <w:rsid w:val="007D695D"/>
    <w:rsid w:val="007E234B"/>
    <w:rsid w:val="007F3955"/>
    <w:rsid w:val="007F6769"/>
    <w:rsid w:val="00807F90"/>
    <w:rsid w:val="00813459"/>
    <w:rsid w:val="00814AE8"/>
    <w:rsid w:val="00816A97"/>
    <w:rsid w:val="00822271"/>
    <w:rsid w:val="008457D9"/>
    <w:rsid w:val="0085272B"/>
    <w:rsid w:val="00853444"/>
    <w:rsid w:val="00855232"/>
    <w:rsid w:val="00855919"/>
    <w:rsid w:val="00860D6C"/>
    <w:rsid w:val="008621ED"/>
    <w:rsid w:val="008806E3"/>
    <w:rsid w:val="008816DF"/>
    <w:rsid w:val="008945ED"/>
    <w:rsid w:val="0089498B"/>
    <w:rsid w:val="008A3588"/>
    <w:rsid w:val="008A3FE1"/>
    <w:rsid w:val="008A58ED"/>
    <w:rsid w:val="008B1093"/>
    <w:rsid w:val="008B2497"/>
    <w:rsid w:val="008C392B"/>
    <w:rsid w:val="008C64EF"/>
    <w:rsid w:val="008D4BD5"/>
    <w:rsid w:val="008E2B23"/>
    <w:rsid w:val="008E38AB"/>
    <w:rsid w:val="008E45BE"/>
    <w:rsid w:val="008F1B81"/>
    <w:rsid w:val="00904397"/>
    <w:rsid w:val="0091200D"/>
    <w:rsid w:val="00925C75"/>
    <w:rsid w:val="00930B66"/>
    <w:rsid w:val="00935193"/>
    <w:rsid w:val="00940628"/>
    <w:rsid w:val="009420EA"/>
    <w:rsid w:val="009465E3"/>
    <w:rsid w:val="00966A12"/>
    <w:rsid w:val="00982042"/>
    <w:rsid w:val="00984768"/>
    <w:rsid w:val="00991D51"/>
    <w:rsid w:val="009D6DF0"/>
    <w:rsid w:val="009E21BA"/>
    <w:rsid w:val="009F060A"/>
    <w:rsid w:val="009F5E25"/>
    <w:rsid w:val="00A00D8B"/>
    <w:rsid w:val="00A02750"/>
    <w:rsid w:val="00A21121"/>
    <w:rsid w:val="00A22E98"/>
    <w:rsid w:val="00A231D3"/>
    <w:rsid w:val="00A33E9C"/>
    <w:rsid w:val="00A35D04"/>
    <w:rsid w:val="00A36BA5"/>
    <w:rsid w:val="00A3720F"/>
    <w:rsid w:val="00A45237"/>
    <w:rsid w:val="00A52A5F"/>
    <w:rsid w:val="00A7121B"/>
    <w:rsid w:val="00A72319"/>
    <w:rsid w:val="00A81308"/>
    <w:rsid w:val="00A84672"/>
    <w:rsid w:val="00A865DE"/>
    <w:rsid w:val="00A9348C"/>
    <w:rsid w:val="00AA66B6"/>
    <w:rsid w:val="00AC0640"/>
    <w:rsid w:val="00AC407D"/>
    <w:rsid w:val="00AD7BB5"/>
    <w:rsid w:val="00AE65C4"/>
    <w:rsid w:val="00AF1610"/>
    <w:rsid w:val="00AF2EEC"/>
    <w:rsid w:val="00AF7101"/>
    <w:rsid w:val="00B0656F"/>
    <w:rsid w:val="00B075D2"/>
    <w:rsid w:val="00B15FB2"/>
    <w:rsid w:val="00B17B05"/>
    <w:rsid w:val="00B2580F"/>
    <w:rsid w:val="00B26A44"/>
    <w:rsid w:val="00B32681"/>
    <w:rsid w:val="00B5297F"/>
    <w:rsid w:val="00B52AA1"/>
    <w:rsid w:val="00B52EA9"/>
    <w:rsid w:val="00B55E23"/>
    <w:rsid w:val="00B81871"/>
    <w:rsid w:val="00B90077"/>
    <w:rsid w:val="00B94278"/>
    <w:rsid w:val="00BB7126"/>
    <w:rsid w:val="00BC2FCC"/>
    <w:rsid w:val="00BD167A"/>
    <w:rsid w:val="00BD1EF4"/>
    <w:rsid w:val="00BD29AD"/>
    <w:rsid w:val="00BD6B3E"/>
    <w:rsid w:val="00BE6394"/>
    <w:rsid w:val="00BF5068"/>
    <w:rsid w:val="00BF5E82"/>
    <w:rsid w:val="00C21E34"/>
    <w:rsid w:val="00C27C79"/>
    <w:rsid w:val="00C37FE6"/>
    <w:rsid w:val="00C42F6B"/>
    <w:rsid w:val="00C569BB"/>
    <w:rsid w:val="00C64152"/>
    <w:rsid w:val="00C676C5"/>
    <w:rsid w:val="00C76A6B"/>
    <w:rsid w:val="00C76E2D"/>
    <w:rsid w:val="00C83C3D"/>
    <w:rsid w:val="00C94153"/>
    <w:rsid w:val="00CC0778"/>
    <w:rsid w:val="00CC1C7D"/>
    <w:rsid w:val="00CC3EF6"/>
    <w:rsid w:val="00CE5A85"/>
    <w:rsid w:val="00CF2963"/>
    <w:rsid w:val="00CF6261"/>
    <w:rsid w:val="00D04AAE"/>
    <w:rsid w:val="00D07939"/>
    <w:rsid w:val="00D17314"/>
    <w:rsid w:val="00D3130E"/>
    <w:rsid w:val="00D601E3"/>
    <w:rsid w:val="00D64351"/>
    <w:rsid w:val="00D76B3A"/>
    <w:rsid w:val="00D811DF"/>
    <w:rsid w:val="00D85992"/>
    <w:rsid w:val="00D8768A"/>
    <w:rsid w:val="00DA2BB1"/>
    <w:rsid w:val="00DB08D4"/>
    <w:rsid w:val="00DC1ECD"/>
    <w:rsid w:val="00DC51A5"/>
    <w:rsid w:val="00DC544D"/>
    <w:rsid w:val="00DC7442"/>
    <w:rsid w:val="00DE3E3F"/>
    <w:rsid w:val="00DF28ED"/>
    <w:rsid w:val="00DF72EC"/>
    <w:rsid w:val="00E00365"/>
    <w:rsid w:val="00E06CED"/>
    <w:rsid w:val="00E34D52"/>
    <w:rsid w:val="00E56560"/>
    <w:rsid w:val="00E56AA2"/>
    <w:rsid w:val="00E9673C"/>
    <w:rsid w:val="00E97B3A"/>
    <w:rsid w:val="00EA1A2F"/>
    <w:rsid w:val="00EA477C"/>
    <w:rsid w:val="00EC6E1D"/>
    <w:rsid w:val="00EE3779"/>
    <w:rsid w:val="00EE6B19"/>
    <w:rsid w:val="00EF4295"/>
    <w:rsid w:val="00EF4F6B"/>
    <w:rsid w:val="00F052D7"/>
    <w:rsid w:val="00F10CF0"/>
    <w:rsid w:val="00F1125F"/>
    <w:rsid w:val="00F159D6"/>
    <w:rsid w:val="00F25046"/>
    <w:rsid w:val="00F25C22"/>
    <w:rsid w:val="00F27046"/>
    <w:rsid w:val="00F31F90"/>
    <w:rsid w:val="00F42B4F"/>
    <w:rsid w:val="00F51B86"/>
    <w:rsid w:val="00F541F5"/>
    <w:rsid w:val="00F701B3"/>
    <w:rsid w:val="00F704B6"/>
    <w:rsid w:val="00F72D15"/>
    <w:rsid w:val="00F744D9"/>
    <w:rsid w:val="00F90417"/>
    <w:rsid w:val="00F92A7D"/>
    <w:rsid w:val="00F961CB"/>
    <w:rsid w:val="00F96F69"/>
    <w:rsid w:val="00FA1CFA"/>
    <w:rsid w:val="00FC06D9"/>
    <w:rsid w:val="00FC7D89"/>
    <w:rsid w:val="00FD197F"/>
    <w:rsid w:val="00FD2EF3"/>
    <w:rsid w:val="00FD4117"/>
    <w:rsid w:val="00FE798C"/>
    <w:rsid w:val="00FF05DD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C6AF6"/>
  <w15:docId w15:val="{D31C31CC-5A7A-4C9F-85F3-4ACAFD4F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9E21BA"/>
    <w:pPr>
      <w:keepNext/>
      <w:keepLines/>
      <w:numPr>
        <w:ilvl w:val="5"/>
        <w:numId w:val="1"/>
      </w:numPr>
      <w:spacing w:before="40"/>
      <w:outlineLvl w:val="5"/>
    </w:pPr>
    <w:rPr>
      <w:rFonts w:ascii="Arial" w:eastAsiaTheme="majorEastAsia" w:hAnsi="Arial" w:cstheme="majorBidi"/>
      <w:sz w:val="20"/>
      <w:szCs w:val="24"/>
      <w:lang w:eastAsia="es-CO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855919"/>
    <w:pPr>
      <w:keepNext/>
      <w:jc w:val="center"/>
      <w:outlineLvl w:val="6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9E21BA"/>
    <w:rPr>
      <w:rFonts w:ascii="Arial" w:eastAsiaTheme="majorEastAsia" w:hAnsi="Arial" w:cstheme="majorBidi"/>
      <w:sz w:val="20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15380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6ADB"/>
    <w:rPr>
      <w:color w:val="0000FF"/>
      <w:u w:val="single"/>
    </w:rPr>
  </w:style>
  <w:style w:type="paragraph" w:styleId="NormalWeb">
    <w:name w:val="Normal (Web)"/>
    <w:basedOn w:val="Normal"/>
    <w:uiPriority w:val="99"/>
    <w:rsid w:val="00596ADB"/>
    <w:pPr>
      <w:spacing w:before="100" w:beforeAutospacing="1" w:after="100" w:afterAutospacing="1"/>
    </w:pPr>
    <w:rPr>
      <w:szCs w:val="24"/>
      <w:lang w:val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855919"/>
    <w:rPr>
      <w:rFonts w:ascii="Arial" w:eastAsia="Times New Roman" w:hAnsi="Arial" w:cs="Times New Roman"/>
      <w:sz w:val="2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3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1C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C5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1C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C5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Default">
    <w:name w:val="Default"/>
    <w:link w:val="DefaultCar"/>
    <w:rsid w:val="002624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rsid w:val="0026243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81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1D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1D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1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1DF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1DF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DefaultChar">
    <w:name w:val="Default Char"/>
    <w:locked/>
    <w:rsid w:val="005F1A66"/>
    <w:rPr>
      <w:rFonts w:ascii="Arial" w:hAnsi="Arial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7E2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7E234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DFAB718FF44848B67536ACD193E98D" ma:contentTypeVersion="0" ma:contentTypeDescription="Crear nuevo documento." ma:contentTypeScope="" ma:versionID="18375fb5598c4f23a8c6776e58016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5716F-8C4D-4B50-AA3B-76EF8DADDB9F}"/>
</file>

<file path=customXml/itemProps2.xml><?xml version="1.0" encoding="utf-8"?>
<ds:datastoreItem xmlns:ds="http://schemas.openxmlformats.org/officeDocument/2006/customXml" ds:itemID="{EE7F552B-7F58-49FD-89F2-D38D845F2053}"/>
</file>

<file path=customXml/itemProps3.xml><?xml version="1.0" encoding="utf-8"?>
<ds:datastoreItem xmlns:ds="http://schemas.openxmlformats.org/officeDocument/2006/customXml" ds:itemID="{1240FEFF-C9E3-444B-866D-8D8749DEE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Alfredo Daza Figueredo</dc:creator>
  <cp:lastModifiedBy>Wilson Antonio Navarro Castro</cp:lastModifiedBy>
  <cp:revision>9</cp:revision>
  <dcterms:created xsi:type="dcterms:W3CDTF">2021-02-12T18:21:00Z</dcterms:created>
  <dcterms:modified xsi:type="dcterms:W3CDTF">2022-06-24T22:22:00Z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0x010100E7DFAB718FF44848B67536ACD193E98D</vt:lpwstr>
  </property>
</Properties>
</file>