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5"/>
      </w:tblGrid>
      <w:tr w:rsidR="00215380" w:rsidRPr="000C13AC" w14:paraId="4EDD3B52" w14:textId="77777777" w:rsidTr="000A2D7F">
        <w:trPr>
          <w:trHeight w:val="334"/>
        </w:trPr>
        <w:tc>
          <w:tcPr>
            <w:tcW w:w="8975" w:type="dxa"/>
          </w:tcPr>
          <w:p w14:paraId="3ECB848E" w14:textId="77777777" w:rsidR="004F33D7" w:rsidRPr="000C13AC" w:rsidRDefault="00215380" w:rsidP="009E0B63">
            <w:pPr>
              <w:spacing w:line="276" w:lineRule="auto"/>
              <w:jc w:val="center"/>
              <w:rPr>
                <w:rFonts w:ascii="Arial" w:hAnsi="Arial" w:cs="Arial"/>
                <w:b/>
                <w:sz w:val="22"/>
                <w:szCs w:val="22"/>
              </w:rPr>
            </w:pPr>
            <w:bookmarkStart w:id="0" w:name="_GoBack"/>
            <w:bookmarkEnd w:id="0"/>
            <w:r w:rsidRPr="000C13AC">
              <w:rPr>
                <w:rFonts w:ascii="Arial" w:hAnsi="Arial" w:cs="Arial"/>
                <w:sz w:val="22"/>
                <w:szCs w:val="22"/>
              </w:rPr>
              <w:t xml:space="preserve"> </w:t>
            </w:r>
            <w:r w:rsidR="004F33D7" w:rsidRPr="000C13AC">
              <w:rPr>
                <w:rFonts w:ascii="Arial" w:hAnsi="Arial" w:cs="Arial"/>
                <w:b/>
                <w:sz w:val="22"/>
                <w:szCs w:val="22"/>
              </w:rPr>
              <w:t>ANEXO No. 2</w:t>
            </w:r>
          </w:p>
          <w:p w14:paraId="20A9228A" w14:textId="77777777" w:rsidR="00215380" w:rsidRPr="000C13AC" w:rsidRDefault="00215380" w:rsidP="009E0B63">
            <w:pPr>
              <w:spacing w:line="276" w:lineRule="auto"/>
              <w:jc w:val="center"/>
              <w:rPr>
                <w:rFonts w:ascii="Arial" w:hAnsi="Arial" w:cs="Arial"/>
                <w:b/>
                <w:sz w:val="22"/>
                <w:szCs w:val="22"/>
              </w:rPr>
            </w:pPr>
            <w:r w:rsidRPr="000C13AC">
              <w:rPr>
                <w:rFonts w:ascii="Arial" w:hAnsi="Arial" w:cs="Arial"/>
                <w:b/>
                <w:sz w:val="22"/>
                <w:szCs w:val="22"/>
              </w:rPr>
              <w:t>FORMATO ÚNICO DE MEMORIA JUSTIFICATIVA</w:t>
            </w:r>
          </w:p>
          <w:p w14:paraId="139ED1A4" w14:textId="77777777" w:rsidR="00D3130E" w:rsidRPr="000C13AC" w:rsidRDefault="00D3130E" w:rsidP="00C11E96">
            <w:pPr>
              <w:spacing w:line="276" w:lineRule="auto"/>
              <w:jc w:val="both"/>
              <w:rPr>
                <w:rFonts w:ascii="Arial" w:hAnsi="Arial" w:cs="Arial"/>
                <w:b/>
                <w:sz w:val="22"/>
                <w:szCs w:val="22"/>
              </w:rPr>
            </w:pPr>
          </w:p>
        </w:tc>
      </w:tr>
      <w:tr w:rsidR="00215380" w:rsidRPr="000C13AC" w14:paraId="5206F989" w14:textId="77777777" w:rsidTr="003C53FD">
        <w:trPr>
          <w:trHeight w:val="9488"/>
        </w:trPr>
        <w:tc>
          <w:tcPr>
            <w:tcW w:w="8975" w:type="dxa"/>
          </w:tcPr>
          <w:p w14:paraId="1839A237" w14:textId="77777777" w:rsidR="00D3130E" w:rsidRPr="002A5F20" w:rsidRDefault="00D3130E" w:rsidP="002A5F20">
            <w:pPr>
              <w:autoSpaceDE w:val="0"/>
              <w:autoSpaceDN w:val="0"/>
              <w:adjustRightInd w:val="0"/>
              <w:jc w:val="both"/>
              <w:rPr>
                <w:rFonts w:ascii="Arial" w:hAnsi="Arial" w:cs="Arial"/>
                <w:sz w:val="23"/>
                <w:szCs w:val="23"/>
              </w:rPr>
            </w:pPr>
          </w:p>
          <w:tbl>
            <w:tblPr>
              <w:tblStyle w:val="Tablaconcuadrcula"/>
              <w:tblW w:w="0" w:type="auto"/>
              <w:tblLook w:val="04A0" w:firstRow="1" w:lastRow="0" w:firstColumn="1" w:lastColumn="0" w:noHBand="0" w:noVBand="1"/>
            </w:tblPr>
            <w:tblGrid>
              <w:gridCol w:w="8750"/>
            </w:tblGrid>
            <w:tr w:rsidR="00D3130E" w:rsidRPr="002A5F20" w14:paraId="5E8F0AFE" w14:textId="77777777" w:rsidTr="00D3130E">
              <w:tc>
                <w:tcPr>
                  <w:tcW w:w="8750" w:type="dxa"/>
                </w:tcPr>
                <w:p w14:paraId="68324010" w14:textId="119B6382" w:rsidR="00AD1060" w:rsidRPr="007E234B" w:rsidRDefault="00AD1060" w:rsidP="00B1155E">
                  <w:pPr>
                    <w:pStyle w:val="Sinespaciado"/>
                    <w:ind w:left="-142" w:right="-141"/>
                    <w:jc w:val="center"/>
                    <w:rPr>
                      <w:rFonts w:ascii="Arial" w:hAnsi="Arial" w:cs="Arial"/>
                      <w:sz w:val="23"/>
                      <w:szCs w:val="23"/>
                    </w:rPr>
                  </w:pPr>
                  <w:r w:rsidRPr="007E234B">
                    <w:rPr>
                      <w:rFonts w:ascii="Arial" w:hAnsi="Arial" w:cs="Arial"/>
                      <w:i/>
                      <w:sz w:val="23"/>
                      <w:szCs w:val="23"/>
                    </w:rPr>
                    <w:t>“</w:t>
                  </w:r>
                  <w:r w:rsidR="00713ABB" w:rsidRPr="00713ABB">
                    <w:rPr>
                      <w:rFonts w:ascii="Arial" w:hAnsi="Arial" w:cs="Arial"/>
                      <w:i/>
                      <w:sz w:val="23"/>
                      <w:szCs w:val="23"/>
                    </w:rPr>
                    <w:t>Por la cual se define el valor máximo de recobro de las pruebas diagnósticas y de anticuerpos para SARS- CoV-2 (COVID-19)</w:t>
                  </w:r>
                  <w:r w:rsidRPr="00437AF8">
                    <w:rPr>
                      <w:rFonts w:ascii="Arial" w:hAnsi="Arial" w:cs="Arial"/>
                      <w:i/>
                      <w:sz w:val="23"/>
                      <w:szCs w:val="23"/>
                    </w:rPr>
                    <w:t>”</w:t>
                  </w:r>
                </w:p>
                <w:p w14:paraId="009E938C" w14:textId="77777777" w:rsidR="003676D9" w:rsidRPr="002A5F20" w:rsidRDefault="003676D9" w:rsidP="002A5F20">
                  <w:pPr>
                    <w:autoSpaceDE w:val="0"/>
                    <w:autoSpaceDN w:val="0"/>
                    <w:adjustRightInd w:val="0"/>
                    <w:jc w:val="center"/>
                    <w:rPr>
                      <w:rFonts w:ascii="Arial" w:hAnsi="Arial" w:cs="Arial"/>
                      <w:sz w:val="23"/>
                      <w:szCs w:val="23"/>
                    </w:rPr>
                  </w:pPr>
                </w:p>
              </w:tc>
            </w:tr>
          </w:tbl>
          <w:p w14:paraId="30A5A7C3" w14:textId="77777777" w:rsidR="00D3130E" w:rsidRPr="002A5F20" w:rsidRDefault="00D3130E" w:rsidP="002A5F20">
            <w:pPr>
              <w:autoSpaceDE w:val="0"/>
              <w:autoSpaceDN w:val="0"/>
              <w:adjustRightInd w:val="0"/>
              <w:jc w:val="both"/>
              <w:rPr>
                <w:rFonts w:ascii="Arial" w:hAnsi="Arial" w:cs="Arial"/>
                <w:sz w:val="23"/>
                <w:szCs w:val="23"/>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50"/>
            </w:tblGrid>
            <w:tr w:rsidR="00215380" w:rsidRPr="002A5F20" w14:paraId="501A6683" w14:textId="77777777" w:rsidTr="00150793">
              <w:trPr>
                <w:trHeight w:val="645"/>
              </w:trPr>
              <w:tc>
                <w:tcPr>
                  <w:tcW w:w="8550" w:type="dxa"/>
                </w:tcPr>
                <w:p w14:paraId="5E21C1F3" w14:textId="77777777" w:rsidR="00215380" w:rsidRPr="009C1B9C" w:rsidRDefault="00215380" w:rsidP="002A5F20">
                  <w:pPr>
                    <w:pStyle w:val="Prrafodelista"/>
                    <w:numPr>
                      <w:ilvl w:val="0"/>
                      <w:numId w:val="2"/>
                    </w:numPr>
                    <w:autoSpaceDE w:val="0"/>
                    <w:autoSpaceDN w:val="0"/>
                    <w:adjustRightInd w:val="0"/>
                    <w:ind w:left="358" w:hanging="284"/>
                    <w:jc w:val="both"/>
                    <w:rPr>
                      <w:rFonts w:ascii="Arial" w:hAnsi="Arial" w:cs="Arial"/>
                      <w:b/>
                      <w:bCs/>
                      <w:sz w:val="23"/>
                      <w:szCs w:val="23"/>
                    </w:rPr>
                  </w:pPr>
                  <w:r w:rsidRPr="009C1B9C">
                    <w:rPr>
                      <w:rFonts w:ascii="Arial" w:hAnsi="Arial" w:cs="Arial"/>
                      <w:b/>
                      <w:bCs/>
                      <w:sz w:val="23"/>
                      <w:szCs w:val="23"/>
                    </w:rPr>
                    <w:t xml:space="preserve">ANTECEDENTES Y RAZONES DE OPORTUNIDAD QUE JUSTIFICAN SU EXPEDICIÓN. </w:t>
                  </w:r>
                </w:p>
              </w:tc>
            </w:tr>
          </w:tbl>
          <w:p w14:paraId="1FDB8443" w14:textId="77777777" w:rsidR="00215380" w:rsidRPr="002A5F20" w:rsidRDefault="00215380" w:rsidP="002A5F20">
            <w:pPr>
              <w:autoSpaceDE w:val="0"/>
              <w:autoSpaceDN w:val="0"/>
              <w:adjustRightInd w:val="0"/>
              <w:jc w:val="both"/>
              <w:rPr>
                <w:rFonts w:ascii="Arial" w:hAnsi="Arial" w:cs="Arial"/>
                <w:sz w:val="23"/>
                <w:szCs w:val="23"/>
              </w:rPr>
            </w:pPr>
            <w:r w:rsidRPr="002A5F20">
              <w:rPr>
                <w:rFonts w:ascii="Arial" w:hAnsi="Arial" w:cs="Arial"/>
                <w:sz w:val="23"/>
                <w:szCs w:val="23"/>
              </w:rPr>
              <w:t xml:space="preserve">  </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15"/>
            </w:tblGrid>
            <w:tr w:rsidR="00215380" w:rsidRPr="002A5F20" w14:paraId="0EE79032" w14:textId="77777777" w:rsidTr="00AD1060">
              <w:trPr>
                <w:trHeight w:val="1119"/>
              </w:trPr>
              <w:tc>
                <w:tcPr>
                  <w:tcW w:w="8504" w:type="dxa"/>
                </w:tcPr>
                <w:p w14:paraId="1DF75C7B" w14:textId="77777777" w:rsidR="000C0C17" w:rsidRPr="002A5F20" w:rsidRDefault="000C0C17" w:rsidP="002A5F20">
                  <w:pPr>
                    <w:autoSpaceDE w:val="0"/>
                    <w:autoSpaceDN w:val="0"/>
                    <w:adjustRightInd w:val="0"/>
                    <w:jc w:val="both"/>
                    <w:rPr>
                      <w:rFonts w:ascii="Arial" w:hAnsi="Arial" w:cs="Arial"/>
                      <w:sz w:val="23"/>
                      <w:szCs w:val="23"/>
                    </w:rPr>
                  </w:pPr>
                </w:p>
                <w:p w14:paraId="436DBB8E" w14:textId="1A0070E2" w:rsidR="00FB4126" w:rsidRPr="002A5F20" w:rsidRDefault="00FB4126" w:rsidP="002A5F20">
                  <w:pPr>
                    <w:autoSpaceDE w:val="0"/>
                    <w:autoSpaceDN w:val="0"/>
                    <w:adjustRightInd w:val="0"/>
                    <w:jc w:val="both"/>
                    <w:rPr>
                      <w:rFonts w:ascii="Arial" w:hAnsi="Arial" w:cs="Arial"/>
                      <w:b/>
                      <w:bCs/>
                      <w:sz w:val="23"/>
                      <w:szCs w:val="23"/>
                    </w:rPr>
                  </w:pPr>
                  <w:r w:rsidRPr="002A5F20">
                    <w:rPr>
                      <w:rFonts w:ascii="Arial" w:hAnsi="Arial" w:cs="Arial"/>
                      <w:b/>
                      <w:bCs/>
                      <w:sz w:val="23"/>
                      <w:szCs w:val="23"/>
                    </w:rPr>
                    <w:t>Antecedentes:</w:t>
                  </w:r>
                </w:p>
                <w:p w14:paraId="24C8AE23" w14:textId="761349B4" w:rsidR="00E17069" w:rsidRPr="002A5F20" w:rsidRDefault="00E17069" w:rsidP="002A5F20">
                  <w:pPr>
                    <w:autoSpaceDE w:val="0"/>
                    <w:autoSpaceDN w:val="0"/>
                    <w:adjustRightInd w:val="0"/>
                    <w:jc w:val="both"/>
                    <w:rPr>
                      <w:rFonts w:ascii="Arial" w:hAnsi="Arial" w:cs="Arial"/>
                      <w:sz w:val="23"/>
                      <w:szCs w:val="23"/>
                    </w:rPr>
                  </w:pPr>
                </w:p>
                <w:p w14:paraId="2D18AD7B" w14:textId="161532D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E</w:t>
                  </w:r>
                  <w:r w:rsidRPr="00713ABB">
                    <w:rPr>
                      <w:rFonts w:ascii="Arial" w:hAnsi="Arial" w:cs="Arial"/>
                      <w:sz w:val="23"/>
                      <w:szCs w:val="23"/>
                    </w:rPr>
                    <w:t>l Ministerio de Salud y Protección Social, como rector de la política pública en salud, está en el deber de definir e implementar políticas que permitan el uso eficiente y racional de los recursos disponibles para garantizar el derecho fundamental a la salud a través del SGSSS, procurando, en primera medida, la promoción de la salud y la atención integral de la enfermedad, al tiempo que preserva la estabilidad económica y sostenibilidad del mismo frente a los recursos dispuestos por el Gobierno Nacional, lo cual repercute en la prestación eficiente de los servicios de salud a la población afiliada.</w:t>
                  </w:r>
                </w:p>
                <w:p w14:paraId="26C41C21"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4C77ECAA" w14:textId="73962C69"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A</w:t>
                  </w:r>
                  <w:r w:rsidRPr="00713ABB">
                    <w:rPr>
                      <w:rFonts w:ascii="Arial" w:hAnsi="Arial" w:cs="Arial"/>
                      <w:sz w:val="23"/>
                      <w:szCs w:val="23"/>
                    </w:rPr>
                    <w:t xml:space="preserve">nte la identificación de casos del Coronavirus COVID-19 en el país y con el fin de adoptar las medidas necesarias para la contención del virus y su mitigación, este Ministerio mediante la Resolución 385 del 12 de marzo de 2020, prorrogada mediante las Resoluciones 844, 1462, 2230 de 2020, 222, 738, 1315, 1913 de 2021, 304 y 666 de 2022 hasta el 30 de junio del 2022, declaró la emergencia sanitaria en todo el territorio nacional y adoptó medidas sanitarias con el fin de prevenir y controlar la propagación del COVID- 19. </w:t>
                  </w:r>
                </w:p>
                <w:p w14:paraId="7CB57770" w14:textId="77777777" w:rsidR="00713ABB" w:rsidRDefault="00713ABB" w:rsidP="00713ABB">
                  <w:pPr>
                    <w:tabs>
                      <w:tab w:val="left" w:pos="5301"/>
                    </w:tabs>
                    <w:suppressAutoHyphens/>
                    <w:autoSpaceDE w:val="0"/>
                    <w:autoSpaceDN w:val="0"/>
                    <w:adjustRightInd w:val="0"/>
                    <w:jc w:val="both"/>
                    <w:rPr>
                      <w:rFonts w:ascii="Arial" w:hAnsi="Arial" w:cs="Arial"/>
                      <w:sz w:val="23"/>
                      <w:szCs w:val="23"/>
                    </w:rPr>
                  </w:pPr>
                </w:p>
                <w:p w14:paraId="4E2E049E" w14:textId="58B3F1FB"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E</w:t>
                  </w:r>
                  <w:r w:rsidRPr="00713ABB">
                    <w:rPr>
                      <w:rFonts w:ascii="Arial" w:hAnsi="Arial" w:cs="Arial"/>
                      <w:sz w:val="23"/>
                      <w:szCs w:val="23"/>
                    </w:rPr>
                    <w:t xml:space="preserve">n desarrollo de las medidas establecidas en el marco del Estado de Emergencia Económica, Social y Ecológica decretado por el Gobierno Nacional a través del Decreto 417 del 17 de marzo de 2020, especialmente en lo dispuesto en el artículo 20 del Decreto 538 de 2020 y en concordancia con la Estrategia del Programa de Pruebas de Rastreo y Aislamiento Selectivo Sostenible PRASS, este Ministerio mediante la Resolución 1463 de 2020, modificada por las Resoluciones 1630 y 1808 de 2020, adoptó las pruebas de búsqueda, tamizaje y diagnostico SARS CoV2 (COVID-19) que integran las canastas de servicios y tecnologías en salud definidas en la resolución 1161 de 2020, y estableció el valor de reconocimiento y pago a ser reconocido por parte de la ADRES con los recursos del FOME. </w:t>
                  </w:r>
                </w:p>
                <w:p w14:paraId="56740487"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3BDE94CC" w14:textId="65A54498"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E</w:t>
                  </w:r>
                  <w:r w:rsidRPr="00713ABB">
                    <w:rPr>
                      <w:rFonts w:ascii="Arial" w:hAnsi="Arial" w:cs="Arial"/>
                      <w:sz w:val="23"/>
                      <w:szCs w:val="23"/>
                    </w:rPr>
                    <w:t xml:space="preserve">l Consejo de Estado en fallo de control inmediato de legalidad declaró que las Resoluciones 1161, 1463 y 1630 de 2020 se encontraban ajustadas a derecho para lo cual precisó que estas normas estarían vigentes durante la emergencia sanitaria, o durante el término que señale el Congreso de la República en ejercicio de sus competencias ordinarias en la materia. </w:t>
                  </w:r>
                </w:p>
                <w:p w14:paraId="64FF2335"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2AF6A4F0" w14:textId="59737722"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lastRenderedPageBreak/>
                    <w:t>T</w:t>
                  </w:r>
                  <w:r w:rsidRPr="00713ABB">
                    <w:rPr>
                      <w:rFonts w:ascii="Arial" w:hAnsi="Arial" w:cs="Arial"/>
                      <w:sz w:val="23"/>
                      <w:szCs w:val="23"/>
                    </w:rPr>
                    <w:t xml:space="preserve">eniendo en cuenta que conforme a lo previsto en la Resolución 666 de 2022 la emergencia sanitaria se encuentra vigente solo hasta el 30 de junio del 2022, y que las pruebas diagnósticas y de anticuerpos para SARS- CoV-2 (COVID-19) no se encuentran financiados con los recursos del presupuesto máximo ni de la Unidad de Pago por Capitación UPC, es necesario que se establezca un valor máximo de recobro para que ADRES pueda continuar efectuando dicho reconocimiento. </w:t>
                  </w:r>
                </w:p>
                <w:p w14:paraId="53224841"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653AC0E0" w14:textId="2A0A642D"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E</w:t>
                  </w:r>
                  <w:r w:rsidRPr="00713ABB">
                    <w:rPr>
                      <w:rFonts w:ascii="Arial" w:hAnsi="Arial" w:cs="Arial"/>
                      <w:sz w:val="23"/>
                      <w:szCs w:val="23"/>
                    </w:rPr>
                    <w:t xml:space="preserve">l artículo 5 de la Ley 1966 del 11 de julio de 2019 estableció </w:t>
                  </w:r>
                  <w:proofErr w:type="gramStart"/>
                  <w:r w:rsidRPr="00713ABB">
                    <w:rPr>
                      <w:rFonts w:ascii="Arial" w:hAnsi="Arial" w:cs="Arial"/>
                      <w:sz w:val="23"/>
                      <w:szCs w:val="23"/>
                    </w:rPr>
                    <w:t>que</w:t>
                  </w:r>
                  <w:proofErr w:type="gramEnd"/>
                  <w:r w:rsidRPr="00713ABB">
                    <w:rPr>
                      <w:rFonts w:ascii="Arial" w:hAnsi="Arial" w:cs="Arial"/>
                      <w:sz w:val="23"/>
                      <w:szCs w:val="23"/>
                    </w:rPr>
                    <w:t xml:space="preserve"> en ningún caso, la Administradora de los Recursos del Sistema General de Seguridad Social en Salud - ADRES podría reconocer y pagar servicios y tecnologías en salud no financiados con cargo a los recursos de la UPC, cuando estos sean superiores a los valores máximos que establezca este Ministerio, a partir de una metodología que tenga en cuenta los valores recobrados o cobrados. </w:t>
                  </w:r>
                </w:p>
                <w:p w14:paraId="1A06345C"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7B135EDF" w14:textId="3F4986D5"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A</w:t>
                  </w:r>
                  <w:r w:rsidRPr="00713ABB">
                    <w:rPr>
                      <w:rFonts w:ascii="Arial" w:hAnsi="Arial" w:cs="Arial"/>
                      <w:sz w:val="23"/>
                      <w:szCs w:val="23"/>
                    </w:rPr>
                    <w:t xml:space="preserve">tendiendo a lo previsto en la mencionada disposición, la Dirección de Regulación de Beneficios, Costos y Tarifas del Aseguramiento en Salud elaboró el documento técnico “METODOLOGÍA PARA ESTABLECER EL VALOR MÁXIMO DE RECOBRO DE LAS PRUEBAS DIAGNÓSTICAS (MOLECULAR Y ANTÍGENO) Y DE ANTICUERPOS IgG e IgM PARA SARS CoV-2 (COVID-19)”, el cual soporta los valores previstos en el presente acto administrativo. </w:t>
                  </w:r>
                </w:p>
                <w:p w14:paraId="312B8CB8"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6EC2447C" w14:textId="54807328"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C</w:t>
                  </w:r>
                  <w:r w:rsidRPr="00713ABB">
                    <w:rPr>
                      <w:rFonts w:ascii="Arial" w:hAnsi="Arial" w:cs="Arial"/>
                      <w:sz w:val="23"/>
                      <w:szCs w:val="23"/>
                    </w:rPr>
                    <w:t xml:space="preserve">onforme a los lineamientos dispuestos por este Ministerio las pruebas diagnósticas para SARS- CoV-2 (COVID-19) corresponden a la prueba molecular y antígeno identificadas con los códigos CUPS 90.8.8.56 IDENTIFICACIÓN DE OTRO VIRUS (ESPECÍFICA) POR PRUEBAS MOLECULARES y 90.6.3.40 SARS CoV2 (COVID-19) ANTÍGENO. Las pruebas de anticuerpos se identifican con los códigos CUPS 90.6.2.70 SARS CoV2 (COVID-19) ANTICUERPO IgG y 90.6.2.71 SARS CoV2 (COVID-19) ANTICUERPO IgM. </w:t>
                  </w:r>
                </w:p>
                <w:p w14:paraId="2DCA3A7D"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4232A78D" w14:textId="33B220F4"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L</w:t>
                  </w:r>
                  <w:r w:rsidRPr="00713ABB">
                    <w:rPr>
                      <w:rFonts w:ascii="Arial" w:hAnsi="Arial" w:cs="Arial"/>
                      <w:sz w:val="23"/>
                      <w:szCs w:val="23"/>
                    </w:rPr>
                    <w:t xml:space="preserve">a metodología contempla la información de los recobros de las pruebas diagnósticas y de anticuerpos para SARS-CoV-2 (COVID-19) reconocidos por la ADRES, los valores de reconocimiento y pago establecidos mediante las resoluciones 1463 de 2020 modificada por la Resolución 1630 de 2020, y los resultados de la referenciación internacional de precios de las pruebas de PCR y Antígeno, incluyendo el factor de inflación proyectado para el año 2022 definido por el Ministerio de Hacienda y Crédito Público.  </w:t>
                  </w:r>
                </w:p>
                <w:p w14:paraId="2C529368" w14:textId="77777777" w:rsidR="00713ABB" w:rsidRPr="00713ABB" w:rsidRDefault="00713ABB" w:rsidP="00713ABB">
                  <w:pPr>
                    <w:tabs>
                      <w:tab w:val="left" w:pos="5301"/>
                    </w:tabs>
                    <w:suppressAutoHyphens/>
                    <w:autoSpaceDE w:val="0"/>
                    <w:autoSpaceDN w:val="0"/>
                    <w:adjustRightInd w:val="0"/>
                    <w:jc w:val="both"/>
                    <w:rPr>
                      <w:rFonts w:ascii="Arial" w:hAnsi="Arial" w:cs="Arial"/>
                      <w:sz w:val="23"/>
                      <w:szCs w:val="23"/>
                    </w:rPr>
                  </w:pPr>
                </w:p>
                <w:p w14:paraId="2F7CF76D" w14:textId="050AC64D" w:rsidR="00713ABB" w:rsidRDefault="00713ABB" w:rsidP="00713ABB">
                  <w:pPr>
                    <w:tabs>
                      <w:tab w:val="left" w:pos="5301"/>
                    </w:tabs>
                    <w:suppressAutoHyphens/>
                    <w:autoSpaceDE w:val="0"/>
                    <w:autoSpaceDN w:val="0"/>
                    <w:adjustRightInd w:val="0"/>
                    <w:jc w:val="both"/>
                    <w:rPr>
                      <w:rFonts w:ascii="Arial" w:hAnsi="Arial" w:cs="Arial"/>
                      <w:sz w:val="23"/>
                      <w:szCs w:val="23"/>
                    </w:rPr>
                  </w:pPr>
                  <w:r>
                    <w:rPr>
                      <w:rFonts w:ascii="Arial" w:hAnsi="Arial" w:cs="Arial"/>
                      <w:sz w:val="23"/>
                      <w:szCs w:val="23"/>
                    </w:rPr>
                    <w:t>C</w:t>
                  </w:r>
                  <w:r w:rsidRPr="00713ABB">
                    <w:rPr>
                      <w:rFonts w:ascii="Arial" w:hAnsi="Arial" w:cs="Arial"/>
                      <w:sz w:val="23"/>
                      <w:szCs w:val="23"/>
                    </w:rPr>
                    <w:t xml:space="preserve">onforme a lo previsto en el numeral 9.5 del artículo 9 de la Resolución XX  que modifica la Resolución 586 de 2021, para el reconocimiento y pago de las pruebas diagnósticas y de anticuerpos para SARS- CoV-2 (COVID-19)  la ADRES debe tener </w:t>
                  </w:r>
                  <w:proofErr w:type="spellStart"/>
                  <w:r w:rsidRPr="00713ABB">
                    <w:rPr>
                      <w:rFonts w:ascii="Arial" w:hAnsi="Arial" w:cs="Arial"/>
                      <w:sz w:val="23"/>
                      <w:szCs w:val="23"/>
                    </w:rPr>
                    <w:t>el</w:t>
                  </w:r>
                  <w:proofErr w:type="spellEnd"/>
                  <w:r w:rsidRPr="00713ABB">
                    <w:rPr>
                      <w:rFonts w:ascii="Arial" w:hAnsi="Arial" w:cs="Arial"/>
                      <w:sz w:val="23"/>
                      <w:szCs w:val="23"/>
                    </w:rPr>
                    <w:t xml:space="preserve"> cuenta lo dispuesto en los "Lineamientos para el uso de pruebas diagnósticas para SARS-CoV-2 [COVID-19] en Colombia", publicados en la página de este Ministerio en el enlace: </w:t>
                  </w:r>
                  <w:hyperlink r:id="rId8" w:history="1">
                    <w:r w:rsidRPr="00B81D37">
                      <w:rPr>
                        <w:rStyle w:val="Hipervnculo"/>
                        <w:rFonts w:ascii="Arial" w:hAnsi="Arial" w:cs="Arial"/>
                        <w:sz w:val="23"/>
                        <w:szCs w:val="23"/>
                      </w:rPr>
                      <w:t>https://www.minsalud.gov.co/sites/rid/Lists/BibliotecaDigital/RIDE/VS/PP/ET/gips21-lineamientos-uso-pruebas-diagnosticas-sars-cov-2-covid19-2021.pdf</w:t>
                    </w:r>
                  </w:hyperlink>
                  <w:r w:rsidRPr="00713ABB">
                    <w:rPr>
                      <w:rFonts w:ascii="Arial" w:hAnsi="Arial" w:cs="Arial"/>
                      <w:sz w:val="23"/>
                      <w:szCs w:val="23"/>
                    </w:rPr>
                    <w:t>.</w:t>
                  </w:r>
                </w:p>
                <w:p w14:paraId="738BE6D3" w14:textId="77777777" w:rsidR="00713ABB" w:rsidRDefault="00713ABB" w:rsidP="00713ABB">
                  <w:pPr>
                    <w:tabs>
                      <w:tab w:val="left" w:pos="5301"/>
                    </w:tabs>
                    <w:suppressAutoHyphens/>
                    <w:autoSpaceDE w:val="0"/>
                    <w:autoSpaceDN w:val="0"/>
                    <w:adjustRightInd w:val="0"/>
                    <w:jc w:val="both"/>
                    <w:rPr>
                      <w:rFonts w:ascii="Arial" w:hAnsi="Arial" w:cs="Arial"/>
                      <w:sz w:val="23"/>
                      <w:szCs w:val="23"/>
                    </w:rPr>
                  </w:pPr>
                </w:p>
                <w:p w14:paraId="699400FB" w14:textId="77777777" w:rsidR="00713ABB" w:rsidRDefault="00DB70B8" w:rsidP="00C00EF8">
                  <w:pPr>
                    <w:tabs>
                      <w:tab w:val="left" w:pos="5301"/>
                    </w:tabs>
                    <w:suppressAutoHyphens/>
                    <w:autoSpaceDE w:val="0"/>
                    <w:autoSpaceDN w:val="0"/>
                    <w:adjustRightInd w:val="0"/>
                    <w:jc w:val="both"/>
                    <w:rPr>
                      <w:rFonts w:ascii="Arial" w:hAnsi="Arial" w:cs="Arial"/>
                      <w:color w:val="000000" w:themeColor="text1"/>
                      <w:sz w:val="23"/>
                      <w:szCs w:val="23"/>
                    </w:rPr>
                  </w:pPr>
                  <w:r>
                    <w:rPr>
                      <w:rFonts w:ascii="Arial" w:hAnsi="Arial" w:cs="Arial"/>
                      <w:color w:val="000000" w:themeColor="text1"/>
                      <w:sz w:val="23"/>
                      <w:szCs w:val="23"/>
                    </w:rPr>
                    <w:t>Teniendo en cuenta</w:t>
                  </w:r>
                  <w:r w:rsidR="00E63F10" w:rsidRPr="00AD1060">
                    <w:rPr>
                      <w:rFonts w:ascii="Arial" w:hAnsi="Arial" w:cs="Arial"/>
                      <w:color w:val="000000" w:themeColor="text1"/>
                      <w:sz w:val="23"/>
                      <w:szCs w:val="23"/>
                    </w:rPr>
                    <w:t xml:space="preserve"> lo anterior, el objeto principal del presente acto administrativo</w:t>
                  </w:r>
                  <w:r w:rsidR="00C00EF8">
                    <w:rPr>
                      <w:rFonts w:ascii="Arial" w:hAnsi="Arial" w:cs="Arial"/>
                      <w:color w:val="000000" w:themeColor="text1"/>
                      <w:sz w:val="23"/>
                      <w:szCs w:val="23"/>
                    </w:rPr>
                    <w:t xml:space="preserve"> es</w:t>
                  </w:r>
                  <w:r w:rsidR="00E63F10" w:rsidRPr="00AD1060">
                    <w:rPr>
                      <w:rFonts w:ascii="Arial" w:hAnsi="Arial" w:cs="Arial"/>
                      <w:color w:val="000000" w:themeColor="text1"/>
                      <w:sz w:val="23"/>
                      <w:szCs w:val="23"/>
                    </w:rPr>
                    <w:t xml:space="preserve"> </w:t>
                  </w:r>
                  <w:r w:rsidR="00713ABB" w:rsidRPr="00713ABB">
                    <w:rPr>
                      <w:rFonts w:ascii="Arial" w:hAnsi="Arial" w:cs="Arial"/>
                      <w:color w:val="000000" w:themeColor="text1"/>
                      <w:sz w:val="23"/>
                      <w:szCs w:val="23"/>
                    </w:rPr>
                    <w:t xml:space="preserve">definir el valor máximo de recobro de las pruebas diagnósticas y de Anticuerpos para SARS- CoV-2 (COVID-19) para ser reconocidos por parte de la Administradora </w:t>
                  </w:r>
                  <w:r w:rsidR="00713ABB" w:rsidRPr="00713ABB">
                    <w:rPr>
                      <w:rFonts w:ascii="Arial" w:hAnsi="Arial" w:cs="Arial"/>
                      <w:color w:val="000000" w:themeColor="text1"/>
                      <w:sz w:val="23"/>
                      <w:szCs w:val="23"/>
                    </w:rPr>
                    <w:lastRenderedPageBreak/>
                    <w:t>de los Recursos del Sistema General de Seguridad Social en Salud - ADRES, prescritas a los afiliados de los Regímenes Contributivo y Subsidiado a partir del 1 de julio de 2022.</w:t>
                  </w:r>
                </w:p>
                <w:p w14:paraId="2565FA27" w14:textId="77777777" w:rsidR="00713ABB" w:rsidRDefault="00713ABB" w:rsidP="00C00EF8">
                  <w:pPr>
                    <w:tabs>
                      <w:tab w:val="left" w:pos="5301"/>
                    </w:tabs>
                    <w:suppressAutoHyphens/>
                    <w:autoSpaceDE w:val="0"/>
                    <w:autoSpaceDN w:val="0"/>
                    <w:adjustRightInd w:val="0"/>
                    <w:jc w:val="both"/>
                    <w:rPr>
                      <w:rFonts w:ascii="Arial" w:hAnsi="Arial" w:cs="Arial"/>
                      <w:color w:val="000000" w:themeColor="text1"/>
                      <w:sz w:val="23"/>
                      <w:szCs w:val="23"/>
                    </w:rPr>
                  </w:pPr>
                </w:p>
                <w:p w14:paraId="6CE38172" w14:textId="1D9CC8E5" w:rsidR="00C00EF8" w:rsidRDefault="00001F75" w:rsidP="002A5F20">
                  <w:pPr>
                    <w:autoSpaceDE w:val="0"/>
                    <w:autoSpaceDN w:val="0"/>
                    <w:adjustRightInd w:val="0"/>
                    <w:jc w:val="both"/>
                    <w:rPr>
                      <w:rFonts w:ascii="Arial" w:hAnsi="Arial" w:cs="Arial"/>
                      <w:b/>
                      <w:bCs/>
                      <w:sz w:val="23"/>
                      <w:szCs w:val="23"/>
                    </w:rPr>
                  </w:pPr>
                  <w:r w:rsidRPr="000C3FCA">
                    <w:rPr>
                      <w:rFonts w:ascii="Arial" w:hAnsi="Arial" w:cs="Arial"/>
                      <w:b/>
                      <w:bCs/>
                      <w:sz w:val="23"/>
                      <w:szCs w:val="23"/>
                    </w:rPr>
                    <w:t>Razones de oportunidad:</w:t>
                  </w:r>
                </w:p>
                <w:p w14:paraId="22D3BCB4" w14:textId="77777777" w:rsidR="00713ABB" w:rsidRDefault="00713ABB" w:rsidP="002A5F20">
                  <w:pPr>
                    <w:autoSpaceDE w:val="0"/>
                    <w:autoSpaceDN w:val="0"/>
                    <w:adjustRightInd w:val="0"/>
                    <w:jc w:val="both"/>
                    <w:rPr>
                      <w:rFonts w:ascii="Arial" w:hAnsi="Arial" w:cs="Arial"/>
                      <w:b/>
                      <w:bCs/>
                      <w:sz w:val="23"/>
                      <w:szCs w:val="23"/>
                    </w:rPr>
                  </w:pPr>
                </w:p>
                <w:p w14:paraId="50E60731" w14:textId="564F3235" w:rsidR="00713ABB" w:rsidRDefault="009038E6" w:rsidP="002A5F20">
                  <w:pPr>
                    <w:autoSpaceDE w:val="0"/>
                    <w:autoSpaceDN w:val="0"/>
                    <w:adjustRightInd w:val="0"/>
                    <w:jc w:val="both"/>
                    <w:rPr>
                      <w:rFonts w:ascii="Arial" w:hAnsi="Arial" w:cs="Arial"/>
                      <w:color w:val="000000" w:themeColor="text1"/>
                      <w:sz w:val="23"/>
                      <w:szCs w:val="23"/>
                    </w:rPr>
                  </w:pPr>
                  <w:r>
                    <w:rPr>
                      <w:rFonts w:ascii="Arial" w:hAnsi="Arial" w:cs="Arial"/>
                      <w:sz w:val="23"/>
                      <w:szCs w:val="23"/>
                    </w:rPr>
                    <w:t xml:space="preserve">La fijación </w:t>
                  </w:r>
                  <w:r w:rsidR="00C00EF8">
                    <w:rPr>
                      <w:rFonts w:ascii="Arial" w:hAnsi="Arial" w:cs="Arial"/>
                      <w:sz w:val="23"/>
                      <w:szCs w:val="23"/>
                    </w:rPr>
                    <w:t>de un</w:t>
                  </w:r>
                  <w:r w:rsidR="00713ABB">
                    <w:rPr>
                      <w:rFonts w:ascii="Arial" w:hAnsi="Arial" w:cs="Arial"/>
                      <w:sz w:val="23"/>
                      <w:szCs w:val="23"/>
                    </w:rPr>
                    <w:t xml:space="preserve"> valor </w:t>
                  </w:r>
                  <w:r>
                    <w:rPr>
                      <w:rFonts w:ascii="Arial" w:hAnsi="Arial" w:cs="Arial"/>
                      <w:sz w:val="23"/>
                      <w:szCs w:val="23"/>
                    </w:rPr>
                    <w:t xml:space="preserve">máximo de recobro </w:t>
                  </w:r>
                  <w:r w:rsidR="00713ABB">
                    <w:rPr>
                      <w:rFonts w:ascii="Arial" w:hAnsi="Arial" w:cs="Arial"/>
                      <w:sz w:val="23"/>
                      <w:szCs w:val="23"/>
                    </w:rPr>
                    <w:t xml:space="preserve">mediante el cual sean reconocidas </w:t>
                  </w:r>
                  <w:r w:rsidR="00713ABB" w:rsidRPr="00713ABB">
                    <w:rPr>
                      <w:rFonts w:ascii="Arial" w:hAnsi="Arial" w:cs="Arial"/>
                      <w:color w:val="000000" w:themeColor="text1"/>
                      <w:sz w:val="23"/>
                      <w:szCs w:val="23"/>
                    </w:rPr>
                    <w:t>las</w:t>
                  </w:r>
                  <w:r w:rsidR="00713ABB">
                    <w:rPr>
                      <w:rFonts w:ascii="Arial" w:hAnsi="Arial" w:cs="Arial"/>
                      <w:color w:val="000000" w:themeColor="text1"/>
                      <w:sz w:val="23"/>
                      <w:szCs w:val="23"/>
                    </w:rPr>
                    <w:t xml:space="preserve"> </w:t>
                  </w:r>
                  <w:r w:rsidR="00713ABB" w:rsidRPr="00713ABB">
                    <w:rPr>
                      <w:rFonts w:ascii="Arial" w:hAnsi="Arial" w:cs="Arial"/>
                      <w:color w:val="000000" w:themeColor="text1"/>
                      <w:sz w:val="23"/>
                      <w:szCs w:val="23"/>
                    </w:rPr>
                    <w:t xml:space="preserve">pruebas diagnósticas y de Anticuerpos para SARS- CoV-2 (COVID-19) </w:t>
                  </w:r>
                  <w:r w:rsidR="00713ABB">
                    <w:rPr>
                      <w:rFonts w:ascii="Arial" w:hAnsi="Arial" w:cs="Arial"/>
                      <w:color w:val="000000" w:themeColor="text1"/>
                      <w:sz w:val="23"/>
                      <w:szCs w:val="23"/>
                    </w:rPr>
                    <w:t xml:space="preserve">por parte de la </w:t>
                  </w:r>
                  <w:r w:rsidRPr="00713ABB">
                    <w:rPr>
                      <w:rFonts w:ascii="Arial" w:hAnsi="Arial" w:cs="Arial"/>
                      <w:color w:val="000000" w:themeColor="text1"/>
                      <w:sz w:val="23"/>
                      <w:szCs w:val="23"/>
                    </w:rPr>
                    <w:t xml:space="preserve">Administradora de los Recursos del Sistema General de Seguridad Social en Salud </w:t>
                  </w:r>
                  <w:r>
                    <w:rPr>
                      <w:rFonts w:ascii="Arial" w:hAnsi="Arial" w:cs="Arial"/>
                      <w:color w:val="000000" w:themeColor="text1"/>
                      <w:sz w:val="23"/>
                      <w:szCs w:val="23"/>
                    </w:rPr>
                    <w:t>–</w:t>
                  </w:r>
                  <w:r w:rsidRPr="00713ABB">
                    <w:rPr>
                      <w:rFonts w:ascii="Arial" w:hAnsi="Arial" w:cs="Arial"/>
                      <w:color w:val="000000" w:themeColor="text1"/>
                      <w:sz w:val="23"/>
                      <w:szCs w:val="23"/>
                    </w:rPr>
                    <w:t xml:space="preserve"> ADRES</w:t>
                  </w:r>
                  <w:r>
                    <w:rPr>
                      <w:rFonts w:ascii="Arial" w:hAnsi="Arial" w:cs="Arial"/>
                      <w:color w:val="000000" w:themeColor="text1"/>
                      <w:sz w:val="23"/>
                      <w:szCs w:val="23"/>
                    </w:rPr>
                    <w:t xml:space="preserve">, garantizando de esta forma la financiación de dichos procedimientos, y atendiendo a la optimización de los recursos del SGSSS. </w:t>
                  </w:r>
                </w:p>
                <w:p w14:paraId="4A3B4D73" w14:textId="77777777" w:rsidR="00166475" w:rsidRPr="002A5F20" w:rsidRDefault="00166475" w:rsidP="002A5F20">
                  <w:pPr>
                    <w:autoSpaceDE w:val="0"/>
                    <w:autoSpaceDN w:val="0"/>
                    <w:adjustRightInd w:val="0"/>
                    <w:jc w:val="both"/>
                    <w:rPr>
                      <w:rFonts w:ascii="Arial" w:hAnsi="Arial" w:cs="Arial"/>
                      <w:sz w:val="23"/>
                      <w:szCs w:val="23"/>
                    </w:rPr>
                  </w:pPr>
                </w:p>
                <w:p w14:paraId="21E2A52E" w14:textId="4183CD74" w:rsidR="000C3FCA" w:rsidRPr="00AD1060" w:rsidRDefault="000C3FCA" w:rsidP="00AD1060">
                  <w:pPr>
                    <w:autoSpaceDE w:val="0"/>
                    <w:autoSpaceDN w:val="0"/>
                    <w:adjustRightInd w:val="0"/>
                    <w:jc w:val="both"/>
                    <w:rPr>
                      <w:rFonts w:ascii="Arial" w:hAnsi="Arial" w:cs="Arial"/>
                      <w:color w:val="000000" w:themeColor="text1"/>
                      <w:sz w:val="23"/>
                      <w:szCs w:val="23"/>
                    </w:rPr>
                  </w:pPr>
                </w:p>
              </w:tc>
            </w:tr>
          </w:tbl>
          <w:p w14:paraId="64938C04" w14:textId="11700FBD" w:rsidR="00215380" w:rsidRDefault="00215380" w:rsidP="002A5F20">
            <w:pPr>
              <w:autoSpaceDE w:val="0"/>
              <w:autoSpaceDN w:val="0"/>
              <w:adjustRightInd w:val="0"/>
              <w:jc w:val="both"/>
              <w:rPr>
                <w:rFonts w:ascii="Arial" w:hAnsi="Arial" w:cs="Arial"/>
                <w:sz w:val="23"/>
                <w:szCs w:val="23"/>
              </w:rPr>
            </w:pPr>
          </w:p>
          <w:p w14:paraId="13187791" w14:textId="2CAFA81B" w:rsidR="005D73D1" w:rsidRDefault="005D73D1" w:rsidP="002A5F20">
            <w:pPr>
              <w:autoSpaceDE w:val="0"/>
              <w:autoSpaceDN w:val="0"/>
              <w:adjustRightInd w:val="0"/>
              <w:jc w:val="both"/>
              <w:rPr>
                <w:rFonts w:ascii="Arial" w:hAnsi="Arial" w:cs="Arial"/>
                <w:sz w:val="23"/>
                <w:szCs w:val="23"/>
              </w:rPr>
            </w:pPr>
          </w:p>
          <w:p w14:paraId="69D0D0A6" w14:textId="0AE15D07" w:rsidR="005D73D1" w:rsidRDefault="005D73D1" w:rsidP="002A5F20">
            <w:pPr>
              <w:autoSpaceDE w:val="0"/>
              <w:autoSpaceDN w:val="0"/>
              <w:adjustRightInd w:val="0"/>
              <w:jc w:val="both"/>
              <w:rPr>
                <w:rFonts w:ascii="Arial" w:hAnsi="Arial" w:cs="Arial"/>
                <w:sz w:val="23"/>
                <w:szCs w:val="23"/>
              </w:rPr>
            </w:pPr>
          </w:p>
          <w:p w14:paraId="02BA9E87" w14:textId="77777777" w:rsidR="005D73D1" w:rsidRPr="002A5F20" w:rsidRDefault="005D73D1" w:rsidP="002A5F20">
            <w:pPr>
              <w:autoSpaceDE w:val="0"/>
              <w:autoSpaceDN w:val="0"/>
              <w:adjustRightInd w:val="0"/>
              <w:jc w:val="both"/>
              <w:rPr>
                <w:rFonts w:ascii="Arial" w:hAnsi="Arial" w:cs="Arial"/>
                <w:sz w:val="23"/>
                <w:szCs w:val="23"/>
              </w:rPr>
            </w:pPr>
          </w:p>
          <w:p w14:paraId="44E46799" w14:textId="096720BE" w:rsidR="003836C6" w:rsidRPr="002A5F20" w:rsidRDefault="003836C6" w:rsidP="002A5F20">
            <w:pPr>
              <w:autoSpaceDE w:val="0"/>
              <w:autoSpaceDN w:val="0"/>
              <w:adjustRightInd w:val="0"/>
              <w:jc w:val="both"/>
              <w:rPr>
                <w:rFonts w:ascii="Arial" w:hAnsi="Arial" w:cs="Arial"/>
                <w:sz w:val="23"/>
                <w:szCs w:val="23"/>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3"/>
            </w:tblGrid>
            <w:tr w:rsidR="00215380" w:rsidRPr="002A5F20" w14:paraId="4ACFB489" w14:textId="77777777" w:rsidTr="002A5F20">
              <w:trPr>
                <w:trHeight w:val="735"/>
              </w:trPr>
              <w:tc>
                <w:tcPr>
                  <w:tcW w:w="8503" w:type="dxa"/>
                </w:tcPr>
                <w:p w14:paraId="0B6F6058" w14:textId="77777777" w:rsidR="00215380" w:rsidRPr="009C1B9C" w:rsidRDefault="00215380" w:rsidP="002A5F20">
                  <w:pPr>
                    <w:pStyle w:val="Prrafodelista"/>
                    <w:numPr>
                      <w:ilvl w:val="0"/>
                      <w:numId w:val="2"/>
                    </w:numPr>
                    <w:autoSpaceDE w:val="0"/>
                    <w:autoSpaceDN w:val="0"/>
                    <w:adjustRightInd w:val="0"/>
                    <w:ind w:left="388" w:hanging="284"/>
                    <w:jc w:val="both"/>
                    <w:rPr>
                      <w:rFonts w:ascii="Arial" w:hAnsi="Arial" w:cs="Arial"/>
                      <w:b/>
                      <w:bCs/>
                      <w:sz w:val="23"/>
                      <w:szCs w:val="23"/>
                    </w:rPr>
                  </w:pPr>
                  <w:r w:rsidRPr="009C1B9C">
                    <w:rPr>
                      <w:rFonts w:ascii="Arial" w:hAnsi="Arial" w:cs="Arial"/>
                      <w:b/>
                      <w:bCs/>
                      <w:sz w:val="23"/>
                      <w:szCs w:val="23"/>
                    </w:rPr>
                    <w:t>ÁMBITO DE APLICACIÓN DEL RESPECTIVO ACTO Y LOS SUJETOS A QUIENES VA DIRIGIDO</w:t>
                  </w:r>
                </w:p>
              </w:tc>
            </w:tr>
          </w:tbl>
          <w:p w14:paraId="1D4DB7D3" w14:textId="77777777" w:rsidR="00215380" w:rsidRPr="002A5F20" w:rsidRDefault="00215380" w:rsidP="002A5F20">
            <w:pPr>
              <w:autoSpaceDE w:val="0"/>
              <w:autoSpaceDN w:val="0"/>
              <w:adjustRightInd w:val="0"/>
              <w:ind w:left="214"/>
              <w:jc w:val="both"/>
              <w:rPr>
                <w:rFonts w:ascii="Arial" w:hAnsi="Arial" w:cs="Arial"/>
                <w:sz w:val="23"/>
                <w:szCs w:val="23"/>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6"/>
            </w:tblGrid>
            <w:tr w:rsidR="00215380" w:rsidRPr="002A5F20" w14:paraId="35399B2A" w14:textId="77777777" w:rsidTr="002A5F20">
              <w:trPr>
                <w:trHeight w:val="1324"/>
              </w:trPr>
              <w:tc>
                <w:tcPr>
                  <w:tcW w:w="8366" w:type="dxa"/>
                </w:tcPr>
                <w:p w14:paraId="4991DB24" w14:textId="77777777" w:rsidR="0012299C" w:rsidRPr="002A5F20" w:rsidRDefault="0012299C" w:rsidP="002A5F20">
                  <w:pPr>
                    <w:autoSpaceDE w:val="0"/>
                    <w:autoSpaceDN w:val="0"/>
                    <w:adjustRightInd w:val="0"/>
                    <w:jc w:val="both"/>
                    <w:rPr>
                      <w:rFonts w:ascii="Arial" w:hAnsi="Arial" w:cs="Arial"/>
                      <w:sz w:val="23"/>
                      <w:szCs w:val="23"/>
                    </w:rPr>
                  </w:pPr>
                </w:p>
                <w:p w14:paraId="770BA238" w14:textId="3863C891" w:rsidR="00215380" w:rsidRDefault="00DA62B2" w:rsidP="002A5F20">
                  <w:pPr>
                    <w:autoSpaceDE w:val="0"/>
                    <w:autoSpaceDN w:val="0"/>
                    <w:adjustRightInd w:val="0"/>
                    <w:jc w:val="both"/>
                    <w:rPr>
                      <w:rFonts w:ascii="Arial" w:hAnsi="Arial" w:cs="Arial"/>
                      <w:sz w:val="23"/>
                      <w:szCs w:val="23"/>
                    </w:rPr>
                  </w:pPr>
                  <w:r w:rsidRPr="002A5F20">
                    <w:rPr>
                      <w:rFonts w:ascii="Arial" w:hAnsi="Arial" w:cs="Arial"/>
                      <w:sz w:val="23"/>
                      <w:szCs w:val="23"/>
                    </w:rPr>
                    <w:t>Este acto administrativo aplica</w:t>
                  </w:r>
                  <w:r w:rsidR="00117838" w:rsidRPr="002A5F20">
                    <w:rPr>
                      <w:rFonts w:ascii="Arial" w:hAnsi="Arial" w:cs="Arial"/>
                      <w:sz w:val="23"/>
                      <w:szCs w:val="23"/>
                    </w:rPr>
                    <w:t xml:space="preserve"> a las </w:t>
                  </w:r>
                  <w:r w:rsidR="00AD1060" w:rsidRPr="00392181">
                    <w:rPr>
                      <w:rFonts w:ascii="Arial" w:hAnsi="Arial" w:cs="Arial"/>
                      <w:sz w:val="23"/>
                      <w:szCs w:val="23"/>
                    </w:rPr>
                    <w:t>Entidades Promotoras de Salud – EPS</w:t>
                  </w:r>
                  <w:r w:rsidR="005D73D1">
                    <w:rPr>
                      <w:rFonts w:ascii="Arial" w:hAnsi="Arial" w:cs="Arial"/>
                      <w:sz w:val="23"/>
                      <w:szCs w:val="23"/>
                    </w:rPr>
                    <w:t xml:space="preserve"> de los régimen contributivo y subsidiado</w:t>
                  </w:r>
                  <w:r w:rsidR="00AD1060" w:rsidRPr="00392181">
                    <w:rPr>
                      <w:rFonts w:ascii="Arial" w:hAnsi="Arial" w:cs="Arial"/>
                      <w:sz w:val="23"/>
                      <w:szCs w:val="23"/>
                    </w:rPr>
                    <w:t xml:space="preserve">, </w:t>
                  </w:r>
                  <w:r w:rsidR="005D73D1">
                    <w:rPr>
                      <w:rFonts w:ascii="Arial" w:hAnsi="Arial" w:cs="Arial"/>
                      <w:sz w:val="23"/>
                      <w:szCs w:val="23"/>
                    </w:rPr>
                    <w:t xml:space="preserve">las demás </w:t>
                  </w:r>
                  <w:r w:rsidR="00AD1060" w:rsidRPr="00392181">
                    <w:rPr>
                      <w:rFonts w:ascii="Arial" w:hAnsi="Arial" w:cs="Arial"/>
                      <w:sz w:val="23"/>
                      <w:szCs w:val="23"/>
                    </w:rPr>
                    <w:t xml:space="preserve">Entidades Obligadas a Compensar - EOC, </w:t>
                  </w:r>
                  <w:r w:rsidR="005D73D1">
                    <w:rPr>
                      <w:rFonts w:ascii="Arial" w:hAnsi="Arial" w:cs="Arial"/>
                      <w:sz w:val="23"/>
                      <w:szCs w:val="23"/>
                    </w:rPr>
                    <w:t>y</w:t>
                  </w:r>
                  <w:r w:rsidR="00AD1060" w:rsidRPr="00392181">
                    <w:rPr>
                      <w:rFonts w:ascii="Arial" w:hAnsi="Arial" w:cs="Arial"/>
                      <w:sz w:val="23"/>
                      <w:szCs w:val="23"/>
                    </w:rPr>
                    <w:t xml:space="preserve"> a la Administradora de los Recursos del Sistema General de Seguridad Social en Salud – ADRES</w:t>
                  </w:r>
                  <w:r w:rsidR="00DB70B8">
                    <w:rPr>
                      <w:rFonts w:ascii="Arial" w:hAnsi="Arial" w:cs="Arial"/>
                      <w:sz w:val="23"/>
                      <w:szCs w:val="23"/>
                    </w:rPr>
                    <w:t xml:space="preserve">. </w:t>
                  </w:r>
                </w:p>
                <w:p w14:paraId="7BCE5256" w14:textId="1778240C" w:rsidR="00DB70B8" w:rsidRPr="002A5F20" w:rsidRDefault="00DB70B8" w:rsidP="002A5F20">
                  <w:pPr>
                    <w:autoSpaceDE w:val="0"/>
                    <w:autoSpaceDN w:val="0"/>
                    <w:adjustRightInd w:val="0"/>
                    <w:jc w:val="both"/>
                    <w:rPr>
                      <w:rFonts w:ascii="Arial" w:hAnsi="Arial" w:cs="Arial"/>
                      <w:sz w:val="23"/>
                      <w:szCs w:val="23"/>
                    </w:rPr>
                  </w:pPr>
                </w:p>
              </w:tc>
            </w:tr>
          </w:tbl>
          <w:p w14:paraId="7E025FB6" w14:textId="77777777" w:rsidR="00215380" w:rsidRPr="002A5F20" w:rsidRDefault="00215380" w:rsidP="002A5F20">
            <w:pPr>
              <w:pStyle w:val="Prrafodelista"/>
              <w:autoSpaceDE w:val="0"/>
              <w:autoSpaceDN w:val="0"/>
              <w:adjustRightInd w:val="0"/>
              <w:ind w:left="1080"/>
              <w:jc w:val="both"/>
              <w:rPr>
                <w:rFonts w:ascii="Arial" w:hAnsi="Arial" w:cs="Arial"/>
                <w:sz w:val="23"/>
                <w:szCs w:val="23"/>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15"/>
            </w:tblGrid>
            <w:tr w:rsidR="00215380" w:rsidRPr="002A5F20" w14:paraId="127890AE" w14:textId="77777777" w:rsidTr="00150793">
              <w:trPr>
                <w:trHeight w:val="540"/>
              </w:trPr>
              <w:tc>
                <w:tcPr>
                  <w:tcW w:w="8415" w:type="dxa"/>
                </w:tcPr>
                <w:p w14:paraId="3C1ED7EE" w14:textId="77777777" w:rsidR="00215380" w:rsidRPr="002A5F20" w:rsidRDefault="00215380" w:rsidP="002A5F20">
                  <w:pPr>
                    <w:pStyle w:val="Prrafodelista"/>
                    <w:autoSpaceDE w:val="0"/>
                    <w:autoSpaceDN w:val="0"/>
                    <w:adjustRightInd w:val="0"/>
                    <w:ind w:left="0"/>
                    <w:jc w:val="both"/>
                    <w:rPr>
                      <w:rFonts w:ascii="Arial" w:hAnsi="Arial" w:cs="Arial"/>
                      <w:sz w:val="23"/>
                      <w:szCs w:val="23"/>
                    </w:rPr>
                  </w:pPr>
                </w:p>
                <w:p w14:paraId="064EA765" w14:textId="77777777" w:rsidR="00215380" w:rsidRPr="009C1B9C" w:rsidRDefault="00215380" w:rsidP="002A5F20">
                  <w:pPr>
                    <w:pStyle w:val="Prrafodelista"/>
                    <w:numPr>
                      <w:ilvl w:val="0"/>
                      <w:numId w:val="2"/>
                    </w:numPr>
                    <w:autoSpaceDE w:val="0"/>
                    <w:autoSpaceDN w:val="0"/>
                    <w:adjustRightInd w:val="0"/>
                    <w:ind w:left="556" w:hanging="425"/>
                    <w:jc w:val="both"/>
                    <w:rPr>
                      <w:rFonts w:ascii="Arial" w:hAnsi="Arial" w:cs="Arial"/>
                      <w:b/>
                      <w:bCs/>
                      <w:sz w:val="23"/>
                      <w:szCs w:val="23"/>
                    </w:rPr>
                  </w:pPr>
                  <w:r w:rsidRPr="009C1B9C">
                    <w:rPr>
                      <w:rFonts w:ascii="Arial" w:hAnsi="Arial" w:cs="Arial"/>
                      <w:b/>
                      <w:bCs/>
                      <w:sz w:val="23"/>
                      <w:szCs w:val="23"/>
                    </w:rPr>
                    <w:t xml:space="preserve">IMPACTO ECONÓMICO, SI FUERE EL CASO, EL CUAL DEBERÁ SEÑALAR EL COSTO O AHORRO, DE LA IMPLEMENTACIÓN DEL RESPECTIVO ACTO </w:t>
                  </w:r>
                </w:p>
              </w:tc>
            </w:tr>
          </w:tbl>
          <w:p w14:paraId="36532586" w14:textId="77777777" w:rsidR="00215380" w:rsidRPr="002A5F20" w:rsidRDefault="00215380" w:rsidP="002A5F20">
            <w:pPr>
              <w:pStyle w:val="Prrafodelista"/>
              <w:autoSpaceDE w:val="0"/>
              <w:autoSpaceDN w:val="0"/>
              <w:adjustRightInd w:val="0"/>
              <w:ind w:left="1080"/>
              <w:jc w:val="both"/>
              <w:rPr>
                <w:rFonts w:ascii="Arial" w:hAnsi="Arial" w:cs="Arial"/>
                <w:sz w:val="23"/>
                <w:szCs w:val="23"/>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215380" w:rsidRPr="002A5F20" w14:paraId="4BBBF3D2" w14:textId="77777777" w:rsidTr="00682CDC">
              <w:trPr>
                <w:trHeight w:val="478"/>
              </w:trPr>
              <w:tc>
                <w:tcPr>
                  <w:tcW w:w="8363" w:type="dxa"/>
                </w:tcPr>
                <w:p w14:paraId="765DE2AD" w14:textId="0ACE0B53" w:rsidR="003509AD" w:rsidRPr="002A5F20" w:rsidRDefault="003509AD" w:rsidP="002A5F20">
                  <w:pPr>
                    <w:autoSpaceDE w:val="0"/>
                    <w:autoSpaceDN w:val="0"/>
                    <w:adjustRightInd w:val="0"/>
                    <w:jc w:val="both"/>
                    <w:rPr>
                      <w:rFonts w:ascii="Arial" w:hAnsi="Arial" w:cs="Arial"/>
                      <w:sz w:val="23"/>
                      <w:szCs w:val="23"/>
                    </w:rPr>
                  </w:pPr>
                </w:p>
                <w:p w14:paraId="3814E3E5" w14:textId="030BBFE5" w:rsidR="009038E6" w:rsidRDefault="009038E6" w:rsidP="002A5F20">
                  <w:pPr>
                    <w:autoSpaceDE w:val="0"/>
                    <w:autoSpaceDN w:val="0"/>
                    <w:adjustRightInd w:val="0"/>
                    <w:jc w:val="both"/>
                    <w:rPr>
                      <w:rFonts w:ascii="Arial" w:hAnsi="Arial" w:cs="Arial"/>
                      <w:sz w:val="23"/>
                      <w:szCs w:val="23"/>
                    </w:rPr>
                  </w:pPr>
                  <w:r w:rsidRPr="009038E6">
                    <w:rPr>
                      <w:rFonts w:ascii="Arial" w:hAnsi="Arial" w:cs="Arial"/>
                      <w:sz w:val="23"/>
                      <w:szCs w:val="23"/>
                    </w:rPr>
                    <w:t>El acto de administrativo en proyecto no tiene impacto económico para el Ministerio de Salud y Protección Social, sino para el SGSSS ya que los servicios y tecnologías no financiados con recursos de la UPC</w:t>
                  </w:r>
                  <w:r>
                    <w:rPr>
                      <w:rFonts w:ascii="Arial" w:hAnsi="Arial" w:cs="Arial"/>
                      <w:sz w:val="23"/>
                      <w:szCs w:val="23"/>
                    </w:rPr>
                    <w:t xml:space="preserve"> ni con presupuestos máximos</w:t>
                  </w:r>
                  <w:r w:rsidRPr="009038E6">
                    <w:rPr>
                      <w:rFonts w:ascii="Arial" w:hAnsi="Arial" w:cs="Arial"/>
                      <w:sz w:val="23"/>
                      <w:szCs w:val="23"/>
                    </w:rPr>
                    <w:t xml:space="preserve"> tienen sus propias fuentes de financiación y recursos de destinación específica.</w:t>
                  </w:r>
                </w:p>
                <w:p w14:paraId="4CF47A0D" w14:textId="77777777" w:rsidR="009038E6" w:rsidRDefault="009038E6" w:rsidP="002A5F20">
                  <w:pPr>
                    <w:autoSpaceDE w:val="0"/>
                    <w:autoSpaceDN w:val="0"/>
                    <w:adjustRightInd w:val="0"/>
                    <w:jc w:val="both"/>
                    <w:rPr>
                      <w:rFonts w:ascii="Arial" w:hAnsi="Arial" w:cs="Arial"/>
                      <w:sz w:val="23"/>
                      <w:szCs w:val="23"/>
                    </w:rPr>
                  </w:pPr>
                </w:p>
                <w:p w14:paraId="68A0B974" w14:textId="78F786EE" w:rsidR="009C1B9C" w:rsidRDefault="009C1B9C" w:rsidP="002A5F20">
                  <w:pPr>
                    <w:autoSpaceDE w:val="0"/>
                    <w:autoSpaceDN w:val="0"/>
                    <w:adjustRightInd w:val="0"/>
                    <w:jc w:val="both"/>
                    <w:rPr>
                      <w:rFonts w:ascii="Arial" w:hAnsi="Arial" w:cs="Arial"/>
                      <w:sz w:val="23"/>
                      <w:szCs w:val="23"/>
                    </w:rPr>
                  </w:pPr>
                </w:p>
                <w:p w14:paraId="0F79B907" w14:textId="77777777" w:rsidR="00215380" w:rsidRPr="002A5F20" w:rsidRDefault="00215380" w:rsidP="002A5F20">
                  <w:pPr>
                    <w:autoSpaceDE w:val="0"/>
                    <w:autoSpaceDN w:val="0"/>
                    <w:adjustRightInd w:val="0"/>
                    <w:jc w:val="both"/>
                    <w:rPr>
                      <w:rFonts w:ascii="Arial" w:hAnsi="Arial" w:cs="Arial"/>
                      <w:sz w:val="23"/>
                      <w:szCs w:val="23"/>
                    </w:rPr>
                  </w:pPr>
                </w:p>
              </w:tc>
            </w:tr>
          </w:tbl>
          <w:p w14:paraId="04859490" w14:textId="77777777" w:rsidR="00215380" w:rsidRPr="002A5F20" w:rsidRDefault="00215380" w:rsidP="002A5F20">
            <w:pPr>
              <w:autoSpaceDE w:val="0"/>
              <w:autoSpaceDN w:val="0"/>
              <w:adjustRightInd w:val="0"/>
              <w:ind w:left="214"/>
              <w:jc w:val="both"/>
              <w:rPr>
                <w:rFonts w:ascii="Arial" w:hAnsi="Arial" w:cs="Arial"/>
                <w:sz w:val="23"/>
                <w:szCs w:val="23"/>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1"/>
            </w:tblGrid>
            <w:tr w:rsidR="00215380" w:rsidRPr="002A5F20" w14:paraId="69EAB7CD" w14:textId="77777777" w:rsidTr="00EB25B6">
              <w:trPr>
                <w:trHeight w:val="2160"/>
              </w:trPr>
              <w:tc>
                <w:tcPr>
                  <w:tcW w:w="8401" w:type="dxa"/>
                </w:tcPr>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4"/>
                  </w:tblGrid>
                  <w:tr w:rsidR="00215380" w:rsidRPr="002A5F20" w14:paraId="229EE975" w14:textId="77777777" w:rsidTr="00150793">
                    <w:trPr>
                      <w:trHeight w:val="585"/>
                    </w:trPr>
                    <w:tc>
                      <w:tcPr>
                        <w:tcW w:w="8543" w:type="dxa"/>
                      </w:tcPr>
                      <w:p w14:paraId="13A1008D" w14:textId="77777777" w:rsidR="00215380" w:rsidRPr="009C1B9C" w:rsidRDefault="00215380" w:rsidP="002A5F20">
                        <w:pPr>
                          <w:pStyle w:val="Prrafodelista"/>
                          <w:numPr>
                            <w:ilvl w:val="0"/>
                            <w:numId w:val="2"/>
                          </w:numPr>
                          <w:autoSpaceDE w:val="0"/>
                          <w:autoSpaceDN w:val="0"/>
                          <w:adjustRightInd w:val="0"/>
                          <w:ind w:left="406" w:hanging="406"/>
                          <w:jc w:val="both"/>
                          <w:rPr>
                            <w:rFonts w:ascii="Arial" w:hAnsi="Arial" w:cs="Arial"/>
                            <w:b/>
                            <w:bCs/>
                            <w:sz w:val="23"/>
                            <w:szCs w:val="23"/>
                          </w:rPr>
                        </w:pPr>
                        <w:r w:rsidRPr="009C1B9C">
                          <w:rPr>
                            <w:rFonts w:ascii="Arial" w:hAnsi="Arial" w:cs="Arial"/>
                            <w:b/>
                            <w:bCs/>
                            <w:sz w:val="23"/>
                            <w:szCs w:val="23"/>
                          </w:rPr>
                          <w:lastRenderedPageBreak/>
                          <w:t xml:space="preserve">DISPONIBILIDAD PRESUPUESTAL. </w:t>
                        </w:r>
                      </w:p>
                    </w:tc>
                  </w:tr>
                </w:tbl>
                <w:p w14:paraId="456EE4E0" w14:textId="77777777" w:rsidR="00215380" w:rsidRPr="002A5F20" w:rsidRDefault="00215380" w:rsidP="002A5F20">
                  <w:pPr>
                    <w:pStyle w:val="Prrafodelista"/>
                    <w:autoSpaceDE w:val="0"/>
                    <w:autoSpaceDN w:val="0"/>
                    <w:adjustRightInd w:val="0"/>
                    <w:ind w:left="1080"/>
                    <w:jc w:val="both"/>
                    <w:rPr>
                      <w:rFonts w:ascii="Arial" w:hAnsi="Arial" w:cs="Arial"/>
                      <w:sz w:val="23"/>
                      <w:szCs w:val="23"/>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84"/>
                  </w:tblGrid>
                  <w:tr w:rsidR="00215380" w:rsidRPr="002A5F20" w14:paraId="5E8F0343" w14:textId="77777777" w:rsidTr="00EB25B6">
                    <w:trPr>
                      <w:trHeight w:val="1097"/>
                    </w:trPr>
                    <w:tc>
                      <w:tcPr>
                        <w:tcW w:w="8184" w:type="dxa"/>
                      </w:tcPr>
                      <w:p w14:paraId="475F5533" w14:textId="77777777" w:rsidR="008A6527" w:rsidRPr="002A5F20" w:rsidRDefault="008A6527" w:rsidP="002A5F20">
                        <w:pPr>
                          <w:autoSpaceDE w:val="0"/>
                          <w:autoSpaceDN w:val="0"/>
                          <w:adjustRightInd w:val="0"/>
                          <w:jc w:val="both"/>
                          <w:rPr>
                            <w:rFonts w:ascii="Arial" w:hAnsi="Arial" w:cs="Arial"/>
                            <w:sz w:val="23"/>
                            <w:szCs w:val="23"/>
                          </w:rPr>
                        </w:pPr>
                      </w:p>
                      <w:p w14:paraId="4A4F4821" w14:textId="788AEA5C" w:rsidR="00DE30C8" w:rsidRPr="002A5F20" w:rsidRDefault="009038E6" w:rsidP="002A5F20">
                        <w:pPr>
                          <w:autoSpaceDE w:val="0"/>
                          <w:autoSpaceDN w:val="0"/>
                          <w:adjustRightInd w:val="0"/>
                          <w:jc w:val="both"/>
                          <w:rPr>
                            <w:rFonts w:ascii="Arial" w:hAnsi="Arial" w:cs="Arial"/>
                            <w:sz w:val="23"/>
                            <w:szCs w:val="23"/>
                          </w:rPr>
                        </w:pPr>
                        <w:r w:rsidRPr="009038E6">
                          <w:rPr>
                            <w:rFonts w:ascii="Arial" w:hAnsi="Arial" w:cs="Arial"/>
                            <w:sz w:val="23"/>
                            <w:szCs w:val="23"/>
                          </w:rPr>
                          <w:t>No es necesario contar con disponibilidad presupuestal en tanto no se compromete presupuesto adicional, según se explicó en el numeral III de este documento.</w:t>
                        </w:r>
                      </w:p>
                    </w:tc>
                  </w:tr>
                </w:tbl>
                <w:p w14:paraId="2F7D030C" w14:textId="77777777" w:rsidR="00215380" w:rsidRPr="002A5F20" w:rsidRDefault="00215380" w:rsidP="002A5F20">
                  <w:pPr>
                    <w:tabs>
                      <w:tab w:val="left" w:pos="2895"/>
                    </w:tabs>
                    <w:autoSpaceDE w:val="0"/>
                    <w:autoSpaceDN w:val="0"/>
                    <w:adjustRightInd w:val="0"/>
                    <w:rPr>
                      <w:rFonts w:ascii="Arial" w:hAnsi="Arial" w:cs="Arial"/>
                      <w:sz w:val="23"/>
                      <w:szCs w:val="23"/>
                    </w:rPr>
                  </w:pPr>
                </w:p>
              </w:tc>
            </w:tr>
          </w:tbl>
          <w:p w14:paraId="6C9A2882" w14:textId="2D9D6FAF" w:rsidR="00215380" w:rsidRPr="002A5F20" w:rsidRDefault="00215380" w:rsidP="002A5F20">
            <w:pPr>
              <w:autoSpaceDE w:val="0"/>
              <w:autoSpaceDN w:val="0"/>
              <w:adjustRightInd w:val="0"/>
              <w:jc w:val="both"/>
              <w:rPr>
                <w:rFonts w:ascii="Arial" w:hAnsi="Arial" w:cs="Arial"/>
                <w:sz w:val="23"/>
                <w:szCs w:val="23"/>
              </w:rPr>
            </w:pPr>
          </w:p>
          <w:p w14:paraId="0BD26A17" w14:textId="223C9BD8" w:rsidR="003836C6" w:rsidRPr="002A5F20" w:rsidRDefault="003836C6" w:rsidP="002A5F20">
            <w:pPr>
              <w:autoSpaceDE w:val="0"/>
              <w:autoSpaceDN w:val="0"/>
              <w:adjustRightInd w:val="0"/>
              <w:jc w:val="both"/>
              <w:rPr>
                <w:rFonts w:ascii="Arial" w:hAnsi="Arial" w:cs="Arial"/>
                <w:sz w:val="23"/>
                <w:szCs w:val="23"/>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31"/>
            </w:tblGrid>
            <w:tr w:rsidR="00215380" w:rsidRPr="002A5F20" w14:paraId="33253713" w14:textId="77777777" w:rsidTr="007B3A16">
              <w:trPr>
                <w:trHeight w:val="510"/>
              </w:trPr>
              <w:tc>
                <w:tcPr>
                  <w:tcW w:w="8331" w:type="dxa"/>
                </w:tcPr>
                <w:p w14:paraId="7110F8C9" w14:textId="77777777" w:rsidR="00215380" w:rsidRPr="009C1B9C" w:rsidRDefault="00215380" w:rsidP="002A5F20">
                  <w:pPr>
                    <w:pStyle w:val="Prrafodelista"/>
                    <w:numPr>
                      <w:ilvl w:val="0"/>
                      <w:numId w:val="2"/>
                    </w:numPr>
                    <w:autoSpaceDE w:val="0"/>
                    <w:autoSpaceDN w:val="0"/>
                    <w:adjustRightInd w:val="0"/>
                    <w:ind w:left="406" w:hanging="436"/>
                    <w:jc w:val="both"/>
                    <w:rPr>
                      <w:rFonts w:ascii="Arial" w:hAnsi="Arial" w:cs="Arial"/>
                      <w:b/>
                      <w:bCs/>
                      <w:sz w:val="23"/>
                      <w:szCs w:val="23"/>
                    </w:rPr>
                  </w:pPr>
                  <w:r w:rsidRPr="009C1B9C">
                    <w:rPr>
                      <w:rFonts w:ascii="Arial" w:hAnsi="Arial" w:cs="Arial"/>
                      <w:b/>
                      <w:bCs/>
                      <w:sz w:val="23"/>
                      <w:szCs w:val="23"/>
                    </w:rPr>
                    <w:t>DE SER NECESARIO, IMPACTO MEDIOAMBIENTAL O SOBRE EL PATRIMONIO CULTURAL DE LA NACIÓN</w:t>
                  </w:r>
                </w:p>
              </w:tc>
            </w:tr>
          </w:tbl>
          <w:p w14:paraId="35BE97B7" w14:textId="77777777" w:rsidR="00215380" w:rsidRPr="002A5F20" w:rsidRDefault="00215380" w:rsidP="002A5F20">
            <w:pPr>
              <w:pStyle w:val="Prrafodelista"/>
              <w:autoSpaceDE w:val="0"/>
              <w:autoSpaceDN w:val="0"/>
              <w:adjustRightInd w:val="0"/>
              <w:ind w:left="1080"/>
              <w:jc w:val="both"/>
              <w:rPr>
                <w:rFonts w:ascii="Arial" w:hAnsi="Arial" w:cs="Arial"/>
                <w:sz w:val="23"/>
                <w:szCs w:val="23"/>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56"/>
            </w:tblGrid>
            <w:tr w:rsidR="00215380" w:rsidRPr="002A5F20" w14:paraId="2C98F4C6" w14:textId="77777777" w:rsidTr="007B3A16">
              <w:trPr>
                <w:trHeight w:val="1202"/>
              </w:trPr>
              <w:tc>
                <w:tcPr>
                  <w:tcW w:w="8256" w:type="dxa"/>
                </w:tcPr>
                <w:p w14:paraId="6BCF09B7" w14:textId="77777777" w:rsidR="00215380" w:rsidRPr="002A5F20" w:rsidRDefault="00215380" w:rsidP="002A5F20">
                  <w:pPr>
                    <w:pStyle w:val="Prrafodelista"/>
                    <w:autoSpaceDE w:val="0"/>
                    <w:autoSpaceDN w:val="0"/>
                    <w:adjustRightInd w:val="0"/>
                    <w:ind w:left="715"/>
                    <w:jc w:val="both"/>
                    <w:rPr>
                      <w:rFonts w:ascii="Arial" w:hAnsi="Arial" w:cs="Arial"/>
                      <w:sz w:val="23"/>
                      <w:szCs w:val="23"/>
                    </w:rPr>
                  </w:pPr>
                </w:p>
                <w:p w14:paraId="5873C33E" w14:textId="56F8E984" w:rsidR="00783523" w:rsidRDefault="00596ADB" w:rsidP="002A5F20">
                  <w:pPr>
                    <w:autoSpaceDE w:val="0"/>
                    <w:autoSpaceDN w:val="0"/>
                    <w:adjustRightInd w:val="0"/>
                    <w:jc w:val="both"/>
                    <w:rPr>
                      <w:rFonts w:ascii="Arial" w:hAnsi="Arial" w:cs="Arial"/>
                      <w:sz w:val="23"/>
                      <w:szCs w:val="23"/>
                    </w:rPr>
                  </w:pPr>
                  <w:r w:rsidRPr="002A5F20">
                    <w:rPr>
                      <w:rFonts w:ascii="Arial" w:hAnsi="Arial" w:cs="Arial"/>
                      <w:sz w:val="23"/>
                      <w:szCs w:val="23"/>
                    </w:rPr>
                    <w:t xml:space="preserve">No </w:t>
                  </w:r>
                  <w:r w:rsidR="009C2464" w:rsidRPr="002A5F20">
                    <w:rPr>
                      <w:rFonts w:ascii="Arial" w:hAnsi="Arial" w:cs="Arial"/>
                      <w:sz w:val="23"/>
                      <w:szCs w:val="23"/>
                    </w:rPr>
                    <w:t>afecta de ninguna manera el medio ambiente y/o el patrimonio cultural de la Nación en consideración a la materia que se regula</w:t>
                  </w:r>
                  <w:r w:rsidR="00184E17">
                    <w:rPr>
                      <w:rFonts w:ascii="Arial" w:hAnsi="Arial" w:cs="Arial"/>
                      <w:sz w:val="23"/>
                      <w:szCs w:val="23"/>
                    </w:rPr>
                    <w:t>.</w:t>
                  </w:r>
                  <w:r w:rsidR="005D73D1">
                    <w:rPr>
                      <w:rFonts w:ascii="Arial" w:hAnsi="Arial" w:cs="Arial"/>
                      <w:sz w:val="23"/>
                      <w:szCs w:val="23"/>
                    </w:rPr>
                    <w:t xml:space="preserve"> </w:t>
                  </w:r>
                </w:p>
                <w:p w14:paraId="00B4A134" w14:textId="29F5B4D2" w:rsidR="00555AFE" w:rsidRPr="002A5F20" w:rsidRDefault="00555AFE" w:rsidP="0094070C">
                  <w:pPr>
                    <w:autoSpaceDE w:val="0"/>
                    <w:autoSpaceDN w:val="0"/>
                    <w:adjustRightInd w:val="0"/>
                    <w:jc w:val="both"/>
                    <w:rPr>
                      <w:rFonts w:ascii="Arial" w:hAnsi="Arial" w:cs="Arial"/>
                      <w:sz w:val="23"/>
                      <w:szCs w:val="23"/>
                    </w:rPr>
                  </w:pPr>
                </w:p>
              </w:tc>
            </w:tr>
          </w:tbl>
          <w:p w14:paraId="02F32235" w14:textId="45177ADE" w:rsidR="00215380" w:rsidRDefault="00215380" w:rsidP="002A5F20">
            <w:pPr>
              <w:autoSpaceDE w:val="0"/>
              <w:autoSpaceDN w:val="0"/>
              <w:adjustRightInd w:val="0"/>
              <w:jc w:val="both"/>
              <w:rPr>
                <w:rFonts w:ascii="Arial" w:hAnsi="Arial" w:cs="Arial"/>
                <w:sz w:val="23"/>
                <w:szCs w:val="23"/>
              </w:rPr>
            </w:pPr>
          </w:p>
          <w:p w14:paraId="30D16540" w14:textId="6C26107A" w:rsidR="00ED4267" w:rsidRDefault="00ED4267" w:rsidP="002A5F20">
            <w:pPr>
              <w:autoSpaceDE w:val="0"/>
              <w:autoSpaceDN w:val="0"/>
              <w:adjustRightInd w:val="0"/>
              <w:jc w:val="both"/>
              <w:rPr>
                <w:rFonts w:ascii="Arial" w:hAnsi="Arial" w:cs="Arial"/>
                <w:sz w:val="23"/>
                <w:szCs w:val="23"/>
              </w:rPr>
            </w:pPr>
          </w:p>
          <w:p w14:paraId="0B531C6C" w14:textId="0E7617B4" w:rsidR="00ED4267" w:rsidRDefault="00ED4267" w:rsidP="002A5F20">
            <w:pPr>
              <w:autoSpaceDE w:val="0"/>
              <w:autoSpaceDN w:val="0"/>
              <w:adjustRightInd w:val="0"/>
              <w:jc w:val="both"/>
              <w:rPr>
                <w:rFonts w:ascii="Arial" w:hAnsi="Arial" w:cs="Arial"/>
                <w:sz w:val="23"/>
                <w:szCs w:val="23"/>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215380" w:rsidRPr="002A5F20" w14:paraId="590AE526" w14:textId="77777777" w:rsidTr="00555AFE">
              <w:trPr>
                <w:trHeight w:val="945"/>
              </w:trPr>
              <w:tc>
                <w:tcPr>
                  <w:tcW w:w="8363" w:type="dxa"/>
                </w:tcPr>
                <w:p w14:paraId="4473F4CD" w14:textId="77777777" w:rsidR="00215380" w:rsidRPr="002A5F20" w:rsidRDefault="00215380" w:rsidP="002A5F20">
                  <w:pPr>
                    <w:pStyle w:val="Prrafodelista"/>
                    <w:autoSpaceDE w:val="0"/>
                    <w:autoSpaceDN w:val="0"/>
                    <w:adjustRightInd w:val="0"/>
                    <w:ind w:left="1105"/>
                    <w:jc w:val="both"/>
                    <w:rPr>
                      <w:rFonts w:ascii="Arial" w:hAnsi="Arial" w:cs="Arial"/>
                      <w:sz w:val="23"/>
                      <w:szCs w:val="23"/>
                    </w:rPr>
                  </w:pPr>
                </w:p>
                <w:p w14:paraId="2F833EBF" w14:textId="77777777" w:rsidR="00215380" w:rsidRPr="0094070C" w:rsidRDefault="00215380" w:rsidP="002A5F20">
                  <w:pPr>
                    <w:pStyle w:val="Prrafodelista"/>
                    <w:numPr>
                      <w:ilvl w:val="0"/>
                      <w:numId w:val="2"/>
                    </w:numPr>
                    <w:autoSpaceDE w:val="0"/>
                    <w:autoSpaceDN w:val="0"/>
                    <w:adjustRightInd w:val="0"/>
                    <w:ind w:left="492" w:hanging="492"/>
                    <w:jc w:val="both"/>
                    <w:rPr>
                      <w:rFonts w:ascii="Arial" w:hAnsi="Arial" w:cs="Arial"/>
                      <w:b/>
                      <w:bCs/>
                      <w:sz w:val="23"/>
                      <w:szCs w:val="23"/>
                    </w:rPr>
                  </w:pPr>
                  <w:r w:rsidRPr="0094070C">
                    <w:rPr>
                      <w:rFonts w:ascii="Arial" w:hAnsi="Arial" w:cs="Arial"/>
                      <w:b/>
                      <w:bCs/>
                      <w:sz w:val="23"/>
                      <w:szCs w:val="23"/>
                    </w:rPr>
                    <w:t xml:space="preserve">CUMPLIMIENTO DE LOS REQUISITOS DE CONSULTA Y PUBLICIDAD PREVISTOS EN LOS ARTÍCULOS 2.1.2.1.13 y 2.1.2.1.14 DEL DECRETO 1081 DE 2015, MODIFICADO POR EL DECRETO 1609 DEL MISMO AÑO </w:t>
                  </w:r>
                </w:p>
              </w:tc>
            </w:tr>
          </w:tbl>
          <w:p w14:paraId="1205D2C0" w14:textId="77777777" w:rsidR="00265F25" w:rsidRPr="002A5F20" w:rsidRDefault="00265F25" w:rsidP="002A5F20">
            <w:pPr>
              <w:pStyle w:val="Prrafodelista"/>
              <w:autoSpaceDE w:val="0"/>
              <w:autoSpaceDN w:val="0"/>
              <w:adjustRightInd w:val="0"/>
              <w:ind w:left="0"/>
              <w:jc w:val="both"/>
              <w:rPr>
                <w:rFonts w:ascii="Arial" w:hAnsi="Arial" w:cs="Arial"/>
                <w:sz w:val="23"/>
                <w:szCs w:val="23"/>
              </w:rPr>
            </w:pPr>
          </w:p>
          <w:p w14:paraId="4F07EF7E" w14:textId="77777777" w:rsidR="005D73D1" w:rsidRDefault="005D73D1" w:rsidP="0094070C">
            <w:pPr>
              <w:autoSpaceDE w:val="0"/>
              <w:autoSpaceDN w:val="0"/>
              <w:adjustRightInd w:val="0"/>
              <w:ind w:left="142" w:right="256"/>
              <w:jc w:val="both"/>
              <w:rPr>
                <w:rFonts w:ascii="Arial" w:hAnsi="Arial" w:cs="Arial"/>
                <w:sz w:val="23"/>
                <w:szCs w:val="23"/>
              </w:rPr>
            </w:pPr>
          </w:p>
          <w:p w14:paraId="6A0CBE6E" w14:textId="7E7BA1F1" w:rsidR="0094070C" w:rsidRPr="0094070C" w:rsidRDefault="0094070C" w:rsidP="0094070C">
            <w:pPr>
              <w:autoSpaceDE w:val="0"/>
              <w:autoSpaceDN w:val="0"/>
              <w:adjustRightInd w:val="0"/>
              <w:ind w:left="142" w:right="256"/>
              <w:jc w:val="both"/>
              <w:rPr>
                <w:rFonts w:ascii="Arial" w:hAnsi="Arial" w:cs="Arial"/>
                <w:i/>
                <w:iCs/>
                <w:sz w:val="23"/>
                <w:szCs w:val="23"/>
              </w:rPr>
            </w:pPr>
            <w:r w:rsidRPr="0094070C">
              <w:rPr>
                <w:rFonts w:ascii="Arial" w:hAnsi="Arial" w:cs="Arial"/>
                <w:sz w:val="23"/>
                <w:szCs w:val="23"/>
              </w:rPr>
              <w:t xml:space="preserve">De conformidad con lo previsto en el numeral 2.2, literal k) de la Resolución No. 5594 de 2015, modificada por las Resoluciones No. 1133 y 1998 de 2017, en consonancia con lo dispuesto en la Constitución y la Ley 1437 de 2011, artículo 8, numeral 8, el deber de información al público a cargo de las autoridades se prevé así: </w:t>
            </w:r>
            <w:r w:rsidRPr="0094070C">
              <w:rPr>
                <w:rFonts w:ascii="Arial" w:hAnsi="Arial" w:cs="Arial"/>
                <w:i/>
                <w:iCs/>
                <w:sz w:val="23"/>
                <w:szCs w:val="23"/>
              </w:rPr>
              <w:t>“(…) mantener a disposición de toda persona información completa y actualizada, en el sitio de atención y en la página electrónica, y suministrarla a través de los medios impresos y electrónicos de que disponga, y por medio telefónico o por correo, sobre los siguientes aspectos: (…) 8.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14:paraId="05F2841E" w14:textId="77777777" w:rsidR="0094070C" w:rsidRPr="0094070C" w:rsidRDefault="0094070C" w:rsidP="0094070C">
            <w:pPr>
              <w:autoSpaceDE w:val="0"/>
              <w:autoSpaceDN w:val="0"/>
              <w:adjustRightInd w:val="0"/>
              <w:jc w:val="both"/>
              <w:rPr>
                <w:rFonts w:ascii="Arial" w:hAnsi="Arial" w:cs="Arial"/>
                <w:i/>
                <w:iCs/>
                <w:sz w:val="23"/>
                <w:szCs w:val="23"/>
              </w:rPr>
            </w:pPr>
          </w:p>
          <w:p w14:paraId="090D097E" w14:textId="54163558" w:rsidR="00596ADB" w:rsidRDefault="0094070C" w:rsidP="005670F7">
            <w:pPr>
              <w:autoSpaceDE w:val="0"/>
              <w:autoSpaceDN w:val="0"/>
              <w:adjustRightInd w:val="0"/>
              <w:ind w:left="142" w:right="256"/>
              <w:jc w:val="both"/>
              <w:rPr>
                <w:rFonts w:ascii="Arial" w:hAnsi="Arial" w:cs="Arial"/>
                <w:sz w:val="23"/>
                <w:szCs w:val="23"/>
              </w:rPr>
            </w:pPr>
            <w:r w:rsidRPr="00116D1E">
              <w:rPr>
                <w:rFonts w:ascii="Arial" w:hAnsi="Arial" w:cs="Arial"/>
                <w:sz w:val="23"/>
                <w:szCs w:val="23"/>
              </w:rPr>
              <w:t>En observancia de lo anterior el proyecto de Resolución</w:t>
            </w:r>
            <w:r w:rsidR="007A37CF" w:rsidRPr="00116D1E">
              <w:rPr>
                <w:rFonts w:ascii="Arial" w:hAnsi="Arial" w:cs="Arial"/>
                <w:sz w:val="23"/>
                <w:szCs w:val="23"/>
              </w:rPr>
              <w:t xml:space="preserve"> </w:t>
            </w:r>
            <w:r w:rsidR="005670F7" w:rsidRPr="005670F7">
              <w:rPr>
                <w:rFonts w:ascii="Arial" w:hAnsi="Arial" w:cs="Arial"/>
                <w:i/>
                <w:iCs/>
                <w:sz w:val="23"/>
                <w:szCs w:val="23"/>
              </w:rPr>
              <w:t>“</w:t>
            </w:r>
            <w:r w:rsidR="001A3D02" w:rsidRPr="001A3D02">
              <w:rPr>
                <w:rFonts w:ascii="Arial" w:hAnsi="Arial" w:cs="Arial"/>
                <w:i/>
                <w:iCs/>
                <w:sz w:val="23"/>
                <w:szCs w:val="23"/>
              </w:rPr>
              <w:t>Por la cual se adopta la metodología para definir el presupuesto máximo a asignar a las Entidades Promotoras de Salud- EPS de los Regímenes Contributivo y Subsidiado y demás Entidades Obligadas a Compensar para la vigencia 2022</w:t>
            </w:r>
            <w:r w:rsidRPr="00116D1E">
              <w:rPr>
                <w:rFonts w:ascii="Arial" w:hAnsi="Arial" w:cs="Arial"/>
                <w:i/>
                <w:iCs/>
                <w:sz w:val="23"/>
                <w:szCs w:val="23"/>
              </w:rPr>
              <w:t>”</w:t>
            </w:r>
            <w:r w:rsidRPr="00116D1E">
              <w:rPr>
                <w:rFonts w:ascii="Arial" w:hAnsi="Arial" w:cs="Arial"/>
                <w:sz w:val="23"/>
                <w:szCs w:val="23"/>
              </w:rPr>
              <w:t xml:space="preserve"> </w:t>
            </w:r>
            <w:r w:rsidR="001A3D02" w:rsidRPr="001A3D02">
              <w:rPr>
                <w:rFonts w:ascii="Arial" w:hAnsi="Arial" w:cs="Arial"/>
                <w:b/>
                <w:bCs/>
                <w:sz w:val="23"/>
                <w:szCs w:val="23"/>
              </w:rPr>
              <w:t>será</w:t>
            </w:r>
            <w:r w:rsidR="007B7B1C" w:rsidRPr="00116D1E">
              <w:rPr>
                <w:rFonts w:ascii="Arial" w:hAnsi="Arial" w:cs="Arial"/>
                <w:sz w:val="23"/>
                <w:szCs w:val="23"/>
              </w:rPr>
              <w:t xml:space="preserve"> </w:t>
            </w:r>
            <w:r w:rsidR="00F402CA" w:rsidRPr="00116D1E">
              <w:rPr>
                <w:rFonts w:ascii="Arial" w:hAnsi="Arial" w:cs="Arial"/>
                <w:sz w:val="23"/>
                <w:szCs w:val="23"/>
              </w:rPr>
              <w:t>publicado</w:t>
            </w:r>
            <w:r w:rsidR="00596ADB" w:rsidRPr="00116D1E">
              <w:rPr>
                <w:rFonts w:ascii="Arial" w:hAnsi="Arial" w:cs="Arial"/>
                <w:sz w:val="23"/>
                <w:szCs w:val="23"/>
              </w:rPr>
              <w:t xml:space="preserve"> en la </w:t>
            </w:r>
            <w:r w:rsidR="00596ADB" w:rsidRPr="005B117D">
              <w:rPr>
                <w:rFonts w:ascii="Arial" w:hAnsi="Arial" w:cs="Arial"/>
                <w:sz w:val="23"/>
                <w:szCs w:val="23"/>
              </w:rPr>
              <w:t xml:space="preserve">página oficial </w:t>
            </w:r>
            <w:hyperlink r:id="rId9" w:history="1">
              <w:r w:rsidR="00596ADB" w:rsidRPr="005B117D">
                <w:rPr>
                  <w:rFonts w:ascii="Arial" w:hAnsi="Arial" w:cs="Arial"/>
                  <w:sz w:val="23"/>
                  <w:szCs w:val="23"/>
                </w:rPr>
                <w:t>www.minsalud.gov.co</w:t>
              </w:r>
            </w:hyperlink>
            <w:r w:rsidR="00F57E06" w:rsidRPr="005B117D">
              <w:rPr>
                <w:rFonts w:ascii="Arial" w:hAnsi="Arial" w:cs="Arial"/>
                <w:sz w:val="23"/>
                <w:szCs w:val="23"/>
              </w:rPr>
              <w:t xml:space="preserve"> con la finalidad de </w:t>
            </w:r>
            <w:r w:rsidR="00596ADB" w:rsidRPr="005B117D">
              <w:rPr>
                <w:rFonts w:ascii="Arial" w:hAnsi="Arial" w:cs="Arial"/>
                <w:sz w:val="23"/>
                <w:szCs w:val="23"/>
              </w:rPr>
              <w:t xml:space="preserve">recibir opiniones, sugerencias o propuestas alternativas, </w:t>
            </w:r>
            <w:r w:rsidR="00F952F6" w:rsidRPr="005B117D">
              <w:rPr>
                <w:rFonts w:ascii="Arial" w:hAnsi="Arial" w:cs="Arial"/>
                <w:sz w:val="23"/>
                <w:szCs w:val="23"/>
              </w:rPr>
              <w:t>para lo cual se indic</w:t>
            </w:r>
            <w:r w:rsidR="001A3D02">
              <w:rPr>
                <w:rFonts w:ascii="Arial" w:hAnsi="Arial" w:cs="Arial"/>
                <w:sz w:val="23"/>
                <w:szCs w:val="23"/>
              </w:rPr>
              <w:t>ará</w:t>
            </w:r>
            <w:r w:rsidR="00F952F6" w:rsidRPr="005B117D">
              <w:rPr>
                <w:rFonts w:ascii="Arial" w:hAnsi="Arial" w:cs="Arial"/>
                <w:sz w:val="23"/>
                <w:szCs w:val="23"/>
              </w:rPr>
              <w:t xml:space="preserve"> un</w:t>
            </w:r>
            <w:r w:rsidR="00596ADB" w:rsidRPr="005B117D">
              <w:rPr>
                <w:rFonts w:ascii="Arial" w:hAnsi="Arial" w:cs="Arial"/>
                <w:sz w:val="23"/>
                <w:szCs w:val="23"/>
              </w:rPr>
              <w:t xml:space="preserve"> plazo</w:t>
            </w:r>
            <w:r w:rsidR="006D09B4" w:rsidRPr="005B117D">
              <w:rPr>
                <w:rFonts w:ascii="Arial" w:hAnsi="Arial" w:cs="Arial"/>
                <w:sz w:val="23"/>
                <w:szCs w:val="23"/>
              </w:rPr>
              <w:t xml:space="preserve"> de </w:t>
            </w:r>
            <w:r w:rsidR="00184E17" w:rsidRPr="00184E17">
              <w:rPr>
                <w:rFonts w:ascii="Arial" w:hAnsi="Arial" w:cs="Arial"/>
                <w:b/>
                <w:bCs/>
                <w:sz w:val="23"/>
                <w:szCs w:val="23"/>
              </w:rPr>
              <w:t xml:space="preserve">cinco </w:t>
            </w:r>
            <w:r w:rsidR="008A6527" w:rsidRPr="00184E17">
              <w:rPr>
                <w:rFonts w:ascii="Arial" w:hAnsi="Arial" w:cs="Arial"/>
                <w:b/>
                <w:bCs/>
                <w:sz w:val="23"/>
                <w:szCs w:val="23"/>
              </w:rPr>
              <w:t>(</w:t>
            </w:r>
            <w:r w:rsidR="00184E17" w:rsidRPr="00184E17">
              <w:rPr>
                <w:rFonts w:ascii="Arial" w:hAnsi="Arial" w:cs="Arial"/>
                <w:b/>
                <w:bCs/>
                <w:sz w:val="23"/>
                <w:szCs w:val="23"/>
              </w:rPr>
              <w:t>5</w:t>
            </w:r>
            <w:r w:rsidR="00F402CA" w:rsidRPr="00184E17">
              <w:rPr>
                <w:rFonts w:ascii="Arial" w:hAnsi="Arial" w:cs="Arial"/>
                <w:b/>
                <w:bCs/>
                <w:sz w:val="23"/>
                <w:szCs w:val="23"/>
              </w:rPr>
              <w:t>) días</w:t>
            </w:r>
            <w:r w:rsidR="005152CF" w:rsidRPr="005B117D">
              <w:rPr>
                <w:rFonts w:ascii="Arial" w:hAnsi="Arial" w:cs="Arial"/>
                <w:sz w:val="23"/>
                <w:szCs w:val="23"/>
              </w:rPr>
              <w:t xml:space="preserve"> </w:t>
            </w:r>
            <w:r w:rsidR="005B117D" w:rsidRPr="005B117D">
              <w:rPr>
                <w:rFonts w:ascii="Arial" w:hAnsi="Arial" w:cs="Arial"/>
                <w:sz w:val="23"/>
                <w:szCs w:val="23"/>
              </w:rPr>
              <w:t xml:space="preserve">calendario </w:t>
            </w:r>
            <w:r w:rsidR="005152CF" w:rsidRPr="005B117D">
              <w:rPr>
                <w:rFonts w:ascii="Arial" w:hAnsi="Arial" w:cs="Arial"/>
                <w:sz w:val="23"/>
                <w:szCs w:val="23"/>
              </w:rPr>
              <w:t>y se dej</w:t>
            </w:r>
            <w:r w:rsidR="001A3D02">
              <w:rPr>
                <w:rFonts w:ascii="Arial" w:hAnsi="Arial" w:cs="Arial"/>
                <w:sz w:val="23"/>
                <w:szCs w:val="23"/>
              </w:rPr>
              <w:t>ará</w:t>
            </w:r>
            <w:r w:rsidR="005152CF" w:rsidRPr="005B117D">
              <w:rPr>
                <w:rFonts w:ascii="Arial" w:hAnsi="Arial" w:cs="Arial"/>
                <w:sz w:val="23"/>
                <w:szCs w:val="23"/>
              </w:rPr>
              <w:t xml:space="preserve"> constancia en un </w:t>
            </w:r>
            <w:r w:rsidR="00596ADB" w:rsidRPr="005B117D">
              <w:rPr>
                <w:rFonts w:ascii="Arial" w:hAnsi="Arial" w:cs="Arial"/>
                <w:sz w:val="23"/>
                <w:szCs w:val="23"/>
              </w:rPr>
              <w:t xml:space="preserve">registro público </w:t>
            </w:r>
            <w:r w:rsidR="005152CF" w:rsidRPr="005B117D">
              <w:rPr>
                <w:rFonts w:ascii="Arial" w:hAnsi="Arial" w:cs="Arial"/>
                <w:sz w:val="23"/>
                <w:szCs w:val="23"/>
              </w:rPr>
              <w:t>dispuesto por este Ministerio.</w:t>
            </w:r>
            <w:r w:rsidR="00554811" w:rsidRPr="005B117D">
              <w:rPr>
                <w:rFonts w:ascii="Arial" w:hAnsi="Arial" w:cs="Arial"/>
                <w:sz w:val="23"/>
                <w:szCs w:val="23"/>
              </w:rPr>
              <w:t xml:space="preserve"> </w:t>
            </w:r>
            <w:r w:rsidR="001A3D02">
              <w:rPr>
                <w:rFonts w:ascii="Arial" w:hAnsi="Arial" w:cs="Arial"/>
                <w:sz w:val="23"/>
                <w:szCs w:val="23"/>
              </w:rPr>
              <w:t>(…)</w:t>
            </w:r>
          </w:p>
          <w:p w14:paraId="21D27A8E" w14:textId="22B46EDB" w:rsidR="000443A4" w:rsidRDefault="000443A4" w:rsidP="005670F7">
            <w:pPr>
              <w:autoSpaceDE w:val="0"/>
              <w:autoSpaceDN w:val="0"/>
              <w:adjustRightInd w:val="0"/>
              <w:ind w:left="142" w:right="256"/>
              <w:jc w:val="both"/>
              <w:rPr>
                <w:rFonts w:ascii="Arial" w:hAnsi="Arial" w:cs="Arial"/>
                <w:sz w:val="23"/>
                <w:szCs w:val="23"/>
              </w:rPr>
            </w:pPr>
          </w:p>
          <w:p w14:paraId="400A0BB4" w14:textId="00885B5D" w:rsidR="00184E17" w:rsidRDefault="000443A4" w:rsidP="000443A4">
            <w:pPr>
              <w:autoSpaceDE w:val="0"/>
              <w:autoSpaceDN w:val="0"/>
              <w:adjustRightInd w:val="0"/>
              <w:ind w:left="142" w:right="256"/>
              <w:jc w:val="both"/>
              <w:rPr>
                <w:rFonts w:ascii="Arial" w:hAnsi="Arial" w:cs="Arial"/>
                <w:sz w:val="23"/>
                <w:szCs w:val="23"/>
              </w:rPr>
            </w:pPr>
            <w:r w:rsidRPr="000443A4">
              <w:rPr>
                <w:rFonts w:ascii="Arial" w:hAnsi="Arial" w:cs="Arial"/>
                <w:sz w:val="23"/>
                <w:szCs w:val="23"/>
              </w:rPr>
              <w:t>Al respecto, se precisa que el plazo de publicación es inferior a quince (15) días como quiera que es</w:t>
            </w:r>
            <w:r>
              <w:rPr>
                <w:rFonts w:ascii="Arial" w:hAnsi="Arial" w:cs="Arial"/>
                <w:sz w:val="23"/>
                <w:szCs w:val="23"/>
              </w:rPr>
              <w:t xml:space="preserve"> </w:t>
            </w:r>
            <w:r w:rsidRPr="000443A4">
              <w:rPr>
                <w:rFonts w:ascii="Arial" w:hAnsi="Arial" w:cs="Arial"/>
                <w:sz w:val="23"/>
                <w:szCs w:val="23"/>
              </w:rPr>
              <w:t xml:space="preserve">indispensable </w:t>
            </w:r>
            <w:r>
              <w:rPr>
                <w:rFonts w:ascii="Arial" w:hAnsi="Arial" w:cs="Arial"/>
                <w:sz w:val="23"/>
                <w:szCs w:val="23"/>
              </w:rPr>
              <w:t>que para el</w:t>
            </w:r>
            <w:r w:rsidR="00184E17">
              <w:rPr>
                <w:rFonts w:ascii="Arial" w:hAnsi="Arial" w:cs="Arial"/>
                <w:sz w:val="23"/>
                <w:szCs w:val="23"/>
              </w:rPr>
              <w:t xml:space="preserve"> primero de </w:t>
            </w:r>
            <w:r w:rsidR="00E75024">
              <w:rPr>
                <w:rFonts w:ascii="Arial" w:hAnsi="Arial" w:cs="Arial"/>
                <w:sz w:val="23"/>
                <w:szCs w:val="23"/>
              </w:rPr>
              <w:t>j</w:t>
            </w:r>
            <w:r>
              <w:rPr>
                <w:rFonts w:ascii="Arial" w:hAnsi="Arial" w:cs="Arial"/>
                <w:sz w:val="23"/>
                <w:szCs w:val="23"/>
              </w:rPr>
              <w:t xml:space="preserve">ulio de la presente vigencia </w:t>
            </w:r>
            <w:r w:rsidR="00184E17">
              <w:rPr>
                <w:rFonts w:ascii="Arial" w:hAnsi="Arial" w:cs="Arial"/>
                <w:sz w:val="23"/>
                <w:szCs w:val="23"/>
              </w:rPr>
              <w:t xml:space="preserve">se determine la fuente de financiación y por el ende el valor máximo de recobro de </w:t>
            </w:r>
            <w:r w:rsidR="00184E17" w:rsidRPr="00184E17">
              <w:rPr>
                <w:rFonts w:ascii="Arial" w:hAnsi="Arial" w:cs="Arial"/>
                <w:sz w:val="23"/>
                <w:szCs w:val="23"/>
              </w:rPr>
              <w:t>las pruebas diagnósticas y de Anticuerpos para SARS- CoV-2 (COVID-19)</w:t>
            </w:r>
            <w:r w:rsidR="00184E17">
              <w:rPr>
                <w:rFonts w:ascii="Arial" w:hAnsi="Arial" w:cs="Arial"/>
                <w:sz w:val="23"/>
                <w:szCs w:val="23"/>
              </w:rPr>
              <w:t xml:space="preserve">, toda vez que la emergencia sanitaria culmina el próximo 30 de junio dejando sin vigencia las ya citados actos administrativos, Resoluciones 1161, 1463 y 1630 de 2020. </w:t>
            </w:r>
          </w:p>
          <w:p w14:paraId="56CEA9D5" w14:textId="77777777" w:rsidR="000443A4" w:rsidRDefault="000443A4" w:rsidP="000443A4">
            <w:pPr>
              <w:autoSpaceDE w:val="0"/>
              <w:autoSpaceDN w:val="0"/>
              <w:adjustRightInd w:val="0"/>
              <w:ind w:left="142" w:right="256"/>
              <w:jc w:val="both"/>
              <w:rPr>
                <w:rFonts w:ascii="Arial" w:hAnsi="Arial" w:cs="Arial"/>
                <w:sz w:val="23"/>
                <w:szCs w:val="23"/>
              </w:rPr>
            </w:pPr>
          </w:p>
          <w:p w14:paraId="38303330" w14:textId="453091B7" w:rsidR="00D7499E" w:rsidRDefault="00D7499E" w:rsidP="00B5407B">
            <w:pPr>
              <w:autoSpaceDE w:val="0"/>
              <w:autoSpaceDN w:val="0"/>
              <w:adjustRightInd w:val="0"/>
              <w:ind w:left="142" w:right="256"/>
              <w:jc w:val="both"/>
              <w:rPr>
                <w:rFonts w:ascii="Arial" w:hAnsi="Arial" w:cs="Arial"/>
                <w:sz w:val="23"/>
                <w:szCs w:val="23"/>
              </w:rPr>
            </w:pPr>
            <w:r>
              <w:rPr>
                <w:rFonts w:ascii="Arial" w:hAnsi="Arial" w:cs="Arial"/>
                <w:sz w:val="23"/>
                <w:szCs w:val="23"/>
              </w:rPr>
              <w:t xml:space="preserve">Así las cosas, </w:t>
            </w:r>
            <w:r w:rsidR="00B5407B">
              <w:rPr>
                <w:rFonts w:ascii="Arial" w:hAnsi="Arial" w:cs="Arial"/>
                <w:sz w:val="23"/>
                <w:szCs w:val="23"/>
              </w:rPr>
              <w:t>e</w:t>
            </w:r>
            <w:r w:rsidR="00A95DEC" w:rsidRPr="002A5F20">
              <w:rPr>
                <w:rFonts w:ascii="Arial" w:hAnsi="Arial" w:cs="Arial"/>
                <w:sz w:val="23"/>
                <w:szCs w:val="23"/>
              </w:rPr>
              <w:t>l texto del proyecto</w:t>
            </w:r>
            <w:r>
              <w:rPr>
                <w:rFonts w:ascii="Arial" w:hAnsi="Arial" w:cs="Arial"/>
                <w:sz w:val="23"/>
                <w:szCs w:val="23"/>
              </w:rPr>
              <w:t xml:space="preserve"> </w:t>
            </w:r>
            <w:r w:rsidRPr="00116D1E">
              <w:rPr>
                <w:rFonts w:ascii="Arial" w:hAnsi="Arial" w:cs="Arial"/>
                <w:i/>
                <w:iCs/>
                <w:sz w:val="23"/>
                <w:szCs w:val="23"/>
              </w:rPr>
              <w:t>"</w:t>
            </w:r>
            <w:r w:rsidR="00184E17" w:rsidRPr="00184E17">
              <w:rPr>
                <w:rFonts w:ascii="Arial" w:hAnsi="Arial" w:cs="Arial"/>
                <w:i/>
                <w:iCs/>
                <w:sz w:val="23"/>
                <w:szCs w:val="23"/>
              </w:rPr>
              <w:t>Por la cual se define el valor máximo de recobro de las pruebas diagnósticas y de anticuerpos para SARS- CoV-2 (COVID-19)</w:t>
            </w:r>
            <w:r w:rsidRPr="00116D1E">
              <w:rPr>
                <w:rFonts w:ascii="Arial" w:hAnsi="Arial" w:cs="Arial"/>
                <w:i/>
                <w:iCs/>
                <w:sz w:val="23"/>
                <w:szCs w:val="23"/>
              </w:rPr>
              <w:t>”</w:t>
            </w:r>
            <w:r w:rsidRPr="00116D1E">
              <w:rPr>
                <w:rFonts w:ascii="Arial" w:hAnsi="Arial" w:cs="Arial"/>
                <w:sz w:val="23"/>
                <w:szCs w:val="23"/>
              </w:rPr>
              <w:t xml:space="preserve"> </w:t>
            </w:r>
            <w:r w:rsidR="001A3D02" w:rsidRPr="001A3D02">
              <w:rPr>
                <w:rFonts w:ascii="Arial" w:hAnsi="Arial" w:cs="Arial"/>
                <w:b/>
                <w:bCs/>
                <w:sz w:val="23"/>
                <w:szCs w:val="23"/>
              </w:rPr>
              <w:t>estará</w:t>
            </w:r>
            <w:r w:rsidR="00A95DEC" w:rsidRPr="002A5F20">
              <w:rPr>
                <w:rFonts w:ascii="Arial" w:hAnsi="Arial" w:cs="Arial"/>
                <w:sz w:val="23"/>
                <w:szCs w:val="23"/>
              </w:rPr>
              <w:t xml:space="preserve"> publicado en el </w:t>
            </w:r>
            <w:r w:rsidR="00A95DEC" w:rsidRPr="00042056">
              <w:rPr>
                <w:rFonts w:ascii="Arial" w:hAnsi="Arial" w:cs="Arial"/>
                <w:sz w:val="23"/>
                <w:szCs w:val="23"/>
              </w:rPr>
              <w:t xml:space="preserve">sitio web oficial de este Ministerio </w:t>
            </w:r>
            <w:r w:rsidR="00145CCF" w:rsidRPr="00042056">
              <w:rPr>
                <w:rFonts w:ascii="Arial" w:hAnsi="Arial" w:cs="Arial"/>
                <w:sz w:val="23"/>
                <w:szCs w:val="23"/>
              </w:rPr>
              <w:t>desde el</w:t>
            </w:r>
            <w:r w:rsidR="008302EF" w:rsidRPr="00042056">
              <w:rPr>
                <w:rFonts w:ascii="Arial" w:hAnsi="Arial" w:cs="Arial"/>
                <w:sz w:val="23"/>
                <w:szCs w:val="23"/>
              </w:rPr>
              <w:t xml:space="preserve"> </w:t>
            </w:r>
            <w:r w:rsidR="00184E17">
              <w:rPr>
                <w:rFonts w:ascii="Arial" w:hAnsi="Arial" w:cs="Arial"/>
                <w:b/>
                <w:bCs/>
                <w:sz w:val="23"/>
                <w:szCs w:val="23"/>
              </w:rPr>
              <w:t>veinticuatro</w:t>
            </w:r>
            <w:r w:rsidR="00F023AD" w:rsidRPr="00042056">
              <w:rPr>
                <w:rFonts w:ascii="Arial" w:hAnsi="Arial" w:cs="Arial"/>
                <w:b/>
                <w:bCs/>
                <w:sz w:val="23"/>
                <w:szCs w:val="23"/>
              </w:rPr>
              <w:t xml:space="preserve"> (</w:t>
            </w:r>
            <w:r w:rsidR="00184E17">
              <w:rPr>
                <w:rFonts w:ascii="Arial" w:hAnsi="Arial" w:cs="Arial"/>
                <w:b/>
                <w:bCs/>
                <w:sz w:val="23"/>
                <w:szCs w:val="23"/>
              </w:rPr>
              <w:t>24</w:t>
            </w:r>
            <w:r w:rsidR="00F023AD" w:rsidRPr="00042056">
              <w:rPr>
                <w:rFonts w:ascii="Arial" w:hAnsi="Arial" w:cs="Arial"/>
                <w:b/>
                <w:bCs/>
                <w:sz w:val="23"/>
                <w:szCs w:val="23"/>
              </w:rPr>
              <w:t xml:space="preserve">) al </w:t>
            </w:r>
            <w:r w:rsidR="00184E17">
              <w:rPr>
                <w:rFonts w:ascii="Arial" w:hAnsi="Arial" w:cs="Arial"/>
                <w:b/>
                <w:bCs/>
                <w:sz w:val="23"/>
                <w:szCs w:val="23"/>
              </w:rPr>
              <w:t xml:space="preserve">veintiocho </w:t>
            </w:r>
            <w:r w:rsidR="00042056" w:rsidRPr="00042056">
              <w:rPr>
                <w:rFonts w:ascii="Arial" w:hAnsi="Arial" w:cs="Arial"/>
                <w:b/>
                <w:bCs/>
                <w:sz w:val="23"/>
                <w:szCs w:val="23"/>
              </w:rPr>
              <w:t>(</w:t>
            </w:r>
            <w:r w:rsidR="00184E17">
              <w:rPr>
                <w:rFonts w:ascii="Arial" w:hAnsi="Arial" w:cs="Arial"/>
                <w:b/>
                <w:bCs/>
                <w:sz w:val="23"/>
                <w:szCs w:val="23"/>
              </w:rPr>
              <w:t>28</w:t>
            </w:r>
            <w:r w:rsidR="00042056" w:rsidRPr="00042056">
              <w:rPr>
                <w:rFonts w:ascii="Arial" w:hAnsi="Arial" w:cs="Arial"/>
                <w:b/>
                <w:bCs/>
                <w:sz w:val="23"/>
                <w:szCs w:val="23"/>
              </w:rPr>
              <w:t>)</w:t>
            </w:r>
            <w:r w:rsidR="0094070C" w:rsidRPr="00042056">
              <w:rPr>
                <w:rFonts w:ascii="Arial" w:hAnsi="Arial" w:cs="Arial"/>
                <w:b/>
                <w:bCs/>
                <w:sz w:val="23"/>
                <w:szCs w:val="23"/>
              </w:rPr>
              <w:t xml:space="preserve"> </w:t>
            </w:r>
            <w:r w:rsidR="00042056" w:rsidRPr="00042056">
              <w:rPr>
                <w:rFonts w:ascii="Arial" w:hAnsi="Arial" w:cs="Arial"/>
                <w:b/>
                <w:bCs/>
                <w:sz w:val="23"/>
                <w:szCs w:val="23"/>
              </w:rPr>
              <w:t>de junio</w:t>
            </w:r>
            <w:r w:rsidR="00145CCF" w:rsidRPr="00042056">
              <w:rPr>
                <w:rFonts w:ascii="Arial" w:hAnsi="Arial" w:cs="Arial"/>
                <w:b/>
                <w:bCs/>
                <w:sz w:val="23"/>
                <w:szCs w:val="23"/>
              </w:rPr>
              <w:t xml:space="preserve"> </w:t>
            </w:r>
            <w:r w:rsidR="006E2C5F" w:rsidRPr="00042056">
              <w:rPr>
                <w:rFonts w:ascii="Arial" w:hAnsi="Arial" w:cs="Arial"/>
                <w:b/>
                <w:bCs/>
                <w:sz w:val="23"/>
                <w:szCs w:val="23"/>
              </w:rPr>
              <w:t>de 202</w:t>
            </w:r>
            <w:r w:rsidR="00042056" w:rsidRPr="00042056">
              <w:rPr>
                <w:rFonts w:ascii="Arial" w:hAnsi="Arial" w:cs="Arial"/>
                <w:b/>
                <w:bCs/>
                <w:sz w:val="23"/>
                <w:szCs w:val="23"/>
              </w:rPr>
              <w:t>2</w:t>
            </w:r>
            <w:r w:rsidR="00A95DEC" w:rsidRPr="00042056">
              <w:rPr>
                <w:rFonts w:ascii="Arial" w:hAnsi="Arial" w:cs="Arial"/>
                <w:sz w:val="23"/>
                <w:szCs w:val="23"/>
              </w:rPr>
              <w:t>, como</w:t>
            </w:r>
            <w:r w:rsidR="00A95DEC" w:rsidRPr="002A5F20">
              <w:rPr>
                <w:rFonts w:ascii="Arial" w:hAnsi="Arial" w:cs="Arial"/>
                <w:sz w:val="23"/>
                <w:szCs w:val="23"/>
              </w:rPr>
              <w:t xml:space="preserve"> </w:t>
            </w:r>
            <w:r w:rsidR="006E2C5F" w:rsidRPr="002A5F20">
              <w:rPr>
                <w:rFonts w:ascii="Arial" w:hAnsi="Arial" w:cs="Arial"/>
                <w:sz w:val="23"/>
                <w:szCs w:val="23"/>
              </w:rPr>
              <w:t xml:space="preserve">lo </w:t>
            </w:r>
            <w:r w:rsidR="00A95DEC" w:rsidRPr="002A5F20">
              <w:rPr>
                <w:rFonts w:ascii="Arial" w:hAnsi="Arial" w:cs="Arial"/>
                <w:sz w:val="23"/>
                <w:szCs w:val="23"/>
              </w:rPr>
              <w:t>muestra la</w:t>
            </w:r>
            <w:r w:rsidR="006E2C5F" w:rsidRPr="002A5F20">
              <w:rPr>
                <w:rFonts w:ascii="Arial" w:hAnsi="Arial" w:cs="Arial"/>
                <w:sz w:val="23"/>
                <w:szCs w:val="23"/>
              </w:rPr>
              <w:t xml:space="preserve"> siguiente </w:t>
            </w:r>
            <w:r w:rsidR="00957A72" w:rsidRPr="002A5F20">
              <w:rPr>
                <w:rFonts w:ascii="Arial" w:hAnsi="Arial" w:cs="Arial"/>
                <w:sz w:val="23"/>
                <w:szCs w:val="23"/>
              </w:rPr>
              <w:t>imagen</w:t>
            </w:r>
            <w:r w:rsidR="00A95DEC" w:rsidRPr="002A5F20">
              <w:rPr>
                <w:rFonts w:ascii="Arial" w:hAnsi="Arial" w:cs="Arial"/>
                <w:sz w:val="23"/>
                <w:szCs w:val="23"/>
              </w:rPr>
              <w:t>:</w:t>
            </w:r>
          </w:p>
          <w:p w14:paraId="49F3A245" w14:textId="22A51758" w:rsidR="00042056" w:rsidRDefault="00042056" w:rsidP="00B5407B">
            <w:pPr>
              <w:autoSpaceDE w:val="0"/>
              <w:autoSpaceDN w:val="0"/>
              <w:adjustRightInd w:val="0"/>
              <w:ind w:left="142" w:right="256"/>
              <w:jc w:val="both"/>
              <w:rPr>
                <w:rFonts w:ascii="Arial" w:hAnsi="Arial" w:cs="Arial"/>
                <w:sz w:val="23"/>
                <w:szCs w:val="23"/>
              </w:rPr>
            </w:pPr>
          </w:p>
          <w:p w14:paraId="327D627C" w14:textId="0F380EE2" w:rsidR="00042056" w:rsidRDefault="00042056" w:rsidP="00B5407B">
            <w:pPr>
              <w:autoSpaceDE w:val="0"/>
              <w:autoSpaceDN w:val="0"/>
              <w:adjustRightInd w:val="0"/>
              <w:ind w:left="142" w:right="256"/>
              <w:jc w:val="both"/>
              <w:rPr>
                <w:rFonts w:ascii="Arial" w:hAnsi="Arial" w:cs="Arial"/>
                <w:sz w:val="23"/>
                <w:szCs w:val="23"/>
              </w:rPr>
            </w:pPr>
          </w:p>
          <w:tbl>
            <w:tblPr>
              <w:tblW w:w="0" w:type="auto"/>
              <w:tblInd w:w="199" w:type="dxa"/>
              <w:tblCellMar>
                <w:left w:w="0" w:type="dxa"/>
                <w:right w:w="0" w:type="dxa"/>
              </w:tblCellMar>
              <w:tblLook w:val="04A0" w:firstRow="1" w:lastRow="0" w:firstColumn="1" w:lastColumn="0" w:noHBand="0" w:noVBand="1"/>
            </w:tblPr>
            <w:tblGrid>
              <w:gridCol w:w="2382"/>
              <w:gridCol w:w="3050"/>
              <w:gridCol w:w="1527"/>
              <w:gridCol w:w="1404"/>
            </w:tblGrid>
            <w:tr w:rsidR="00ED4267" w:rsidRPr="00ED4267" w14:paraId="0CD19992" w14:textId="77777777" w:rsidTr="00ED4267">
              <w:trPr>
                <w:trHeight w:val="693"/>
              </w:trPr>
              <w:tc>
                <w:tcPr>
                  <w:tcW w:w="836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5C349" w14:textId="77777777" w:rsidR="00ED4267" w:rsidRPr="00ED4267" w:rsidRDefault="00ED4267" w:rsidP="00ED4267">
                  <w:pPr>
                    <w:jc w:val="center"/>
                    <w:rPr>
                      <w:szCs w:val="24"/>
                      <w:lang w:val="es-CO" w:eastAsia="es-CO"/>
                    </w:rPr>
                  </w:pPr>
                  <w:r w:rsidRPr="00ED4267">
                    <w:rPr>
                      <w:rFonts w:ascii="Arial Narrow" w:hAnsi="Arial Narrow"/>
                      <w:b/>
                      <w:bCs/>
                      <w:szCs w:val="24"/>
                      <w:lang w:val="es-CO" w:eastAsia="es-CO"/>
                    </w:rPr>
                    <w:t>Numeral 8 del artículo 8 de la Ley 1437 de 2011</w:t>
                  </w:r>
                </w:p>
              </w:tc>
            </w:tr>
            <w:tr w:rsidR="00ED4267" w:rsidRPr="00ED4267" w14:paraId="378D906F" w14:textId="77777777" w:rsidTr="00ED4267">
              <w:trPr>
                <w:trHeight w:val="483"/>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5FFD258B" w14:textId="77777777" w:rsidR="00ED4267" w:rsidRPr="00ED4267" w:rsidRDefault="00ED4267" w:rsidP="00ED4267">
                  <w:pPr>
                    <w:rPr>
                      <w:szCs w:val="24"/>
                      <w:shd w:val="clear" w:color="auto" w:fill="D9E2F3"/>
                      <w:lang w:val="es-CO" w:eastAsia="es-CO"/>
                    </w:rPr>
                  </w:pPr>
                  <w:r w:rsidRPr="00ED4267">
                    <w:rPr>
                      <w:rFonts w:ascii="Arial Narrow" w:hAnsi="Arial Narrow"/>
                      <w:b/>
                      <w:bCs/>
                      <w:color w:val="000000"/>
                      <w:szCs w:val="24"/>
                      <w:shd w:val="clear" w:color="auto" w:fill="D9E2F3"/>
                      <w:lang w:val="es-CO" w:eastAsia="es-CO"/>
                    </w:rPr>
                    <w:t>Tipo de norma </w:t>
                  </w:r>
                  <w:r w:rsidRPr="00ED4267">
                    <w:rPr>
                      <w:rFonts w:ascii="Arial Narrow" w:hAnsi="Arial Narrow"/>
                      <w:b/>
                      <w:bCs/>
                      <w:color w:val="00B050"/>
                      <w:szCs w:val="24"/>
                      <w:shd w:val="clear" w:color="auto" w:fill="D9E2F3"/>
                      <w:lang w:val="es-CO" w:eastAsia="es-CO"/>
                    </w:rPr>
                    <w:t>(1)</w:t>
                  </w:r>
                  <w:r w:rsidRPr="00ED4267">
                    <w:rPr>
                      <w:rFonts w:ascii="Arial Narrow" w:hAnsi="Arial Narrow"/>
                      <w:b/>
                      <w:bCs/>
                      <w:color w:val="000000"/>
                      <w:szCs w:val="24"/>
                      <w:shd w:val="clear" w:color="auto" w:fill="D9E2F3"/>
                      <w:lang w:val="es-CO" w:eastAsia="es-CO"/>
                    </w:rPr>
                    <w:t>:</w:t>
                  </w:r>
                </w:p>
              </w:tc>
              <w:tc>
                <w:tcPr>
                  <w:tcW w:w="5981" w:type="dxa"/>
                  <w:gridSpan w:val="3"/>
                  <w:tcBorders>
                    <w:top w:val="nil"/>
                    <w:left w:val="nil"/>
                    <w:bottom w:val="single" w:sz="8" w:space="0" w:color="auto"/>
                    <w:right w:val="single" w:sz="8" w:space="0" w:color="auto"/>
                  </w:tcBorders>
                  <w:vAlign w:val="center"/>
                  <w:hideMark/>
                </w:tcPr>
                <w:p w14:paraId="0D96257C" w14:textId="77777777" w:rsidR="00ED4267" w:rsidRPr="00ED4267" w:rsidRDefault="00ED4267" w:rsidP="00ED4267">
                  <w:pPr>
                    <w:jc w:val="center"/>
                    <w:rPr>
                      <w:szCs w:val="24"/>
                      <w:lang w:val="es-CO" w:eastAsia="es-CO"/>
                    </w:rPr>
                  </w:pPr>
                  <w:r w:rsidRPr="00ED4267">
                    <w:rPr>
                      <w:rFonts w:ascii="Arial Narrow" w:hAnsi="Arial Narrow"/>
                      <w:b/>
                      <w:bCs/>
                      <w:color w:val="000000"/>
                      <w:sz w:val="20"/>
                      <w:lang w:val="es-CO" w:eastAsia="es-CO"/>
                    </w:rPr>
                    <w:t>Decreto:</w:t>
                  </w:r>
                  <w:r w:rsidRPr="00ED4267">
                    <w:rPr>
                      <w:rFonts w:ascii="Arial Narrow" w:hAnsi="Arial Narrow"/>
                      <w:color w:val="000000"/>
                      <w:sz w:val="20"/>
                      <w:lang w:val="es-CO" w:eastAsia="es-CO"/>
                    </w:rPr>
                    <w:t> ____     </w:t>
                  </w:r>
                  <w:r w:rsidRPr="00ED4267">
                    <w:rPr>
                      <w:rFonts w:ascii="Arial Narrow" w:hAnsi="Arial Narrow"/>
                      <w:b/>
                      <w:bCs/>
                      <w:color w:val="000000"/>
                      <w:sz w:val="20"/>
                      <w:lang w:val="es-CO" w:eastAsia="es-CO"/>
                    </w:rPr>
                    <w:t>Resolución:</w:t>
                  </w:r>
                  <w:r w:rsidRPr="00ED4267">
                    <w:rPr>
                      <w:rFonts w:ascii="Arial Narrow" w:hAnsi="Arial Narrow"/>
                      <w:color w:val="000000"/>
                      <w:sz w:val="20"/>
                      <w:lang w:val="es-CO" w:eastAsia="es-CO"/>
                    </w:rPr>
                    <w:t> _X___     </w:t>
                  </w:r>
                  <w:r w:rsidRPr="00ED4267">
                    <w:rPr>
                      <w:rFonts w:ascii="Arial Narrow" w:hAnsi="Arial Narrow"/>
                      <w:b/>
                      <w:bCs/>
                      <w:color w:val="000000"/>
                      <w:sz w:val="20"/>
                      <w:lang w:val="es-CO" w:eastAsia="es-CO"/>
                    </w:rPr>
                    <w:t>Circular:</w:t>
                  </w:r>
                  <w:r w:rsidRPr="00ED4267">
                    <w:rPr>
                      <w:rFonts w:ascii="Arial Narrow" w:hAnsi="Arial Narrow"/>
                      <w:color w:val="000000"/>
                      <w:sz w:val="20"/>
                      <w:lang w:val="es-CO" w:eastAsia="es-CO"/>
                    </w:rPr>
                    <w:t> ____</w:t>
                  </w:r>
                </w:p>
                <w:p w14:paraId="5428AD4F" w14:textId="77777777" w:rsidR="00ED4267" w:rsidRPr="00ED4267" w:rsidRDefault="00ED4267" w:rsidP="00ED4267">
                  <w:pPr>
                    <w:jc w:val="center"/>
                    <w:rPr>
                      <w:szCs w:val="24"/>
                      <w:lang w:val="es-CO" w:eastAsia="es-CO"/>
                    </w:rPr>
                  </w:pPr>
                  <w:r w:rsidRPr="00ED4267">
                    <w:rPr>
                      <w:rFonts w:ascii="Arial Narrow" w:hAnsi="Arial Narrow"/>
                      <w:b/>
                      <w:bCs/>
                      <w:color w:val="000000"/>
                      <w:sz w:val="20"/>
                      <w:lang w:val="es-CO" w:eastAsia="es-CO"/>
                    </w:rPr>
                    <w:t>Análisis de impacto normativo:</w:t>
                  </w:r>
                  <w:r w:rsidRPr="00ED4267">
                    <w:rPr>
                      <w:rFonts w:ascii="Arial Narrow" w:hAnsi="Arial Narrow"/>
                      <w:color w:val="000000"/>
                      <w:sz w:val="20"/>
                      <w:lang w:val="es-CO" w:eastAsia="es-CO"/>
                    </w:rPr>
                    <w:t> ____     </w:t>
                  </w:r>
                  <w:r w:rsidRPr="00ED4267">
                    <w:rPr>
                      <w:rFonts w:ascii="Arial Narrow" w:hAnsi="Arial Narrow"/>
                      <w:b/>
                      <w:bCs/>
                      <w:color w:val="000000"/>
                      <w:sz w:val="20"/>
                      <w:lang w:val="es-CO" w:eastAsia="es-CO"/>
                    </w:rPr>
                    <w:t>Otro:</w:t>
                  </w:r>
                  <w:r w:rsidRPr="00ED4267">
                    <w:rPr>
                      <w:rFonts w:ascii="Arial Narrow" w:hAnsi="Arial Narrow"/>
                      <w:color w:val="000000"/>
                      <w:sz w:val="20"/>
                      <w:lang w:val="es-CO" w:eastAsia="es-CO"/>
                    </w:rPr>
                    <w:t> ____________ </w:t>
                  </w:r>
                  <w:r w:rsidRPr="00ED4267">
                    <w:rPr>
                      <w:rFonts w:ascii="Arial Narrow" w:hAnsi="Arial Narrow"/>
                      <w:b/>
                      <w:bCs/>
                      <w:color w:val="000000"/>
                      <w:sz w:val="20"/>
                      <w:lang w:val="es-CO" w:eastAsia="es-CO"/>
                    </w:rPr>
                    <w:t>Cuál:</w:t>
                  </w:r>
                  <w:r w:rsidRPr="00ED4267">
                    <w:rPr>
                      <w:rFonts w:ascii="Arial Narrow" w:hAnsi="Arial Narrow"/>
                      <w:color w:val="000000"/>
                      <w:sz w:val="20"/>
                      <w:lang w:val="es-CO" w:eastAsia="es-CO"/>
                    </w:rPr>
                    <w:t> ____________</w:t>
                  </w:r>
                </w:p>
              </w:tc>
            </w:tr>
            <w:tr w:rsidR="00ED4267" w:rsidRPr="00ED4267" w14:paraId="3545844F" w14:textId="77777777" w:rsidTr="00ED4267">
              <w:trPr>
                <w:trHeight w:val="249"/>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4CEAB8E8" w14:textId="77777777" w:rsidR="00ED4267" w:rsidRPr="00ED4267" w:rsidRDefault="00ED4267" w:rsidP="00ED4267">
                  <w:pPr>
                    <w:rPr>
                      <w:szCs w:val="24"/>
                      <w:shd w:val="clear" w:color="auto" w:fill="D9E2F3"/>
                      <w:lang w:val="es-CO" w:eastAsia="es-CO"/>
                    </w:rPr>
                  </w:pPr>
                  <w:r w:rsidRPr="00ED4267">
                    <w:rPr>
                      <w:rFonts w:ascii="Arial Narrow" w:hAnsi="Arial Narrow"/>
                      <w:b/>
                      <w:bCs/>
                      <w:color w:val="000000"/>
                      <w:szCs w:val="24"/>
                      <w:shd w:val="clear" w:color="auto" w:fill="D9E2F3"/>
                      <w:lang w:val="es-CO" w:eastAsia="es-CO"/>
                    </w:rPr>
                    <w:t>Epígrafe del proyecto de acto administrativo a publicar </w:t>
                  </w:r>
                  <w:r w:rsidRPr="00ED4267">
                    <w:rPr>
                      <w:rFonts w:ascii="Arial Narrow" w:hAnsi="Arial Narrow"/>
                      <w:b/>
                      <w:bCs/>
                      <w:color w:val="00B050"/>
                      <w:szCs w:val="24"/>
                      <w:shd w:val="clear" w:color="auto" w:fill="D9E2F3"/>
                      <w:lang w:val="es-CO" w:eastAsia="es-CO"/>
                    </w:rPr>
                    <w:t>(2)</w:t>
                  </w:r>
                  <w:r w:rsidRPr="00ED4267">
                    <w:rPr>
                      <w:rFonts w:ascii="Arial Narrow" w:hAnsi="Arial Narrow"/>
                      <w:b/>
                      <w:bCs/>
                      <w:color w:val="000000"/>
                      <w:szCs w:val="24"/>
                      <w:shd w:val="clear" w:color="auto" w:fill="D9E2F3"/>
                      <w:lang w:val="es-CO" w:eastAsia="es-CO"/>
                    </w:rPr>
                    <w:t>: </w:t>
                  </w:r>
                </w:p>
              </w:tc>
              <w:tc>
                <w:tcPr>
                  <w:tcW w:w="59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F8DF4" w14:textId="3E8BB90D" w:rsidR="00ED4267" w:rsidRPr="00ED4267" w:rsidRDefault="00713ABB" w:rsidP="00ED4267">
                  <w:pPr>
                    <w:jc w:val="center"/>
                    <w:rPr>
                      <w:szCs w:val="24"/>
                      <w:lang w:val="es-CO" w:eastAsia="es-CO"/>
                    </w:rPr>
                  </w:pPr>
                  <w:r>
                    <w:rPr>
                      <w:rFonts w:ascii="Arial" w:hAnsi="Arial" w:cs="Arial"/>
                      <w:i/>
                      <w:iCs/>
                      <w:sz w:val="20"/>
                      <w:lang w:val="es-CO" w:eastAsia="es-CO"/>
                    </w:rPr>
                    <w:t>“</w:t>
                  </w:r>
                  <w:r w:rsidRPr="00713ABB">
                    <w:rPr>
                      <w:rFonts w:ascii="Arial" w:hAnsi="Arial" w:cs="Arial"/>
                      <w:i/>
                      <w:iCs/>
                      <w:sz w:val="20"/>
                      <w:lang w:val="es-CO" w:eastAsia="es-CO"/>
                    </w:rPr>
                    <w:t>Por la cual se define el valor máximo de recobro de las pruebas diagnósticas y de anticuerpos para SARS- CoV-2 (COVID-19)</w:t>
                  </w:r>
                  <w:r w:rsidR="001A3D02" w:rsidRPr="001A3D02">
                    <w:rPr>
                      <w:rFonts w:ascii="Arial" w:hAnsi="Arial" w:cs="Arial"/>
                      <w:i/>
                      <w:iCs/>
                      <w:sz w:val="20"/>
                      <w:lang w:val="es-CO" w:eastAsia="es-CO"/>
                    </w:rPr>
                    <w:t>”</w:t>
                  </w:r>
                </w:p>
              </w:tc>
            </w:tr>
            <w:tr w:rsidR="00ED4267" w:rsidRPr="00ED4267" w14:paraId="6EA030A6" w14:textId="77777777" w:rsidTr="00ED4267">
              <w:trPr>
                <w:trHeight w:val="455"/>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46F1AD28" w14:textId="77777777" w:rsidR="00ED4267" w:rsidRPr="00ED4267" w:rsidRDefault="00ED4267" w:rsidP="00ED4267">
                  <w:pPr>
                    <w:rPr>
                      <w:szCs w:val="24"/>
                      <w:shd w:val="clear" w:color="auto" w:fill="D9E2F3"/>
                      <w:lang w:val="es-CO" w:eastAsia="es-CO"/>
                    </w:rPr>
                  </w:pPr>
                  <w:r w:rsidRPr="00ED4267">
                    <w:rPr>
                      <w:rFonts w:ascii="Arial Narrow" w:hAnsi="Arial Narrow"/>
                      <w:b/>
                      <w:bCs/>
                      <w:szCs w:val="24"/>
                      <w:shd w:val="clear" w:color="auto" w:fill="D9E2F3"/>
                      <w:lang w:val="es-CO" w:eastAsia="es-CO"/>
                    </w:rPr>
                    <w:t>Fecha y hora de publicación (3):</w:t>
                  </w:r>
                </w:p>
              </w:tc>
              <w:tc>
                <w:tcPr>
                  <w:tcW w:w="59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CA4EF" w14:textId="23E56BF2" w:rsidR="00ED4267" w:rsidRPr="00ED4267" w:rsidRDefault="00713ABB" w:rsidP="00ED4267">
                  <w:pPr>
                    <w:rPr>
                      <w:szCs w:val="24"/>
                      <w:lang w:val="es-CO" w:eastAsia="es-CO"/>
                    </w:rPr>
                  </w:pPr>
                  <w:r>
                    <w:rPr>
                      <w:rFonts w:ascii="Arial Narrow" w:hAnsi="Arial Narrow"/>
                      <w:color w:val="000000"/>
                      <w:sz w:val="20"/>
                      <w:lang w:val="es-CO" w:eastAsia="es-CO"/>
                    </w:rPr>
                    <w:t>Viernes 24</w:t>
                  </w:r>
                  <w:r w:rsidR="00ED4267" w:rsidRPr="00ED4267">
                    <w:rPr>
                      <w:rFonts w:ascii="Arial Narrow" w:hAnsi="Arial Narrow"/>
                      <w:color w:val="000000"/>
                      <w:sz w:val="20"/>
                      <w:lang w:val="es-CO" w:eastAsia="es-CO"/>
                    </w:rPr>
                    <w:t xml:space="preserve"> de </w:t>
                  </w:r>
                  <w:r w:rsidR="00042056">
                    <w:rPr>
                      <w:rFonts w:ascii="Arial Narrow" w:hAnsi="Arial Narrow"/>
                      <w:color w:val="000000"/>
                      <w:sz w:val="20"/>
                      <w:lang w:val="es-CO" w:eastAsia="es-CO"/>
                    </w:rPr>
                    <w:t>ju</w:t>
                  </w:r>
                  <w:r>
                    <w:rPr>
                      <w:rFonts w:ascii="Arial Narrow" w:hAnsi="Arial Narrow"/>
                      <w:color w:val="000000"/>
                      <w:sz w:val="20"/>
                      <w:lang w:val="es-CO" w:eastAsia="es-CO"/>
                    </w:rPr>
                    <w:t>n</w:t>
                  </w:r>
                  <w:r w:rsidR="00042056">
                    <w:rPr>
                      <w:rFonts w:ascii="Arial Narrow" w:hAnsi="Arial Narrow"/>
                      <w:color w:val="000000"/>
                      <w:sz w:val="20"/>
                      <w:lang w:val="es-CO" w:eastAsia="es-CO"/>
                    </w:rPr>
                    <w:t>io</w:t>
                  </w:r>
                  <w:r w:rsidR="00ED4267" w:rsidRPr="00ED4267">
                    <w:rPr>
                      <w:rFonts w:ascii="Arial Narrow" w:hAnsi="Arial Narrow"/>
                      <w:color w:val="000000"/>
                      <w:sz w:val="20"/>
                      <w:lang w:val="es-CO" w:eastAsia="es-CO"/>
                    </w:rPr>
                    <w:t xml:space="preserve"> de 2020, </w:t>
                  </w:r>
                  <w:r>
                    <w:rPr>
                      <w:rFonts w:ascii="Arial Narrow" w:hAnsi="Arial Narrow"/>
                      <w:color w:val="000000"/>
                      <w:sz w:val="20"/>
                      <w:lang w:val="es-CO" w:eastAsia="es-CO"/>
                    </w:rPr>
                    <w:t>6</w:t>
                  </w:r>
                  <w:r w:rsidR="00ED4267" w:rsidRPr="00ED4267">
                    <w:rPr>
                      <w:rFonts w:ascii="Arial Narrow" w:hAnsi="Arial Narrow"/>
                      <w:color w:val="000000"/>
                      <w:sz w:val="20"/>
                      <w:lang w:val="es-CO" w:eastAsia="es-CO"/>
                    </w:rPr>
                    <w:t>:00 p.m.</w:t>
                  </w:r>
                </w:p>
              </w:tc>
            </w:tr>
            <w:tr w:rsidR="00ED4267" w:rsidRPr="00ED4267" w14:paraId="65A58EDF" w14:textId="77777777" w:rsidTr="00ED4267">
              <w:trPr>
                <w:trHeight w:val="249"/>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1277499E" w14:textId="77777777" w:rsidR="00ED4267" w:rsidRPr="00ED4267" w:rsidRDefault="00ED4267" w:rsidP="00ED4267">
                  <w:pPr>
                    <w:rPr>
                      <w:szCs w:val="24"/>
                      <w:shd w:val="clear" w:color="auto" w:fill="D9E2F3"/>
                      <w:lang w:val="es-CO" w:eastAsia="es-CO"/>
                    </w:rPr>
                  </w:pPr>
                  <w:r w:rsidRPr="00ED4267">
                    <w:rPr>
                      <w:rFonts w:ascii="Arial Narrow" w:hAnsi="Arial Narrow"/>
                      <w:b/>
                      <w:bCs/>
                      <w:szCs w:val="24"/>
                      <w:shd w:val="clear" w:color="auto" w:fill="D9E2F3"/>
                      <w:lang w:val="es-CO" w:eastAsia="es-CO"/>
                    </w:rPr>
                    <w:t>Fecha y hora de finalización de la publicación (4):</w:t>
                  </w:r>
                </w:p>
              </w:tc>
              <w:tc>
                <w:tcPr>
                  <w:tcW w:w="59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FE8E0" w14:textId="61499BD4" w:rsidR="00ED4267" w:rsidRPr="00ED4267" w:rsidRDefault="00713ABB" w:rsidP="00ED4267">
                  <w:pPr>
                    <w:rPr>
                      <w:szCs w:val="24"/>
                      <w:lang w:val="es-CO" w:eastAsia="es-CO"/>
                    </w:rPr>
                  </w:pPr>
                  <w:r>
                    <w:rPr>
                      <w:rFonts w:ascii="Arial Narrow" w:hAnsi="Arial Narrow"/>
                      <w:color w:val="000000"/>
                      <w:sz w:val="20"/>
                      <w:lang w:val="es-CO" w:eastAsia="es-CO"/>
                    </w:rPr>
                    <w:t>Martes 28</w:t>
                  </w:r>
                  <w:r w:rsidR="00ED4267" w:rsidRPr="00ED4267">
                    <w:rPr>
                      <w:rFonts w:ascii="Arial Narrow" w:hAnsi="Arial Narrow"/>
                      <w:color w:val="000000"/>
                      <w:sz w:val="20"/>
                      <w:lang w:val="es-CO" w:eastAsia="es-CO"/>
                    </w:rPr>
                    <w:t xml:space="preserve"> de </w:t>
                  </w:r>
                  <w:r w:rsidR="008F1288">
                    <w:rPr>
                      <w:rFonts w:ascii="Arial Narrow" w:hAnsi="Arial Narrow"/>
                      <w:color w:val="000000"/>
                      <w:sz w:val="20"/>
                      <w:lang w:val="es-CO" w:eastAsia="es-CO"/>
                    </w:rPr>
                    <w:t>ju</w:t>
                  </w:r>
                  <w:r>
                    <w:rPr>
                      <w:rFonts w:ascii="Arial Narrow" w:hAnsi="Arial Narrow"/>
                      <w:color w:val="000000"/>
                      <w:sz w:val="20"/>
                      <w:lang w:val="es-CO" w:eastAsia="es-CO"/>
                    </w:rPr>
                    <w:t>n</w:t>
                  </w:r>
                  <w:r w:rsidR="008F1288">
                    <w:rPr>
                      <w:rFonts w:ascii="Arial Narrow" w:hAnsi="Arial Narrow"/>
                      <w:color w:val="000000"/>
                      <w:sz w:val="20"/>
                      <w:lang w:val="es-CO" w:eastAsia="es-CO"/>
                    </w:rPr>
                    <w:t>io</w:t>
                  </w:r>
                  <w:r w:rsidR="00ED4267" w:rsidRPr="00ED4267">
                    <w:rPr>
                      <w:rFonts w:ascii="Arial Narrow" w:hAnsi="Arial Narrow"/>
                      <w:color w:val="000000"/>
                      <w:sz w:val="20"/>
                      <w:lang w:val="es-CO" w:eastAsia="es-CO"/>
                    </w:rPr>
                    <w:t xml:space="preserve"> de 202</w:t>
                  </w:r>
                  <w:r w:rsidR="008F1288">
                    <w:rPr>
                      <w:rFonts w:ascii="Arial Narrow" w:hAnsi="Arial Narrow"/>
                      <w:color w:val="000000"/>
                      <w:sz w:val="20"/>
                      <w:lang w:val="es-CO" w:eastAsia="es-CO"/>
                    </w:rPr>
                    <w:t>2</w:t>
                  </w:r>
                  <w:r w:rsidR="00ED4267" w:rsidRPr="00ED4267">
                    <w:rPr>
                      <w:rFonts w:ascii="Arial Narrow" w:hAnsi="Arial Narrow"/>
                      <w:color w:val="000000"/>
                      <w:sz w:val="20"/>
                      <w:lang w:val="es-CO" w:eastAsia="es-CO"/>
                    </w:rPr>
                    <w:t xml:space="preserve">, </w:t>
                  </w:r>
                  <w:r>
                    <w:rPr>
                      <w:rFonts w:ascii="Arial Narrow" w:hAnsi="Arial Narrow"/>
                      <w:color w:val="000000"/>
                      <w:sz w:val="20"/>
                      <w:lang w:val="es-CO" w:eastAsia="es-CO"/>
                    </w:rPr>
                    <w:t>3</w:t>
                  </w:r>
                  <w:r w:rsidR="00ED4267" w:rsidRPr="00ED4267">
                    <w:rPr>
                      <w:rFonts w:ascii="Arial Narrow" w:hAnsi="Arial Narrow"/>
                      <w:color w:val="000000"/>
                      <w:sz w:val="20"/>
                      <w:lang w:val="es-CO" w:eastAsia="es-CO"/>
                    </w:rPr>
                    <w:t>:00 p.m.</w:t>
                  </w:r>
                </w:p>
              </w:tc>
            </w:tr>
            <w:tr w:rsidR="00ED4267" w:rsidRPr="00ED4267" w14:paraId="512DC155" w14:textId="77777777" w:rsidTr="00ED4267">
              <w:trPr>
                <w:trHeight w:val="468"/>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1B66F561" w14:textId="77777777" w:rsidR="00ED4267" w:rsidRPr="00ED4267" w:rsidRDefault="00ED4267" w:rsidP="00ED4267">
                  <w:pPr>
                    <w:rPr>
                      <w:szCs w:val="24"/>
                      <w:shd w:val="clear" w:color="auto" w:fill="D9E2F3"/>
                      <w:lang w:val="es-CO" w:eastAsia="es-CO"/>
                    </w:rPr>
                  </w:pPr>
                  <w:r w:rsidRPr="00ED4267">
                    <w:rPr>
                      <w:rFonts w:ascii="Arial Narrow" w:hAnsi="Arial Narrow"/>
                      <w:b/>
                      <w:bCs/>
                      <w:color w:val="000000"/>
                      <w:szCs w:val="24"/>
                      <w:shd w:val="clear" w:color="auto" w:fill="D9E2F3"/>
                      <w:lang w:val="es-CO" w:eastAsia="es-CO"/>
                    </w:rPr>
                    <w:t>Dependencia responsable </w:t>
                  </w:r>
                  <w:r w:rsidRPr="00ED4267">
                    <w:rPr>
                      <w:rFonts w:ascii="Arial Narrow" w:hAnsi="Arial Narrow"/>
                      <w:b/>
                      <w:bCs/>
                      <w:color w:val="00B050"/>
                      <w:szCs w:val="24"/>
                      <w:shd w:val="clear" w:color="auto" w:fill="D9E2F3"/>
                      <w:lang w:val="en-US" w:eastAsia="es-CO"/>
                    </w:rPr>
                    <w:t>(5)</w:t>
                  </w:r>
                  <w:r w:rsidRPr="00ED4267">
                    <w:rPr>
                      <w:rFonts w:ascii="Arial Narrow" w:hAnsi="Arial Narrow"/>
                      <w:b/>
                      <w:bCs/>
                      <w:color w:val="000000"/>
                      <w:szCs w:val="24"/>
                      <w:shd w:val="clear" w:color="auto" w:fill="D9E2F3"/>
                      <w:lang w:val="en-US" w:eastAsia="es-CO"/>
                    </w:rPr>
                    <w:t>:</w:t>
                  </w:r>
                </w:p>
              </w:tc>
              <w:tc>
                <w:tcPr>
                  <w:tcW w:w="59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04116" w14:textId="77777777" w:rsidR="00ED4267" w:rsidRPr="00ED4267" w:rsidRDefault="00ED4267" w:rsidP="00ED4267">
                  <w:pPr>
                    <w:rPr>
                      <w:szCs w:val="24"/>
                      <w:lang w:val="es-CO" w:eastAsia="es-CO"/>
                    </w:rPr>
                  </w:pPr>
                  <w:r w:rsidRPr="00ED4267">
                    <w:rPr>
                      <w:rFonts w:ascii="Arial Narrow" w:hAnsi="Arial Narrow"/>
                      <w:color w:val="000000"/>
                      <w:sz w:val="20"/>
                      <w:lang w:val="es-CO" w:eastAsia="es-CO"/>
                    </w:rPr>
                    <w:t>Dirección de Regulación de Beneficios, Costos y Tarifas del Aseguramiento en Salud</w:t>
                  </w:r>
                </w:p>
              </w:tc>
            </w:tr>
            <w:tr w:rsidR="00ED4267" w:rsidRPr="00ED4267" w14:paraId="79968624" w14:textId="77777777" w:rsidTr="00ED4267">
              <w:trPr>
                <w:trHeight w:val="433"/>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635EB9A3" w14:textId="77777777" w:rsidR="00ED4267" w:rsidRPr="00ED4267" w:rsidRDefault="00ED4267" w:rsidP="00ED4267">
                  <w:pPr>
                    <w:rPr>
                      <w:szCs w:val="24"/>
                      <w:shd w:val="clear" w:color="auto" w:fill="D9E2F3"/>
                      <w:lang w:val="es-CO" w:eastAsia="es-CO"/>
                    </w:rPr>
                  </w:pPr>
                  <w:r w:rsidRPr="00ED4267">
                    <w:rPr>
                      <w:rFonts w:ascii="Arial Narrow" w:hAnsi="Arial Narrow"/>
                      <w:b/>
                      <w:bCs/>
                      <w:color w:val="000000"/>
                      <w:szCs w:val="24"/>
                      <w:shd w:val="clear" w:color="auto" w:fill="D9E2F3"/>
                      <w:lang w:val="es-CO" w:eastAsia="es-CO"/>
                    </w:rPr>
                    <w:t>Funcionario responsable </w:t>
                  </w:r>
                  <w:r w:rsidRPr="00ED4267">
                    <w:rPr>
                      <w:rFonts w:ascii="Arial Narrow" w:hAnsi="Arial Narrow"/>
                      <w:b/>
                      <w:bCs/>
                      <w:color w:val="00B050"/>
                      <w:szCs w:val="24"/>
                      <w:shd w:val="clear" w:color="auto" w:fill="D9E2F3"/>
                      <w:lang w:val="en-US" w:eastAsia="es-CO"/>
                    </w:rPr>
                    <w:t>(6)</w:t>
                  </w:r>
                  <w:r w:rsidRPr="00ED4267">
                    <w:rPr>
                      <w:rFonts w:ascii="Arial Narrow" w:hAnsi="Arial Narrow"/>
                      <w:b/>
                      <w:bCs/>
                      <w:color w:val="000000"/>
                      <w:szCs w:val="24"/>
                      <w:shd w:val="clear" w:color="auto" w:fill="D9E2F3"/>
                      <w:lang w:val="en-US" w:eastAsia="es-CO"/>
                    </w:rPr>
                    <w:t>:</w:t>
                  </w:r>
                </w:p>
              </w:tc>
              <w:tc>
                <w:tcPr>
                  <w:tcW w:w="3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4814D" w14:textId="5BE68648" w:rsidR="00ED4267" w:rsidRPr="00ED4267" w:rsidRDefault="00713ABB" w:rsidP="00ED4267">
                  <w:pPr>
                    <w:rPr>
                      <w:szCs w:val="24"/>
                      <w:lang w:val="es-CO" w:eastAsia="es-CO"/>
                    </w:rPr>
                  </w:pPr>
                  <w:r>
                    <w:rPr>
                      <w:rFonts w:ascii="Arial Narrow" w:hAnsi="Arial Narrow"/>
                      <w:color w:val="000000"/>
                      <w:sz w:val="20"/>
                      <w:lang w:val="es-CO" w:eastAsia="es-CO"/>
                    </w:rPr>
                    <w:t>Amanda Vega</w:t>
                  </w:r>
                  <w:r w:rsidR="008F1288">
                    <w:rPr>
                      <w:rFonts w:ascii="Arial Narrow" w:hAnsi="Arial Narrow"/>
                      <w:color w:val="000000"/>
                      <w:sz w:val="20"/>
                      <w:lang w:val="es-CO" w:eastAsia="es-CO"/>
                    </w:rPr>
                    <w:t xml:space="preserve"> </w:t>
                  </w:r>
                </w:p>
              </w:tc>
              <w:tc>
                <w:tcPr>
                  <w:tcW w:w="1527" w:type="dxa"/>
                  <w:tcBorders>
                    <w:top w:val="nil"/>
                    <w:left w:val="nil"/>
                    <w:bottom w:val="single" w:sz="8" w:space="0" w:color="auto"/>
                    <w:right w:val="single" w:sz="8" w:space="0" w:color="auto"/>
                  </w:tcBorders>
                  <w:vAlign w:val="center"/>
                  <w:hideMark/>
                </w:tcPr>
                <w:p w14:paraId="7BE12DB4" w14:textId="77777777" w:rsidR="00ED4267" w:rsidRPr="00ED4267" w:rsidRDefault="00ED4267" w:rsidP="00ED4267">
                  <w:pPr>
                    <w:jc w:val="center"/>
                    <w:rPr>
                      <w:szCs w:val="24"/>
                      <w:lang w:val="es-CO" w:eastAsia="es-CO"/>
                    </w:rPr>
                  </w:pPr>
                  <w:r w:rsidRPr="00ED4267">
                    <w:rPr>
                      <w:rFonts w:ascii="Arial Narrow" w:hAnsi="Arial Narrow"/>
                      <w:b/>
                      <w:bCs/>
                      <w:color w:val="000000"/>
                      <w:sz w:val="20"/>
                      <w:lang w:val="es-CO" w:eastAsia="es-CO"/>
                    </w:rPr>
                    <w:t>Extensión </w:t>
                  </w:r>
                  <w:r w:rsidRPr="00ED4267">
                    <w:rPr>
                      <w:rFonts w:ascii="Arial Narrow" w:hAnsi="Arial Narrow"/>
                      <w:b/>
                      <w:bCs/>
                      <w:color w:val="00B050"/>
                      <w:sz w:val="20"/>
                      <w:lang w:val="es-CO" w:eastAsia="es-CO"/>
                    </w:rPr>
                    <w:t>(7)</w:t>
                  </w:r>
                </w:p>
              </w:tc>
              <w:tc>
                <w:tcPr>
                  <w:tcW w:w="1404" w:type="dxa"/>
                  <w:tcBorders>
                    <w:top w:val="nil"/>
                    <w:left w:val="nil"/>
                    <w:bottom w:val="single" w:sz="8" w:space="0" w:color="auto"/>
                    <w:right w:val="single" w:sz="8" w:space="0" w:color="auto"/>
                  </w:tcBorders>
                  <w:vAlign w:val="center"/>
                  <w:hideMark/>
                </w:tcPr>
                <w:p w14:paraId="08A33E37" w14:textId="77777777" w:rsidR="00ED4267" w:rsidRPr="00ED4267" w:rsidRDefault="00ED4267" w:rsidP="00ED4267">
                  <w:pPr>
                    <w:jc w:val="center"/>
                    <w:rPr>
                      <w:szCs w:val="24"/>
                      <w:lang w:val="es-CO" w:eastAsia="es-CO"/>
                    </w:rPr>
                  </w:pPr>
                  <w:r w:rsidRPr="00ED4267">
                    <w:rPr>
                      <w:rFonts w:ascii="Arial Narrow" w:hAnsi="Arial Narrow"/>
                      <w:color w:val="000000"/>
                      <w:sz w:val="20"/>
                      <w:lang w:val="es-CO" w:eastAsia="es-CO"/>
                    </w:rPr>
                    <w:t>1921</w:t>
                  </w:r>
                </w:p>
              </w:tc>
            </w:tr>
            <w:tr w:rsidR="00ED4267" w:rsidRPr="00ED4267" w14:paraId="3B53205F" w14:textId="77777777" w:rsidTr="00ED4267">
              <w:trPr>
                <w:trHeight w:val="249"/>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1EA4FBD5" w14:textId="7E1F6199" w:rsidR="00ED4267" w:rsidRPr="00ED4267" w:rsidRDefault="00ED4267" w:rsidP="00ED4267">
                  <w:pPr>
                    <w:rPr>
                      <w:szCs w:val="24"/>
                      <w:shd w:val="clear" w:color="auto" w:fill="D9E2F3"/>
                      <w:lang w:val="es-CO" w:eastAsia="es-CO"/>
                    </w:rPr>
                  </w:pPr>
                  <w:r w:rsidRPr="00ED4267">
                    <w:rPr>
                      <w:rFonts w:ascii="Arial Narrow" w:hAnsi="Arial Narrow"/>
                      <w:b/>
                      <w:bCs/>
                      <w:color w:val="000000"/>
                      <w:szCs w:val="24"/>
                      <w:shd w:val="clear" w:color="auto" w:fill="D9E2F3"/>
                      <w:lang w:val="es-CO" w:eastAsia="es-CO"/>
                    </w:rPr>
                    <w:t>Correo electrónico para recibir observaciones durante la consulta </w:t>
                  </w:r>
                  <w:r w:rsidRPr="00ED4267">
                    <w:rPr>
                      <w:rFonts w:ascii="Arial Narrow" w:hAnsi="Arial Narrow"/>
                      <w:b/>
                      <w:bCs/>
                      <w:color w:val="00B050"/>
                      <w:szCs w:val="24"/>
                      <w:shd w:val="clear" w:color="auto" w:fill="D9E2F3"/>
                      <w:lang w:val="es-CO" w:eastAsia="es-CO"/>
                    </w:rPr>
                    <w:t>(8)</w:t>
                  </w:r>
                  <w:r w:rsidRPr="00ED4267">
                    <w:rPr>
                      <w:rFonts w:ascii="Arial Narrow" w:hAnsi="Arial Narrow"/>
                      <w:b/>
                      <w:bCs/>
                      <w:color w:val="000000"/>
                      <w:szCs w:val="24"/>
                      <w:shd w:val="clear" w:color="auto" w:fill="D9E2F3"/>
                      <w:lang w:val="es-CO" w:eastAsia="es-CO"/>
                    </w:rPr>
                    <w:t>:</w:t>
                  </w:r>
                </w:p>
              </w:tc>
              <w:tc>
                <w:tcPr>
                  <w:tcW w:w="598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DCB75" w14:textId="4DBA24B1" w:rsidR="00ED4267" w:rsidRPr="00ED4267" w:rsidRDefault="00713ABB" w:rsidP="00ED4267">
                  <w:pPr>
                    <w:rPr>
                      <w:szCs w:val="24"/>
                      <w:lang w:val="es-CO" w:eastAsia="es-CO"/>
                    </w:rPr>
                  </w:pPr>
                  <w:r>
                    <w:rPr>
                      <w:rFonts w:ascii="Arial Narrow" w:hAnsi="Arial Narrow"/>
                      <w:sz w:val="20"/>
                      <w:lang w:val="es-CO" w:eastAsia="es-CO"/>
                    </w:rPr>
                    <w:t>avega</w:t>
                  </w:r>
                  <w:r w:rsidR="00ED4267" w:rsidRPr="00ED4267">
                    <w:rPr>
                      <w:rFonts w:ascii="Arial Narrow" w:hAnsi="Arial Narrow"/>
                      <w:sz w:val="20"/>
                      <w:lang w:val="es-CO" w:eastAsia="es-CO"/>
                    </w:rPr>
                    <w:t>@minsalud.gov.co</w:t>
                  </w:r>
                </w:p>
              </w:tc>
            </w:tr>
            <w:tr w:rsidR="00ED4267" w:rsidRPr="00ED4267" w14:paraId="61818FAE" w14:textId="77777777" w:rsidTr="00ED4267">
              <w:trPr>
                <w:trHeight w:val="459"/>
              </w:trPr>
              <w:tc>
                <w:tcPr>
                  <w:tcW w:w="2382" w:type="dxa"/>
                  <w:tcBorders>
                    <w:top w:val="nil"/>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7F0DA051" w14:textId="77777777" w:rsidR="00ED4267" w:rsidRPr="00ED4267" w:rsidRDefault="00ED4267" w:rsidP="00ED4267">
                  <w:pPr>
                    <w:rPr>
                      <w:szCs w:val="24"/>
                      <w:shd w:val="clear" w:color="auto" w:fill="D9E2F3"/>
                      <w:lang w:val="es-CO" w:eastAsia="es-CO"/>
                    </w:rPr>
                  </w:pPr>
                  <w:r w:rsidRPr="00ED4267">
                    <w:rPr>
                      <w:rFonts w:ascii="Arial Narrow" w:hAnsi="Arial Narrow"/>
                      <w:b/>
                      <w:bCs/>
                      <w:color w:val="000000"/>
                      <w:szCs w:val="24"/>
                      <w:shd w:val="clear" w:color="auto" w:fill="D9E2F3"/>
                      <w:lang w:val="es-CO" w:eastAsia="es-CO"/>
                    </w:rPr>
                    <w:t>Observaciones:</w:t>
                  </w:r>
                </w:p>
              </w:tc>
              <w:tc>
                <w:tcPr>
                  <w:tcW w:w="5981" w:type="dxa"/>
                  <w:gridSpan w:val="3"/>
                  <w:tcBorders>
                    <w:top w:val="nil"/>
                    <w:left w:val="nil"/>
                    <w:bottom w:val="single" w:sz="8" w:space="0" w:color="auto"/>
                    <w:right w:val="single" w:sz="8" w:space="0" w:color="auto"/>
                  </w:tcBorders>
                  <w:vAlign w:val="center"/>
                  <w:hideMark/>
                </w:tcPr>
                <w:p w14:paraId="48CC5264" w14:textId="77777777" w:rsidR="00ED4267" w:rsidRPr="00ED4267" w:rsidRDefault="00ED4267" w:rsidP="00ED4267">
                  <w:pPr>
                    <w:rPr>
                      <w:szCs w:val="24"/>
                      <w:lang w:val="es-CO" w:eastAsia="es-CO"/>
                    </w:rPr>
                  </w:pPr>
                  <w:r w:rsidRPr="00ED4267">
                    <w:rPr>
                      <w:rFonts w:ascii="Arial Narrow" w:hAnsi="Arial Narrow"/>
                      <w:color w:val="000000"/>
                      <w:sz w:val="20"/>
                      <w:lang w:val="es-CO" w:eastAsia="es-CO"/>
                    </w:rPr>
                    <w:t> </w:t>
                  </w:r>
                </w:p>
              </w:tc>
            </w:tr>
          </w:tbl>
          <w:p w14:paraId="4271FFBF" w14:textId="67122489" w:rsidR="00ED4267" w:rsidRDefault="00ED4267" w:rsidP="00ED4267">
            <w:pPr>
              <w:shd w:val="clear" w:color="auto" w:fill="FFFFFF"/>
              <w:rPr>
                <w:rFonts w:ascii="Calibri" w:hAnsi="Calibri" w:cs="Calibri"/>
                <w:color w:val="000000"/>
                <w:szCs w:val="24"/>
                <w:lang w:val="es-CO" w:eastAsia="es-CO"/>
              </w:rPr>
            </w:pPr>
            <w:r w:rsidRPr="00ED4267">
              <w:rPr>
                <w:rFonts w:ascii="Calibri" w:hAnsi="Calibri" w:cs="Calibri"/>
                <w:color w:val="000000"/>
                <w:szCs w:val="24"/>
                <w:lang w:val="es-CO" w:eastAsia="es-CO"/>
              </w:rPr>
              <w:t> </w:t>
            </w:r>
          </w:p>
          <w:p w14:paraId="69A0B032" w14:textId="77777777" w:rsidR="009C385C" w:rsidRPr="009C385C" w:rsidRDefault="009C385C" w:rsidP="009C385C">
            <w:pPr>
              <w:autoSpaceDE w:val="0"/>
              <w:autoSpaceDN w:val="0"/>
              <w:adjustRightInd w:val="0"/>
              <w:ind w:left="142" w:right="256"/>
              <w:jc w:val="both"/>
              <w:rPr>
                <w:rFonts w:ascii="Arial" w:hAnsi="Arial" w:cs="Arial"/>
                <w:sz w:val="23"/>
                <w:szCs w:val="23"/>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215380" w:rsidRPr="003D1429" w14:paraId="43209304" w14:textId="77777777" w:rsidTr="00150793">
              <w:trPr>
                <w:trHeight w:val="450"/>
              </w:trPr>
              <w:tc>
                <w:tcPr>
                  <w:tcW w:w="8505" w:type="dxa"/>
                </w:tcPr>
                <w:p w14:paraId="17917ACC" w14:textId="77777777" w:rsidR="00215380" w:rsidRPr="003D1429" w:rsidRDefault="00291AC8" w:rsidP="002A5F20">
                  <w:pPr>
                    <w:pStyle w:val="Prrafodelista"/>
                    <w:numPr>
                      <w:ilvl w:val="0"/>
                      <w:numId w:val="2"/>
                    </w:numPr>
                    <w:autoSpaceDE w:val="0"/>
                    <w:autoSpaceDN w:val="0"/>
                    <w:adjustRightInd w:val="0"/>
                    <w:ind w:left="481" w:hanging="425"/>
                    <w:jc w:val="both"/>
                    <w:rPr>
                      <w:rFonts w:ascii="Arial" w:hAnsi="Arial" w:cs="Arial"/>
                      <w:b/>
                      <w:bCs/>
                      <w:sz w:val="23"/>
                      <w:szCs w:val="23"/>
                    </w:rPr>
                  </w:pPr>
                  <w:r w:rsidRPr="003D1429">
                    <w:rPr>
                      <w:rFonts w:ascii="Arial" w:hAnsi="Arial" w:cs="Arial"/>
                      <w:b/>
                      <w:bCs/>
                      <w:sz w:val="23"/>
                      <w:szCs w:val="23"/>
                    </w:rPr>
                    <w:t>VIABILIDAD JURÍDICA</w:t>
                  </w:r>
                </w:p>
              </w:tc>
            </w:tr>
          </w:tbl>
          <w:tbl>
            <w:tblPr>
              <w:tblpPr w:leftFromText="141" w:rightFromText="141" w:vertAnchor="text" w:horzAnchor="page" w:tblpX="218"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9"/>
            </w:tblGrid>
            <w:tr w:rsidR="00215380" w:rsidRPr="002A5F20" w14:paraId="1A19F5DE" w14:textId="77777777" w:rsidTr="00150793">
              <w:trPr>
                <w:trHeight w:val="315"/>
              </w:trPr>
              <w:tc>
                <w:tcPr>
                  <w:tcW w:w="8359" w:type="dxa"/>
                </w:tcPr>
                <w:p w14:paraId="53B4CF0D" w14:textId="77777777" w:rsidR="00596ADB" w:rsidRPr="002A5F20" w:rsidRDefault="00204F94" w:rsidP="002A5F20">
                  <w:pPr>
                    <w:autoSpaceDE w:val="0"/>
                    <w:autoSpaceDN w:val="0"/>
                    <w:adjustRightInd w:val="0"/>
                    <w:jc w:val="both"/>
                    <w:rPr>
                      <w:rFonts w:ascii="Arial" w:hAnsi="Arial" w:cs="Arial"/>
                      <w:sz w:val="23"/>
                      <w:szCs w:val="23"/>
                    </w:rPr>
                  </w:pPr>
                  <w:r w:rsidRPr="002A5F20">
                    <w:rPr>
                      <w:rFonts w:ascii="Arial" w:hAnsi="Arial" w:cs="Arial"/>
                      <w:sz w:val="23"/>
                      <w:szCs w:val="23"/>
                    </w:rPr>
                    <w:t>C</w:t>
                  </w:r>
                  <w:r w:rsidR="00596ADB" w:rsidRPr="002A5F20">
                    <w:rPr>
                      <w:rFonts w:ascii="Arial" w:hAnsi="Arial" w:cs="Arial"/>
                      <w:sz w:val="23"/>
                      <w:szCs w:val="23"/>
                    </w:rPr>
                    <w:t>ompetencia</w:t>
                  </w:r>
                  <w:r w:rsidRPr="002A5F20">
                    <w:rPr>
                      <w:rFonts w:ascii="Arial" w:hAnsi="Arial" w:cs="Arial"/>
                      <w:sz w:val="23"/>
                      <w:szCs w:val="23"/>
                    </w:rPr>
                    <w:t>:</w:t>
                  </w:r>
                </w:p>
                <w:p w14:paraId="5A781451" w14:textId="77777777" w:rsidR="00596ADB" w:rsidRPr="002A5F20" w:rsidRDefault="00596ADB" w:rsidP="002A5F20">
                  <w:pPr>
                    <w:autoSpaceDE w:val="0"/>
                    <w:autoSpaceDN w:val="0"/>
                    <w:adjustRightInd w:val="0"/>
                    <w:jc w:val="both"/>
                    <w:rPr>
                      <w:rFonts w:ascii="Arial" w:hAnsi="Arial" w:cs="Arial"/>
                      <w:sz w:val="23"/>
                      <w:szCs w:val="23"/>
                    </w:rPr>
                  </w:pPr>
                </w:p>
                <w:p w14:paraId="62B5FD31" w14:textId="77777777" w:rsidR="00986142" w:rsidRPr="002A5F20" w:rsidRDefault="00986142" w:rsidP="002A5F20">
                  <w:pPr>
                    <w:autoSpaceDE w:val="0"/>
                    <w:autoSpaceDN w:val="0"/>
                    <w:adjustRightInd w:val="0"/>
                    <w:ind w:left="142" w:right="256"/>
                    <w:jc w:val="both"/>
                    <w:rPr>
                      <w:rFonts w:ascii="Arial" w:hAnsi="Arial" w:cs="Arial"/>
                      <w:sz w:val="23"/>
                      <w:szCs w:val="23"/>
                    </w:rPr>
                  </w:pPr>
                  <w:r w:rsidRPr="002A5F20">
                    <w:rPr>
                      <w:rFonts w:ascii="Arial" w:hAnsi="Arial" w:cs="Arial"/>
                      <w:sz w:val="23"/>
                      <w:szCs w:val="23"/>
                    </w:rPr>
                    <w:lastRenderedPageBreak/>
                    <w:t>Otorgan competencia a este Ministerio para proferir el acto administrativo cuyo proyecto se presenta las siguientes disposiciones, de las que se extractan los apartes pertinentes:</w:t>
                  </w:r>
                </w:p>
                <w:p w14:paraId="11736B7C" w14:textId="408C84D5" w:rsidR="00986142" w:rsidRPr="002A5F20" w:rsidRDefault="00986142" w:rsidP="002A5F20">
                  <w:pPr>
                    <w:autoSpaceDE w:val="0"/>
                    <w:autoSpaceDN w:val="0"/>
                    <w:adjustRightInd w:val="0"/>
                    <w:ind w:left="142" w:right="256"/>
                    <w:jc w:val="both"/>
                    <w:rPr>
                      <w:rFonts w:ascii="Arial" w:hAnsi="Arial" w:cs="Arial"/>
                      <w:sz w:val="23"/>
                      <w:szCs w:val="23"/>
                    </w:rPr>
                  </w:pPr>
                </w:p>
                <w:p w14:paraId="77956EB3" w14:textId="77777777" w:rsidR="00724C70" w:rsidRPr="002A5F20" w:rsidRDefault="00986142" w:rsidP="002A5F20">
                  <w:pPr>
                    <w:pStyle w:val="Prrafodelista"/>
                    <w:tabs>
                      <w:tab w:val="left" w:pos="342"/>
                    </w:tabs>
                    <w:autoSpaceDE w:val="0"/>
                    <w:autoSpaceDN w:val="0"/>
                    <w:adjustRightInd w:val="0"/>
                    <w:jc w:val="both"/>
                    <w:rPr>
                      <w:rFonts w:ascii="Arial" w:hAnsi="Arial" w:cs="Arial"/>
                      <w:sz w:val="23"/>
                      <w:szCs w:val="23"/>
                    </w:rPr>
                  </w:pPr>
                  <w:r w:rsidRPr="002A5F20">
                    <w:rPr>
                      <w:rFonts w:ascii="Arial" w:hAnsi="Arial" w:cs="Arial"/>
                      <w:sz w:val="23"/>
                      <w:szCs w:val="23"/>
                    </w:rPr>
                    <w:t>-</w:t>
                  </w:r>
                  <w:r w:rsidRPr="002A5F20">
                    <w:rPr>
                      <w:rFonts w:ascii="Arial" w:hAnsi="Arial" w:cs="Arial"/>
                      <w:sz w:val="23"/>
                      <w:szCs w:val="23"/>
                    </w:rPr>
                    <w:tab/>
                  </w:r>
                  <w:r w:rsidR="0006254F" w:rsidRPr="002A5F20">
                    <w:rPr>
                      <w:rFonts w:ascii="Arial" w:hAnsi="Arial" w:cs="Arial"/>
                      <w:sz w:val="23"/>
                      <w:szCs w:val="23"/>
                    </w:rPr>
                    <w:t>Constitución Política, a</w:t>
                  </w:r>
                  <w:r w:rsidRPr="002A5F20">
                    <w:rPr>
                      <w:rFonts w:ascii="Arial" w:hAnsi="Arial" w:cs="Arial"/>
                      <w:sz w:val="23"/>
                      <w:szCs w:val="23"/>
                    </w:rPr>
                    <w:t xml:space="preserve">rtículo 48, adicionado por el Acto legislativo 01 de 2005: </w:t>
                  </w:r>
                </w:p>
                <w:p w14:paraId="26975A27" w14:textId="77777777" w:rsidR="00724C70" w:rsidRPr="002A5F20" w:rsidRDefault="00724C70" w:rsidP="002A5F20">
                  <w:pPr>
                    <w:pStyle w:val="Prrafodelista"/>
                    <w:tabs>
                      <w:tab w:val="left" w:pos="342"/>
                    </w:tabs>
                    <w:autoSpaceDE w:val="0"/>
                    <w:autoSpaceDN w:val="0"/>
                    <w:adjustRightInd w:val="0"/>
                    <w:jc w:val="both"/>
                    <w:rPr>
                      <w:rFonts w:ascii="Arial" w:hAnsi="Arial" w:cs="Arial"/>
                      <w:sz w:val="23"/>
                      <w:szCs w:val="23"/>
                    </w:rPr>
                  </w:pPr>
                </w:p>
                <w:p w14:paraId="56F62785" w14:textId="3AC4AFC1" w:rsidR="00986142" w:rsidRPr="00ED4267" w:rsidRDefault="00986142" w:rsidP="002A5F20">
                  <w:pPr>
                    <w:pStyle w:val="Prrafodelista"/>
                    <w:tabs>
                      <w:tab w:val="left" w:pos="342"/>
                    </w:tabs>
                    <w:autoSpaceDE w:val="0"/>
                    <w:autoSpaceDN w:val="0"/>
                    <w:adjustRightInd w:val="0"/>
                    <w:jc w:val="both"/>
                    <w:rPr>
                      <w:rFonts w:ascii="Arial" w:hAnsi="Arial" w:cs="Arial"/>
                      <w:i/>
                      <w:iCs/>
                      <w:sz w:val="23"/>
                      <w:szCs w:val="23"/>
                    </w:rPr>
                  </w:pPr>
                  <w:r w:rsidRPr="00ED4267">
                    <w:rPr>
                      <w:rFonts w:ascii="Arial" w:hAnsi="Arial" w:cs="Arial"/>
                      <w:i/>
                      <w:iCs/>
                      <w:sz w:val="23"/>
                      <w:szCs w:val="23"/>
                    </w:rPr>
                    <w:t>“El Estado, con la participación de los particulares, ampliará progresivamente la cobertura de la Seguridad Social que comprenderá la prestación de los servicios en la forma que determine la Ley”.</w:t>
                  </w:r>
                </w:p>
                <w:p w14:paraId="3C5707B0" w14:textId="77777777" w:rsidR="00986142" w:rsidRPr="002A5F20" w:rsidRDefault="00986142" w:rsidP="002A5F20">
                  <w:pPr>
                    <w:pStyle w:val="Prrafodelista"/>
                    <w:tabs>
                      <w:tab w:val="left" w:pos="342"/>
                    </w:tabs>
                    <w:autoSpaceDE w:val="0"/>
                    <w:autoSpaceDN w:val="0"/>
                    <w:adjustRightInd w:val="0"/>
                    <w:rPr>
                      <w:rFonts w:ascii="Arial" w:hAnsi="Arial" w:cs="Arial"/>
                      <w:sz w:val="23"/>
                      <w:szCs w:val="23"/>
                    </w:rPr>
                  </w:pPr>
                </w:p>
                <w:p w14:paraId="71CEB3C4" w14:textId="30EDFDBF" w:rsidR="00986142" w:rsidRPr="002A5F20" w:rsidRDefault="00986142" w:rsidP="002A5F20">
                  <w:pPr>
                    <w:pStyle w:val="Prrafodelista"/>
                    <w:tabs>
                      <w:tab w:val="left" w:pos="342"/>
                    </w:tabs>
                    <w:autoSpaceDE w:val="0"/>
                    <w:autoSpaceDN w:val="0"/>
                    <w:adjustRightInd w:val="0"/>
                    <w:rPr>
                      <w:rFonts w:ascii="Arial" w:hAnsi="Arial" w:cs="Arial"/>
                      <w:sz w:val="23"/>
                      <w:szCs w:val="23"/>
                    </w:rPr>
                  </w:pPr>
                  <w:r w:rsidRPr="002A5F20">
                    <w:rPr>
                      <w:rFonts w:ascii="Arial" w:hAnsi="Arial" w:cs="Arial"/>
                      <w:sz w:val="23"/>
                      <w:szCs w:val="23"/>
                    </w:rPr>
                    <w:t>-</w:t>
                  </w:r>
                  <w:r w:rsidRPr="002A5F20">
                    <w:rPr>
                      <w:rFonts w:ascii="Arial" w:hAnsi="Arial" w:cs="Arial"/>
                      <w:sz w:val="23"/>
                      <w:szCs w:val="23"/>
                    </w:rPr>
                    <w:tab/>
                  </w:r>
                  <w:r w:rsidR="0006254F" w:rsidRPr="002A5F20">
                    <w:rPr>
                      <w:rFonts w:ascii="Arial" w:hAnsi="Arial" w:cs="Arial"/>
                      <w:sz w:val="23"/>
                      <w:szCs w:val="23"/>
                    </w:rPr>
                    <w:t>Constitución Política, a</w:t>
                  </w:r>
                  <w:r w:rsidRPr="002A5F20">
                    <w:rPr>
                      <w:rFonts w:ascii="Arial" w:hAnsi="Arial" w:cs="Arial"/>
                      <w:sz w:val="23"/>
                      <w:szCs w:val="23"/>
                    </w:rPr>
                    <w:t>rtículo 49 de la, modificado por el Acto Legislativo 02 de 2009:</w:t>
                  </w:r>
                </w:p>
                <w:p w14:paraId="21D35553" w14:textId="77777777" w:rsidR="00986142" w:rsidRPr="002A5F20" w:rsidRDefault="00986142" w:rsidP="002A5F20">
                  <w:pPr>
                    <w:pStyle w:val="Prrafodelista"/>
                    <w:tabs>
                      <w:tab w:val="left" w:pos="342"/>
                    </w:tabs>
                    <w:autoSpaceDE w:val="0"/>
                    <w:autoSpaceDN w:val="0"/>
                    <w:adjustRightInd w:val="0"/>
                    <w:rPr>
                      <w:rFonts w:ascii="Arial" w:hAnsi="Arial" w:cs="Arial"/>
                      <w:sz w:val="23"/>
                      <w:szCs w:val="23"/>
                    </w:rPr>
                  </w:pPr>
                </w:p>
                <w:p w14:paraId="437D1304" w14:textId="404C4BF1" w:rsidR="00986142" w:rsidRPr="00ED4267" w:rsidRDefault="00986142" w:rsidP="002A5F20">
                  <w:pPr>
                    <w:pStyle w:val="Prrafodelista"/>
                    <w:tabs>
                      <w:tab w:val="left" w:pos="342"/>
                    </w:tabs>
                    <w:autoSpaceDE w:val="0"/>
                    <w:autoSpaceDN w:val="0"/>
                    <w:adjustRightInd w:val="0"/>
                    <w:jc w:val="both"/>
                    <w:rPr>
                      <w:rFonts w:ascii="Arial" w:hAnsi="Arial" w:cs="Arial"/>
                      <w:i/>
                      <w:iCs/>
                      <w:sz w:val="23"/>
                      <w:szCs w:val="23"/>
                    </w:rPr>
                  </w:pPr>
                  <w:r w:rsidRPr="00ED4267">
                    <w:rPr>
                      <w:rFonts w:ascii="Arial" w:hAnsi="Arial" w:cs="Arial"/>
                      <w:i/>
                      <w:iCs/>
                      <w:sz w:val="23"/>
                      <w:szCs w:val="23"/>
                    </w:rPr>
                    <w:t>“Corresponde al Estado organizar, dirigir y reglamentar la prestación de servicios de salud a los habitantes (…)”</w:t>
                  </w:r>
                </w:p>
                <w:p w14:paraId="4A0A3065" w14:textId="03EF765A" w:rsidR="00863DD6" w:rsidRPr="002A5F20" w:rsidRDefault="00863DD6" w:rsidP="002A5F20">
                  <w:pPr>
                    <w:autoSpaceDE w:val="0"/>
                    <w:autoSpaceDN w:val="0"/>
                    <w:adjustRightInd w:val="0"/>
                    <w:ind w:left="142" w:right="256"/>
                    <w:jc w:val="both"/>
                    <w:rPr>
                      <w:rFonts w:ascii="Arial" w:hAnsi="Arial" w:cs="Arial"/>
                      <w:sz w:val="23"/>
                      <w:szCs w:val="23"/>
                    </w:rPr>
                  </w:pPr>
                </w:p>
                <w:p w14:paraId="00362266" w14:textId="77777777" w:rsidR="00724C70" w:rsidRPr="002A5F20" w:rsidRDefault="00724C70" w:rsidP="002A5F20">
                  <w:pPr>
                    <w:autoSpaceDE w:val="0"/>
                    <w:autoSpaceDN w:val="0"/>
                    <w:adjustRightInd w:val="0"/>
                    <w:ind w:left="142" w:right="256"/>
                    <w:jc w:val="both"/>
                    <w:rPr>
                      <w:rFonts w:ascii="Arial" w:hAnsi="Arial" w:cs="Arial"/>
                      <w:sz w:val="23"/>
                      <w:szCs w:val="23"/>
                    </w:rPr>
                  </w:pPr>
                  <w:r w:rsidRPr="002A5F20">
                    <w:rPr>
                      <w:rFonts w:ascii="Arial" w:hAnsi="Arial" w:cs="Arial"/>
                      <w:sz w:val="23"/>
                      <w:szCs w:val="23"/>
                    </w:rPr>
                    <w:t xml:space="preserve">Así mismo debe considerarse que, en aplicación del artículo 173, numeral 3 de la Ley 100 de 1993, en concordancia con lo establecido en el artículo 2 del Decreto 4107 de 2011, adicionado por el artículo 2 del Decreto 2562 de 2012, este Ministerio esta investido de facultades de regulación. </w:t>
                  </w:r>
                </w:p>
                <w:p w14:paraId="37D259D4" w14:textId="77777777" w:rsidR="00724C70" w:rsidRPr="002A5F20" w:rsidRDefault="00724C70" w:rsidP="002A5F20">
                  <w:pPr>
                    <w:autoSpaceDE w:val="0"/>
                    <w:autoSpaceDN w:val="0"/>
                    <w:adjustRightInd w:val="0"/>
                    <w:ind w:left="142" w:right="256"/>
                    <w:jc w:val="both"/>
                    <w:rPr>
                      <w:rFonts w:ascii="Arial" w:hAnsi="Arial" w:cs="Arial"/>
                      <w:sz w:val="23"/>
                      <w:szCs w:val="23"/>
                    </w:rPr>
                  </w:pPr>
                </w:p>
                <w:p w14:paraId="21A0718F" w14:textId="35558C0F" w:rsidR="00724C70" w:rsidRPr="002A5F20" w:rsidRDefault="003D1429" w:rsidP="003D1429">
                  <w:pPr>
                    <w:autoSpaceDE w:val="0"/>
                    <w:autoSpaceDN w:val="0"/>
                    <w:adjustRightInd w:val="0"/>
                    <w:ind w:left="142" w:right="256"/>
                    <w:jc w:val="both"/>
                    <w:rPr>
                      <w:rFonts w:ascii="Arial" w:hAnsi="Arial" w:cs="Arial"/>
                      <w:sz w:val="23"/>
                      <w:szCs w:val="23"/>
                    </w:rPr>
                  </w:pPr>
                  <w:r>
                    <w:rPr>
                      <w:rFonts w:ascii="Arial" w:hAnsi="Arial" w:cs="Arial"/>
                      <w:sz w:val="23"/>
                      <w:szCs w:val="23"/>
                    </w:rPr>
                    <w:t>De otra parte,</w:t>
                  </w:r>
                  <w:r w:rsidRPr="003D1429">
                    <w:rPr>
                      <w:rFonts w:ascii="Arial" w:hAnsi="Arial" w:cs="Arial"/>
                      <w:sz w:val="23"/>
                      <w:szCs w:val="23"/>
                    </w:rPr>
                    <w:t xml:space="preserve"> se debe indicar que las normas que establecen que el Ministerio de Salud y Protección Social </w:t>
                  </w:r>
                  <w:r w:rsidR="00ED4267">
                    <w:rPr>
                      <w:rFonts w:ascii="Arial" w:hAnsi="Arial" w:cs="Arial"/>
                      <w:sz w:val="23"/>
                      <w:szCs w:val="23"/>
                    </w:rPr>
                    <w:t xml:space="preserve">determine </w:t>
                  </w:r>
                  <w:r w:rsidR="003C53FD">
                    <w:rPr>
                      <w:rFonts w:ascii="Arial" w:hAnsi="Arial" w:cs="Arial"/>
                      <w:sz w:val="23"/>
                      <w:szCs w:val="23"/>
                    </w:rPr>
                    <w:t xml:space="preserve">un valor máximo de recobro conforme a </w:t>
                  </w:r>
                  <w:r w:rsidR="00ED4267">
                    <w:rPr>
                      <w:rFonts w:ascii="Arial" w:hAnsi="Arial" w:cs="Arial"/>
                      <w:sz w:val="23"/>
                      <w:szCs w:val="23"/>
                    </w:rPr>
                    <w:t>la metodología</w:t>
                  </w:r>
                  <w:r w:rsidR="003C53FD">
                    <w:rPr>
                      <w:rFonts w:ascii="Arial" w:hAnsi="Arial" w:cs="Arial"/>
                      <w:sz w:val="23"/>
                      <w:szCs w:val="23"/>
                    </w:rPr>
                    <w:t xml:space="preserve"> que establezca el mismo</w:t>
                  </w:r>
                  <w:r w:rsidRPr="003D1429">
                    <w:rPr>
                      <w:rFonts w:ascii="Arial" w:hAnsi="Arial" w:cs="Arial"/>
                      <w:sz w:val="23"/>
                      <w:szCs w:val="23"/>
                    </w:rPr>
                    <w:t>, corresponde a</w:t>
                  </w:r>
                  <w:r>
                    <w:rPr>
                      <w:rFonts w:ascii="Arial" w:hAnsi="Arial" w:cs="Arial"/>
                      <w:sz w:val="23"/>
                      <w:szCs w:val="23"/>
                    </w:rPr>
                    <w:t>l</w:t>
                  </w:r>
                  <w:r w:rsidRPr="003D1429">
                    <w:rPr>
                      <w:rFonts w:ascii="Arial" w:hAnsi="Arial" w:cs="Arial"/>
                      <w:sz w:val="23"/>
                      <w:szCs w:val="23"/>
                    </w:rPr>
                    <w:t xml:space="preserve"> artículo </w:t>
                  </w:r>
                  <w:r w:rsidR="003C53FD">
                    <w:rPr>
                      <w:rFonts w:ascii="Arial" w:hAnsi="Arial" w:cs="Arial"/>
                      <w:sz w:val="23"/>
                      <w:szCs w:val="23"/>
                    </w:rPr>
                    <w:t>5</w:t>
                  </w:r>
                  <w:r w:rsidRPr="003D1429">
                    <w:rPr>
                      <w:rFonts w:ascii="Arial" w:hAnsi="Arial" w:cs="Arial"/>
                      <w:sz w:val="23"/>
                      <w:szCs w:val="23"/>
                    </w:rPr>
                    <w:t xml:space="preserve"> de la Ley 19</w:t>
                  </w:r>
                  <w:r w:rsidR="003C53FD">
                    <w:rPr>
                      <w:rFonts w:ascii="Arial" w:hAnsi="Arial" w:cs="Arial"/>
                      <w:sz w:val="23"/>
                      <w:szCs w:val="23"/>
                    </w:rPr>
                    <w:t xml:space="preserve">66 </w:t>
                  </w:r>
                  <w:r w:rsidRPr="003D1429">
                    <w:rPr>
                      <w:rFonts w:ascii="Arial" w:hAnsi="Arial" w:cs="Arial"/>
                      <w:sz w:val="23"/>
                      <w:szCs w:val="23"/>
                    </w:rPr>
                    <w:t>de 2019</w:t>
                  </w:r>
                  <w:r>
                    <w:rPr>
                      <w:rFonts w:ascii="Arial" w:hAnsi="Arial" w:cs="Arial"/>
                      <w:sz w:val="23"/>
                      <w:szCs w:val="23"/>
                    </w:rPr>
                    <w:t>.</w:t>
                  </w:r>
                </w:p>
                <w:p w14:paraId="73F53934" w14:textId="388AB78F" w:rsidR="00724C70" w:rsidRDefault="00724C70" w:rsidP="002A5F20">
                  <w:pPr>
                    <w:autoSpaceDE w:val="0"/>
                    <w:autoSpaceDN w:val="0"/>
                    <w:adjustRightInd w:val="0"/>
                    <w:ind w:left="142" w:right="256"/>
                    <w:jc w:val="both"/>
                    <w:rPr>
                      <w:rFonts w:ascii="Arial" w:hAnsi="Arial" w:cs="Arial"/>
                      <w:sz w:val="23"/>
                      <w:szCs w:val="23"/>
                    </w:rPr>
                  </w:pPr>
                </w:p>
                <w:p w14:paraId="09B1DA6B" w14:textId="2500A282" w:rsidR="00596ADB" w:rsidRPr="002A5F20" w:rsidRDefault="00863DD6" w:rsidP="002A5F20">
                  <w:pPr>
                    <w:tabs>
                      <w:tab w:val="left" w:pos="342"/>
                    </w:tabs>
                    <w:autoSpaceDE w:val="0"/>
                    <w:autoSpaceDN w:val="0"/>
                    <w:adjustRightInd w:val="0"/>
                    <w:rPr>
                      <w:rFonts w:ascii="Arial" w:hAnsi="Arial" w:cs="Arial"/>
                      <w:sz w:val="23"/>
                      <w:szCs w:val="23"/>
                    </w:rPr>
                  </w:pPr>
                  <w:r w:rsidRPr="002A5F20">
                    <w:rPr>
                      <w:rFonts w:ascii="Arial" w:hAnsi="Arial" w:cs="Arial"/>
                      <w:sz w:val="23"/>
                      <w:szCs w:val="23"/>
                    </w:rPr>
                    <w:t xml:space="preserve">  </w:t>
                  </w:r>
                  <w:r w:rsidR="00596ADB" w:rsidRPr="002A5F20">
                    <w:rPr>
                      <w:rFonts w:ascii="Arial" w:hAnsi="Arial" w:cs="Arial"/>
                      <w:sz w:val="23"/>
                      <w:szCs w:val="23"/>
                    </w:rPr>
                    <w:t>Viabilidad jurídica</w:t>
                  </w:r>
                  <w:r w:rsidR="0058255B" w:rsidRPr="002A5F20">
                    <w:rPr>
                      <w:rFonts w:ascii="Arial" w:hAnsi="Arial" w:cs="Arial"/>
                      <w:sz w:val="23"/>
                      <w:szCs w:val="23"/>
                    </w:rPr>
                    <w:t>:</w:t>
                  </w:r>
                </w:p>
                <w:p w14:paraId="0714EC54" w14:textId="77777777" w:rsidR="00596ADB" w:rsidRPr="002A5F20" w:rsidRDefault="00596ADB" w:rsidP="002A5F20">
                  <w:pPr>
                    <w:autoSpaceDE w:val="0"/>
                    <w:autoSpaceDN w:val="0"/>
                    <w:adjustRightInd w:val="0"/>
                    <w:jc w:val="both"/>
                    <w:rPr>
                      <w:rFonts w:ascii="Arial" w:hAnsi="Arial" w:cs="Arial"/>
                      <w:sz w:val="23"/>
                      <w:szCs w:val="23"/>
                    </w:rPr>
                  </w:pPr>
                </w:p>
                <w:p w14:paraId="48BB017F" w14:textId="7AC9A4D1" w:rsidR="00596ADB" w:rsidRPr="002A5F20" w:rsidRDefault="00163151" w:rsidP="002A5F20">
                  <w:pPr>
                    <w:autoSpaceDE w:val="0"/>
                    <w:autoSpaceDN w:val="0"/>
                    <w:adjustRightInd w:val="0"/>
                    <w:ind w:left="142" w:right="256"/>
                    <w:jc w:val="both"/>
                    <w:rPr>
                      <w:rFonts w:ascii="Arial" w:hAnsi="Arial" w:cs="Arial"/>
                      <w:sz w:val="23"/>
                      <w:szCs w:val="23"/>
                    </w:rPr>
                  </w:pPr>
                  <w:r w:rsidRPr="002A5F20">
                    <w:rPr>
                      <w:rFonts w:ascii="Arial" w:hAnsi="Arial" w:cs="Arial"/>
                      <w:sz w:val="23"/>
                      <w:szCs w:val="23"/>
                    </w:rPr>
                    <w:t>Al respecto, es apropiado</w:t>
                  </w:r>
                  <w:r w:rsidR="0058255B" w:rsidRPr="002A5F20">
                    <w:rPr>
                      <w:rFonts w:ascii="Arial" w:hAnsi="Arial" w:cs="Arial"/>
                      <w:sz w:val="23"/>
                      <w:szCs w:val="23"/>
                    </w:rPr>
                    <w:t xml:space="preserve"> señalar </w:t>
                  </w:r>
                  <w:r w:rsidR="007A31E7" w:rsidRPr="002A5F20">
                    <w:rPr>
                      <w:rFonts w:ascii="Arial" w:hAnsi="Arial" w:cs="Arial"/>
                      <w:sz w:val="23"/>
                      <w:szCs w:val="23"/>
                    </w:rPr>
                    <w:t xml:space="preserve">que </w:t>
                  </w:r>
                  <w:r w:rsidR="0058255B" w:rsidRPr="002A5F20">
                    <w:rPr>
                      <w:rFonts w:ascii="Arial" w:hAnsi="Arial" w:cs="Arial"/>
                      <w:sz w:val="23"/>
                      <w:szCs w:val="23"/>
                    </w:rPr>
                    <w:t>en</w:t>
                  </w:r>
                  <w:r w:rsidR="007A31E7" w:rsidRPr="002A5F20">
                    <w:rPr>
                      <w:rFonts w:ascii="Arial" w:hAnsi="Arial" w:cs="Arial"/>
                      <w:sz w:val="23"/>
                      <w:szCs w:val="23"/>
                    </w:rPr>
                    <w:t xml:space="preserve"> </w:t>
                  </w:r>
                  <w:r w:rsidR="0058255B" w:rsidRPr="002A5F20">
                    <w:rPr>
                      <w:rFonts w:ascii="Arial" w:hAnsi="Arial" w:cs="Arial"/>
                      <w:sz w:val="23"/>
                      <w:szCs w:val="23"/>
                    </w:rPr>
                    <w:t xml:space="preserve">atención </w:t>
                  </w:r>
                  <w:r w:rsidR="007A31E7" w:rsidRPr="002A5F20">
                    <w:rPr>
                      <w:rFonts w:ascii="Arial" w:hAnsi="Arial" w:cs="Arial"/>
                      <w:sz w:val="23"/>
                      <w:szCs w:val="23"/>
                    </w:rPr>
                    <w:t>a</w:t>
                  </w:r>
                  <w:r w:rsidR="0058255B" w:rsidRPr="002A5F20">
                    <w:rPr>
                      <w:rFonts w:ascii="Arial" w:hAnsi="Arial" w:cs="Arial"/>
                      <w:sz w:val="23"/>
                      <w:szCs w:val="23"/>
                    </w:rPr>
                    <w:t xml:space="preserve"> la normatividad señalada</w:t>
                  </w:r>
                  <w:r w:rsidR="007B6422" w:rsidRPr="002A5F20">
                    <w:rPr>
                      <w:rFonts w:ascii="Arial" w:hAnsi="Arial" w:cs="Arial"/>
                      <w:sz w:val="23"/>
                      <w:szCs w:val="23"/>
                    </w:rPr>
                    <w:t xml:space="preserve"> tanto en el presente documento como en el Anexo Técnico No. 1, no existen restricciones de tipo legal que impidan la expedi</w:t>
                  </w:r>
                  <w:r w:rsidR="002E014C" w:rsidRPr="002A5F20">
                    <w:rPr>
                      <w:rFonts w:ascii="Arial" w:hAnsi="Arial" w:cs="Arial"/>
                      <w:sz w:val="23"/>
                      <w:szCs w:val="23"/>
                    </w:rPr>
                    <w:t>ción de la r</w:t>
                  </w:r>
                  <w:r w:rsidR="00957A72" w:rsidRPr="002A5F20">
                    <w:rPr>
                      <w:rFonts w:ascii="Arial" w:hAnsi="Arial" w:cs="Arial"/>
                      <w:sz w:val="23"/>
                      <w:szCs w:val="23"/>
                    </w:rPr>
                    <w:t>esolución</w:t>
                  </w:r>
                  <w:r w:rsidR="00DB019C" w:rsidRPr="002A5F20">
                    <w:rPr>
                      <w:rFonts w:ascii="Arial" w:hAnsi="Arial" w:cs="Arial"/>
                      <w:sz w:val="23"/>
                      <w:szCs w:val="23"/>
                    </w:rPr>
                    <w:t xml:space="preserve"> que se propone, de manera que es procedente su expedición y ejecución. </w:t>
                  </w:r>
                  <w:r w:rsidR="00950F70" w:rsidRPr="002A5F20">
                    <w:rPr>
                      <w:rFonts w:ascii="Arial" w:hAnsi="Arial" w:cs="Arial"/>
                      <w:sz w:val="23"/>
                      <w:szCs w:val="23"/>
                    </w:rPr>
                    <w:t xml:space="preserve"> </w:t>
                  </w:r>
                </w:p>
                <w:p w14:paraId="49353AB4" w14:textId="77777777" w:rsidR="00215380" w:rsidRPr="002A5F20" w:rsidRDefault="00215380" w:rsidP="002A5F20">
                  <w:pPr>
                    <w:pStyle w:val="Prrafodelista"/>
                    <w:autoSpaceDE w:val="0"/>
                    <w:autoSpaceDN w:val="0"/>
                    <w:adjustRightInd w:val="0"/>
                    <w:ind w:left="0"/>
                    <w:jc w:val="both"/>
                    <w:rPr>
                      <w:rFonts w:ascii="Arial" w:hAnsi="Arial" w:cs="Arial"/>
                      <w:sz w:val="23"/>
                      <w:szCs w:val="23"/>
                    </w:rPr>
                  </w:pPr>
                </w:p>
              </w:tc>
            </w:tr>
          </w:tbl>
          <w:p w14:paraId="2E2BDF10" w14:textId="1E6B6115" w:rsidR="008302EF" w:rsidRDefault="008302EF" w:rsidP="002A5F20">
            <w:pPr>
              <w:autoSpaceDE w:val="0"/>
              <w:autoSpaceDN w:val="0"/>
              <w:adjustRightInd w:val="0"/>
              <w:jc w:val="both"/>
              <w:rPr>
                <w:rFonts w:ascii="Arial" w:hAnsi="Arial" w:cs="Arial"/>
                <w:sz w:val="23"/>
                <w:szCs w:val="23"/>
              </w:rPr>
            </w:pPr>
          </w:p>
          <w:p w14:paraId="18782D2F" w14:textId="556A33A6" w:rsidR="0051438A" w:rsidRDefault="0051438A" w:rsidP="002A5F20">
            <w:pPr>
              <w:autoSpaceDE w:val="0"/>
              <w:autoSpaceDN w:val="0"/>
              <w:adjustRightInd w:val="0"/>
              <w:jc w:val="both"/>
              <w:rPr>
                <w:rFonts w:ascii="Arial" w:hAnsi="Arial" w:cs="Arial"/>
                <w:sz w:val="23"/>
                <w:szCs w:val="23"/>
              </w:rPr>
            </w:pPr>
          </w:p>
          <w:tbl>
            <w:tblPr>
              <w:tblpPr w:leftFromText="141" w:rightFromText="141" w:vertAnchor="text" w:horzAnchor="margin" w:tblpXSpec="center" w:tblpY="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9"/>
            </w:tblGrid>
            <w:tr w:rsidR="00215380" w:rsidRPr="003D1429" w14:paraId="23935AD8" w14:textId="77777777" w:rsidTr="00DC5E99">
              <w:trPr>
                <w:trHeight w:val="480"/>
              </w:trPr>
              <w:tc>
                <w:tcPr>
                  <w:tcW w:w="8359" w:type="dxa"/>
                </w:tcPr>
                <w:p w14:paraId="417AEAED" w14:textId="77777777" w:rsidR="00215380" w:rsidRPr="003D1429" w:rsidRDefault="00215380" w:rsidP="002A5F20">
                  <w:pPr>
                    <w:pStyle w:val="Prrafodelista"/>
                    <w:numPr>
                      <w:ilvl w:val="0"/>
                      <w:numId w:val="2"/>
                    </w:numPr>
                    <w:autoSpaceDE w:val="0"/>
                    <w:autoSpaceDN w:val="0"/>
                    <w:adjustRightInd w:val="0"/>
                    <w:ind w:left="481" w:hanging="425"/>
                    <w:jc w:val="both"/>
                    <w:rPr>
                      <w:rFonts w:ascii="Arial" w:hAnsi="Arial" w:cs="Arial"/>
                      <w:b/>
                      <w:bCs/>
                      <w:sz w:val="23"/>
                      <w:szCs w:val="23"/>
                    </w:rPr>
                  </w:pPr>
                  <w:r w:rsidRPr="003D1429">
                    <w:rPr>
                      <w:rFonts w:ascii="Arial" w:hAnsi="Arial" w:cs="Arial"/>
                      <w:b/>
                      <w:bCs/>
                      <w:sz w:val="23"/>
                      <w:szCs w:val="23"/>
                    </w:rPr>
                    <w:t xml:space="preserve"> </w:t>
                  </w:r>
                  <w:r w:rsidR="00783F8D" w:rsidRPr="003D1429">
                    <w:rPr>
                      <w:rFonts w:ascii="Arial" w:hAnsi="Arial" w:cs="Arial"/>
                      <w:b/>
                      <w:bCs/>
                      <w:sz w:val="23"/>
                      <w:szCs w:val="23"/>
                    </w:rPr>
                    <w:tab/>
                  </w:r>
                  <w:r w:rsidR="002A227A" w:rsidRPr="003D1429">
                    <w:rPr>
                      <w:rFonts w:ascii="Arial" w:hAnsi="Arial" w:cs="Arial"/>
                      <w:b/>
                      <w:bCs/>
                      <w:sz w:val="23"/>
                      <w:szCs w:val="23"/>
                    </w:rPr>
                    <w:t>LA VIGENCIA DE LA LEY O NORMA REGLAMENTADA O DESARROLLADA.</w:t>
                  </w:r>
                </w:p>
              </w:tc>
            </w:tr>
          </w:tbl>
          <w:p w14:paraId="320E41CF" w14:textId="3438BD63" w:rsidR="00863DD6" w:rsidRPr="002A5F20" w:rsidRDefault="00863DD6" w:rsidP="002A5F20">
            <w:pPr>
              <w:autoSpaceDE w:val="0"/>
              <w:autoSpaceDN w:val="0"/>
              <w:adjustRightInd w:val="0"/>
              <w:ind w:left="142" w:right="256"/>
              <w:jc w:val="both"/>
              <w:rPr>
                <w:rFonts w:ascii="Arial" w:hAnsi="Arial" w:cs="Arial"/>
                <w:sz w:val="23"/>
                <w:szCs w:val="23"/>
              </w:rPr>
            </w:pPr>
          </w:p>
          <w:p w14:paraId="6CDE09DB" w14:textId="78E62750" w:rsidR="003E77AD" w:rsidRPr="002A5F20" w:rsidRDefault="003E77AD" w:rsidP="002A5F20">
            <w:pPr>
              <w:autoSpaceDE w:val="0"/>
              <w:autoSpaceDN w:val="0"/>
              <w:adjustRightInd w:val="0"/>
              <w:ind w:left="142" w:right="256"/>
              <w:jc w:val="both"/>
              <w:rPr>
                <w:rFonts w:ascii="Arial" w:hAnsi="Arial" w:cs="Arial"/>
                <w:sz w:val="23"/>
                <w:szCs w:val="23"/>
              </w:rPr>
            </w:pPr>
            <w:r w:rsidRPr="002A5F20">
              <w:rPr>
                <w:rFonts w:ascii="Arial" w:hAnsi="Arial" w:cs="Arial"/>
                <w:sz w:val="23"/>
                <w:szCs w:val="23"/>
              </w:rPr>
              <w:t>El proyecto de acto administrativo mediante el cual se pretende</w:t>
            </w:r>
            <w:r w:rsidR="00ED4267">
              <w:rPr>
                <w:rFonts w:ascii="Arial" w:hAnsi="Arial" w:cs="Arial"/>
                <w:sz w:val="23"/>
                <w:szCs w:val="23"/>
              </w:rPr>
              <w:t xml:space="preserve"> </w:t>
            </w:r>
            <w:r w:rsidR="003C53FD">
              <w:rPr>
                <w:rFonts w:ascii="Arial" w:hAnsi="Arial" w:cs="Arial"/>
                <w:sz w:val="23"/>
                <w:szCs w:val="23"/>
              </w:rPr>
              <w:t>fijar el valor máximo de recobro</w:t>
            </w:r>
            <w:r w:rsidR="00EF07DF">
              <w:rPr>
                <w:rFonts w:ascii="Arial" w:hAnsi="Arial" w:cs="Arial"/>
                <w:sz w:val="23"/>
                <w:szCs w:val="23"/>
              </w:rPr>
              <w:t xml:space="preserve"> </w:t>
            </w:r>
            <w:r w:rsidRPr="002A5F20">
              <w:rPr>
                <w:rFonts w:ascii="Arial" w:hAnsi="Arial" w:cs="Arial"/>
                <w:sz w:val="23"/>
                <w:szCs w:val="23"/>
              </w:rPr>
              <w:t xml:space="preserve">entra en vigencia a partir de su publicación. </w:t>
            </w:r>
          </w:p>
          <w:tbl>
            <w:tblPr>
              <w:tblpPr w:leftFromText="141" w:rightFromText="141" w:vertAnchor="text" w:horzAnchor="margin" w:tblpX="137" w:tblpY="4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7E705B" w:rsidRPr="002A5F20" w14:paraId="45E6AD0B" w14:textId="77777777" w:rsidTr="00ED4267">
              <w:trPr>
                <w:trHeight w:val="971"/>
              </w:trPr>
              <w:tc>
                <w:tcPr>
                  <w:tcW w:w="8505" w:type="dxa"/>
                </w:tcPr>
                <w:p w14:paraId="0D63BA17" w14:textId="77777777" w:rsidR="007E705B" w:rsidRPr="003D1429" w:rsidRDefault="007E705B" w:rsidP="007E705B">
                  <w:pPr>
                    <w:pStyle w:val="Prrafodelista"/>
                    <w:numPr>
                      <w:ilvl w:val="0"/>
                      <w:numId w:val="2"/>
                    </w:numPr>
                    <w:autoSpaceDE w:val="0"/>
                    <w:autoSpaceDN w:val="0"/>
                    <w:adjustRightInd w:val="0"/>
                    <w:ind w:left="481" w:hanging="425"/>
                    <w:jc w:val="both"/>
                    <w:rPr>
                      <w:rFonts w:ascii="Arial" w:hAnsi="Arial" w:cs="Arial"/>
                      <w:b/>
                      <w:bCs/>
                      <w:sz w:val="23"/>
                      <w:szCs w:val="23"/>
                    </w:rPr>
                  </w:pPr>
                  <w:r w:rsidRPr="003D1429">
                    <w:rPr>
                      <w:rFonts w:ascii="Arial" w:hAnsi="Arial" w:cs="Arial"/>
                      <w:b/>
                      <w:bCs/>
                      <w:sz w:val="23"/>
                      <w:szCs w:val="23"/>
                    </w:rPr>
                    <w:t xml:space="preserve">LAS DISPOSICIONES DEROGADAS, SUBROGADAS, MODIFICADAS, ADICIONADAS O SUSTITUIDAS, SI ALGUNO DE ESTOS EFECTOS SE PRODUCE CON LA EXPEDICIÓN DEL RESPECTIVO ACTO.    </w:t>
                  </w:r>
                </w:p>
              </w:tc>
            </w:tr>
          </w:tbl>
          <w:p w14:paraId="74D039A5" w14:textId="6D0B3060" w:rsidR="003E77AD" w:rsidRDefault="003E77AD" w:rsidP="002A5F20">
            <w:pPr>
              <w:autoSpaceDE w:val="0"/>
              <w:autoSpaceDN w:val="0"/>
              <w:adjustRightInd w:val="0"/>
              <w:ind w:left="142" w:right="256"/>
              <w:jc w:val="both"/>
              <w:rPr>
                <w:rFonts w:ascii="Arial" w:hAnsi="Arial" w:cs="Arial"/>
                <w:sz w:val="23"/>
                <w:szCs w:val="23"/>
              </w:rPr>
            </w:pPr>
          </w:p>
          <w:p w14:paraId="614BD3FA" w14:textId="350FF676" w:rsidR="003C53FD" w:rsidRDefault="003C53FD" w:rsidP="002A5F20">
            <w:pPr>
              <w:autoSpaceDE w:val="0"/>
              <w:autoSpaceDN w:val="0"/>
              <w:adjustRightInd w:val="0"/>
              <w:ind w:left="142" w:right="256"/>
              <w:jc w:val="both"/>
              <w:rPr>
                <w:rFonts w:ascii="Arial" w:hAnsi="Arial" w:cs="Arial"/>
                <w:sz w:val="23"/>
                <w:szCs w:val="23"/>
              </w:rPr>
            </w:pPr>
          </w:p>
          <w:p w14:paraId="406EE223" w14:textId="77777777" w:rsidR="003C53FD" w:rsidRPr="002A5F20" w:rsidRDefault="003C53FD" w:rsidP="002A5F20">
            <w:pPr>
              <w:autoSpaceDE w:val="0"/>
              <w:autoSpaceDN w:val="0"/>
              <w:adjustRightInd w:val="0"/>
              <w:ind w:left="142" w:right="256"/>
              <w:jc w:val="both"/>
              <w:rPr>
                <w:rFonts w:ascii="Arial" w:hAnsi="Arial" w:cs="Arial"/>
                <w:sz w:val="23"/>
                <w:szCs w:val="23"/>
              </w:rPr>
            </w:pPr>
          </w:p>
          <w:p w14:paraId="79D0A302" w14:textId="1D858BB2" w:rsidR="00C30475" w:rsidRPr="002A5F20" w:rsidRDefault="00C30475" w:rsidP="002A5F20">
            <w:pPr>
              <w:autoSpaceDE w:val="0"/>
              <w:autoSpaceDN w:val="0"/>
              <w:adjustRightInd w:val="0"/>
              <w:ind w:left="142" w:right="256"/>
              <w:jc w:val="both"/>
              <w:rPr>
                <w:rFonts w:ascii="Arial" w:hAnsi="Arial" w:cs="Arial"/>
                <w:sz w:val="23"/>
                <w:szCs w:val="23"/>
              </w:rPr>
            </w:pPr>
          </w:p>
          <w:p w14:paraId="6322E7EF" w14:textId="54C46313" w:rsidR="00C30475" w:rsidRPr="002A5F20" w:rsidRDefault="00333252" w:rsidP="002A5F20">
            <w:pPr>
              <w:autoSpaceDE w:val="0"/>
              <w:autoSpaceDN w:val="0"/>
              <w:adjustRightInd w:val="0"/>
              <w:ind w:left="142" w:right="256"/>
              <w:jc w:val="both"/>
              <w:rPr>
                <w:rFonts w:ascii="Arial" w:hAnsi="Arial" w:cs="Arial"/>
                <w:sz w:val="23"/>
                <w:szCs w:val="23"/>
              </w:rPr>
            </w:pPr>
            <w:r w:rsidRPr="002A5F20">
              <w:rPr>
                <w:rFonts w:ascii="Arial" w:hAnsi="Arial" w:cs="Arial"/>
                <w:noProof/>
                <w:sz w:val="23"/>
                <w:szCs w:val="23"/>
                <w:lang w:val="es-ES"/>
              </w:rPr>
              <mc:AlternateContent>
                <mc:Choice Requires="wps">
                  <w:drawing>
                    <wp:anchor distT="0" distB="0" distL="114300" distR="114300" simplePos="0" relativeHeight="251662336" behindDoc="0" locked="0" layoutInCell="1" allowOverlap="1" wp14:anchorId="1AC13E02" wp14:editId="14DDB7DE">
                      <wp:simplePos x="0" y="0"/>
                      <wp:positionH relativeFrom="margin">
                        <wp:posOffset>47132</wp:posOffset>
                      </wp:positionH>
                      <wp:positionV relativeFrom="paragraph">
                        <wp:posOffset>68355</wp:posOffset>
                      </wp:positionV>
                      <wp:extent cx="5447071" cy="691117"/>
                      <wp:effectExtent l="0" t="0" r="20320" b="13970"/>
                      <wp:wrapNone/>
                      <wp:docPr id="1" name="Rectángulo 1"/>
                      <wp:cNvGraphicFramePr/>
                      <a:graphic xmlns:a="http://schemas.openxmlformats.org/drawingml/2006/main">
                        <a:graphicData uri="http://schemas.microsoft.com/office/word/2010/wordprocessingShape">
                          <wps:wsp>
                            <wps:cNvSpPr/>
                            <wps:spPr>
                              <a:xfrm>
                                <a:off x="0" y="0"/>
                                <a:ext cx="5447071" cy="6911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AC49C1" id="Rectángulo 1" o:spid="_x0000_s1026" style="position:absolute;margin-left:3.7pt;margin-top:5.4pt;width:428.9pt;height:5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" filled="f" strokecolor="black [3213]" strokeweight="1pt">
                      <w10:wrap anchorx="margin"/>
                    </v:rect>
                  </w:pict>
                </mc:Fallback>
              </mc:AlternateContent>
            </w:r>
          </w:p>
          <w:p w14:paraId="79C87F20" w14:textId="7E7259D4" w:rsidR="003D1429" w:rsidRDefault="00655711" w:rsidP="002A5F20">
            <w:pPr>
              <w:autoSpaceDE w:val="0"/>
              <w:autoSpaceDN w:val="0"/>
              <w:adjustRightInd w:val="0"/>
              <w:ind w:left="142" w:right="256"/>
              <w:jc w:val="both"/>
              <w:rPr>
                <w:rFonts w:ascii="Arial" w:hAnsi="Arial" w:cs="Arial"/>
                <w:sz w:val="23"/>
                <w:szCs w:val="23"/>
              </w:rPr>
            </w:pPr>
            <w:r>
              <w:rPr>
                <w:rFonts w:ascii="Arial" w:hAnsi="Arial" w:cs="Arial"/>
                <w:sz w:val="23"/>
                <w:szCs w:val="23"/>
              </w:rPr>
              <w:t xml:space="preserve">NA </w:t>
            </w:r>
          </w:p>
          <w:p w14:paraId="03ED19FF" w14:textId="3A0B0867" w:rsidR="00655711" w:rsidRDefault="00655711" w:rsidP="002A5F20">
            <w:pPr>
              <w:autoSpaceDE w:val="0"/>
              <w:autoSpaceDN w:val="0"/>
              <w:adjustRightInd w:val="0"/>
              <w:ind w:left="142" w:right="256"/>
              <w:jc w:val="both"/>
              <w:rPr>
                <w:rFonts w:ascii="Arial" w:hAnsi="Arial" w:cs="Arial"/>
                <w:sz w:val="23"/>
                <w:szCs w:val="23"/>
              </w:rPr>
            </w:pPr>
          </w:p>
          <w:p w14:paraId="544E3D2B" w14:textId="77777777" w:rsidR="00655711" w:rsidRDefault="00655711" w:rsidP="002A5F20">
            <w:pPr>
              <w:autoSpaceDE w:val="0"/>
              <w:autoSpaceDN w:val="0"/>
              <w:adjustRightInd w:val="0"/>
              <w:ind w:left="142" w:right="256"/>
              <w:jc w:val="both"/>
              <w:rPr>
                <w:rFonts w:ascii="Arial" w:hAnsi="Arial" w:cs="Arial"/>
                <w:sz w:val="23"/>
                <w:szCs w:val="23"/>
              </w:rPr>
            </w:pPr>
          </w:p>
          <w:p w14:paraId="7B895A73" w14:textId="33AA577B" w:rsidR="003D1429" w:rsidRDefault="003D1429" w:rsidP="002A5F20">
            <w:pPr>
              <w:autoSpaceDE w:val="0"/>
              <w:autoSpaceDN w:val="0"/>
              <w:adjustRightInd w:val="0"/>
              <w:ind w:left="142" w:right="256"/>
              <w:jc w:val="both"/>
              <w:rPr>
                <w:rFonts w:ascii="Arial" w:hAnsi="Arial" w:cs="Arial"/>
                <w:sz w:val="23"/>
                <w:szCs w:val="23"/>
              </w:rPr>
            </w:pPr>
          </w:p>
          <w:p w14:paraId="6D450C0D" w14:textId="6DE8499C" w:rsidR="007E705B" w:rsidRDefault="007E705B" w:rsidP="002A5F20">
            <w:pPr>
              <w:autoSpaceDE w:val="0"/>
              <w:autoSpaceDN w:val="0"/>
              <w:adjustRightInd w:val="0"/>
              <w:ind w:left="142" w:right="256"/>
              <w:jc w:val="both"/>
              <w:rPr>
                <w:rFonts w:ascii="Arial" w:hAnsi="Arial" w:cs="Arial"/>
                <w:sz w:val="23"/>
                <w:szCs w:val="23"/>
              </w:rPr>
            </w:pPr>
          </w:p>
          <w:tbl>
            <w:tblPr>
              <w:tblStyle w:val="Tablaconcuadrcula"/>
              <w:tblpPr w:leftFromText="141" w:rightFromText="141" w:vertAnchor="text" w:horzAnchor="margin" w:tblpY="-128"/>
              <w:tblOverlap w:val="never"/>
              <w:tblW w:w="8642" w:type="dxa"/>
              <w:tblLook w:val="04A0" w:firstRow="1" w:lastRow="0" w:firstColumn="1" w:lastColumn="0" w:noHBand="0" w:noVBand="1"/>
            </w:tblPr>
            <w:tblGrid>
              <w:gridCol w:w="8642"/>
            </w:tblGrid>
            <w:tr w:rsidR="00333252" w:rsidRPr="002A5F20" w14:paraId="36BF21BA" w14:textId="77777777" w:rsidTr="00333252">
              <w:trPr>
                <w:trHeight w:val="739"/>
              </w:trPr>
              <w:tc>
                <w:tcPr>
                  <w:tcW w:w="8642" w:type="dxa"/>
                </w:tcPr>
                <w:p w14:paraId="62D23EC6" w14:textId="77777777" w:rsidR="00333252" w:rsidRPr="003D1429" w:rsidRDefault="00333252" w:rsidP="00333252">
                  <w:pPr>
                    <w:pStyle w:val="Prrafodelista"/>
                    <w:numPr>
                      <w:ilvl w:val="0"/>
                      <w:numId w:val="2"/>
                    </w:numPr>
                    <w:autoSpaceDE w:val="0"/>
                    <w:autoSpaceDN w:val="0"/>
                    <w:adjustRightInd w:val="0"/>
                    <w:ind w:left="481" w:hanging="425"/>
                    <w:jc w:val="both"/>
                    <w:rPr>
                      <w:rFonts w:ascii="Arial" w:hAnsi="Arial" w:cs="Arial"/>
                      <w:b/>
                      <w:bCs/>
                      <w:sz w:val="23"/>
                      <w:szCs w:val="23"/>
                    </w:rPr>
                  </w:pPr>
                  <w:r w:rsidRPr="003D1429">
                    <w:rPr>
                      <w:rFonts w:ascii="Arial" w:hAnsi="Arial" w:cs="Arial"/>
                      <w:b/>
                      <w:bCs/>
                      <w:sz w:val="23"/>
                      <w:szCs w:val="23"/>
                    </w:rPr>
                    <w:t>CUALQUIER OTRO ASPECTO QUE LA ENTIDAD REMITENTE CONSIDERE RELEVANTE O DE IMPORTANCIA PARA LA ADOPCIÓN DE LA DECISIÓN.</w:t>
                  </w:r>
                </w:p>
              </w:tc>
            </w:tr>
          </w:tbl>
          <w:p w14:paraId="6CCEC8FB" w14:textId="77777777" w:rsidR="00333252" w:rsidRDefault="00333252" w:rsidP="002A5F20">
            <w:pPr>
              <w:autoSpaceDE w:val="0"/>
              <w:autoSpaceDN w:val="0"/>
              <w:adjustRightInd w:val="0"/>
              <w:ind w:left="142" w:right="256"/>
              <w:jc w:val="both"/>
              <w:rPr>
                <w:rFonts w:ascii="Arial" w:hAnsi="Arial" w:cs="Arial"/>
                <w:sz w:val="23"/>
                <w:szCs w:val="23"/>
              </w:rPr>
            </w:pPr>
          </w:p>
          <w:p w14:paraId="18B392A3" w14:textId="3C301C40" w:rsidR="007E705B" w:rsidRDefault="00D32BA6" w:rsidP="002A5F20">
            <w:pPr>
              <w:autoSpaceDE w:val="0"/>
              <w:autoSpaceDN w:val="0"/>
              <w:adjustRightInd w:val="0"/>
              <w:ind w:left="142" w:right="256"/>
              <w:jc w:val="both"/>
              <w:rPr>
                <w:rFonts w:ascii="Arial" w:hAnsi="Arial" w:cs="Arial"/>
                <w:sz w:val="23"/>
                <w:szCs w:val="23"/>
              </w:rPr>
            </w:pPr>
            <w:r>
              <w:rPr>
                <w:rFonts w:ascii="Arial" w:hAnsi="Arial" w:cs="Arial"/>
                <w:sz w:val="23"/>
                <w:szCs w:val="23"/>
              </w:rPr>
              <w:t>No Aplica.</w:t>
            </w:r>
          </w:p>
          <w:p w14:paraId="1CB88A36" w14:textId="6E9AED9D" w:rsidR="0051438A" w:rsidRDefault="0051438A" w:rsidP="002A5F20">
            <w:pPr>
              <w:autoSpaceDE w:val="0"/>
              <w:autoSpaceDN w:val="0"/>
              <w:adjustRightInd w:val="0"/>
              <w:ind w:left="142" w:right="256"/>
              <w:jc w:val="both"/>
              <w:rPr>
                <w:rFonts w:ascii="Arial" w:hAnsi="Arial" w:cs="Arial"/>
                <w:sz w:val="23"/>
                <w:szCs w:val="23"/>
              </w:rPr>
            </w:pPr>
          </w:p>
          <w:p w14:paraId="5B917715" w14:textId="44E39DFC" w:rsidR="000A2D7F" w:rsidRDefault="000A2D7F" w:rsidP="002A5F20">
            <w:pPr>
              <w:autoSpaceDE w:val="0"/>
              <w:autoSpaceDN w:val="0"/>
              <w:adjustRightInd w:val="0"/>
              <w:ind w:left="142" w:right="256"/>
              <w:jc w:val="both"/>
              <w:rPr>
                <w:rFonts w:ascii="Arial" w:hAnsi="Arial" w:cs="Arial"/>
                <w:sz w:val="23"/>
                <w:szCs w:val="23"/>
              </w:rPr>
            </w:pPr>
          </w:p>
          <w:tbl>
            <w:tblPr>
              <w:tblpPr w:leftFromText="141" w:rightFromText="141"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2"/>
            </w:tblGrid>
            <w:tr w:rsidR="0051438A" w:rsidRPr="002A5F20" w14:paraId="0B9FB578" w14:textId="77777777" w:rsidTr="0051438A">
              <w:trPr>
                <w:trHeight w:val="480"/>
              </w:trPr>
              <w:tc>
                <w:tcPr>
                  <w:tcW w:w="8642" w:type="dxa"/>
                </w:tcPr>
                <w:p w14:paraId="6A3B9A6A" w14:textId="77777777" w:rsidR="0051438A" w:rsidRPr="003D1429" w:rsidRDefault="0051438A" w:rsidP="0051438A">
                  <w:pPr>
                    <w:pStyle w:val="Prrafodelista"/>
                    <w:numPr>
                      <w:ilvl w:val="0"/>
                      <w:numId w:val="2"/>
                    </w:numPr>
                    <w:autoSpaceDE w:val="0"/>
                    <w:autoSpaceDN w:val="0"/>
                    <w:adjustRightInd w:val="0"/>
                    <w:ind w:right="356"/>
                    <w:jc w:val="both"/>
                    <w:rPr>
                      <w:rFonts w:ascii="Arial" w:hAnsi="Arial" w:cs="Arial"/>
                      <w:b/>
                      <w:bCs/>
                      <w:sz w:val="23"/>
                      <w:szCs w:val="23"/>
                    </w:rPr>
                  </w:pPr>
                  <w:r w:rsidRPr="003D1429">
                    <w:rPr>
                      <w:rFonts w:ascii="Arial" w:hAnsi="Arial" w:cs="Arial"/>
                      <w:b/>
                      <w:bCs/>
                      <w:sz w:val="23"/>
                      <w:szCs w:val="23"/>
                    </w:rPr>
                    <w:t xml:space="preserve">REVISIÓN Y ANÁLISIS DE LAS DECISIONES JUDICIALES DE LOS ÓRGANOS DE CIERRE DE CADA JURISDICCIÓN QUE PUDIEREN TENER IMPACTO O SER RELEVANTES PARA LA EXPEDICIÓN DEL ACTO </w:t>
                  </w:r>
                </w:p>
              </w:tc>
            </w:tr>
          </w:tbl>
          <w:p w14:paraId="20F374C5" w14:textId="36D371B9" w:rsidR="0051438A" w:rsidRDefault="0051438A" w:rsidP="002A5F20">
            <w:pPr>
              <w:autoSpaceDE w:val="0"/>
              <w:autoSpaceDN w:val="0"/>
              <w:adjustRightInd w:val="0"/>
              <w:ind w:left="142" w:right="256"/>
              <w:jc w:val="both"/>
              <w:rPr>
                <w:rFonts w:ascii="Arial" w:hAnsi="Arial" w:cs="Arial"/>
                <w:sz w:val="23"/>
                <w:szCs w:val="23"/>
              </w:rPr>
            </w:pPr>
          </w:p>
          <w:tbl>
            <w:tblPr>
              <w:tblpPr w:leftFromText="141" w:rightFromText="141" w:vertAnchor="page" w:horzAnchor="margin" w:tblpY="5242"/>
              <w:tblOverlap w:val="never"/>
              <w:tblW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6"/>
            </w:tblGrid>
            <w:tr w:rsidR="003C53FD" w:rsidRPr="002A5F20" w14:paraId="12938810" w14:textId="77777777" w:rsidTr="003C53FD">
              <w:trPr>
                <w:trHeight w:val="984"/>
              </w:trPr>
              <w:tc>
                <w:tcPr>
                  <w:tcW w:w="8226" w:type="dxa"/>
                </w:tcPr>
                <w:p w14:paraId="0BEE1583" w14:textId="77777777" w:rsidR="003C53FD" w:rsidRPr="002A5F20" w:rsidRDefault="003C53FD" w:rsidP="003C53FD">
                  <w:pPr>
                    <w:pStyle w:val="Prrafodelista"/>
                    <w:autoSpaceDE w:val="0"/>
                    <w:autoSpaceDN w:val="0"/>
                    <w:adjustRightInd w:val="0"/>
                    <w:ind w:left="862"/>
                    <w:jc w:val="both"/>
                    <w:rPr>
                      <w:rFonts w:ascii="Arial" w:hAnsi="Arial" w:cs="Arial"/>
                      <w:sz w:val="23"/>
                      <w:szCs w:val="23"/>
                    </w:rPr>
                  </w:pPr>
                </w:p>
                <w:p w14:paraId="47BC0188" w14:textId="77777777" w:rsidR="003C53FD" w:rsidRPr="002A5F20" w:rsidRDefault="003C53FD" w:rsidP="003C53FD">
                  <w:pPr>
                    <w:autoSpaceDE w:val="0"/>
                    <w:autoSpaceDN w:val="0"/>
                    <w:adjustRightInd w:val="0"/>
                    <w:jc w:val="both"/>
                    <w:rPr>
                      <w:rFonts w:ascii="Arial" w:hAnsi="Arial" w:cs="Arial"/>
                      <w:sz w:val="23"/>
                      <w:szCs w:val="23"/>
                    </w:rPr>
                  </w:pPr>
                  <w:r w:rsidRPr="002A5F20">
                    <w:rPr>
                      <w:rFonts w:ascii="Arial" w:hAnsi="Arial" w:cs="Arial"/>
                      <w:sz w:val="23"/>
                      <w:szCs w:val="23"/>
                    </w:rPr>
                    <w:t>A la fecha no existen pronunciamientos Judiciales de impacto o relevantes sobre el tema.</w:t>
                  </w:r>
                </w:p>
              </w:tc>
            </w:tr>
          </w:tbl>
          <w:p w14:paraId="68BE9CF9" w14:textId="77777777" w:rsidR="0051438A" w:rsidRPr="002A5F20" w:rsidRDefault="0051438A" w:rsidP="002A5F20">
            <w:pPr>
              <w:autoSpaceDE w:val="0"/>
              <w:autoSpaceDN w:val="0"/>
              <w:adjustRightInd w:val="0"/>
              <w:ind w:left="142" w:right="256"/>
              <w:jc w:val="both"/>
              <w:rPr>
                <w:rFonts w:ascii="Arial" w:hAnsi="Arial" w:cs="Arial"/>
                <w:sz w:val="23"/>
                <w:szCs w:val="23"/>
              </w:rPr>
            </w:pPr>
          </w:p>
          <w:p w14:paraId="02089E5E" w14:textId="1FB02489" w:rsidR="00333252" w:rsidRDefault="00333252" w:rsidP="002A5F20">
            <w:pPr>
              <w:autoSpaceDE w:val="0"/>
              <w:autoSpaceDN w:val="0"/>
              <w:adjustRightInd w:val="0"/>
              <w:ind w:left="142" w:right="256"/>
              <w:jc w:val="both"/>
              <w:rPr>
                <w:rFonts w:ascii="Arial" w:hAnsi="Arial" w:cs="Arial"/>
                <w:sz w:val="23"/>
                <w:szCs w:val="23"/>
              </w:rPr>
            </w:pPr>
          </w:p>
          <w:p w14:paraId="3C6A5CFB" w14:textId="577DE0EC" w:rsidR="0051438A" w:rsidRDefault="0051438A" w:rsidP="002A5F20">
            <w:pPr>
              <w:autoSpaceDE w:val="0"/>
              <w:autoSpaceDN w:val="0"/>
              <w:adjustRightInd w:val="0"/>
              <w:ind w:left="142" w:right="256"/>
              <w:jc w:val="both"/>
              <w:rPr>
                <w:rFonts w:ascii="Arial" w:hAnsi="Arial" w:cs="Arial"/>
                <w:sz w:val="23"/>
                <w:szCs w:val="23"/>
              </w:rPr>
            </w:pPr>
          </w:p>
          <w:p w14:paraId="132AB27A" w14:textId="680DA5A5" w:rsidR="0051438A" w:rsidRDefault="0051438A" w:rsidP="002A5F20">
            <w:pPr>
              <w:autoSpaceDE w:val="0"/>
              <w:autoSpaceDN w:val="0"/>
              <w:adjustRightInd w:val="0"/>
              <w:ind w:left="142" w:right="256"/>
              <w:jc w:val="both"/>
              <w:rPr>
                <w:rFonts w:ascii="Arial" w:hAnsi="Arial" w:cs="Arial"/>
                <w:sz w:val="23"/>
                <w:szCs w:val="23"/>
              </w:rPr>
            </w:pPr>
          </w:p>
          <w:tbl>
            <w:tblPr>
              <w:tblpPr w:leftFromText="141" w:rightFromText="141" w:vertAnchor="text" w:horzAnchor="margin" w:tblpY="-1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59"/>
            </w:tblGrid>
            <w:tr w:rsidR="003C53FD" w:rsidRPr="007E705B" w14:paraId="1F98F9E1" w14:textId="77777777" w:rsidTr="003C53FD">
              <w:trPr>
                <w:trHeight w:val="787"/>
              </w:trPr>
              <w:tc>
                <w:tcPr>
                  <w:tcW w:w="8359" w:type="dxa"/>
                </w:tcPr>
                <w:p w14:paraId="04D94E2E" w14:textId="77777777" w:rsidR="003C53FD" w:rsidRPr="007E705B" w:rsidRDefault="003C53FD" w:rsidP="003C53FD">
                  <w:pPr>
                    <w:pStyle w:val="Prrafodelista"/>
                    <w:numPr>
                      <w:ilvl w:val="0"/>
                      <w:numId w:val="2"/>
                    </w:numPr>
                    <w:autoSpaceDE w:val="0"/>
                    <w:autoSpaceDN w:val="0"/>
                    <w:adjustRightInd w:val="0"/>
                    <w:ind w:right="356"/>
                    <w:jc w:val="both"/>
                    <w:rPr>
                      <w:rFonts w:ascii="Arial" w:hAnsi="Arial" w:cs="Arial"/>
                      <w:b/>
                      <w:bCs/>
                      <w:sz w:val="23"/>
                      <w:szCs w:val="23"/>
                    </w:rPr>
                  </w:pPr>
                  <w:r w:rsidRPr="007E705B">
                    <w:rPr>
                      <w:rFonts w:ascii="Arial" w:hAnsi="Arial" w:cs="Arial"/>
                      <w:b/>
                      <w:bCs/>
                      <w:sz w:val="23"/>
                      <w:szCs w:val="23"/>
                    </w:rPr>
                    <w:t xml:space="preserve">ADVERTENCIA DE CUALQUIER OTRA CIRCUNSTANCIA JURÍDICA QUE PUEDA SER RELEVANTE PARA LA EXPEDICIÓN DEL ACTO </w:t>
                  </w:r>
                </w:p>
              </w:tc>
            </w:tr>
          </w:tbl>
          <w:p w14:paraId="6E98950A" w14:textId="1A4DA774" w:rsidR="0051438A" w:rsidRDefault="0051438A" w:rsidP="002A5F20">
            <w:pPr>
              <w:autoSpaceDE w:val="0"/>
              <w:autoSpaceDN w:val="0"/>
              <w:adjustRightInd w:val="0"/>
              <w:ind w:left="142" w:right="256"/>
              <w:jc w:val="both"/>
              <w:rPr>
                <w:rFonts w:ascii="Arial" w:hAnsi="Arial" w:cs="Arial"/>
                <w:sz w:val="23"/>
                <w:szCs w:val="23"/>
              </w:rPr>
            </w:pPr>
          </w:p>
          <w:tbl>
            <w:tblPr>
              <w:tblpPr w:leftFromText="141" w:rightFromText="141" w:vertAnchor="page" w:horzAnchor="margin" w:tblpY="7586"/>
              <w:tblOverlap w:val="never"/>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3C53FD" w:rsidRPr="002A5F20" w14:paraId="6FC57059" w14:textId="77777777" w:rsidTr="003C53FD">
              <w:trPr>
                <w:trHeight w:val="984"/>
              </w:trPr>
              <w:tc>
                <w:tcPr>
                  <w:tcW w:w="8363" w:type="dxa"/>
                </w:tcPr>
                <w:p w14:paraId="25D7C7B7" w14:textId="77777777" w:rsidR="003C53FD" w:rsidRDefault="003C53FD" w:rsidP="003C53FD">
                  <w:pPr>
                    <w:autoSpaceDE w:val="0"/>
                    <w:autoSpaceDN w:val="0"/>
                    <w:adjustRightInd w:val="0"/>
                    <w:jc w:val="both"/>
                    <w:rPr>
                      <w:rFonts w:ascii="Arial" w:hAnsi="Arial" w:cs="Arial"/>
                      <w:sz w:val="23"/>
                      <w:szCs w:val="23"/>
                    </w:rPr>
                  </w:pPr>
                </w:p>
                <w:p w14:paraId="62158CBF" w14:textId="77777777" w:rsidR="003C53FD" w:rsidRPr="002A5F20" w:rsidRDefault="003C53FD" w:rsidP="003C53FD">
                  <w:pPr>
                    <w:autoSpaceDE w:val="0"/>
                    <w:autoSpaceDN w:val="0"/>
                    <w:adjustRightInd w:val="0"/>
                    <w:jc w:val="both"/>
                    <w:rPr>
                      <w:rFonts w:ascii="Arial" w:hAnsi="Arial" w:cs="Arial"/>
                      <w:sz w:val="23"/>
                      <w:szCs w:val="23"/>
                    </w:rPr>
                  </w:pPr>
                  <w:r>
                    <w:rPr>
                      <w:rFonts w:ascii="Arial" w:hAnsi="Arial" w:cs="Arial"/>
                      <w:sz w:val="23"/>
                      <w:szCs w:val="23"/>
                    </w:rPr>
                    <w:t>No Aplica</w:t>
                  </w:r>
                </w:p>
              </w:tc>
            </w:tr>
          </w:tbl>
          <w:p w14:paraId="301DBC32" w14:textId="7FC9A6B2" w:rsidR="0051438A" w:rsidRDefault="0051438A" w:rsidP="002A5F20">
            <w:pPr>
              <w:autoSpaceDE w:val="0"/>
              <w:autoSpaceDN w:val="0"/>
              <w:adjustRightInd w:val="0"/>
              <w:ind w:left="142" w:right="256"/>
              <w:jc w:val="both"/>
              <w:rPr>
                <w:rFonts w:ascii="Arial" w:hAnsi="Arial" w:cs="Arial"/>
                <w:sz w:val="23"/>
                <w:szCs w:val="23"/>
              </w:rPr>
            </w:pPr>
          </w:p>
          <w:p w14:paraId="760D0760" w14:textId="6CE0F2DF" w:rsidR="0051438A" w:rsidRDefault="0051438A" w:rsidP="002A5F20">
            <w:pPr>
              <w:autoSpaceDE w:val="0"/>
              <w:autoSpaceDN w:val="0"/>
              <w:adjustRightInd w:val="0"/>
              <w:ind w:left="142" w:right="256"/>
              <w:jc w:val="both"/>
              <w:rPr>
                <w:rFonts w:ascii="Arial" w:hAnsi="Arial" w:cs="Arial"/>
                <w:sz w:val="23"/>
                <w:szCs w:val="23"/>
              </w:rPr>
            </w:pPr>
          </w:p>
          <w:p w14:paraId="0CD23EBD" w14:textId="78BD9786" w:rsidR="0051438A" w:rsidRDefault="0051438A" w:rsidP="002A5F20">
            <w:pPr>
              <w:autoSpaceDE w:val="0"/>
              <w:autoSpaceDN w:val="0"/>
              <w:adjustRightInd w:val="0"/>
              <w:ind w:left="142" w:right="256"/>
              <w:jc w:val="both"/>
              <w:rPr>
                <w:rFonts w:ascii="Arial" w:hAnsi="Arial" w:cs="Arial"/>
                <w:sz w:val="23"/>
                <w:szCs w:val="23"/>
              </w:rPr>
            </w:pPr>
          </w:p>
          <w:p w14:paraId="1C6AD8BB" w14:textId="77777777" w:rsidR="0051438A" w:rsidRDefault="0051438A" w:rsidP="002A5F20">
            <w:pPr>
              <w:autoSpaceDE w:val="0"/>
              <w:autoSpaceDN w:val="0"/>
              <w:adjustRightInd w:val="0"/>
              <w:ind w:left="142" w:right="256"/>
              <w:jc w:val="both"/>
              <w:rPr>
                <w:rFonts w:ascii="Arial" w:hAnsi="Arial" w:cs="Arial"/>
                <w:sz w:val="23"/>
                <w:szCs w:val="23"/>
              </w:rPr>
            </w:pPr>
          </w:p>
          <w:p w14:paraId="64309375" w14:textId="3695E6CA" w:rsidR="00ED4267" w:rsidRDefault="00ED4267" w:rsidP="00D32BA6">
            <w:pPr>
              <w:autoSpaceDE w:val="0"/>
              <w:autoSpaceDN w:val="0"/>
              <w:adjustRightInd w:val="0"/>
              <w:ind w:right="256"/>
              <w:jc w:val="both"/>
              <w:rPr>
                <w:rFonts w:ascii="Arial" w:hAnsi="Arial" w:cs="Arial"/>
                <w:b/>
                <w:bCs/>
                <w:sz w:val="23"/>
                <w:szCs w:val="23"/>
              </w:rPr>
            </w:pPr>
          </w:p>
          <w:p w14:paraId="2FC3B3D1" w14:textId="01D62A01" w:rsidR="00ED4267" w:rsidRDefault="00ED4267" w:rsidP="00D32BA6">
            <w:pPr>
              <w:autoSpaceDE w:val="0"/>
              <w:autoSpaceDN w:val="0"/>
              <w:adjustRightInd w:val="0"/>
              <w:ind w:right="256"/>
              <w:jc w:val="both"/>
              <w:rPr>
                <w:rFonts w:ascii="Arial" w:hAnsi="Arial" w:cs="Arial"/>
                <w:b/>
                <w:bCs/>
                <w:sz w:val="23"/>
                <w:szCs w:val="23"/>
              </w:rPr>
            </w:pPr>
          </w:p>
          <w:p w14:paraId="10160A02" w14:textId="77777777" w:rsidR="00ED4267" w:rsidRPr="007E705B" w:rsidRDefault="00ED4267" w:rsidP="00D32BA6">
            <w:pPr>
              <w:autoSpaceDE w:val="0"/>
              <w:autoSpaceDN w:val="0"/>
              <w:adjustRightInd w:val="0"/>
              <w:ind w:right="256"/>
              <w:jc w:val="both"/>
              <w:rPr>
                <w:rFonts w:ascii="Arial" w:hAnsi="Arial" w:cs="Arial"/>
                <w:b/>
                <w:bCs/>
                <w:sz w:val="23"/>
                <w:szCs w:val="23"/>
              </w:rPr>
            </w:pPr>
          </w:p>
          <w:p w14:paraId="2A4FAE5C" w14:textId="77777777" w:rsidR="004E4FDC" w:rsidRDefault="004E4FDC" w:rsidP="00D32BA6">
            <w:pPr>
              <w:autoSpaceDE w:val="0"/>
              <w:autoSpaceDN w:val="0"/>
              <w:adjustRightInd w:val="0"/>
              <w:ind w:right="256"/>
              <w:jc w:val="both"/>
              <w:rPr>
                <w:rFonts w:ascii="Arial" w:hAnsi="Arial" w:cs="Arial"/>
                <w:sz w:val="23"/>
                <w:szCs w:val="23"/>
              </w:rPr>
            </w:pPr>
          </w:p>
          <w:p w14:paraId="454F38C5" w14:textId="77777777" w:rsidR="0051438A" w:rsidRDefault="0051438A" w:rsidP="00D32BA6">
            <w:pPr>
              <w:autoSpaceDE w:val="0"/>
              <w:autoSpaceDN w:val="0"/>
              <w:adjustRightInd w:val="0"/>
              <w:ind w:right="256"/>
              <w:jc w:val="both"/>
              <w:rPr>
                <w:rFonts w:ascii="Arial" w:hAnsi="Arial" w:cs="Arial"/>
                <w:sz w:val="23"/>
                <w:szCs w:val="23"/>
              </w:rPr>
            </w:pPr>
          </w:p>
          <w:p w14:paraId="75A405BD" w14:textId="77777777" w:rsidR="0051438A" w:rsidRDefault="0051438A" w:rsidP="00D32BA6">
            <w:pPr>
              <w:autoSpaceDE w:val="0"/>
              <w:autoSpaceDN w:val="0"/>
              <w:adjustRightInd w:val="0"/>
              <w:ind w:right="256"/>
              <w:jc w:val="both"/>
              <w:rPr>
                <w:rFonts w:ascii="Arial" w:hAnsi="Arial" w:cs="Arial"/>
                <w:sz w:val="23"/>
                <w:szCs w:val="23"/>
              </w:rPr>
            </w:pPr>
          </w:p>
          <w:p w14:paraId="4CA49DB8" w14:textId="77777777" w:rsidR="0051438A" w:rsidRDefault="0051438A" w:rsidP="00D32BA6">
            <w:pPr>
              <w:autoSpaceDE w:val="0"/>
              <w:autoSpaceDN w:val="0"/>
              <w:adjustRightInd w:val="0"/>
              <w:ind w:right="256"/>
              <w:jc w:val="both"/>
              <w:rPr>
                <w:rFonts w:ascii="Arial" w:hAnsi="Arial" w:cs="Arial"/>
                <w:sz w:val="23"/>
                <w:szCs w:val="23"/>
              </w:rPr>
            </w:pPr>
          </w:p>
          <w:p w14:paraId="6EE493CC" w14:textId="307D2942" w:rsidR="0051438A" w:rsidRPr="002A5F20" w:rsidRDefault="0051438A" w:rsidP="00D32BA6">
            <w:pPr>
              <w:autoSpaceDE w:val="0"/>
              <w:autoSpaceDN w:val="0"/>
              <w:adjustRightInd w:val="0"/>
              <w:ind w:right="256"/>
              <w:jc w:val="both"/>
              <w:rPr>
                <w:rFonts w:ascii="Arial" w:hAnsi="Arial" w:cs="Arial"/>
                <w:sz w:val="23"/>
                <w:szCs w:val="23"/>
              </w:rPr>
            </w:pPr>
          </w:p>
        </w:tc>
      </w:tr>
    </w:tbl>
    <w:p w14:paraId="52D5EF43" w14:textId="4BB71B23" w:rsidR="00215380" w:rsidRPr="000A2D7F" w:rsidRDefault="00215380" w:rsidP="000A2D7F">
      <w:pPr>
        <w:spacing w:line="276" w:lineRule="auto"/>
        <w:ind w:right="356"/>
        <w:jc w:val="both"/>
        <w:rPr>
          <w:rFonts w:ascii="Arial" w:hAnsi="Arial" w:cs="Arial"/>
          <w:b/>
          <w:sz w:val="22"/>
          <w:szCs w:val="22"/>
        </w:rPr>
      </w:pPr>
    </w:p>
    <w:p w14:paraId="258B33A6" w14:textId="188A3D6B" w:rsidR="007F47DC" w:rsidRPr="00A914A9" w:rsidRDefault="0051438A" w:rsidP="00C11E96">
      <w:pPr>
        <w:pStyle w:val="Sinespaciado"/>
        <w:spacing w:line="276" w:lineRule="auto"/>
        <w:jc w:val="both"/>
        <w:rPr>
          <w:rFonts w:ascii="Arial" w:hAnsi="Arial" w:cs="Arial"/>
          <w:b/>
          <w:sz w:val="23"/>
          <w:szCs w:val="23"/>
        </w:rPr>
      </w:pPr>
      <w:r>
        <w:rPr>
          <w:rFonts w:ascii="Arial" w:hAnsi="Arial" w:cs="Arial"/>
          <w:b/>
          <w:sz w:val="23"/>
          <w:szCs w:val="23"/>
        </w:rPr>
        <w:t>MARCELA BRUN VERGARA</w:t>
      </w:r>
    </w:p>
    <w:p w14:paraId="684920EC" w14:textId="05FDD7EC" w:rsidR="00230A65" w:rsidRPr="00A914A9" w:rsidRDefault="00436757" w:rsidP="00C11E96">
      <w:pPr>
        <w:pStyle w:val="Sinespaciado"/>
        <w:spacing w:line="276" w:lineRule="auto"/>
        <w:jc w:val="both"/>
        <w:rPr>
          <w:rFonts w:ascii="Arial" w:hAnsi="Arial" w:cs="Arial"/>
          <w:sz w:val="23"/>
          <w:szCs w:val="23"/>
        </w:rPr>
      </w:pPr>
      <w:r w:rsidRPr="00A914A9">
        <w:rPr>
          <w:rFonts w:ascii="Arial" w:hAnsi="Arial" w:cs="Arial"/>
          <w:sz w:val="23"/>
          <w:szCs w:val="23"/>
        </w:rPr>
        <w:t>Director</w:t>
      </w:r>
      <w:r w:rsidR="0051438A">
        <w:rPr>
          <w:rFonts w:ascii="Arial" w:hAnsi="Arial" w:cs="Arial"/>
          <w:sz w:val="23"/>
          <w:szCs w:val="23"/>
        </w:rPr>
        <w:t xml:space="preserve">a </w:t>
      </w:r>
      <w:r w:rsidR="00230A65" w:rsidRPr="00A914A9">
        <w:rPr>
          <w:rFonts w:ascii="Arial" w:hAnsi="Arial" w:cs="Arial"/>
          <w:sz w:val="23"/>
          <w:szCs w:val="23"/>
        </w:rPr>
        <w:t>de Regulación de Beneficios, Costos y Tarifa</w:t>
      </w:r>
      <w:r w:rsidR="007F47DC" w:rsidRPr="00A914A9">
        <w:rPr>
          <w:rFonts w:ascii="Arial" w:hAnsi="Arial" w:cs="Arial"/>
          <w:sz w:val="23"/>
          <w:szCs w:val="23"/>
        </w:rPr>
        <w:t>s del Aseguramiento en Salud</w:t>
      </w:r>
      <w:r w:rsidR="00230A65" w:rsidRPr="00A914A9">
        <w:rPr>
          <w:rFonts w:ascii="Arial" w:hAnsi="Arial" w:cs="Arial"/>
          <w:sz w:val="23"/>
          <w:szCs w:val="23"/>
        </w:rPr>
        <w:t>.</w:t>
      </w:r>
    </w:p>
    <w:sectPr w:rsidR="00230A65" w:rsidRPr="00A914A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2EC19" w14:textId="77777777" w:rsidR="00171484" w:rsidRDefault="00171484" w:rsidP="00204C8C">
      <w:r>
        <w:separator/>
      </w:r>
    </w:p>
  </w:endnote>
  <w:endnote w:type="continuationSeparator" w:id="0">
    <w:p w14:paraId="57E8CE4E" w14:textId="77777777" w:rsidR="00171484" w:rsidRDefault="00171484" w:rsidP="0020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FC060" w14:textId="77777777" w:rsidR="00171484" w:rsidRDefault="00171484" w:rsidP="00204C8C">
      <w:r>
        <w:separator/>
      </w:r>
    </w:p>
  </w:footnote>
  <w:footnote w:type="continuationSeparator" w:id="0">
    <w:p w14:paraId="2FD14477" w14:textId="77777777" w:rsidR="00171484" w:rsidRDefault="00171484" w:rsidP="0020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B4770"/>
    <w:multiLevelType w:val="hybridMultilevel"/>
    <w:tmpl w:val="8900697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15:restartNumberingAfterBreak="0">
    <w:nsid w:val="3FA44069"/>
    <w:multiLevelType w:val="hybridMultilevel"/>
    <w:tmpl w:val="381008AC"/>
    <w:lvl w:ilvl="0" w:tplc="2E0C0476">
      <w:start w:val="1"/>
      <w:numFmt w:val="upperRoman"/>
      <w:lvlText w:val="%1."/>
      <w:lvlJc w:val="left"/>
      <w:pPr>
        <w:ind w:left="720" w:hanging="720"/>
      </w:pPr>
      <w:rPr>
        <w:rFonts w:hint="default"/>
        <w:i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66D0E72"/>
    <w:multiLevelType w:val="multilevel"/>
    <w:tmpl w:val="17DA8DA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728399A"/>
    <w:multiLevelType w:val="multilevel"/>
    <w:tmpl w:val="1B6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206266"/>
    <w:multiLevelType w:val="multilevel"/>
    <w:tmpl w:val="5ACE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79086B"/>
    <w:multiLevelType w:val="hybridMultilevel"/>
    <w:tmpl w:val="0638CE54"/>
    <w:lvl w:ilvl="0" w:tplc="73CCF74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785B11"/>
    <w:multiLevelType w:val="hybridMultilevel"/>
    <w:tmpl w:val="4882F77E"/>
    <w:lvl w:ilvl="0" w:tplc="4110661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80"/>
    <w:rsid w:val="00001F75"/>
    <w:rsid w:val="00007F43"/>
    <w:rsid w:val="00030C9D"/>
    <w:rsid w:val="00042056"/>
    <w:rsid w:val="000443A4"/>
    <w:rsid w:val="000558E3"/>
    <w:rsid w:val="000573B2"/>
    <w:rsid w:val="00061ACC"/>
    <w:rsid w:val="0006254F"/>
    <w:rsid w:val="00070647"/>
    <w:rsid w:val="00085586"/>
    <w:rsid w:val="000A2D7F"/>
    <w:rsid w:val="000A3860"/>
    <w:rsid w:val="000A3A86"/>
    <w:rsid w:val="000A4DB3"/>
    <w:rsid w:val="000A5BC1"/>
    <w:rsid w:val="000A6FA5"/>
    <w:rsid w:val="000B696F"/>
    <w:rsid w:val="000C0C17"/>
    <w:rsid w:val="000C13AC"/>
    <w:rsid w:val="000C3FCA"/>
    <w:rsid w:val="000C4140"/>
    <w:rsid w:val="000D5A9B"/>
    <w:rsid w:val="000F7FC1"/>
    <w:rsid w:val="00100B73"/>
    <w:rsid w:val="00116D1E"/>
    <w:rsid w:val="00117838"/>
    <w:rsid w:val="0012299C"/>
    <w:rsid w:val="00123B3E"/>
    <w:rsid w:val="001242FD"/>
    <w:rsid w:val="00134549"/>
    <w:rsid w:val="00145CCF"/>
    <w:rsid w:val="00150379"/>
    <w:rsid w:val="00153582"/>
    <w:rsid w:val="001538C7"/>
    <w:rsid w:val="001615C4"/>
    <w:rsid w:val="00161D27"/>
    <w:rsid w:val="00163151"/>
    <w:rsid w:val="00164F61"/>
    <w:rsid w:val="00165FCF"/>
    <w:rsid w:val="00166475"/>
    <w:rsid w:val="00171484"/>
    <w:rsid w:val="001729CB"/>
    <w:rsid w:val="00177730"/>
    <w:rsid w:val="001815B7"/>
    <w:rsid w:val="0018321B"/>
    <w:rsid w:val="00184E17"/>
    <w:rsid w:val="00186B6B"/>
    <w:rsid w:val="00195BDD"/>
    <w:rsid w:val="001A3D02"/>
    <w:rsid w:val="001A49E0"/>
    <w:rsid w:val="001A65A4"/>
    <w:rsid w:val="001B142D"/>
    <w:rsid w:val="001B2A41"/>
    <w:rsid w:val="001C26AA"/>
    <w:rsid w:val="001D7CB8"/>
    <w:rsid w:val="001E2C26"/>
    <w:rsid w:val="001F3800"/>
    <w:rsid w:val="00204C8C"/>
    <w:rsid w:val="00204F94"/>
    <w:rsid w:val="00205515"/>
    <w:rsid w:val="002142AE"/>
    <w:rsid w:val="00215380"/>
    <w:rsid w:val="002211D1"/>
    <w:rsid w:val="00223484"/>
    <w:rsid w:val="0022534A"/>
    <w:rsid w:val="00230A65"/>
    <w:rsid w:val="00230C41"/>
    <w:rsid w:val="002456B2"/>
    <w:rsid w:val="00245B95"/>
    <w:rsid w:val="00245FF7"/>
    <w:rsid w:val="00253262"/>
    <w:rsid w:val="002538F4"/>
    <w:rsid w:val="00255B6F"/>
    <w:rsid w:val="00260A85"/>
    <w:rsid w:val="00261335"/>
    <w:rsid w:val="0026255C"/>
    <w:rsid w:val="0026456A"/>
    <w:rsid w:val="00265F25"/>
    <w:rsid w:val="00275489"/>
    <w:rsid w:val="00275B03"/>
    <w:rsid w:val="00277F68"/>
    <w:rsid w:val="00284716"/>
    <w:rsid w:val="00291AC8"/>
    <w:rsid w:val="002A136D"/>
    <w:rsid w:val="002A227A"/>
    <w:rsid w:val="002A5F20"/>
    <w:rsid w:val="002C600C"/>
    <w:rsid w:val="002C7B32"/>
    <w:rsid w:val="002D7D7F"/>
    <w:rsid w:val="002E014C"/>
    <w:rsid w:val="002E04D9"/>
    <w:rsid w:val="002E0FD9"/>
    <w:rsid w:val="002F44C9"/>
    <w:rsid w:val="00300862"/>
    <w:rsid w:val="00313E15"/>
    <w:rsid w:val="00316467"/>
    <w:rsid w:val="0031666E"/>
    <w:rsid w:val="00333252"/>
    <w:rsid w:val="00333DC2"/>
    <w:rsid w:val="0034027A"/>
    <w:rsid w:val="003509AD"/>
    <w:rsid w:val="00356BF7"/>
    <w:rsid w:val="00364086"/>
    <w:rsid w:val="00366215"/>
    <w:rsid w:val="003676D9"/>
    <w:rsid w:val="00371ED6"/>
    <w:rsid w:val="00380D9F"/>
    <w:rsid w:val="003836C6"/>
    <w:rsid w:val="00391A35"/>
    <w:rsid w:val="00392A3E"/>
    <w:rsid w:val="003A1766"/>
    <w:rsid w:val="003C330A"/>
    <w:rsid w:val="003C53FD"/>
    <w:rsid w:val="003D07BD"/>
    <w:rsid w:val="003D1429"/>
    <w:rsid w:val="003E77AD"/>
    <w:rsid w:val="003F5E7A"/>
    <w:rsid w:val="00400F2D"/>
    <w:rsid w:val="0040114B"/>
    <w:rsid w:val="004012A8"/>
    <w:rsid w:val="004106F5"/>
    <w:rsid w:val="0041499C"/>
    <w:rsid w:val="00415829"/>
    <w:rsid w:val="00417AE2"/>
    <w:rsid w:val="00417CCC"/>
    <w:rsid w:val="00426F9B"/>
    <w:rsid w:val="004317A1"/>
    <w:rsid w:val="00436757"/>
    <w:rsid w:val="00437671"/>
    <w:rsid w:val="0045373E"/>
    <w:rsid w:val="00453F82"/>
    <w:rsid w:val="00460178"/>
    <w:rsid w:val="0047605D"/>
    <w:rsid w:val="00495082"/>
    <w:rsid w:val="004B4607"/>
    <w:rsid w:val="004E21A8"/>
    <w:rsid w:val="004E4FDC"/>
    <w:rsid w:val="004F3231"/>
    <w:rsid w:val="004F33D7"/>
    <w:rsid w:val="004F7BB7"/>
    <w:rsid w:val="0050311D"/>
    <w:rsid w:val="0051438A"/>
    <w:rsid w:val="005152CF"/>
    <w:rsid w:val="00521A0A"/>
    <w:rsid w:val="005244B3"/>
    <w:rsid w:val="0053095D"/>
    <w:rsid w:val="00540430"/>
    <w:rsid w:val="00546815"/>
    <w:rsid w:val="00552541"/>
    <w:rsid w:val="00554811"/>
    <w:rsid w:val="00555AFE"/>
    <w:rsid w:val="00556D17"/>
    <w:rsid w:val="00557013"/>
    <w:rsid w:val="005670F7"/>
    <w:rsid w:val="00570EDC"/>
    <w:rsid w:val="00574ABB"/>
    <w:rsid w:val="0058255B"/>
    <w:rsid w:val="00586C07"/>
    <w:rsid w:val="005924B3"/>
    <w:rsid w:val="00594390"/>
    <w:rsid w:val="00596ADB"/>
    <w:rsid w:val="005B117D"/>
    <w:rsid w:val="005B3193"/>
    <w:rsid w:val="005B4044"/>
    <w:rsid w:val="005D03DC"/>
    <w:rsid w:val="005D63FF"/>
    <w:rsid w:val="005D73D1"/>
    <w:rsid w:val="005E2FD2"/>
    <w:rsid w:val="005F253A"/>
    <w:rsid w:val="005F4744"/>
    <w:rsid w:val="005F4E18"/>
    <w:rsid w:val="00605560"/>
    <w:rsid w:val="0060598D"/>
    <w:rsid w:val="00617838"/>
    <w:rsid w:val="0063655E"/>
    <w:rsid w:val="006539F7"/>
    <w:rsid w:val="00654A11"/>
    <w:rsid w:val="00655711"/>
    <w:rsid w:val="00661DD5"/>
    <w:rsid w:val="00662FEB"/>
    <w:rsid w:val="0067167D"/>
    <w:rsid w:val="006776FF"/>
    <w:rsid w:val="00682CDC"/>
    <w:rsid w:val="006868F1"/>
    <w:rsid w:val="00691231"/>
    <w:rsid w:val="00693878"/>
    <w:rsid w:val="00693AE0"/>
    <w:rsid w:val="006945C3"/>
    <w:rsid w:val="00696A35"/>
    <w:rsid w:val="00697760"/>
    <w:rsid w:val="006B0E46"/>
    <w:rsid w:val="006C52F0"/>
    <w:rsid w:val="006D09B4"/>
    <w:rsid w:val="006D1922"/>
    <w:rsid w:val="006D336C"/>
    <w:rsid w:val="006D6B5D"/>
    <w:rsid w:val="006E1F77"/>
    <w:rsid w:val="006E2C5F"/>
    <w:rsid w:val="006E75E3"/>
    <w:rsid w:val="006F0DC8"/>
    <w:rsid w:val="006F19C4"/>
    <w:rsid w:val="00713ABB"/>
    <w:rsid w:val="007165E8"/>
    <w:rsid w:val="00720088"/>
    <w:rsid w:val="0072064C"/>
    <w:rsid w:val="00724C70"/>
    <w:rsid w:val="007324C9"/>
    <w:rsid w:val="00735BBE"/>
    <w:rsid w:val="00741259"/>
    <w:rsid w:val="00756FE3"/>
    <w:rsid w:val="0076294B"/>
    <w:rsid w:val="00770CC2"/>
    <w:rsid w:val="00772EF9"/>
    <w:rsid w:val="007733F0"/>
    <w:rsid w:val="00783523"/>
    <w:rsid w:val="00783F8D"/>
    <w:rsid w:val="00786D91"/>
    <w:rsid w:val="007971B8"/>
    <w:rsid w:val="007A3067"/>
    <w:rsid w:val="007A31E7"/>
    <w:rsid w:val="007A37CF"/>
    <w:rsid w:val="007B2EAD"/>
    <w:rsid w:val="007B3A16"/>
    <w:rsid w:val="007B3FE4"/>
    <w:rsid w:val="007B6422"/>
    <w:rsid w:val="007B6A39"/>
    <w:rsid w:val="007B7B1C"/>
    <w:rsid w:val="007C27CC"/>
    <w:rsid w:val="007D2056"/>
    <w:rsid w:val="007D7430"/>
    <w:rsid w:val="007E20FF"/>
    <w:rsid w:val="007E6986"/>
    <w:rsid w:val="007E705B"/>
    <w:rsid w:val="007F47DC"/>
    <w:rsid w:val="008023F9"/>
    <w:rsid w:val="008078D1"/>
    <w:rsid w:val="00807D93"/>
    <w:rsid w:val="008103F4"/>
    <w:rsid w:val="00815024"/>
    <w:rsid w:val="00816B1E"/>
    <w:rsid w:val="008302EF"/>
    <w:rsid w:val="0085560C"/>
    <w:rsid w:val="00855919"/>
    <w:rsid w:val="00863DD6"/>
    <w:rsid w:val="008677EE"/>
    <w:rsid w:val="00881615"/>
    <w:rsid w:val="008827F6"/>
    <w:rsid w:val="00892989"/>
    <w:rsid w:val="00897CC8"/>
    <w:rsid w:val="008A6527"/>
    <w:rsid w:val="008B1093"/>
    <w:rsid w:val="008B358F"/>
    <w:rsid w:val="008D0BB7"/>
    <w:rsid w:val="008D5E29"/>
    <w:rsid w:val="008E0D59"/>
    <w:rsid w:val="008E5F83"/>
    <w:rsid w:val="008F1288"/>
    <w:rsid w:val="008F646D"/>
    <w:rsid w:val="00901CF2"/>
    <w:rsid w:val="009038E6"/>
    <w:rsid w:val="00904397"/>
    <w:rsid w:val="00917170"/>
    <w:rsid w:val="009172C3"/>
    <w:rsid w:val="00933F91"/>
    <w:rsid w:val="0094070C"/>
    <w:rsid w:val="0094312A"/>
    <w:rsid w:val="00950F70"/>
    <w:rsid w:val="00957A72"/>
    <w:rsid w:val="0096326C"/>
    <w:rsid w:val="00971668"/>
    <w:rsid w:val="00972E76"/>
    <w:rsid w:val="00974417"/>
    <w:rsid w:val="00981465"/>
    <w:rsid w:val="00986142"/>
    <w:rsid w:val="009A77E4"/>
    <w:rsid w:val="009C1B9C"/>
    <w:rsid w:val="009C2464"/>
    <w:rsid w:val="009C385C"/>
    <w:rsid w:val="009C47B2"/>
    <w:rsid w:val="009D19AF"/>
    <w:rsid w:val="009E0B63"/>
    <w:rsid w:val="009E1A4B"/>
    <w:rsid w:val="009E21BA"/>
    <w:rsid w:val="009E6251"/>
    <w:rsid w:val="009F0408"/>
    <w:rsid w:val="009F4CAD"/>
    <w:rsid w:val="00A10F8F"/>
    <w:rsid w:val="00A15658"/>
    <w:rsid w:val="00A233E9"/>
    <w:rsid w:val="00A27552"/>
    <w:rsid w:val="00A32845"/>
    <w:rsid w:val="00A34A69"/>
    <w:rsid w:val="00A36DA3"/>
    <w:rsid w:val="00A47932"/>
    <w:rsid w:val="00A65AC6"/>
    <w:rsid w:val="00A67358"/>
    <w:rsid w:val="00A7047E"/>
    <w:rsid w:val="00A723BC"/>
    <w:rsid w:val="00A72638"/>
    <w:rsid w:val="00A83468"/>
    <w:rsid w:val="00A914A9"/>
    <w:rsid w:val="00A91684"/>
    <w:rsid w:val="00A95DEC"/>
    <w:rsid w:val="00A97439"/>
    <w:rsid w:val="00AA2D8C"/>
    <w:rsid w:val="00AB1253"/>
    <w:rsid w:val="00AD1060"/>
    <w:rsid w:val="00B060D9"/>
    <w:rsid w:val="00B07FBF"/>
    <w:rsid w:val="00B1155E"/>
    <w:rsid w:val="00B2731B"/>
    <w:rsid w:val="00B3484F"/>
    <w:rsid w:val="00B50D1B"/>
    <w:rsid w:val="00B5407B"/>
    <w:rsid w:val="00B67493"/>
    <w:rsid w:val="00B6797B"/>
    <w:rsid w:val="00B770F2"/>
    <w:rsid w:val="00B81ADE"/>
    <w:rsid w:val="00B90D78"/>
    <w:rsid w:val="00B97B6B"/>
    <w:rsid w:val="00BB24AF"/>
    <w:rsid w:val="00BC1EFF"/>
    <w:rsid w:val="00BC765C"/>
    <w:rsid w:val="00BD362F"/>
    <w:rsid w:val="00BD3E0E"/>
    <w:rsid w:val="00BE6E44"/>
    <w:rsid w:val="00BF784C"/>
    <w:rsid w:val="00C00EF8"/>
    <w:rsid w:val="00C04AF1"/>
    <w:rsid w:val="00C1074D"/>
    <w:rsid w:val="00C1107B"/>
    <w:rsid w:val="00C11C33"/>
    <w:rsid w:val="00C11E96"/>
    <w:rsid w:val="00C14C7C"/>
    <w:rsid w:val="00C14E7D"/>
    <w:rsid w:val="00C15AF5"/>
    <w:rsid w:val="00C16874"/>
    <w:rsid w:val="00C251B8"/>
    <w:rsid w:val="00C27C79"/>
    <w:rsid w:val="00C30475"/>
    <w:rsid w:val="00C45A0B"/>
    <w:rsid w:val="00C5400A"/>
    <w:rsid w:val="00C572B0"/>
    <w:rsid w:val="00C63D30"/>
    <w:rsid w:val="00C74A37"/>
    <w:rsid w:val="00CA62A7"/>
    <w:rsid w:val="00CB609E"/>
    <w:rsid w:val="00CC0F2F"/>
    <w:rsid w:val="00CC384E"/>
    <w:rsid w:val="00CC5FC9"/>
    <w:rsid w:val="00CE2CCF"/>
    <w:rsid w:val="00CF2215"/>
    <w:rsid w:val="00CF35FB"/>
    <w:rsid w:val="00D04B9F"/>
    <w:rsid w:val="00D055DB"/>
    <w:rsid w:val="00D06899"/>
    <w:rsid w:val="00D10D3E"/>
    <w:rsid w:val="00D203C3"/>
    <w:rsid w:val="00D24F75"/>
    <w:rsid w:val="00D3130E"/>
    <w:rsid w:val="00D32273"/>
    <w:rsid w:val="00D32BA6"/>
    <w:rsid w:val="00D3745D"/>
    <w:rsid w:val="00D40567"/>
    <w:rsid w:val="00D41A89"/>
    <w:rsid w:val="00D42365"/>
    <w:rsid w:val="00D44F43"/>
    <w:rsid w:val="00D455A0"/>
    <w:rsid w:val="00D6161E"/>
    <w:rsid w:val="00D6638B"/>
    <w:rsid w:val="00D71C40"/>
    <w:rsid w:val="00D7499E"/>
    <w:rsid w:val="00D75EA6"/>
    <w:rsid w:val="00D7700D"/>
    <w:rsid w:val="00D85909"/>
    <w:rsid w:val="00D93605"/>
    <w:rsid w:val="00DA2835"/>
    <w:rsid w:val="00DA62B2"/>
    <w:rsid w:val="00DA7AF9"/>
    <w:rsid w:val="00DB019C"/>
    <w:rsid w:val="00DB0B16"/>
    <w:rsid w:val="00DB49C3"/>
    <w:rsid w:val="00DB70B8"/>
    <w:rsid w:val="00DC5E99"/>
    <w:rsid w:val="00DD4FE6"/>
    <w:rsid w:val="00DE1837"/>
    <w:rsid w:val="00DE1D5F"/>
    <w:rsid w:val="00DE30C8"/>
    <w:rsid w:val="00DE3E3F"/>
    <w:rsid w:val="00DF6442"/>
    <w:rsid w:val="00E10F09"/>
    <w:rsid w:val="00E11540"/>
    <w:rsid w:val="00E17069"/>
    <w:rsid w:val="00E242FE"/>
    <w:rsid w:val="00E3163B"/>
    <w:rsid w:val="00E342D9"/>
    <w:rsid w:val="00E3508A"/>
    <w:rsid w:val="00E4025E"/>
    <w:rsid w:val="00E41970"/>
    <w:rsid w:val="00E448E4"/>
    <w:rsid w:val="00E63F10"/>
    <w:rsid w:val="00E65969"/>
    <w:rsid w:val="00E75024"/>
    <w:rsid w:val="00E82365"/>
    <w:rsid w:val="00E9007F"/>
    <w:rsid w:val="00E914C9"/>
    <w:rsid w:val="00E93C34"/>
    <w:rsid w:val="00EB25B6"/>
    <w:rsid w:val="00EB50BD"/>
    <w:rsid w:val="00EB6725"/>
    <w:rsid w:val="00ED4267"/>
    <w:rsid w:val="00ED7567"/>
    <w:rsid w:val="00EE0F17"/>
    <w:rsid w:val="00EE3779"/>
    <w:rsid w:val="00EF07DF"/>
    <w:rsid w:val="00EF3C55"/>
    <w:rsid w:val="00F010D2"/>
    <w:rsid w:val="00F023AD"/>
    <w:rsid w:val="00F1182F"/>
    <w:rsid w:val="00F20E5B"/>
    <w:rsid w:val="00F22D6D"/>
    <w:rsid w:val="00F402CA"/>
    <w:rsid w:val="00F40F28"/>
    <w:rsid w:val="00F51933"/>
    <w:rsid w:val="00F56671"/>
    <w:rsid w:val="00F57E06"/>
    <w:rsid w:val="00F60907"/>
    <w:rsid w:val="00F62E28"/>
    <w:rsid w:val="00F63596"/>
    <w:rsid w:val="00F64963"/>
    <w:rsid w:val="00F81A53"/>
    <w:rsid w:val="00F935EE"/>
    <w:rsid w:val="00F952F6"/>
    <w:rsid w:val="00FA5FF1"/>
    <w:rsid w:val="00FA711A"/>
    <w:rsid w:val="00FB1978"/>
    <w:rsid w:val="00FB4126"/>
    <w:rsid w:val="00FB57C9"/>
    <w:rsid w:val="00FC2297"/>
    <w:rsid w:val="00FD3C15"/>
    <w:rsid w:val="00FE6E38"/>
    <w:rsid w:val="00FF4D8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5828DD"/>
  <w15:docId w15:val="{D31C31CC-5A7A-4C9F-85F3-4ACAFD4F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380"/>
    <w:pPr>
      <w:spacing w:after="0" w:line="240" w:lineRule="auto"/>
    </w:pPr>
    <w:rPr>
      <w:rFonts w:ascii="Times New Roman" w:eastAsia="Times New Roman" w:hAnsi="Times New Roman" w:cs="Times New Roman"/>
      <w:sz w:val="24"/>
      <w:szCs w:val="20"/>
      <w:lang w:val="es-ES_tradnl" w:eastAsia="es-ES"/>
    </w:rPr>
  </w:style>
  <w:style w:type="paragraph" w:styleId="Ttulo6">
    <w:name w:val="heading 6"/>
    <w:basedOn w:val="Normal"/>
    <w:next w:val="Normal"/>
    <w:link w:val="Ttulo6Car"/>
    <w:autoRedefine/>
    <w:uiPriority w:val="9"/>
    <w:unhideWhenUsed/>
    <w:qFormat/>
    <w:rsid w:val="009E21BA"/>
    <w:pPr>
      <w:keepNext/>
      <w:keepLines/>
      <w:numPr>
        <w:ilvl w:val="5"/>
        <w:numId w:val="1"/>
      </w:numPr>
      <w:spacing w:before="40"/>
      <w:outlineLvl w:val="5"/>
    </w:pPr>
    <w:rPr>
      <w:rFonts w:ascii="Arial" w:eastAsiaTheme="majorEastAsia" w:hAnsi="Arial" w:cstheme="majorBidi"/>
      <w:sz w:val="20"/>
      <w:szCs w:val="24"/>
      <w:lang w:eastAsia="es-CO"/>
    </w:rPr>
  </w:style>
  <w:style w:type="paragraph" w:styleId="Ttulo7">
    <w:name w:val="heading 7"/>
    <w:basedOn w:val="Normal"/>
    <w:next w:val="Normal"/>
    <w:link w:val="Ttulo7Car"/>
    <w:uiPriority w:val="99"/>
    <w:semiHidden/>
    <w:unhideWhenUsed/>
    <w:qFormat/>
    <w:rsid w:val="00855919"/>
    <w:pPr>
      <w:keepNext/>
      <w:jc w:val="center"/>
      <w:outlineLvl w:val="6"/>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9E21BA"/>
    <w:rPr>
      <w:rFonts w:ascii="Arial" w:eastAsiaTheme="majorEastAsia" w:hAnsi="Arial" w:cstheme="majorBidi"/>
      <w:sz w:val="20"/>
      <w:szCs w:val="24"/>
      <w:lang w:eastAsia="es-CO"/>
    </w:rPr>
  </w:style>
  <w:style w:type="paragraph" w:styleId="Prrafodelista">
    <w:name w:val="List Paragraph"/>
    <w:basedOn w:val="Normal"/>
    <w:uiPriority w:val="34"/>
    <w:qFormat/>
    <w:rsid w:val="00215380"/>
    <w:pPr>
      <w:ind w:left="720"/>
      <w:contextualSpacing/>
    </w:pPr>
  </w:style>
  <w:style w:type="character" w:styleId="Hipervnculo">
    <w:name w:val="Hyperlink"/>
    <w:basedOn w:val="Fuentedeprrafopredeter"/>
    <w:uiPriority w:val="99"/>
    <w:rsid w:val="00596ADB"/>
    <w:rPr>
      <w:color w:val="0000FF"/>
      <w:u w:val="single"/>
    </w:rPr>
  </w:style>
  <w:style w:type="paragraph" w:styleId="NormalWeb">
    <w:name w:val="Normal (Web)"/>
    <w:basedOn w:val="Normal"/>
    <w:uiPriority w:val="99"/>
    <w:rsid w:val="00596ADB"/>
    <w:pPr>
      <w:spacing w:before="100" w:beforeAutospacing="1" w:after="100" w:afterAutospacing="1"/>
    </w:pPr>
    <w:rPr>
      <w:szCs w:val="24"/>
      <w:lang w:val="es-ES"/>
    </w:rPr>
  </w:style>
  <w:style w:type="character" w:customStyle="1" w:styleId="Ttulo7Car">
    <w:name w:val="Título 7 Car"/>
    <w:basedOn w:val="Fuentedeprrafopredeter"/>
    <w:link w:val="Ttulo7"/>
    <w:uiPriority w:val="99"/>
    <w:semiHidden/>
    <w:rsid w:val="00855919"/>
    <w:rPr>
      <w:rFonts w:ascii="Arial" w:eastAsia="Times New Roman" w:hAnsi="Arial" w:cs="Times New Roman"/>
      <w:sz w:val="28"/>
      <w:szCs w:val="20"/>
      <w:lang w:val="es-ES_tradnl" w:eastAsia="es-ES"/>
    </w:rPr>
  </w:style>
  <w:style w:type="table" w:styleId="Tablaconcuadrcula">
    <w:name w:val="Table Grid"/>
    <w:basedOn w:val="Tablanormal"/>
    <w:uiPriority w:val="39"/>
    <w:rsid w:val="00D31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770F2"/>
  </w:style>
  <w:style w:type="paragraph" w:styleId="Sinespaciado">
    <w:name w:val="No Spacing"/>
    <w:link w:val="SinespaciadoCar"/>
    <w:uiPriority w:val="1"/>
    <w:qFormat/>
    <w:rsid w:val="00230A65"/>
    <w:pPr>
      <w:suppressAutoHyphens/>
      <w:autoSpaceDN w:val="0"/>
      <w:spacing w:after="0" w:line="240" w:lineRule="auto"/>
    </w:pPr>
    <w:rPr>
      <w:rFonts w:ascii="Times New Roman" w:eastAsia="Calibri" w:hAnsi="Times New Roman" w:cs="Times New Roman"/>
      <w:sz w:val="24"/>
      <w:szCs w:val="24"/>
      <w:lang w:eastAsia="es-ES"/>
    </w:rPr>
  </w:style>
  <w:style w:type="paragraph" w:customStyle="1" w:styleId="Prrafo">
    <w:name w:val="Párrafo"/>
    <w:basedOn w:val="Normal"/>
    <w:link w:val="PrrafoCar"/>
    <w:qFormat/>
    <w:rsid w:val="006E1F77"/>
    <w:pPr>
      <w:suppressAutoHyphens/>
      <w:autoSpaceDN w:val="0"/>
      <w:spacing w:line="276" w:lineRule="auto"/>
      <w:jc w:val="both"/>
      <w:textAlignment w:val="baseline"/>
    </w:pPr>
    <w:rPr>
      <w:rFonts w:eastAsia="Calibri"/>
      <w:szCs w:val="24"/>
      <w:lang w:val="es-CO"/>
    </w:rPr>
  </w:style>
  <w:style w:type="character" w:customStyle="1" w:styleId="PrrafoCar">
    <w:name w:val="Párrafo Car"/>
    <w:link w:val="Prrafo"/>
    <w:rsid w:val="006E1F77"/>
    <w:rPr>
      <w:rFonts w:ascii="Times New Roman" w:eastAsia="Calibri" w:hAnsi="Times New Roman" w:cs="Times New Roman"/>
      <w:sz w:val="24"/>
      <w:szCs w:val="24"/>
      <w:lang w:eastAsia="es-ES"/>
    </w:rPr>
  </w:style>
  <w:style w:type="paragraph" w:styleId="Encabezado">
    <w:name w:val="header"/>
    <w:basedOn w:val="Normal"/>
    <w:link w:val="EncabezadoCar"/>
    <w:uiPriority w:val="99"/>
    <w:unhideWhenUsed/>
    <w:rsid w:val="00204C8C"/>
    <w:pPr>
      <w:tabs>
        <w:tab w:val="center" w:pos="4419"/>
        <w:tab w:val="right" w:pos="8838"/>
      </w:tabs>
    </w:pPr>
  </w:style>
  <w:style w:type="character" w:customStyle="1" w:styleId="EncabezadoCar">
    <w:name w:val="Encabezado Car"/>
    <w:basedOn w:val="Fuentedeprrafopredeter"/>
    <w:link w:val="Encabezado"/>
    <w:uiPriority w:val="99"/>
    <w:rsid w:val="00204C8C"/>
    <w:rPr>
      <w:rFonts w:ascii="Times New Roman" w:eastAsia="Times New Roman" w:hAnsi="Times New Roman" w:cs="Times New Roman"/>
      <w:sz w:val="24"/>
      <w:szCs w:val="20"/>
      <w:lang w:val="es-ES_tradnl" w:eastAsia="es-ES"/>
    </w:rPr>
  </w:style>
  <w:style w:type="paragraph" w:styleId="Piedepgina">
    <w:name w:val="footer"/>
    <w:basedOn w:val="Normal"/>
    <w:link w:val="PiedepginaCar"/>
    <w:uiPriority w:val="99"/>
    <w:unhideWhenUsed/>
    <w:rsid w:val="00204C8C"/>
    <w:pPr>
      <w:tabs>
        <w:tab w:val="center" w:pos="4419"/>
        <w:tab w:val="right" w:pos="8838"/>
      </w:tabs>
    </w:pPr>
  </w:style>
  <w:style w:type="character" w:customStyle="1" w:styleId="PiedepginaCar">
    <w:name w:val="Pie de página Car"/>
    <w:basedOn w:val="Fuentedeprrafopredeter"/>
    <w:link w:val="Piedepgina"/>
    <w:uiPriority w:val="99"/>
    <w:rsid w:val="00204C8C"/>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iPriority w:val="99"/>
    <w:semiHidden/>
    <w:unhideWhenUsed/>
    <w:rsid w:val="0012299C"/>
    <w:rPr>
      <w:sz w:val="16"/>
      <w:szCs w:val="16"/>
    </w:rPr>
  </w:style>
  <w:style w:type="paragraph" w:styleId="Textocomentario">
    <w:name w:val="annotation text"/>
    <w:basedOn w:val="Normal"/>
    <w:link w:val="TextocomentarioCar"/>
    <w:uiPriority w:val="99"/>
    <w:semiHidden/>
    <w:unhideWhenUsed/>
    <w:rsid w:val="0012299C"/>
    <w:rPr>
      <w:sz w:val="20"/>
    </w:rPr>
  </w:style>
  <w:style w:type="character" w:customStyle="1" w:styleId="TextocomentarioCar">
    <w:name w:val="Texto comentario Car"/>
    <w:basedOn w:val="Fuentedeprrafopredeter"/>
    <w:link w:val="Textocomentario"/>
    <w:uiPriority w:val="99"/>
    <w:semiHidden/>
    <w:rsid w:val="0012299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2299C"/>
    <w:rPr>
      <w:b/>
      <w:bCs/>
    </w:rPr>
  </w:style>
  <w:style w:type="character" w:customStyle="1" w:styleId="AsuntodelcomentarioCar">
    <w:name w:val="Asunto del comentario Car"/>
    <w:basedOn w:val="TextocomentarioCar"/>
    <w:link w:val="Asuntodelcomentario"/>
    <w:uiPriority w:val="99"/>
    <w:semiHidden/>
    <w:rsid w:val="0012299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1229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299C"/>
    <w:rPr>
      <w:rFonts w:ascii="Segoe UI" w:eastAsia="Times New Roman" w:hAnsi="Segoe UI" w:cs="Segoe UI"/>
      <w:sz w:val="18"/>
      <w:szCs w:val="18"/>
      <w:lang w:val="es-ES_tradnl" w:eastAsia="es-ES"/>
    </w:rPr>
  </w:style>
  <w:style w:type="character" w:customStyle="1" w:styleId="baj">
    <w:name w:val="b_aj"/>
    <w:basedOn w:val="Fuentedeprrafopredeter"/>
    <w:rsid w:val="00957A72"/>
  </w:style>
  <w:style w:type="paragraph" w:customStyle="1" w:styleId="Default">
    <w:name w:val="Default"/>
    <w:link w:val="DefaultCar"/>
    <w:rsid w:val="00654A11"/>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link w:val="Default"/>
    <w:rsid w:val="00654A11"/>
    <w:rPr>
      <w:rFonts w:ascii="Arial" w:eastAsia="Times New Roman" w:hAnsi="Arial" w:cs="Arial"/>
      <w:color w:val="000000"/>
      <w:sz w:val="24"/>
      <w:szCs w:val="24"/>
      <w:lang w:val="es-ES" w:eastAsia="es-ES"/>
    </w:rPr>
  </w:style>
  <w:style w:type="character" w:customStyle="1" w:styleId="Mencinsinresolver1">
    <w:name w:val="Mención sin resolver1"/>
    <w:basedOn w:val="Fuentedeprrafopredeter"/>
    <w:uiPriority w:val="99"/>
    <w:semiHidden/>
    <w:unhideWhenUsed/>
    <w:rsid w:val="00B6797B"/>
    <w:rPr>
      <w:color w:val="605E5C"/>
      <w:shd w:val="clear" w:color="auto" w:fill="E1DFDD"/>
    </w:rPr>
  </w:style>
  <w:style w:type="character" w:customStyle="1" w:styleId="SinespaciadoCar">
    <w:name w:val="Sin espaciado Car"/>
    <w:link w:val="Sinespaciado"/>
    <w:uiPriority w:val="1"/>
    <w:locked/>
    <w:rsid w:val="00AD1060"/>
    <w:rPr>
      <w:rFonts w:ascii="Times New Roman" w:eastAsia="Calibri" w:hAnsi="Times New Roman" w:cs="Times New Roman"/>
      <w:sz w:val="24"/>
      <w:szCs w:val="24"/>
      <w:lang w:eastAsia="es-ES"/>
    </w:rPr>
  </w:style>
  <w:style w:type="character" w:styleId="Mencinsinresolver">
    <w:name w:val="Unresolved Mention"/>
    <w:basedOn w:val="Fuentedeprrafopredeter"/>
    <w:uiPriority w:val="99"/>
    <w:semiHidden/>
    <w:unhideWhenUsed/>
    <w:rsid w:val="0071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26753">
      <w:bodyDiv w:val="1"/>
      <w:marLeft w:val="0"/>
      <w:marRight w:val="0"/>
      <w:marTop w:val="0"/>
      <w:marBottom w:val="0"/>
      <w:divBdr>
        <w:top w:val="none" w:sz="0" w:space="0" w:color="auto"/>
        <w:left w:val="none" w:sz="0" w:space="0" w:color="auto"/>
        <w:bottom w:val="none" w:sz="0" w:space="0" w:color="auto"/>
        <w:right w:val="none" w:sz="0" w:space="0" w:color="auto"/>
      </w:divBdr>
    </w:div>
    <w:div w:id="302001427">
      <w:bodyDiv w:val="1"/>
      <w:marLeft w:val="0"/>
      <w:marRight w:val="0"/>
      <w:marTop w:val="0"/>
      <w:marBottom w:val="0"/>
      <w:divBdr>
        <w:top w:val="none" w:sz="0" w:space="0" w:color="auto"/>
        <w:left w:val="none" w:sz="0" w:space="0" w:color="auto"/>
        <w:bottom w:val="none" w:sz="0" w:space="0" w:color="auto"/>
        <w:right w:val="none" w:sz="0" w:space="0" w:color="auto"/>
      </w:divBdr>
    </w:div>
    <w:div w:id="1087314247">
      <w:bodyDiv w:val="1"/>
      <w:marLeft w:val="0"/>
      <w:marRight w:val="0"/>
      <w:marTop w:val="0"/>
      <w:marBottom w:val="0"/>
      <w:divBdr>
        <w:top w:val="none" w:sz="0" w:space="0" w:color="auto"/>
        <w:left w:val="none" w:sz="0" w:space="0" w:color="auto"/>
        <w:bottom w:val="none" w:sz="0" w:space="0" w:color="auto"/>
        <w:right w:val="none" w:sz="0" w:space="0" w:color="auto"/>
      </w:divBdr>
      <w:divsChild>
        <w:div w:id="624309752">
          <w:marLeft w:val="0"/>
          <w:marRight w:val="0"/>
          <w:marTop w:val="0"/>
          <w:marBottom w:val="0"/>
          <w:divBdr>
            <w:top w:val="none" w:sz="0" w:space="0" w:color="auto"/>
            <w:left w:val="none" w:sz="0" w:space="0" w:color="auto"/>
            <w:bottom w:val="none" w:sz="0" w:space="0" w:color="auto"/>
            <w:right w:val="none" w:sz="0" w:space="0" w:color="auto"/>
          </w:divBdr>
        </w:div>
        <w:div w:id="2117866938">
          <w:marLeft w:val="0"/>
          <w:marRight w:val="0"/>
          <w:marTop w:val="0"/>
          <w:marBottom w:val="0"/>
          <w:divBdr>
            <w:top w:val="none" w:sz="0" w:space="0" w:color="auto"/>
            <w:left w:val="none" w:sz="0" w:space="0" w:color="auto"/>
            <w:bottom w:val="none" w:sz="0" w:space="0" w:color="auto"/>
            <w:right w:val="none" w:sz="0" w:space="0" w:color="auto"/>
          </w:divBdr>
        </w:div>
        <w:div w:id="244187145">
          <w:marLeft w:val="0"/>
          <w:marRight w:val="0"/>
          <w:marTop w:val="0"/>
          <w:marBottom w:val="0"/>
          <w:divBdr>
            <w:top w:val="none" w:sz="0" w:space="0" w:color="auto"/>
            <w:left w:val="none" w:sz="0" w:space="0" w:color="auto"/>
            <w:bottom w:val="none" w:sz="0" w:space="0" w:color="auto"/>
            <w:right w:val="none" w:sz="0" w:space="0" w:color="auto"/>
          </w:divBdr>
        </w:div>
        <w:div w:id="1780492392">
          <w:marLeft w:val="0"/>
          <w:marRight w:val="0"/>
          <w:marTop w:val="0"/>
          <w:marBottom w:val="0"/>
          <w:divBdr>
            <w:top w:val="none" w:sz="0" w:space="0" w:color="auto"/>
            <w:left w:val="none" w:sz="0" w:space="0" w:color="auto"/>
            <w:bottom w:val="none" w:sz="0" w:space="0" w:color="auto"/>
            <w:right w:val="none" w:sz="0" w:space="0" w:color="auto"/>
          </w:divBdr>
        </w:div>
        <w:div w:id="530918785">
          <w:marLeft w:val="0"/>
          <w:marRight w:val="0"/>
          <w:marTop w:val="0"/>
          <w:marBottom w:val="0"/>
          <w:divBdr>
            <w:top w:val="none" w:sz="0" w:space="0" w:color="auto"/>
            <w:left w:val="none" w:sz="0" w:space="0" w:color="auto"/>
            <w:bottom w:val="none" w:sz="0" w:space="0" w:color="auto"/>
            <w:right w:val="none" w:sz="0" w:space="0" w:color="auto"/>
          </w:divBdr>
        </w:div>
        <w:div w:id="974137823">
          <w:marLeft w:val="0"/>
          <w:marRight w:val="0"/>
          <w:marTop w:val="0"/>
          <w:marBottom w:val="0"/>
          <w:divBdr>
            <w:top w:val="none" w:sz="0" w:space="0" w:color="auto"/>
            <w:left w:val="none" w:sz="0" w:space="0" w:color="auto"/>
            <w:bottom w:val="none" w:sz="0" w:space="0" w:color="auto"/>
            <w:right w:val="none" w:sz="0" w:space="0" w:color="auto"/>
          </w:divBdr>
        </w:div>
        <w:div w:id="1996908016">
          <w:marLeft w:val="0"/>
          <w:marRight w:val="0"/>
          <w:marTop w:val="0"/>
          <w:marBottom w:val="0"/>
          <w:divBdr>
            <w:top w:val="none" w:sz="0" w:space="0" w:color="auto"/>
            <w:left w:val="none" w:sz="0" w:space="0" w:color="auto"/>
            <w:bottom w:val="none" w:sz="0" w:space="0" w:color="auto"/>
            <w:right w:val="none" w:sz="0" w:space="0" w:color="auto"/>
          </w:divBdr>
        </w:div>
        <w:div w:id="1120803935">
          <w:marLeft w:val="0"/>
          <w:marRight w:val="0"/>
          <w:marTop w:val="0"/>
          <w:marBottom w:val="0"/>
          <w:divBdr>
            <w:top w:val="none" w:sz="0" w:space="0" w:color="auto"/>
            <w:left w:val="none" w:sz="0" w:space="0" w:color="auto"/>
            <w:bottom w:val="none" w:sz="0" w:space="0" w:color="auto"/>
            <w:right w:val="none" w:sz="0" w:space="0" w:color="auto"/>
          </w:divBdr>
        </w:div>
        <w:div w:id="1806268301">
          <w:marLeft w:val="0"/>
          <w:marRight w:val="0"/>
          <w:marTop w:val="0"/>
          <w:marBottom w:val="0"/>
          <w:divBdr>
            <w:top w:val="none" w:sz="0" w:space="0" w:color="auto"/>
            <w:left w:val="none" w:sz="0" w:space="0" w:color="auto"/>
            <w:bottom w:val="none" w:sz="0" w:space="0" w:color="auto"/>
            <w:right w:val="none" w:sz="0" w:space="0" w:color="auto"/>
          </w:divBdr>
        </w:div>
        <w:div w:id="390159300">
          <w:marLeft w:val="0"/>
          <w:marRight w:val="0"/>
          <w:marTop w:val="0"/>
          <w:marBottom w:val="0"/>
          <w:divBdr>
            <w:top w:val="none" w:sz="0" w:space="0" w:color="auto"/>
            <w:left w:val="none" w:sz="0" w:space="0" w:color="auto"/>
            <w:bottom w:val="none" w:sz="0" w:space="0" w:color="auto"/>
            <w:right w:val="none" w:sz="0" w:space="0" w:color="auto"/>
          </w:divBdr>
        </w:div>
        <w:div w:id="531917814">
          <w:marLeft w:val="0"/>
          <w:marRight w:val="0"/>
          <w:marTop w:val="0"/>
          <w:marBottom w:val="0"/>
          <w:divBdr>
            <w:top w:val="none" w:sz="0" w:space="0" w:color="auto"/>
            <w:left w:val="none" w:sz="0" w:space="0" w:color="auto"/>
            <w:bottom w:val="none" w:sz="0" w:space="0" w:color="auto"/>
            <w:right w:val="none" w:sz="0" w:space="0" w:color="auto"/>
          </w:divBdr>
        </w:div>
        <w:div w:id="1479155352">
          <w:marLeft w:val="0"/>
          <w:marRight w:val="0"/>
          <w:marTop w:val="0"/>
          <w:marBottom w:val="0"/>
          <w:divBdr>
            <w:top w:val="none" w:sz="0" w:space="0" w:color="auto"/>
            <w:left w:val="none" w:sz="0" w:space="0" w:color="auto"/>
            <w:bottom w:val="none" w:sz="0" w:space="0" w:color="auto"/>
            <w:right w:val="none" w:sz="0" w:space="0" w:color="auto"/>
          </w:divBdr>
        </w:div>
        <w:div w:id="845949347">
          <w:marLeft w:val="0"/>
          <w:marRight w:val="0"/>
          <w:marTop w:val="0"/>
          <w:marBottom w:val="0"/>
          <w:divBdr>
            <w:top w:val="none" w:sz="0" w:space="0" w:color="auto"/>
            <w:left w:val="none" w:sz="0" w:space="0" w:color="auto"/>
            <w:bottom w:val="none" w:sz="0" w:space="0" w:color="auto"/>
            <w:right w:val="none" w:sz="0" w:space="0" w:color="auto"/>
          </w:divBdr>
        </w:div>
        <w:div w:id="1723289494">
          <w:marLeft w:val="0"/>
          <w:marRight w:val="0"/>
          <w:marTop w:val="0"/>
          <w:marBottom w:val="0"/>
          <w:divBdr>
            <w:top w:val="none" w:sz="0" w:space="0" w:color="auto"/>
            <w:left w:val="none" w:sz="0" w:space="0" w:color="auto"/>
            <w:bottom w:val="none" w:sz="0" w:space="0" w:color="auto"/>
            <w:right w:val="none" w:sz="0" w:space="0" w:color="auto"/>
          </w:divBdr>
        </w:div>
      </w:divsChild>
    </w:div>
    <w:div w:id="1143234215">
      <w:bodyDiv w:val="1"/>
      <w:marLeft w:val="0"/>
      <w:marRight w:val="0"/>
      <w:marTop w:val="0"/>
      <w:marBottom w:val="0"/>
      <w:divBdr>
        <w:top w:val="none" w:sz="0" w:space="0" w:color="auto"/>
        <w:left w:val="none" w:sz="0" w:space="0" w:color="auto"/>
        <w:bottom w:val="none" w:sz="0" w:space="0" w:color="auto"/>
        <w:right w:val="none" w:sz="0" w:space="0" w:color="auto"/>
      </w:divBdr>
      <w:divsChild>
        <w:div w:id="552426280">
          <w:marLeft w:val="0"/>
          <w:marRight w:val="0"/>
          <w:marTop w:val="0"/>
          <w:marBottom w:val="0"/>
          <w:divBdr>
            <w:top w:val="none" w:sz="0" w:space="0" w:color="auto"/>
            <w:left w:val="none" w:sz="0" w:space="0" w:color="auto"/>
            <w:bottom w:val="none" w:sz="0" w:space="0" w:color="auto"/>
            <w:right w:val="none" w:sz="0" w:space="0" w:color="auto"/>
          </w:divBdr>
        </w:div>
        <w:div w:id="913123993">
          <w:marLeft w:val="0"/>
          <w:marRight w:val="0"/>
          <w:marTop w:val="0"/>
          <w:marBottom w:val="0"/>
          <w:divBdr>
            <w:top w:val="none" w:sz="0" w:space="0" w:color="auto"/>
            <w:left w:val="none" w:sz="0" w:space="0" w:color="auto"/>
            <w:bottom w:val="none" w:sz="0" w:space="0" w:color="auto"/>
            <w:right w:val="none" w:sz="0" w:space="0" w:color="auto"/>
          </w:divBdr>
        </w:div>
        <w:div w:id="1044906034">
          <w:marLeft w:val="0"/>
          <w:marRight w:val="0"/>
          <w:marTop w:val="0"/>
          <w:marBottom w:val="0"/>
          <w:divBdr>
            <w:top w:val="none" w:sz="0" w:space="0" w:color="auto"/>
            <w:left w:val="none" w:sz="0" w:space="0" w:color="auto"/>
            <w:bottom w:val="none" w:sz="0" w:space="0" w:color="auto"/>
            <w:right w:val="none" w:sz="0" w:space="0" w:color="auto"/>
          </w:divBdr>
        </w:div>
        <w:div w:id="2097943260">
          <w:marLeft w:val="0"/>
          <w:marRight w:val="0"/>
          <w:marTop w:val="0"/>
          <w:marBottom w:val="0"/>
          <w:divBdr>
            <w:top w:val="none" w:sz="0" w:space="0" w:color="auto"/>
            <w:left w:val="none" w:sz="0" w:space="0" w:color="auto"/>
            <w:bottom w:val="none" w:sz="0" w:space="0" w:color="auto"/>
            <w:right w:val="none" w:sz="0" w:space="0" w:color="auto"/>
          </w:divBdr>
        </w:div>
        <w:div w:id="180709200">
          <w:marLeft w:val="0"/>
          <w:marRight w:val="0"/>
          <w:marTop w:val="0"/>
          <w:marBottom w:val="0"/>
          <w:divBdr>
            <w:top w:val="none" w:sz="0" w:space="0" w:color="auto"/>
            <w:left w:val="none" w:sz="0" w:space="0" w:color="auto"/>
            <w:bottom w:val="none" w:sz="0" w:space="0" w:color="auto"/>
            <w:right w:val="none" w:sz="0" w:space="0" w:color="auto"/>
          </w:divBdr>
        </w:div>
        <w:div w:id="438376955">
          <w:marLeft w:val="0"/>
          <w:marRight w:val="0"/>
          <w:marTop w:val="0"/>
          <w:marBottom w:val="0"/>
          <w:divBdr>
            <w:top w:val="none" w:sz="0" w:space="0" w:color="auto"/>
            <w:left w:val="none" w:sz="0" w:space="0" w:color="auto"/>
            <w:bottom w:val="none" w:sz="0" w:space="0" w:color="auto"/>
            <w:right w:val="none" w:sz="0" w:space="0" w:color="auto"/>
          </w:divBdr>
        </w:div>
        <w:div w:id="1351297954">
          <w:marLeft w:val="0"/>
          <w:marRight w:val="0"/>
          <w:marTop w:val="0"/>
          <w:marBottom w:val="0"/>
          <w:divBdr>
            <w:top w:val="none" w:sz="0" w:space="0" w:color="auto"/>
            <w:left w:val="none" w:sz="0" w:space="0" w:color="auto"/>
            <w:bottom w:val="none" w:sz="0" w:space="0" w:color="auto"/>
            <w:right w:val="none" w:sz="0" w:space="0" w:color="auto"/>
          </w:divBdr>
        </w:div>
        <w:div w:id="1976831307">
          <w:marLeft w:val="0"/>
          <w:marRight w:val="0"/>
          <w:marTop w:val="0"/>
          <w:marBottom w:val="0"/>
          <w:divBdr>
            <w:top w:val="none" w:sz="0" w:space="0" w:color="auto"/>
            <w:left w:val="none" w:sz="0" w:space="0" w:color="auto"/>
            <w:bottom w:val="none" w:sz="0" w:space="0" w:color="auto"/>
            <w:right w:val="none" w:sz="0" w:space="0" w:color="auto"/>
          </w:divBdr>
        </w:div>
        <w:div w:id="13381016">
          <w:marLeft w:val="0"/>
          <w:marRight w:val="0"/>
          <w:marTop w:val="0"/>
          <w:marBottom w:val="0"/>
          <w:divBdr>
            <w:top w:val="none" w:sz="0" w:space="0" w:color="auto"/>
            <w:left w:val="none" w:sz="0" w:space="0" w:color="auto"/>
            <w:bottom w:val="none" w:sz="0" w:space="0" w:color="auto"/>
            <w:right w:val="none" w:sz="0" w:space="0" w:color="auto"/>
          </w:divBdr>
        </w:div>
        <w:div w:id="799762442">
          <w:marLeft w:val="0"/>
          <w:marRight w:val="0"/>
          <w:marTop w:val="0"/>
          <w:marBottom w:val="0"/>
          <w:divBdr>
            <w:top w:val="none" w:sz="0" w:space="0" w:color="auto"/>
            <w:left w:val="none" w:sz="0" w:space="0" w:color="auto"/>
            <w:bottom w:val="none" w:sz="0" w:space="0" w:color="auto"/>
            <w:right w:val="none" w:sz="0" w:space="0" w:color="auto"/>
          </w:divBdr>
        </w:div>
        <w:div w:id="1623461343">
          <w:marLeft w:val="0"/>
          <w:marRight w:val="0"/>
          <w:marTop w:val="0"/>
          <w:marBottom w:val="0"/>
          <w:divBdr>
            <w:top w:val="none" w:sz="0" w:space="0" w:color="auto"/>
            <w:left w:val="none" w:sz="0" w:space="0" w:color="auto"/>
            <w:bottom w:val="none" w:sz="0" w:space="0" w:color="auto"/>
            <w:right w:val="none" w:sz="0" w:space="0" w:color="auto"/>
          </w:divBdr>
        </w:div>
        <w:div w:id="940180975">
          <w:marLeft w:val="0"/>
          <w:marRight w:val="0"/>
          <w:marTop w:val="0"/>
          <w:marBottom w:val="0"/>
          <w:divBdr>
            <w:top w:val="none" w:sz="0" w:space="0" w:color="auto"/>
            <w:left w:val="none" w:sz="0" w:space="0" w:color="auto"/>
            <w:bottom w:val="none" w:sz="0" w:space="0" w:color="auto"/>
            <w:right w:val="none" w:sz="0" w:space="0" w:color="auto"/>
          </w:divBdr>
        </w:div>
        <w:div w:id="433332130">
          <w:marLeft w:val="0"/>
          <w:marRight w:val="0"/>
          <w:marTop w:val="0"/>
          <w:marBottom w:val="0"/>
          <w:divBdr>
            <w:top w:val="none" w:sz="0" w:space="0" w:color="auto"/>
            <w:left w:val="none" w:sz="0" w:space="0" w:color="auto"/>
            <w:bottom w:val="none" w:sz="0" w:space="0" w:color="auto"/>
            <w:right w:val="none" w:sz="0" w:space="0" w:color="auto"/>
          </w:divBdr>
        </w:div>
        <w:div w:id="669138520">
          <w:marLeft w:val="0"/>
          <w:marRight w:val="0"/>
          <w:marTop w:val="0"/>
          <w:marBottom w:val="0"/>
          <w:divBdr>
            <w:top w:val="none" w:sz="0" w:space="0" w:color="auto"/>
            <w:left w:val="none" w:sz="0" w:space="0" w:color="auto"/>
            <w:bottom w:val="none" w:sz="0" w:space="0" w:color="auto"/>
            <w:right w:val="none" w:sz="0" w:space="0" w:color="auto"/>
          </w:divBdr>
        </w:div>
        <w:div w:id="2010326898">
          <w:marLeft w:val="0"/>
          <w:marRight w:val="0"/>
          <w:marTop w:val="0"/>
          <w:marBottom w:val="0"/>
          <w:divBdr>
            <w:top w:val="none" w:sz="0" w:space="0" w:color="auto"/>
            <w:left w:val="none" w:sz="0" w:space="0" w:color="auto"/>
            <w:bottom w:val="none" w:sz="0" w:space="0" w:color="auto"/>
            <w:right w:val="none" w:sz="0" w:space="0" w:color="auto"/>
          </w:divBdr>
        </w:div>
      </w:divsChild>
    </w:div>
    <w:div w:id="1323965882">
      <w:bodyDiv w:val="1"/>
      <w:marLeft w:val="0"/>
      <w:marRight w:val="0"/>
      <w:marTop w:val="0"/>
      <w:marBottom w:val="0"/>
      <w:divBdr>
        <w:top w:val="none" w:sz="0" w:space="0" w:color="auto"/>
        <w:left w:val="none" w:sz="0" w:space="0" w:color="auto"/>
        <w:bottom w:val="none" w:sz="0" w:space="0" w:color="auto"/>
        <w:right w:val="none" w:sz="0" w:space="0" w:color="auto"/>
      </w:divBdr>
    </w:div>
    <w:div w:id="1526678080">
      <w:bodyDiv w:val="1"/>
      <w:marLeft w:val="0"/>
      <w:marRight w:val="0"/>
      <w:marTop w:val="0"/>
      <w:marBottom w:val="0"/>
      <w:divBdr>
        <w:top w:val="none" w:sz="0" w:space="0" w:color="auto"/>
        <w:left w:val="none" w:sz="0" w:space="0" w:color="auto"/>
        <w:bottom w:val="none" w:sz="0" w:space="0" w:color="auto"/>
        <w:right w:val="none" w:sz="0" w:space="0" w:color="auto"/>
      </w:divBdr>
    </w:div>
    <w:div w:id="1572738381">
      <w:bodyDiv w:val="1"/>
      <w:marLeft w:val="0"/>
      <w:marRight w:val="0"/>
      <w:marTop w:val="0"/>
      <w:marBottom w:val="0"/>
      <w:divBdr>
        <w:top w:val="none" w:sz="0" w:space="0" w:color="auto"/>
        <w:left w:val="none" w:sz="0" w:space="0" w:color="auto"/>
        <w:bottom w:val="none" w:sz="0" w:space="0" w:color="auto"/>
        <w:right w:val="none" w:sz="0" w:space="0" w:color="auto"/>
      </w:divBdr>
    </w:div>
    <w:div w:id="1698312072">
      <w:bodyDiv w:val="1"/>
      <w:marLeft w:val="0"/>
      <w:marRight w:val="0"/>
      <w:marTop w:val="0"/>
      <w:marBottom w:val="0"/>
      <w:divBdr>
        <w:top w:val="none" w:sz="0" w:space="0" w:color="auto"/>
        <w:left w:val="none" w:sz="0" w:space="0" w:color="auto"/>
        <w:bottom w:val="none" w:sz="0" w:space="0" w:color="auto"/>
        <w:right w:val="none" w:sz="0" w:space="0" w:color="auto"/>
      </w:divBdr>
    </w:div>
    <w:div w:id="1790123284">
      <w:bodyDiv w:val="1"/>
      <w:marLeft w:val="0"/>
      <w:marRight w:val="0"/>
      <w:marTop w:val="0"/>
      <w:marBottom w:val="0"/>
      <w:divBdr>
        <w:top w:val="none" w:sz="0" w:space="0" w:color="auto"/>
        <w:left w:val="none" w:sz="0" w:space="0" w:color="auto"/>
        <w:bottom w:val="none" w:sz="0" w:space="0" w:color="auto"/>
        <w:right w:val="none" w:sz="0" w:space="0" w:color="auto"/>
      </w:divBdr>
      <w:divsChild>
        <w:div w:id="994455149">
          <w:marLeft w:val="0"/>
          <w:marRight w:val="0"/>
          <w:marTop w:val="0"/>
          <w:marBottom w:val="0"/>
          <w:divBdr>
            <w:top w:val="none" w:sz="0" w:space="0" w:color="auto"/>
            <w:left w:val="none" w:sz="0" w:space="0" w:color="auto"/>
            <w:bottom w:val="none" w:sz="0" w:space="0" w:color="auto"/>
            <w:right w:val="none" w:sz="0" w:space="0" w:color="auto"/>
          </w:divBdr>
        </w:div>
        <w:div w:id="522015859">
          <w:marLeft w:val="0"/>
          <w:marRight w:val="0"/>
          <w:marTop w:val="0"/>
          <w:marBottom w:val="0"/>
          <w:divBdr>
            <w:top w:val="none" w:sz="0" w:space="0" w:color="auto"/>
            <w:left w:val="none" w:sz="0" w:space="0" w:color="auto"/>
            <w:bottom w:val="none" w:sz="0" w:space="0" w:color="auto"/>
            <w:right w:val="none" w:sz="0" w:space="0" w:color="auto"/>
          </w:divBdr>
        </w:div>
        <w:div w:id="1742099199">
          <w:marLeft w:val="0"/>
          <w:marRight w:val="0"/>
          <w:marTop w:val="0"/>
          <w:marBottom w:val="0"/>
          <w:divBdr>
            <w:top w:val="none" w:sz="0" w:space="0" w:color="auto"/>
            <w:left w:val="none" w:sz="0" w:space="0" w:color="auto"/>
            <w:bottom w:val="none" w:sz="0" w:space="0" w:color="auto"/>
            <w:right w:val="none" w:sz="0" w:space="0" w:color="auto"/>
          </w:divBdr>
        </w:div>
        <w:div w:id="310016640">
          <w:marLeft w:val="0"/>
          <w:marRight w:val="0"/>
          <w:marTop w:val="0"/>
          <w:marBottom w:val="0"/>
          <w:divBdr>
            <w:top w:val="none" w:sz="0" w:space="0" w:color="auto"/>
            <w:left w:val="none" w:sz="0" w:space="0" w:color="auto"/>
            <w:bottom w:val="none" w:sz="0" w:space="0" w:color="auto"/>
            <w:right w:val="none" w:sz="0" w:space="0" w:color="auto"/>
          </w:divBdr>
        </w:div>
        <w:div w:id="490605071">
          <w:marLeft w:val="0"/>
          <w:marRight w:val="0"/>
          <w:marTop w:val="0"/>
          <w:marBottom w:val="0"/>
          <w:divBdr>
            <w:top w:val="none" w:sz="0" w:space="0" w:color="auto"/>
            <w:left w:val="none" w:sz="0" w:space="0" w:color="auto"/>
            <w:bottom w:val="none" w:sz="0" w:space="0" w:color="auto"/>
            <w:right w:val="none" w:sz="0" w:space="0" w:color="auto"/>
          </w:divBdr>
        </w:div>
        <w:div w:id="2021352085">
          <w:marLeft w:val="0"/>
          <w:marRight w:val="0"/>
          <w:marTop w:val="0"/>
          <w:marBottom w:val="0"/>
          <w:divBdr>
            <w:top w:val="none" w:sz="0" w:space="0" w:color="auto"/>
            <w:left w:val="none" w:sz="0" w:space="0" w:color="auto"/>
            <w:bottom w:val="none" w:sz="0" w:space="0" w:color="auto"/>
            <w:right w:val="none" w:sz="0" w:space="0" w:color="auto"/>
          </w:divBdr>
        </w:div>
        <w:div w:id="391775503">
          <w:marLeft w:val="0"/>
          <w:marRight w:val="0"/>
          <w:marTop w:val="0"/>
          <w:marBottom w:val="0"/>
          <w:divBdr>
            <w:top w:val="none" w:sz="0" w:space="0" w:color="auto"/>
            <w:left w:val="none" w:sz="0" w:space="0" w:color="auto"/>
            <w:bottom w:val="none" w:sz="0" w:space="0" w:color="auto"/>
            <w:right w:val="none" w:sz="0" w:space="0" w:color="auto"/>
          </w:divBdr>
        </w:div>
        <w:div w:id="168641530">
          <w:marLeft w:val="0"/>
          <w:marRight w:val="0"/>
          <w:marTop w:val="0"/>
          <w:marBottom w:val="0"/>
          <w:divBdr>
            <w:top w:val="none" w:sz="0" w:space="0" w:color="auto"/>
            <w:left w:val="none" w:sz="0" w:space="0" w:color="auto"/>
            <w:bottom w:val="none" w:sz="0" w:space="0" w:color="auto"/>
            <w:right w:val="none" w:sz="0" w:space="0" w:color="auto"/>
          </w:divBdr>
        </w:div>
        <w:div w:id="2017925103">
          <w:marLeft w:val="0"/>
          <w:marRight w:val="0"/>
          <w:marTop w:val="0"/>
          <w:marBottom w:val="0"/>
          <w:divBdr>
            <w:top w:val="none" w:sz="0" w:space="0" w:color="auto"/>
            <w:left w:val="none" w:sz="0" w:space="0" w:color="auto"/>
            <w:bottom w:val="none" w:sz="0" w:space="0" w:color="auto"/>
            <w:right w:val="none" w:sz="0" w:space="0" w:color="auto"/>
          </w:divBdr>
        </w:div>
        <w:div w:id="1259102589">
          <w:marLeft w:val="0"/>
          <w:marRight w:val="0"/>
          <w:marTop w:val="0"/>
          <w:marBottom w:val="0"/>
          <w:divBdr>
            <w:top w:val="none" w:sz="0" w:space="0" w:color="auto"/>
            <w:left w:val="none" w:sz="0" w:space="0" w:color="auto"/>
            <w:bottom w:val="none" w:sz="0" w:space="0" w:color="auto"/>
            <w:right w:val="none" w:sz="0" w:space="0" w:color="auto"/>
          </w:divBdr>
        </w:div>
        <w:div w:id="385643678">
          <w:marLeft w:val="0"/>
          <w:marRight w:val="0"/>
          <w:marTop w:val="0"/>
          <w:marBottom w:val="0"/>
          <w:divBdr>
            <w:top w:val="none" w:sz="0" w:space="0" w:color="auto"/>
            <w:left w:val="none" w:sz="0" w:space="0" w:color="auto"/>
            <w:bottom w:val="none" w:sz="0" w:space="0" w:color="auto"/>
            <w:right w:val="none" w:sz="0" w:space="0" w:color="auto"/>
          </w:divBdr>
        </w:div>
        <w:div w:id="1777214045">
          <w:marLeft w:val="0"/>
          <w:marRight w:val="0"/>
          <w:marTop w:val="0"/>
          <w:marBottom w:val="0"/>
          <w:divBdr>
            <w:top w:val="none" w:sz="0" w:space="0" w:color="auto"/>
            <w:left w:val="none" w:sz="0" w:space="0" w:color="auto"/>
            <w:bottom w:val="none" w:sz="0" w:space="0" w:color="auto"/>
            <w:right w:val="none" w:sz="0" w:space="0" w:color="auto"/>
          </w:divBdr>
        </w:div>
        <w:div w:id="1284576553">
          <w:marLeft w:val="0"/>
          <w:marRight w:val="0"/>
          <w:marTop w:val="0"/>
          <w:marBottom w:val="0"/>
          <w:divBdr>
            <w:top w:val="none" w:sz="0" w:space="0" w:color="auto"/>
            <w:left w:val="none" w:sz="0" w:space="0" w:color="auto"/>
            <w:bottom w:val="none" w:sz="0" w:space="0" w:color="auto"/>
            <w:right w:val="none" w:sz="0" w:space="0" w:color="auto"/>
          </w:divBdr>
        </w:div>
        <w:div w:id="1467233883">
          <w:marLeft w:val="0"/>
          <w:marRight w:val="0"/>
          <w:marTop w:val="0"/>
          <w:marBottom w:val="0"/>
          <w:divBdr>
            <w:top w:val="none" w:sz="0" w:space="0" w:color="auto"/>
            <w:left w:val="none" w:sz="0" w:space="0" w:color="auto"/>
            <w:bottom w:val="none" w:sz="0" w:space="0" w:color="auto"/>
            <w:right w:val="none" w:sz="0" w:space="0" w:color="auto"/>
          </w:divBdr>
        </w:div>
        <w:div w:id="407650118">
          <w:marLeft w:val="0"/>
          <w:marRight w:val="0"/>
          <w:marTop w:val="0"/>
          <w:marBottom w:val="0"/>
          <w:divBdr>
            <w:top w:val="none" w:sz="0" w:space="0" w:color="auto"/>
            <w:left w:val="none" w:sz="0" w:space="0" w:color="auto"/>
            <w:bottom w:val="none" w:sz="0" w:space="0" w:color="auto"/>
            <w:right w:val="none" w:sz="0" w:space="0" w:color="auto"/>
          </w:divBdr>
        </w:div>
      </w:divsChild>
    </w:div>
    <w:div w:id="1805732215">
      <w:bodyDiv w:val="1"/>
      <w:marLeft w:val="0"/>
      <w:marRight w:val="0"/>
      <w:marTop w:val="0"/>
      <w:marBottom w:val="0"/>
      <w:divBdr>
        <w:top w:val="none" w:sz="0" w:space="0" w:color="auto"/>
        <w:left w:val="none" w:sz="0" w:space="0" w:color="auto"/>
        <w:bottom w:val="none" w:sz="0" w:space="0" w:color="auto"/>
        <w:right w:val="none" w:sz="0" w:space="0" w:color="auto"/>
      </w:divBdr>
      <w:divsChild>
        <w:div w:id="228806798">
          <w:marLeft w:val="0"/>
          <w:marRight w:val="0"/>
          <w:marTop w:val="0"/>
          <w:marBottom w:val="0"/>
          <w:divBdr>
            <w:top w:val="none" w:sz="0" w:space="0" w:color="auto"/>
            <w:left w:val="none" w:sz="0" w:space="0" w:color="auto"/>
            <w:bottom w:val="none" w:sz="0" w:space="0" w:color="auto"/>
            <w:right w:val="none" w:sz="0" w:space="0" w:color="auto"/>
          </w:divBdr>
        </w:div>
        <w:div w:id="2090878786">
          <w:marLeft w:val="0"/>
          <w:marRight w:val="0"/>
          <w:marTop w:val="0"/>
          <w:marBottom w:val="0"/>
          <w:divBdr>
            <w:top w:val="none" w:sz="0" w:space="0" w:color="auto"/>
            <w:left w:val="none" w:sz="0" w:space="0" w:color="auto"/>
            <w:bottom w:val="none" w:sz="0" w:space="0" w:color="auto"/>
            <w:right w:val="none" w:sz="0" w:space="0" w:color="auto"/>
          </w:divBdr>
        </w:div>
        <w:div w:id="1260944737">
          <w:marLeft w:val="0"/>
          <w:marRight w:val="0"/>
          <w:marTop w:val="0"/>
          <w:marBottom w:val="0"/>
          <w:divBdr>
            <w:top w:val="none" w:sz="0" w:space="0" w:color="auto"/>
            <w:left w:val="none" w:sz="0" w:space="0" w:color="auto"/>
            <w:bottom w:val="none" w:sz="0" w:space="0" w:color="auto"/>
            <w:right w:val="none" w:sz="0" w:space="0" w:color="auto"/>
          </w:divBdr>
        </w:div>
        <w:div w:id="316039542">
          <w:marLeft w:val="0"/>
          <w:marRight w:val="0"/>
          <w:marTop w:val="0"/>
          <w:marBottom w:val="0"/>
          <w:divBdr>
            <w:top w:val="none" w:sz="0" w:space="0" w:color="auto"/>
            <w:left w:val="none" w:sz="0" w:space="0" w:color="auto"/>
            <w:bottom w:val="none" w:sz="0" w:space="0" w:color="auto"/>
            <w:right w:val="none" w:sz="0" w:space="0" w:color="auto"/>
          </w:divBdr>
        </w:div>
        <w:div w:id="457188319">
          <w:marLeft w:val="0"/>
          <w:marRight w:val="0"/>
          <w:marTop w:val="0"/>
          <w:marBottom w:val="0"/>
          <w:divBdr>
            <w:top w:val="none" w:sz="0" w:space="0" w:color="auto"/>
            <w:left w:val="none" w:sz="0" w:space="0" w:color="auto"/>
            <w:bottom w:val="none" w:sz="0" w:space="0" w:color="auto"/>
            <w:right w:val="none" w:sz="0" w:space="0" w:color="auto"/>
          </w:divBdr>
        </w:div>
        <w:div w:id="1106079584">
          <w:marLeft w:val="0"/>
          <w:marRight w:val="0"/>
          <w:marTop w:val="0"/>
          <w:marBottom w:val="0"/>
          <w:divBdr>
            <w:top w:val="none" w:sz="0" w:space="0" w:color="auto"/>
            <w:left w:val="none" w:sz="0" w:space="0" w:color="auto"/>
            <w:bottom w:val="none" w:sz="0" w:space="0" w:color="auto"/>
            <w:right w:val="none" w:sz="0" w:space="0" w:color="auto"/>
          </w:divBdr>
        </w:div>
        <w:div w:id="1402025947">
          <w:marLeft w:val="0"/>
          <w:marRight w:val="0"/>
          <w:marTop w:val="0"/>
          <w:marBottom w:val="0"/>
          <w:divBdr>
            <w:top w:val="none" w:sz="0" w:space="0" w:color="auto"/>
            <w:left w:val="none" w:sz="0" w:space="0" w:color="auto"/>
            <w:bottom w:val="none" w:sz="0" w:space="0" w:color="auto"/>
            <w:right w:val="none" w:sz="0" w:space="0" w:color="auto"/>
          </w:divBdr>
        </w:div>
        <w:div w:id="1451707714">
          <w:marLeft w:val="0"/>
          <w:marRight w:val="0"/>
          <w:marTop w:val="0"/>
          <w:marBottom w:val="0"/>
          <w:divBdr>
            <w:top w:val="none" w:sz="0" w:space="0" w:color="auto"/>
            <w:left w:val="none" w:sz="0" w:space="0" w:color="auto"/>
            <w:bottom w:val="none" w:sz="0" w:space="0" w:color="auto"/>
            <w:right w:val="none" w:sz="0" w:space="0" w:color="auto"/>
          </w:divBdr>
        </w:div>
        <w:div w:id="1977299084">
          <w:marLeft w:val="0"/>
          <w:marRight w:val="0"/>
          <w:marTop w:val="0"/>
          <w:marBottom w:val="0"/>
          <w:divBdr>
            <w:top w:val="none" w:sz="0" w:space="0" w:color="auto"/>
            <w:left w:val="none" w:sz="0" w:space="0" w:color="auto"/>
            <w:bottom w:val="none" w:sz="0" w:space="0" w:color="auto"/>
            <w:right w:val="none" w:sz="0" w:space="0" w:color="auto"/>
          </w:divBdr>
        </w:div>
        <w:div w:id="182597452">
          <w:marLeft w:val="0"/>
          <w:marRight w:val="0"/>
          <w:marTop w:val="0"/>
          <w:marBottom w:val="0"/>
          <w:divBdr>
            <w:top w:val="none" w:sz="0" w:space="0" w:color="auto"/>
            <w:left w:val="none" w:sz="0" w:space="0" w:color="auto"/>
            <w:bottom w:val="none" w:sz="0" w:space="0" w:color="auto"/>
            <w:right w:val="none" w:sz="0" w:space="0" w:color="auto"/>
          </w:divBdr>
        </w:div>
        <w:div w:id="1818765267">
          <w:marLeft w:val="0"/>
          <w:marRight w:val="0"/>
          <w:marTop w:val="0"/>
          <w:marBottom w:val="0"/>
          <w:divBdr>
            <w:top w:val="none" w:sz="0" w:space="0" w:color="auto"/>
            <w:left w:val="none" w:sz="0" w:space="0" w:color="auto"/>
            <w:bottom w:val="none" w:sz="0" w:space="0" w:color="auto"/>
            <w:right w:val="none" w:sz="0" w:space="0" w:color="auto"/>
          </w:divBdr>
        </w:div>
        <w:div w:id="1374696206">
          <w:marLeft w:val="0"/>
          <w:marRight w:val="0"/>
          <w:marTop w:val="0"/>
          <w:marBottom w:val="0"/>
          <w:divBdr>
            <w:top w:val="none" w:sz="0" w:space="0" w:color="auto"/>
            <w:left w:val="none" w:sz="0" w:space="0" w:color="auto"/>
            <w:bottom w:val="none" w:sz="0" w:space="0" w:color="auto"/>
            <w:right w:val="none" w:sz="0" w:space="0" w:color="auto"/>
          </w:divBdr>
        </w:div>
        <w:div w:id="968362048">
          <w:marLeft w:val="0"/>
          <w:marRight w:val="0"/>
          <w:marTop w:val="0"/>
          <w:marBottom w:val="0"/>
          <w:divBdr>
            <w:top w:val="none" w:sz="0" w:space="0" w:color="auto"/>
            <w:left w:val="none" w:sz="0" w:space="0" w:color="auto"/>
            <w:bottom w:val="none" w:sz="0" w:space="0" w:color="auto"/>
            <w:right w:val="none" w:sz="0" w:space="0" w:color="auto"/>
          </w:divBdr>
        </w:div>
        <w:div w:id="2085760993">
          <w:marLeft w:val="0"/>
          <w:marRight w:val="0"/>
          <w:marTop w:val="0"/>
          <w:marBottom w:val="0"/>
          <w:divBdr>
            <w:top w:val="none" w:sz="0" w:space="0" w:color="auto"/>
            <w:left w:val="none" w:sz="0" w:space="0" w:color="auto"/>
            <w:bottom w:val="none" w:sz="0" w:space="0" w:color="auto"/>
            <w:right w:val="none" w:sz="0" w:space="0" w:color="auto"/>
          </w:divBdr>
        </w:div>
      </w:divsChild>
    </w:div>
    <w:div w:id="1834102978">
      <w:bodyDiv w:val="1"/>
      <w:marLeft w:val="0"/>
      <w:marRight w:val="0"/>
      <w:marTop w:val="0"/>
      <w:marBottom w:val="0"/>
      <w:divBdr>
        <w:top w:val="none" w:sz="0" w:space="0" w:color="auto"/>
        <w:left w:val="none" w:sz="0" w:space="0" w:color="auto"/>
        <w:bottom w:val="none" w:sz="0" w:space="0" w:color="auto"/>
        <w:right w:val="none" w:sz="0" w:space="0" w:color="auto"/>
      </w:divBdr>
    </w:div>
    <w:div w:id="2012944679">
      <w:bodyDiv w:val="1"/>
      <w:marLeft w:val="0"/>
      <w:marRight w:val="0"/>
      <w:marTop w:val="0"/>
      <w:marBottom w:val="0"/>
      <w:divBdr>
        <w:top w:val="none" w:sz="0" w:space="0" w:color="auto"/>
        <w:left w:val="none" w:sz="0" w:space="0" w:color="auto"/>
        <w:bottom w:val="none" w:sz="0" w:space="0" w:color="auto"/>
        <w:right w:val="none" w:sz="0" w:space="0" w:color="auto"/>
      </w:divBdr>
    </w:div>
    <w:div w:id="204316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salud.gov.co/sites/rid/Lists/BibliotecaDigital/RIDE/VS/PP/ET/gips21-lineamientos-uso-pruebas-diagnosticas-sars-cov-2-covid19-2021.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salud.gov.co" TargetMode="Externa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AAC87-11EB-4FC0-B735-24FF8F718435}">
  <ds:schemaRefs>
    <ds:schemaRef ds:uri="http://schemas.openxmlformats.org/officeDocument/2006/bibliography"/>
  </ds:schemaRefs>
</ds:datastoreItem>
</file>

<file path=customXml/itemProps2.xml><?xml version="1.0" encoding="utf-8"?>
<ds:datastoreItem xmlns:ds="http://schemas.openxmlformats.org/officeDocument/2006/customXml" ds:itemID="{8C43101C-FF6C-497F-BA7E-E415E11CDF58}"/>
</file>

<file path=customXml/itemProps3.xml><?xml version="1.0" encoding="utf-8"?>
<ds:datastoreItem xmlns:ds="http://schemas.openxmlformats.org/officeDocument/2006/customXml" ds:itemID="{DF372EA6-826E-4E7A-A737-D571BA61993B}"/>
</file>

<file path=customXml/itemProps4.xml><?xml version="1.0" encoding="utf-8"?>
<ds:datastoreItem xmlns:ds="http://schemas.openxmlformats.org/officeDocument/2006/customXml" ds:itemID="{DE550F5F-3E02-49FB-B7C4-244F43AD9DED}"/>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11590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Alfredo Daza Figueredo</dc:creator>
  <cp:lastModifiedBy>Amanda Vega Figueroa</cp:lastModifiedBy>
  <cp:revision>2</cp:revision>
  <dcterms:created xsi:type="dcterms:W3CDTF">2022-06-24T22:45:00Z</dcterms:created>
  <dcterms:modified xsi:type="dcterms:W3CDTF">2022-06-24T22:45:00Z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