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8E004C" w14:paraId="5780202D" w14:textId="77777777" w:rsidTr="2BFD1533">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0AFC41FC" w14:textId="77777777" w:rsidR="0026513E" w:rsidRPr="008E004C" w:rsidRDefault="00795C6B" w:rsidP="002264B8">
            <w:pPr>
              <w:pStyle w:val="Ttulo2"/>
              <w:ind w:right="72"/>
              <w:jc w:val="left"/>
              <w:rPr>
                <w:rFonts w:cs="Arial"/>
                <w:bCs/>
                <w:color w:val="FFFFFF"/>
                <w:sz w:val="22"/>
                <w:szCs w:val="22"/>
              </w:rPr>
            </w:pPr>
            <w:r w:rsidRPr="008E004C">
              <w:rPr>
                <w:rFonts w:cs="Arial"/>
                <w:color w:val="FFFFFF"/>
                <w:sz w:val="22"/>
                <w:szCs w:val="22"/>
              </w:rPr>
              <w:t>Entidad</w:t>
            </w:r>
            <w:r w:rsidR="00086B16" w:rsidRPr="008E004C">
              <w:rPr>
                <w:rFonts w:cs="Arial"/>
                <w:color w:val="FFFFFF"/>
                <w:sz w:val="22"/>
                <w:szCs w:val="22"/>
              </w:rPr>
              <w:t xml:space="preserve"> </w:t>
            </w:r>
            <w:r w:rsidRPr="008E004C">
              <w:rPr>
                <w:rFonts w:cs="Arial"/>
                <w:color w:val="FFFFFF"/>
                <w:sz w:val="22"/>
                <w:szCs w:val="22"/>
              </w:rPr>
              <w:t>originadora</w:t>
            </w:r>
            <w:r w:rsidR="00293F29" w:rsidRPr="008E004C">
              <w:rPr>
                <w:rFonts w:cs="Arial"/>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0A7C2410" w14:textId="4BEA9859" w:rsidR="0026513E" w:rsidRPr="00772C7E" w:rsidRDefault="006546D1" w:rsidP="00795C6B">
            <w:pPr>
              <w:pStyle w:val="Ttulo2"/>
              <w:ind w:left="72" w:right="72"/>
              <w:jc w:val="left"/>
              <w:rPr>
                <w:rFonts w:cs="Arial"/>
                <w:b w:val="0"/>
                <w:iCs/>
                <w:sz w:val="22"/>
                <w:szCs w:val="22"/>
              </w:rPr>
            </w:pPr>
            <w:r>
              <w:rPr>
                <w:rFonts w:cs="Arial"/>
                <w:b w:val="0"/>
                <w:iCs/>
                <w:sz w:val="22"/>
                <w:szCs w:val="22"/>
              </w:rPr>
              <w:t>Departamento Nacional de Planeación</w:t>
            </w:r>
          </w:p>
        </w:tc>
      </w:tr>
      <w:tr w:rsidR="005C4522" w:rsidRPr="008E004C" w14:paraId="39E31A90" w14:textId="77777777" w:rsidTr="2BFD1533">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695F382F" w14:textId="77777777" w:rsidR="00C47F73" w:rsidRPr="008E004C" w:rsidRDefault="0026513E" w:rsidP="002264B8">
            <w:pPr>
              <w:pStyle w:val="Ttulo2"/>
              <w:ind w:right="72"/>
              <w:jc w:val="left"/>
              <w:rPr>
                <w:rFonts w:cs="Arial"/>
                <w:bCs/>
                <w:color w:val="FFFFFF"/>
                <w:sz w:val="22"/>
                <w:szCs w:val="22"/>
              </w:rPr>
            </w:pPr>
            <w:r w:rsidRPr="008E004C">
              <w:rPr>
                <w:rFonts w:cs="Arial"/>
                <w:bCs/>
                <w:color w:val="FFFFFF"/>
                <w:sz w:val="22"/>
                <w:szCs w:val="22"/>
              </w:rPr>
              <w:t>Fecha</w:t>
            </w:r>
            <w:r w:rsidR="00BB545F" w:rsidRPr="008E004C">
              <w:rPr>
                <w:rFonts w:cs="Arial"/>
                <w:bCs/>
                <w:color w:val="FFFFFF"/>
                <w:sz w:val="22"/>
                <w:szCs w:val="22"/>
              </w:rPr>
              <w:t xml:space="preserve"> (</w:t>
            </w:r>
            <w:proofErr w:type="spellStart"/>
            <w:r w:rsidR="00BB545F" w:rsidRPr="008E004C">
              <w:rPr>
                <w:rFonts w:cs="Arial"/>
                <w:bCs/>
                <w:color w:val="FFFFFF"/>
                <w:sz w:val="22"/>
                <w:szCs w:val="22"/>
              </w:rPr>
              <w:t>dd</w:t>
            </w:r>
            <w:proofErr w:type="spellEnd"/>
            <w:r w:rsidR="00BB545F" w:rsidRPr="008E004C">
              <w:rPr>
                <w:rFonts w:cs="Arial"/>
                <w:bCs/>
                <w:color w:val="FFFFFF"/>
                <w:sz w:val="22"/>
                <w:szCs w:val="22"/>
              </w:rPr>
              <w:t>/mm/</w:t>
            </w:r>
            <w:proofErr w:type="spellStart"/>
            <w:r w:rsidR="00BB545F" w:rsidRPr="008E004C">
              <w:rPr>
                <w:rFonts w:cs="Arial"/>
                <w:bCs/>
                <w:color w:val="FFFFFF"/>
                <w:sz w:val="22"/>
                <w:szCs w:val="22"/>
              </w:rPr>
              <w:t>aa</w:t>
            </w:r>
            <w:proofErr w:type="spellEnd"/>
            <w:r w:rsidR="00BB545F" w:rsidRPr="008E004C">
              <w:rPr>
                <w:rFonts w:cs="Arial"/>
                <w:bCs/>
                <w:color w:val="FFFFFF"/>
                <w:sz w:val="22"/>
                <w:szCs w:val="22"/>
              </w:rPr>
              <w:t>)</w:t>
            </w:r>
            <w:r w:rsidR="00293F29" w:rsidRPr="008E004C">
              <w:rPr>
                <w:rFonts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04FB5B1D" w14:textId="49ACA297" w:rsidR="00C47F73" w:rsidRPr="00294597" w:rsidRDefault="004D1E38" w:rsidP="005F30C3">
            <w:pPr>
              <w:pStyle w:val="Ttulo2"/>
              <w:ind w:left="72" w:right="72"/>
              <w:jc w:val="left"/>
              <w:rPr>
                <w:rFonts w:cs="Arial"/>
                <w:b w:val="0"/>
                <w:iCs/>
                <w:sz w:val="22"/>
                <w:szCs w:val="22"/>
              </w:rPr>
            </w:pPr>
            <w:r w:rsidRPr="004D1E38">
              <w:rPr>
                <w:rFonts w:cs="Arial"/>
                <w:b w:val="0"/>
                <w:iCs/>
                <w:sz w:val="22"/>
                <w:szCs w:val="22"/>
                <w:highlight w:val="yellow"/>
              </w:rPr>
              <w:t>XX</w:t>
            </w:r>
            <w:r w:rsidR="0021780C">
              <w:rPr>
                <w:rFonts w:cs="Arial"/>
                <w:b w:val="0"/>
                <w:iCs/>
                <w:sz w:val="22"/>
                <w:szCs w:val="22"/>
              </w:rPr>
              <w:t xml:space="preserve"> </w:t>
            </w:r>
            <w:r w:rsidR="006546D1">
              <w:rPr>
                <w:rFonts w:cs="Arial"/>
                <w:b w:val="0"/>
                <w:iCs/>
                <w:sz w:val="22"/>
                <w:szCs w:val="22"/>
              </w:rPr>
              <w:t>de junio de 2022</w:t>
            </w:r>
          </w:p>
        </w:tc>
      </w:tr>
      <w:tr w:rsidR="005C4522" w:rsidRPr="008E004C" w14:paraId="38663971" w14:textId="77777777" w:rsidTr="2BFD1533">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587ED489" w14:textId="77777777" w:rsidR="0059316B" w:rsidRPr="008E004C" w:rsidRDefault="00A55DB6" w:rsidP="002264B8">
            <w:pPr>
              <w:pStyle w:val="Ttulo2"/>
              <w:ind w:right="72"/>
              <w:jc w:val="left"/>
              <w:rPr>
                <w:rFonts w:cs="Arial"/>
                <w:bCs/>
                <w:color w:val="FFFFFF"/>
                <w:sz w:val="22"/>
                <w:szCs w:val="22"/>
              </w:rPr>
            </w:pPr>
            <w:r w:rsidRPr="008E004C">
              <w:rPr>
                <w:rFonts w:cs="Arial"/>
                <w:bCs/>
                <w:color w:val="FFFFFF"/>
                <w:sz w:val="22"/>
                <w:szCs w:val="22"/>
              </w:rPr>
              <w:t xml:space="preserve">Proyecto de </w:t>
            </w:r>
            <w:r w:rsidR="00587695" w:rsidRPr="008E004C">
              <w:rPr>
                <w:rFonts w:cs="Arial"/>
                <w:bCs/>
                <w:color w:val="FFFFFF"/>
                <w:sz w:val="22"/>
                <w:szCs w:val="22"/>
              </w:rPr>
              <w:t>D</w:t>
            </w:r>
            <w:r w:rsidRPr="008E004C">
              <w:rPr>
                <w:rFonts w:cs="Arial"/>
                <w:bCs/>
                <w:color w:val="FFFFFF"/>
                <w:sz w:val="22"/>
                <w:szCs w:val="22"/>
              </w:rPr>
              <w:t>ecreto</w:t>
            </w:r>
            <w:r w:rsidR="00795C6B" w:rsidRPr="008E004C">
              <w:rPr>
                <w:rFonts w:cs="Arial"/>
                <w:bCs/>
                <w:color w:val="FFFFFF"/>
                <w:sz w:val="22"/>
                <w:szCs w:val="22"/>
              </w:rPr>
              <w:t>/Resolución</w:t>
            </w:r>
            <w:r w:rsidR="00293F29" w:rsidRPr="008E004C">
              <w:rPr>
                <w:rFonts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14AC7DE3" w14:textId="3A68FDD6" w:rsidR="001F238A" w:rsidRPr="006546D1" w:rsidRDefault="006546D1" w:rsidP="2C730FC2">
            <w:pPr>
              <w:pStyle w:val="paragraph"/>
              <w:spacing w:before="0" w:beforeAutospacing="0" w:after="0" w:afterAutospacing="0"/>
              <w:ind w:left="112"/>
              <w:jc w:val="both"/>
              <w:textAlignment w:val="baseline"/>
              <w:rPr>
                <w:sz w:val="22"/>
                <w:szCs w:val="22"/>
                <w:lang w:eastAsia="es-ES"/>
              </w:rPr>
            </w:pPr>
            <w:r w:rsidRPr="2C730FC2">
              <w:rPr>
                <w:sz w:val="22"/>
                <w:szCs w:val="22"/>
                <w:lang w:eastAsia="es-ES"/>
              </w:rPr>
              <w:t xml:space="preserve">Por el cual se modifica y adiciona el Decreto 1081 de 2015, Reglamentario </w:t>
            </w:r>
            <w:r w:rsidR="0021780C" w:rsidRPr="2C730FC2">
              <w:rPr>
                <w:sz w:val="22"/>
                <w:szCs w:val="22"/>
                <w:lang w:eastAsia="es-ES"/>
              </w:rPr>
              <w:t xml:space="preserve">Único </w:t>
            </w:r>
            <w:r w:rsidRPr="2C730FC2">
              <w:rPr>
                <w:sz w:val="22"/>
                <w:szCs w:val="22"/>
                <w:lang w:eastAsia="es-ES"/>
              </w:rPr>
              <w:t>del</w:t>
            </w:r>
            <w:r w:rsidR="0021780C" w:rsidRPr="2C730FC2">
              <w:rPr>
                <w:sz w:val="22"/>
                <w:szCs w:val="22"/>
                <w:lang w:eastAsia="es-ES"/>
              </w:rPr>
              <w:t xml:space="preserve"> Sector</w:t>
            </w:r>
            <w:r w:rsidRPr="2C730FC2">
              <w:rPr>
                <w:sz w:val="22"/>
                <w:szCs w:val="22"/>
                <w:lang w:eastAsia="es-ES"/>
              </w:rPr>
              <w:t xml:space="preserve"> Presidencia de la República, en relación con la implementación del Sistema Único de Consulta Pública </w:t>
            </w:r>
            <w:r w:rsidR="0021780C" w:rsidRPr="2C730FC2">
              <w:rPr>
                <w:sz w:val="22"/>
                <w:szCs w:val="22"/>
                <w:lang w:eastAsia="es-ES"/>
              </w:rPr>
              <w:t>(</w:t>
            </w:r>
            <w:r w:rsidRPr="2C730FC2">
              <w:rPr>
                <w:sz w:val="22"/>
                <w:szCs w:val="22"/>
                <w:lang w:eastAsia="es-ES"/>
              </w:rPr>
              <w:t>SUCOP</w:t>
            </w:r>
            <w:r w:rsidR="0021780C" w:rsidRPr="2C730FC2">
              <w:rPr>
                <w:sz w:val="22"/>
                <w:szCs w:val="22"/>
                <w:lang w:eastAsia="es-ES"/>
              </w:rPr>
              <w:t>)</w:t>
            </w:r>
          </w:p>
        </w:tc>
      </w:tr>
      <w:tr w:rsidR="00DF60FD" w:rsidRPr="008E004C" w14:paraId="3F451999" w14:textId="77777777" w:rsidTr="2BFD1533">
        <w:trPr>
          <w:trHeight w:val="674"/>
        </w:trPr>
        <w:tc>
          <w:tcPr>
            <w:tcW w:w="10774" w:type="dxa"/>
            <w:gridSpan w:val="3"/>
            <w:tcBorders>
              <w:top w:val="single" w:sz="4" w:space="0" w:color="auto"/>
            </w:tcBorders>
            <w:shd w:val="clear" w:color="auto" w:fill="FFFFFF" w:themeFill="background1"/>
            <w:vAlign w:val="center"/>
          </w:tcPr>
          <w:p w14:paraId="44B684EF" w14:textId="77777777" w:rsidR="006315B4" w:rsidRPr="004377A5" w:rsidRDefault="006315B4" w:rsidP="01DC77A8">
            <w:pPr>
              <w:autoSpaceDE w:val="0"/>
              <w:autoSpaceDN w:val="0"/>
              <w:adjustRightInd w:val="0"/>
              <w:jc w:val="both"/>
              <w:rPr>
                <w:rFonts w:eastAsia="Calibri" w:cs="Arial"/>
                <w:b/>
                <w:bCs/>
                <w:sz w:val="22"/>
                <w:szCs w:val="22"/>
                <w:lang w:eastAsia="en-US"/>
              </w:rPr>
            </w:pPr>
          </w:p>
          <w:p w14:paraId="29169958" w14:textId="6AB66650" w:rsidR="0095690D" w:rsidRDefault="0095690D" w:rsidP="004D1E38">
            <w:pPr>
              <w:numPr>
                <w:ilvl w:val="0"/>
                <w:numId w:val="44"/>
              </w:numPr>
              <w:ind w:left="494"/>
              <w:jc w:val="both"/>
              <w:rPr>
                <w:rFonts w:cs="Arial"/>
                <w:b/>
                <w:bCs/>
                <w:sz w:val="22"/>
                <w:szCs w:val="22"/>
              </w:rPr>
            </w:pPr>
            <w:r w:rsidRPr="01DC77A8">
              <w:rPr>
                <w:rFonts w:cs="Arial"/>
                <w:b/>
                <w:bCs/>
                <w:sz w:val="22"/>
                <w:szCs w:val="22"/>
              </w:rPr>
              <w:t>ANTECEDENTES Y RAZONES DE OPORTUNIDAD Y CONVENIENCIA QUE JUSTIFICAN SU EXPEDICIÓN.</w:t>
            </w:r>
          </w:p>
          <w:p w14:paraId="599992E5" w14:textId="5648818D" w:rsidR="00302A7B" w:rsidRPr="00AC1C6D" w:rsidRDefault="00302A7B" w:rsidP="01DC77A8">
            <w:pPr>
              <w:rPr>
                <w:rFonts w:cs="Arial"/>
                <w:sz w:val="22"/>
                <w:szCs w:val="22"/>
              </w:rPr>
            </w:pPr>
          </w:p>
          <w:p w14:paraId="518413D1" w14:textId="2C9C8DD1" w:rsidR="00302A7B" w:rsidRPr="00AC1C6D" w:rsidRDefault="01DC77A8" w:rsidP="01DC77A8">
            <w:pPr>
              <w:jc w:val="both"/>
              <w:rPr>
                <w:rFonts w:cs="Arial"/>
                <w:sz w:val="22"/>
                <w:szCs w:val="22"/>
              </w:rPr>
            </w:pPr>
            <w:r w:rsidRPr="01DC77A8">
              <w:rPr>
                <w:rFonts w:cs="Arial"/>
                <w:sz w:val="22"/>
                <w:szCs w:val="22"/>
              </w:rPr>
              <w:t xml:space="preserve">El </w:t>
            </w:r>
            <w:r w:rsidR="0021780C">
              <w:rPr>
                <w:rFonts w:cs="Arial"/>
                <w:sz w:val="22"/>
                <w:szCs w:val="22"/>
              </w:rPr>
              <w:t>D</w:t>
            </w:r>
            <w:r w:rsidRPr="01DC77A8">
              <w:rPr>
                <w:rFonts w:cs="Arial"/>
                <w:sz w:val="22"/>
                <w:szCs w:val="22"/>
              </w:rPr>
              <w:t xml:space="preserve">ocumento CONPES 3816 de 2014 </w:t>
            </w:r>
            <w:r w:rsidRPr="01DC77A8">
              <w:rPr>
                <w:rFonts w:cs="Arial"/>
                <w:i/>
                <w:iCs/>
                <w:sz w:val="22"/>
                <w:szCs w:val="22"/>
              </w:rPr>
              <w:t>Mejora normativa: Análisis de Impacto</w:t>
            </w:r>
            <w:r w:rsidR="00E72D45">
              <w:rPr>
                <w:rFonts w:cs="Arial"/>
                <w:i/>
                <w:iCs/>
                <w:sz w:val="22"/>
                <w:szCs w:val="22"/>
              </w:rPr>
              <w:t>,</w:t>
            </w:r>
            <w:r w:rsidRPr="01DC77A8">
              <w:rPr>
                <w:rFonts w:cs="Arial"/>
                <w:sz w:val="22"/>
                <w:szCs w:val="22"/>
              </w:rPr>
              <w:t xml:space="preserve"> sentó las bases para la institucionalización de la </w:t>
            </w:r>
            <w:r w:rsidR="00E72D45">
              <w:rPr>
                <w:rFonts w:cs="Arial"/>
                <w:sz w:val="22"/>
                <w:szCs w:val="22"/>
              </w:rPr>
              <w:t>Política de Mejora Normativa (</w:t>
            </w:r>
            <w:r w:rsidRPr="01DC77A8">
              <w:rPr>
                <w:rFonts w:cs="Arial"/>
                <w:sz w:val="22"/>
                <w:szCs w:val="22"/>
              </w:rPr>
              <w:t>PMN</w:t>
            </w:r>
            <w:r w:rsidR="00E72D45">
              <w:rPr>
                <w:rFonts w:cs="Arial"/>
                <w:sz w:val="22"/>
                <w:szCs w:val="22"/>
              </w:rPr>
              <w:t>)</w:t>
            </w:r>
            <w:r w:rsidRPr="01DC77A8">
              <w:rPr>
                <w:rFonts w:cs="Arial"/>
                <w:sz w:val="22"/>
                <w:szCs w:val="22"/>
              </w:rPr>
              <w:t xml:space="preserve"> en el país y permitió consolidar las herramientas para el diseño de regulaciones de calidad basadas en evidencia. En particular, el</w:t>
            </w:r>
            <w:r w:rsidR="00E72D45">
              <w:rPr>
                <w:rFonts w:cs="Arial"/>
                <w:sz w:val="22"/>
                <w:szCs w:val="22"/>
              </w:rPr>
              <w:t xml:space="preserve"> referido</w:t>
            </w:r>
            <w:r w:rsidRPr="01DC77A8">
              <w:rPr>
                <w:rFonts w:cs="Arial"/>
                <w:sz w:val="22"/>
                <w:szCs w:val="22"/>
              </w:rPr>
              <w:t xml:space="preserve"> </w:t>
            </w:r>
            <w:r w:rsidR="00E72D45">
              <w:rPr>
                <w:rFonts w:cs="Arial"/>
                <w:sz w:val="22"/>
                <w:szCs w:val="22"/>
              </w:rPr>
              <w:t>D</w:t>
            </w:r>
            <w:r w:rsidRPr="01DC77A8">
              <w:rPr>
                <w:rFonts w:cs="Arial"/>
                <w:sz w:val="22"/>
                <w:szCs w:val="22"/>
              </w:rPr>
              <w:t xml:space="preserve">ocumento señaló que en Colombia el proceso de consulta pública en la expedición de las regulaciones y como mecanismo transversal a todo el ciclo de gobernanza regulatoria, contaba con una baja </w:t>
            </w:r>
            <w:r w:rsidRPr="01DC77A8">
              <w:rPr>
                <w:rFonts w:cs="Arial"/>
                <w:sz w:val="22"/>
                <w:szCs w:val="22"/>
                <w:lang w:val="es"/>
              </w:rPr>
              <w:t>difusión, homogeneidad e implementación en las entidades públicas</w:t>
            </w:r>
            <w:r w:rsidRPr="01DC77A8">
              <w:rPr>
                <w:rFonts w:cs="Arial"/>
                <w:sz w:val="22"/>
                <w:szCs w:val="22"/>
              </w:rPr>
              <w:t xml:space="preserve">. </w:t>
            </w:r>
          </w:p>
          <w:p w14:paraId="613C4E56" w14:textId="62BC59A2" w:rsidR="00302A7B" w:rsidRPr="00AC1C6D" w:rsidRDefault="00302A7B" w:rsidP="01DC77A8">
            <w:pPr>
              <w:jc w:val="both"/>
              <w:rPr>
                <w:rFonts w:cs="Arial"/>
                <w:sz w:val="22"/>
                <w:szCs w:val="22"/>
              </w:rPr>
            </w:pPr>
          </w:p>
          <w:p w14:paraId="5E28E814" w14:textId="71605CF0" w:rsidR="00302A7B" w:rsidRPr="00AC1C6D" w:rsidRDefault="01DC77A8" w:rsidP="01DC77A8">
            <w:pPr>
              <w:jc w:val="both"/>
              <w:rPr>
                <w:rFonts w:cs="Arial"/>
                <w:sz w:val="22"/>
                <w:szCs w:val="22"/>
              </w:rPr>
            </w:pPr>
            <w:r w:rsidRPr="01DC77A8">
              <w:rPr>
                <w:rFonts w:cs="Arial"/>
                <w:sz w:val="22"/>
                <w:szCs w:val="22"/>
              </w:rPr>
              <w:t>De esta forma, señaló que la ausencia de lineamientos unificados en términos de plazos, criterios y metodologías para la retroalimentación de comentarios de la ciudadanía; la falta del diseño de la consulta en función de las diferencias poblacionales y la publicación voluntaria de la información previa, utilizada en la construcción de las normas por parte de las entidades reguladoras, restaba transparencia al proceso de producción normativa al no ofrecer insumos a la ciudadanía sobre el impacto de los nuevos proyectos normativos (DNP, 2014). E</w:t>
            </w:r>
            <w:r w:rsidR="00C82859">
              <w:rPr>
                <w:rFonts w:cs="Arial"/>
                <w:sz w:val="22"/>
                <w:szCs w:val="22"/>
              </w:rPr>
              <w:t>n virtud de lo anterior, e</w:t>
            </w:r>
            <w:r w:rsidRPr="01DC77A8">
              <w:rPr>
                <w:rFonts w:cs="Arial"/>
                <w:sz w:val="22"/>
                <w:szCs w:val="22"/>
              </w:rPr>
              <w:t>l</w:t>
            </w:r>
            <w:r w:rsidR="00C82859">
              <w:rPr>
                <w:rFonts w:cs="Arial"/>
                <w:sz w:val="22"/>
                <w:szCs w:val="22"/>
              </w:rPr>
              <w:t xml:space="preserve"> Documento</w:t>
            </w:r>
            <w:r w:rsidRPr="01DC77A8">
              <w:rPr>
                <w:rFonts w:cs="Arial"/>
                <w:sz w:val="22"/>
                <w:szCs w:val="22"/>
              </w:rPr>
              <w:t xml:space="preserve"> CONPES </w:t>
            </w:r>
            <w:r w:rsidR="00C82859">
              <w:rPr>
                <w:rFonts w:cs="Arial"/>
                <w:sz w:val="22"/>
                <w:szCs w:val="22"/>
              </w:rPr>
              <w:t>mencionado</w:t>
            </w:r>
            <w:r w:rsidRPr="01DC77A8">
              <w:rPr>
                <w:rFonts w:cs="Arial"/>
                <w:sz w:val="22"/>
                <w:szCs w:val="22"/>
              </w:rPr>
              <w:t xml:space="preserve"> propuso fortalecer la consulta pública y la transparencia en la producción normativa.</w:t>
            </w:r>
          </w:p>
          <w:p w14:paraId="6DE33668" w14:textId="477F9C14" w:rsidR="00302A7B" w:rsidRPr="00AC1C6D" w:rsidRDefault="00302A7B" w:rsidP="01DC77A8">
            <w:pPr>
              <w:jc w:val="both"/>
              <w:rPr>
                <w:rFonts w:cs="Arial"/>
                <w:sz w:val="22"/>
                <w:szCs w:val="22"/>
              </w:rPr>
            </w:pPr>
          </w:p>
          <w:p w14:paraId="0545E379" w14:textId="266AC932" w:rsidR="00302A7B" w:rsidRPr="00AC1C6D" w:rsidRDefault="01DC77A8" w:rsidP="01DC77A8">
            <w:pPr>
              <w:jc w:val="both"/>
              <w:rPr>
                <w:rFonts w:cs="Arial"/>
                <w:sz w:val="22"/>
                <w:szCs w:val="22"/>
              </w:rPr>
            </w:pPr>
            <w:r w:rsidRPr="01DC77A8">
              <w:rPr>
                <w:rFonts w:cs="Arial"/>
                <w:sz w:val="22"/>
                <w:szCs w:val="22"/>
              </w:rPr>
              <w:t xml:space="preserve">A su vez, </w:t>
            </w:r>
            <w:r w:rsidR="00435CCC">
              <w:rPr>
                <w:rFonts w:cs="Arial"/>
                <w:sz w:val="22"/>
                <w:szCs w:val="22"/>
              </w:rPr>
              <w:t>las Bases d</w:t>
            </w:r>
            <w:r w:rsidRPr="01DC77A8">
              <w:rPr>
                <w:rFonts w:cs="Arial"/>
                <w:sz w:val="22"/>
                <w:szCs w:val="22"/>
              </w:rPr>
              <w:t xml:space="preserve">el Plan Nacional de Desarrollo (PND) 2018-2022 </w:t>
            </w:r>
            <w:r w:rsidR="00751BA7">
              <w:rPr>
                <w:rFonts w:cs="Arial"/>
                <w:sz w:val="22"/>
                <w:szCs w:val="22"/>
              </w:rPr>
              <w:t xml:space="preserve">“Pacto por Colombia, pacto por la equidad”, </w:t>
            </w:r>
            <w:r w:rsidR="00435CCC">
              <w:rPr>
                <w:rFonts w:cs="Arial"/>
                <w:sz w:val="22"/>
                <w:szCs w:val="22"/>
              </w:rPr>
              <w:t xml:space="preserve">expedido por la Ley 1955 de 2019, </w:t>
            </w:r>
            <w:r w:rsidRPr="01DC77A8">
              <w:rPr>
                <w:rFonts w:cs="Arial"/>
                <w:sz w:val="22"/>
                <w:szCs w:val="22"/>
              </w:rPr>
              <w:t>bajo la línea “Estado Simple: menos trámites, regulación clara y más competencia” del “Pacto por el emprendimiento, la formalización y la productividad: una economía dinámica, incluyente y sostenible que potencie todos nuestros talentos”, estableció como propósitos, entre otros, contar con una regulación abierta, participativa y transparente (DNP, 2019). Para ello, contempló como acción principal brindar mayor publicidad, participación y transparencia en el proceso regulatorio, mediante la definición de un plazo mínimo de consulta pública homogéneo para los actos de la Rama Ejecutiva y el uso obligatorio del S</w:t>
            </w:r>
            <w:r w:rsidR="004D1E38">
              <w:rPr>
                <w:rFonts w:cs="Arial"/>
                <w:sz w:val="22"/>
                <w:szCs w:val="22"/>
              </w:rPr>
              <w:t xml:space="preserve">istema Único de </w:t>
            </w:r>
            <w:r w:rsidRPr="01DC77A8">
              <w:rPr>
                <w:rFonts w:cs="Arial"/>
                <w:sz w:val="22"/>
                <w:szCs w:val="22"/>
              </w:rPr>
              <w:t>C</w:t>
            </w:r>
            <w:r w:rsidR="004D1E38">
              <w:rPr>
                <w:rFonts w:cs="Arial"/>
                <w:sz w:val="22"/>
                <w:szCs w:val="22"/>
              </w:rPr>
              <w:t>onsulta Pública (SUC</w:t>
            </w:r>
            <w:r w:rsidRPr="01DC77A8">
              <w:rPr>
                <w:rFonts w:cs="Arial"/>
                <w:sz w:val="22"/>
                <w:szCs w:val="22"/>
              </w:rPr>
              <w:t>OP</w:t>
            </w:r>
            <w:r w:rsidR="004D1E38">
              <w:rPr>
                <w:rFonts w:cs="Arial"/>
                <w:sz w:val="22"/>
                <w:szCs w:val="22"/>
              </w:rPr>
              <w:t>)</w:t>
            </w:r>
            <w:r w:rsidRPr="01DC77A8">
              <w:rPr>
                <w:rFonts w:cs="Arial"/>
                <w:sz w:val="22"/>
                <w:szCs w:val="22"/>
              </w:rPr>
              <w:t>.</w:t>
            </w:r>
          </w:p>
          <w:p w14:paraId="709201CE" w14:textId="68C96676" w:rsidR="00302A7B" w:rsidRPr="00AC1C6D" w:rsidRDefault="00302A7B" w:rsidP="01DC77A8">
            <w:pPr>
              <w:jc w:val="both"/>
              <w:rPr>
                <w:rFonts w:cs="Arial"/>
                <w:sz w:val="22"/>
                <w:szCs w:val="22"/>
              </w:rPr>
            </w:pPr>
          </w:p>
          <w:p w14:paraId="35826296" w14:textId="5D431F59" w:rsidR="00302A7B" w:rsidRPr="00AC1C6D" w:rsidRDefault="00D74073" w:rsidP="01DC77A8">
            <w:pPr>
              <w:jc w:val="both"/>
              <w:rPr>
                <w:rFonts w:cs="Arial"/>
                <w:sz w:val="22"/>
                <w:szCs w:val="22"/>
                <w:lang w:val="es"/>
              </w:rPr>
            </w:pPr>
            <w:r>
              <w:rPr>
                <w:rFonts w:cs="Arial"/>
                <w:sz w:val="22"/>
                <w:szCs w:val="22"/>
              </w:rPr>
              <w:t xml:space="preserve">Por otra </w:t>
            </w:r>
            <w:r w:rsidR="00C43E26">
              <w:rPr>
                <w:rFonts w:cs="Arial"/>
                <w:sz w:val="22"/>
                <w:szCs w:val="22"/>
              </w:rPr>
              <w:t>parte</w:t>
            </w:r>
            <w:r w:rsidR="01DC77A8" w:rsidRPr="01DC77A8">
              <w:rPr>
                <w:rFonts w:cs="Arial"/>
                <w:sz w:val="22"/>
                <w:szCs w:val="22"/>
              </w:rPr>
              <w:t>,</w:t>
            </w:r>
            <w:r w:rsidR="009552CF">
              <w:rPr>
                <w:rFonts w:cs="Arial"/>
                <w:sz w:val="22"/>
                <w:szCs w:val="22"/>
              </w:rPr>
              <w:t xml:space="preserve"> resulta importante destacar que</w:t>
            </w:r>
            <w:r w:rsidR="01DC77A8" w:rsidRPr="01DC77A8">
              <w:rPr>
                <w:rFonts w:cs="Arial"/>
                <w:sz w:val="22"/>
                <w:szCs w:val="22"/>
              </w:rPr>
              <w:t xml:space="preserve"> </w:t>
            </w:r>
            <w:r w:rsidR="01DC77A8" w:rsidRPr="01DC77A8">
              <w:rPr>
                <w:rFonts w:cs="Arial"/>
                <w:sz w:val="22"/>
                <w:szCs w:val="22"/>
                <w:lang w:val="es-ES"/>
              </w:rPr>
              <w:t xml:space="preserve">el </w:t>
            </w:r>
            <w:r w:rsidR="01DC77A8" w:rsidRPr="01DC77A8">
              <w:rPr>
                <w:rFonts w:cs="Arial"/>
                <w:sz w:val="22"/>
                <w:szCs w:val="22"/>
              </w:rPr>
              <w:t>Decreto 1299 de 2018</w:t>
            </w:r>
            <w:r w:rsidR="009552CF">
              <w:rPr>
                <w:rStyle w:val="Refdenotaalpie"/>
                <w:rFonts w:cs="Arial"/>
                <w:sz w:val="22"/>
                <w:szCs w:val="22"/>
              </w:rPr>
              <w:footnoteReference w:id="2"/>
            </w:r>
            <w:r w:rsidR="01DC77A8" w:rsidRPr="01DC77A8">
              <w:rPr>
                <w:rFonts w:cs="Arial"/>
                <w:sz w:val="22"/>
                <w:szCs w:val="22"/>
                <w:lang w:val="es-ES"/>
              </w:rPr>
              <w:t xml:space="preserve"> incluyó la “Mejora Normativa” como una de las Políticas de Gestión y Desempeño Institucional, </w:t>
            </w:r>
            <w:r w:rsidR="01DC77A8" w:rsidRPr="01DC77A8">
              <w:rPr>
                <w:rFonts w:cs="Arial"/>
                <w:sz w:val="22"/>
                <w:szCs w:val="22"/>
              </w:rPr>
              <w:t xml:space="preserve">con el fin de abarcar </w:t>
            </w:r>
            <w:r w:rsidR="004D1E38">
              <w:rPr>
                <w:rFonts w:cs="Arial"/>
                <w:sz w:val="22"/>
                <w:szCs w:val="22"/>
              </w:rPr>
              <w:t xml:space="preserve">la </w:t>
            </w:r>
            <w:r w:rsidR="01DC77A8" w:rsidRPr="004D1E38">
              <w:rPr>
                <w:rFonts w:cs="Arial"/>
                <w:sz w:val="22"/>
                <w:szCs w:val="22"/>
              </w:rPr>
              <w:t>calidad</w:t>
            </w:r>
            <w:r w:rsidR="004D1E38">
              <w:rPr>
                <w:rFonts w:cs="Arial"/>
                <w:sz w:val="22"/>
                <w:szCs w:val="22"/>
              </w:rPr>
              <w:t xml:space="preserve">, impacto, racionalización, </w:t>
            </w:r>
            <w:r w:rsidR="004D1E38" w:rsidRPr="004D1E38">
              <w:rPr>
                <w:rFonts w:cs="Arial"/>
                <w:sz w:val="22"/>
                <w:szCs w:val="22"/>
              </w:rPr>
              <w:t xml:space="preserve">participación y consulta pública </w:t>
            </w:r>
            <w:r w:rsidR="01DC77A8" w:rsidRPr="004D1E38">
              <w:rPr>
                <w:rFonts w:cs="Arial"/>
                <w:sz w:val="22"/>
                <w:szCs w:val="22"/>
              </w:rPr>
              <w:t>en la producción de las normas</w:t>
            </w:r>
            <w:r w:rsidR="004D1E38">
              <w:rPr>
                <w:rFonts w:cs="Arial"/>
                <w:sz w:val="22"/>
                <w:szCs w:val="22"/>
              </w:rPr>
              <w:t xml:space="preserve">; </w:t>
            </w:r>
            <w:r w:rsidR="01DC77A8" w:rsidRPr="004D1E38">
              <w:rPr>
                <w:rFonts w:cs="Arial"/>
                <w:sz w:val="22"/>
                <w:szCs w:val="22"/>
              </w:rPr>
              <w:t>la generación de capacidades dentro de la administración pública, así como la defensa y divulgación del ordenamiento jurídico.</w:t>
            </w:r>
            <w:r w:rsidR="01DC77A8" w:rsidRPr="01DC77A8">
              <w:rPr>
                <w:rFonts w:cs="Arial"/>
                <w:sz w:val="22"/>
                <w:szCs w:val="22"/>
              </w:rPr>
              <w:t xml:space="preserve"> La implementación de esta </w:t>
            </w:r>
            <w:r w:rsidR="00E34E07">
              <w:rPr>
                <w:rFonts w:cs="Arial"/>
                <w:sz w:val="22"/>
                <w:szCs w:val="22"/>
              </w:rPr>
              <w:t>P</w:t>
            </w:r>
            <w:r w:rsidR="01DC77A8" w:rsidRPr="01DC77A8">
              <w:rPr>
                <w:rFonts w:cs="Arial"/>
                <w:sz w:val="22"/>
                <w:szCs w:val="22"/>
              </w:rPr>
              <w:t xml:space="preserve">olítica incluye, de esta forma, </w:t>
            </w:r>
            <w:r w:rsidR="004D1E38">
              <w:rPr>
                <w:rFonts w:cs="Arial"/>
                <w:sz w:val="22"/>
                <w:szCs w:val="22"/>
              </w:rPr>
              <w:t>la adopción de</w:t>
            </w:r>
            <w:r w:rsidR="01DC77A8" w:rsidRPr="01DC77A8">
              <w:rPr>
                <w:rFonts w:cs="Arial"/>
                <w:sz w:val="22"/>
                <w:szCs w:val="22"/>
              </w:rPr>
              <w:t xml:space="preserve"> mecanismos de </w:t>
            </w:r>
            <w:r w:rsidR="004D1E38">
              <w:rPr>
                <w:rFonts w:cs="Arial"/>
                <w:sz w:val="22"/>
                <w:szCs w:val="22"/>
              </w:rPr>
              <w:t>consulta</w:t>
            </w:r>
            <w:r w:rsidR="01DC77A8" w:rsidRPr="01DC77A8">
              <w:rPr>
                <w:rFonts w:cs="Arial"/>
                <w:sz w:val="22"/>
                <w:szCs w:val="22"/>
              </w:rPr>
              <w:t xml:space="preserve"> pública en el proceso normativo</w:t>
            </w:r>
            <w:r w:rsidR="004D1E38">
              <w:rPr>
                <w:rFonts w:cs="Arial"/>
                <w:sz w:val="22"/>
                <w:szCs w:val="22"/>
              </w:rPr>
              <w:t xml:space="preserve"> encaminados a garantizar los principios de transparencia y participación.</w:t>
            </w:r>
          </w:p>
          <w:p w14:paraId="09A26633" w14:textId="6CE72710" w:rsidR="00302A7B" w:rsidRPr="00AC1C6D" w:rsidRDefault="00302A7B" w:rsidP="01DC77A8">
            <w:pPr>
              <w:jc w:val="both"/>
              <w:rPr>
                <w:rFonts w:cs="Arial"/>
                <w:sz w:val="22"/>
                <w:szCs w:val="22"/>
              </w:rPr>
            </w:pPr>
          </w:p>
          <w:p w14:paraId="1E272637" w14:textId="2CE96714" w:rsidR="00302A7B" w:rsidRPr="00AC1C6D" w:rsidRDefault="01DC77A8" w:rsidP="01DC77A8">
            <w:pPr>
              <w:jc w:val="both"/>
              <w:rPr>
                <w:rFonts w:cs="Arial"/>
                <w:sz w:val="22"/>
                <w:szCs w:val="22"/>
                <w:lang w:val="es"/>
              </w:rPr>
            </w:pPr>
            <w:r w:rsidRPr="2C730FC2">
              <w:rPr>
                <w:rFonts w:cs="Arial"/>
                <w:sz w:val="22"/>
                <w:szCs w:val="22"/>
              </w:rPr>
              <w:t xml:space="preserve">Adicionalmente, </w:t>
            </w:r>
            <w:r w:rsidR="00EA4331" w:rsidRPr="2BFD1533">
              <w:rPr>
                <w:rFonts w:cs="Arial"/>
                <w:sz w:val="22"/>
                <w:szCs w:val="22"/>
              </w:rPr>
              <w:t xml:space="preserve">en el marco de </w:t>
            </w:r>
            <w:r w:rsidR="00EA4331" w:rsidRPr="63EB4535">
              <w:rPr>
                <w:rFonts w:cs="Arial"/>
                <w:sz w:val="22"/>
                <w:szCs w:val="22"/>
              </w:rPr>
              <w:t>las recomendaciones post acceso a la Organización para la Cooperación y el Desarrollo Económicos (OCDE), en virtud d</w:t>
            </w:r>
            <w:r w:rsidRPr="2C730FC2">
              <w:rPr>
                <w:rFonts w:cs="Arial"/>
                <w:sz w:val="22"/>
                <w:szCs w:val="22"/>
              </w:rPr>
              <w:t xml:space="preserve">el dictamen formal del Comité de Política Regulatoria de 2018 </w:t>
            </w:r>
            <w:r w:rsidRPr="63EB4535">
              <w:rPr>
                <w:rFonts w:cs="Arial"/>
                <w:sz w:val="22"/>
                <w:szCs w:val="22"/>
              </w:rPr>
              <w:t>y otros documentos asociados</w:t>
            </w:r>
            <w:r w:rsidR="00EA4331" w:rsidRPr="2C730FC2">
              <w:rPr>
                <w:rFonts w:cs="Arial"/>
                <w:sz w:val="22"/>
                <w:szCs w:val="22"/>
              </w:rPr>
              <w:t>,</w:t>
            </w:r>
            <w:r w:rsidRPr="2C730FC2">
              <w:rPr>
                <w:rFonts w:cs="Arial"/>
                <w:sz w:val="22"/>
                <w:szCs w:val="22"/>
              </w:rPr>
              <w:t xml:space="preserve"> recomendó a Colombia fortalecer la consulta pública</w:t>
            </w:r>
            <w:r w:rsidR="001119D1">
              <w:rPr>
                <w:rStyle w:val="Refdenotaalpie"/>
                <w:rFonts w:cs="Arial"/>
                <w:sz w:val="22"/>
                <w:szCs w:val="22"/>
              </w:rPr>
              <w:footnoteReference w:id="3"/>
            </w:r>
            <w:r w:rsidRPr="2C730FC2">
              <w:rPr>
                <w:rFonts w:cs="Arial"/>
                <w:sz w:val="22"/>
                <w:szCs w:val="22"/>
              </w:rPr>
              <w:t xml:space="preserve">. </w:t>
            </w:r>
            <w:r w:rsidR="00261729" w:rsidRPr="2C730FC2">
              <w:rPr>
                <w:rFonts w:cs="Arial"/>
                <w:sz w:val="22"/>
                <w:szCs w:val="22"/>
              </w:rPr>
              <w:t xml:space="preserve">En este sentido, </w:t>
            </w:r>
            <w:r w:rsidR="00261729" w:rsidRPr="2C730FC2">
              <w:rPr>
                <w:rFonts w:cs="Arial"/>
                <w:sz w:val="22"/>
                <w:szCs w:val="22"/>
                <w:lang w:val="es"/>
              </w:rPr>
              <w:t>s</w:t>
            </w:r>
            <w:r w:rsidRPr="2C730FC2">
              <w:rPr>
                <w:rFonts w:cs="Arial"/>
                <w:sz w:val="22"/>
                <w:szCs w:val="22"/>
                <w:lang w:val="es"/>
              </w:rPr>
              <w:t xml:space="preserve">i bien la OCDE identificó que existían instrumentos que promovían la consulta pública de la regulación, </w:t>
            </w:r>
            <w:r w:rsidR="00997BD1" w:rsidRPr="2C730FC2">
              <w:rPr>
                <w:rFonts w:cs="Arial"/>
                <w:sz w:val="22"/>
                <w:szCs w:val="22"/>
                <w:lang w:val="es"/>
              </w:rPr>
              <w:t xml:space="preserve">señaló que </w:t>
            </w:r>
            <w:r w:rsidRPr="2C730FC2">
              <w:rPr>
                <w:rFonts w:cs="Arial"/>
                <w:sz w:val="22"/>
                <w:szCs w:val="22"/>
                <w:lang w:val="es"/>
              </w:rPr>
              <w:t xml:space="preserve">no existía una práctica sistemática, plazos determinados, obligatoriedad ni criterios definidos. Por ello, recomendó hacer obligatoria la consulta normativa para todas </w:t>
            </w:r>
            <w:r w:rsidRPr="2C730FC2">
              <w:rPr>
                <w:rFonts w:cs="Arial"/>
                <w:sz w:val="22"/>
                <w:szCs w:val="22"/>
                <w:lang w:val="es"/>
              </w:rPr>
              <w:lastRenderedPageBreak/>
              <w:t>las instituciones de la administración nacional</w:t>
            </w:r>
            <w:r w:rsidR="00997BD1" w:rsidRPr="2C730FC2">
              <w:rPr>
                <w:rFonts w:cs="Arial"/>
                <w:sz w:val="22"/>
                <w:szCs w:val="22"/>
                <w:lang w:val="es"/>
              </w:rPr>
              <w:t>, así como</w:t>
            </w:r>
            <w:r w:rsidRPr="2C730FC2">
              <w:rPr>
                <w:rFonts w:cs="Arial"/>
                <w:sz w:val="22"/>
                <w:szCs w:val="22"/>
                <w:lang w:val="es"/>
              </w:rPr>
              <w:t xml:space="preserve"> elaborar y publicar directrices para su aplicación con requisitos sistemáticos, únicos y obligatorios. </w:t>
            </w:r>
          </w:p>
          <w:p w14:paraId="3599A5F3" w14:textId="5A8B685E" w:rsidR="00302A7B" w:rsidRPr="00AC1C6D" w:rsidRDefault="00302A7B" w:rsidP="01DC77A8">
            <w:pPr>
              <w:jc w:val="both"/>
              <w:rPr>
                <w:rFonts w:cs="Arial"/>
                <w:sz w:val="22"/>
                <w:szCs w:val="22"/>
                <w:lang w:val="es"/>
              </w:rPr>
            </w:pPr>
          </w:p>
          <w:p w14:paraId="7F2796F7" w14:textId="6F621765" w:rsidR="00302A7B" w:rsidRDefault="00997BD1" w:rsidP="01DC77A8">
            <w:pPr>
              <w:jc w:val="both"/>
              <w:rPr>
                <w:rFonts w:cs="Arial"/>
                <w:sz w:val="22"/>
                <w:szCs w:val="22"/>
                <w:lang w:val="es"/>
              </w:rPr>
            </w:pPr>
            <w:r w:rsidRPr="2BFD1533">
              <w:rPr>
                <w:rFonts w:cs="Arial"/>
                <w:sz w:val="22"/>
                <w:szCs w:val="22"/>
                <w:lang w:val="es"/>
              </w:rPr>
              <w:t>Asimismo</w:t>
            </w:r>
            <w:r w:rsidR="01DC77A8" w:rsidRPr="2BFD1533">
              <w:rPr>
                <w:rFonts w:cs="Arial"/>
                <w:sz w:val="22"/>
                <w:szCs w:val="22"/>
                <w:lang w:val="es"/>
              </w:rPr>
              <w:t xml:space="preserve">, recomendó establecer plazos claros en los cuales la autoridad pueda recibir comentarios de la ciudadanía y grupos de interés. </w:t>
            </w:r>
            <w:r w:rsidR="006C4D34" w:rsidRPr="2BFD1533">
              <w:rPr>
                <w:rFonts w:cs="Arial"/>
                <w:sz w:val="22"/>
                <w:szCs w:val="22"/>
                <w:lang w:val="es"/>
              </w:rPr>
              <w:t>Sobre el particular</w:t>
            </w:r>
            <w:r w:rsidR="01DC77A8" w:rsidRPr="2BFD1533">
              <w:rPr>
                <w:rFonts w:cs="Arial"/>
                <w:sz w:val="22"/>
                <w:szCs w:val="22"/>
                <w:lang w:val="es"/>
              </w:rPr>
              <w:t>, la OCDE consider</w:t>
            </w:r>
            <w:r w:rsidR="004D1E38" w:rsidRPr="2BFD1533">
              <w:rPr>
                <w:rFonts w:cs="Arial"/>
                <w:sz w:val="22"/>
                <w:szCs w:val="22"/>
                <w:lang w:val="es"/>
              </w:rPr>
              <w:t>ó</w:t>
            </w:r>
            <w:r w:rsidR="01DC77A8" w:rsidRPr="2BFD1533">
              <w:rPr>
                <w:rFonts w:cs="Arial"/>
                <w:sz w:val="22"/>
                <w:szCs w:val="22"/>
                <w:lang w:val="es"/>
              </w:rPr>
              <w:t xml:space="preserve"> que la consulta pública debe incluir</w:t>
            </w:r>
            <w:r w:rsidR="006C4D34" w:rsidRPr="2BFD1533">
              <w:rPr>
                <w:rFonts w:cs="Arial"/>
                <w:sz w:val="22"/>
                <w:szCs w:val="22"/>
                <w:lang w:val="es"/>
              </w:rPr>
              <w:t>,</w:t>
            </w:r>
            <w:r w:rsidR="01DC77A8" w:rsidRPr="2BFD1533">
              <w:rPr>
                <w:rFonts w:cs="Arial"/>
                <w:sz w:val="22"/>
                <w:szCs w:val="22"/>
                <w:lang w:val="es"/>
              </w:rPr>
              <w:t xml:space="preserve"> no solo el proyecto de regulación</w:t>
            </w:r>
            <w:r w:rsidR="006C4D34" w:rsidRPr="2BFD1533">
              <w:rPr>
                <w:rFonts w:cs="Arial"/>
                <w:sz w:val="22"/>
                <w:szCs w:val="22"/>
                <w:lang w:val="es"/>
              </w:rPr>
              <w:t>,</w:t>
            </w:r>
            <w:r w:rsidR="01DC77A8" w:rsidRPr="2BFD1533">
              <w:rPr>
                <w:rFonts w:cs="Arial"/>
                <w:sz w:val="22"/>
                <w:szCs w:val="22"/>
                <w:lang w:val="es"/>
              </w:rPr>
              <w:t xml:space="preserve"> sino también otros documentos de respaldo de la decisión regulatoria</w:t>
            </w:r>
            <w:r w:rsidR="004D1E38" w:rsidRPr="2BFD1533">
              <w:rPr>
                <w:rFonts w:cs="Arial"/>
                <w:sz w:val="22"/>
                <w:szCs w:val="22"/>
                <w:lang w:val="es"/>
              </w:rPr>
              <w:t xml:space="preserve">; </w:t>
            </w:r>
            <w:r w:rsidR="01DC77A8" w:rsidRPr="2BFD1533">
              <w:rPr>
                <w:rFonts w:cs="Arial"/>
                <w:sz w:val="22"/>
                <w:szCs w:val="22"/>
                <w:lang w:val="es"/>
              </w:rPr>
              <w:t>por ejemplo, evaluaciones de impacto ex ante, análisis de impacto normativo y otras justificaciones que sean relevantes para la expedición de la regulación. La OCDE igualmente recomendó a Colombia establecer de manera clara las reglas sobre la retroalimentación a los participantes luego del periodo de consulta</w:t>
            </w:r>
            <w:r w:rsidR="000550CE" w:rsidRPr="2BFD1533">
              <w:rPr>
                <w:rFonts w:cs="Arial"/>
                <w:sz w:val="22"/>
                <w:szCs w:val="22"/>
                <w:lang w:val="es"/>
              </w:rPr>
              <w:t xml:space="preserve">, y </w:t>
            </w:r>
            <w:r w:rsidR="01DC77A8" w:rsidRPr="2BFD1533">
              <w:rPr>
                <w:rFonts w:cs="Arial"/>
                <w:sz w:val="22"/>
                <w:szCs w:val="22"/>
                <w:lang w:val="es"/>
              </w:rPr>
              <w:t xml:space="preserve">que los comentarios de los ciudadanos sean conocidos públicamente. </w:t>
            </w:r>
          </w:p>
          <w:p w14:paraId="70479689" w14:textId="77777777" w:rsidR="00F076B4" w:rsidRPr="00AC1C6D" w:rsidRDefault="00F076B4" w:rsidP="01DC77A8">
            <w:pPr>
              <w:jc w:val="both"/>
              <w:rPr>
                <w:rFonts w:cs="Arial"/>
                <w:sz w:val="22"/>
                <w:szCs w:val="22"/>
                <w:lang w:val="es-ES"/>
              </w:rPr>
            </w:pPr>
          </w:p>
          <w:p w14:paraId="35BFEACD" w14:textId="6E3FF4B0" w:rsidR="00F076B4" w:rsidRPr="00AC1C6D" w:rsidRDefault="00F076B4" w:rsidP="00F076B4">
            <w:pPr>
              <w:jc w:val="both"/>
              <w:rPr>
                <w:rFonts w:cs="Arial"/>
                <w:sz w:val="22"/>
                <w:szCs w:val="22"/>
              </w:rPr>
            </w:pPr>
            <w:r w:rsidRPr="01DC77A8">
              <w:rPr>
                <w:rFonts w:cs="Arial"/>
                <w:sz w:val="22"/>
                <w:szCs w:val="22"/>
              </w:rPr>
              <w:t>A partir de</w:t>
            </w:r>
            <w:r>
              <w:rPr>
                <w:rFonts w:cs="Arial"/>
                <w:sz w:val="22"/>
                <w:szCs w:val="22"/>
              </w:rPr>
              <w:t xml:space="preserve"> los antecedentes referidos</w:t>
            </w:r>
            <w:r w:rsidRPr="01DC77A8">
              <w:rPr>
                <w:rFonts w:cs="Arial"/>
                <w:sz w:val="22"/>
                <w:szCs w:val="22"/>
              </w:rPr>
              <w:t xml:space="preserve">, el Departamento Nacional de Planeación </w:t>
            </w:r>
            <w:r>
              <w:rPr>
                <w:rFonts w:cs="Arial"/>
                <w:sz w:val="22"/>
                <w:szCs w:val="22"/>
              </w:rPr>
              <w:t>(</w:t>
            </w:r>
            <w:r w:rsidRPr="01DC77A8">
              <w:rPr>
                <w:rFonts w:cs="Arial"/>
                <w:sz w:val="22"/>
                <w:szCs w:val="22"/>
              </w:rPr>
              <w:t>DNP</w:t>
            </w:r>
            <w:r>
              <w:rPr>
                <w:rFonts w:cs="Arial"/>
                <w:sz w:val="22"/>
                <w:szCs w:val="22"/>
              </w:rPr>
              <w:t>)</w:t>
            </w:r>
            <w:r w:rsidRPr="01DC77A8">
              <w:rPr>
                <w:rFonts w:cs="Arial"/>
                <w:sz w:val="22"/>
                <w:szCs w:val="22"/>
              </w:rPr>
              <w:t xml:space="preserve"> desarrolló el SUCOP, como una plataforma que promueve la estandarización, trazabilidad y transparencia de la participación ciudadana en el proceso de producción normativa de las entidades de la Rama Ejecutiva, permitiendo que los sujetos regulados y los terceros interesados realicen de manera efectiva comentarios, observaciones </w:t>
            </w:r>
            <w:r>
              <w:rPr>
                <w:rFonts w:cs="Arial"/>
                <w:sz w:val="22"/>
                <w:szCs w:val="22"/>
              </w:rPr>
              <w:t xml:space="preserve">y </w:t>
            </w:r>
            <w:r w:rsidRPr="01DC77A8">
              <w:rPr>
                <w:rFonts w:cs="Arial"/>
                <w:sz w:val="22"/>
                <w:szCs w:val="22"/>
              </w:rPr>
              <w:t>propuestas alternativas. A</w:t>
            </w:r>
            <w:r>
              <w:rPr>
                <w:rFonts w:cs="Arial"/>
                <w:sz w:val="22"/>
                <w:szCs w:val="22"/>
              </w:rPr>
              <w:t>sí, a</w:t>
            </w:r>
            <w:r w:rsidRPr="01DC77A8">
              <w:rPr>
                <w:rFonts w:cs="Arial"/>
                <w:sz w:val="22"/>
                <w:szCs w:val="22"/>
              </w:rPr>
              <w:t xml:space="preserve"> través de este </w:t>
            </w:r>
            <w:r>
              <w:rPr>
                <w:rFonts w:cs="Arial"/>
                <w:sz w:val="22"/>
                <w:szCs w:val="22"/>
              </w:rPr>
              <w:t>S</w:t>
            </w:r>
            <w:r w:rsidRPr="01DC77A8">
              <w:rPr>
                <w:rFonts w:cs="Arial"/>
                <w:sz w:val="22"/>
                <w:szCs w:val="22"/>
              </w:rPr>
              <w:t>istema</w:t>
            </w:r>
            <w:r>
              <w:rPr>
                <w:rFonts w:cs="Arial"/>
                <w:sz w:val="22"/>
                <w:szCs w:val="22"/>
              </w:rPr>
              <w:t>,</w:t>
            </w:r>
            <w:r w:rsidRPr="01DC77A8">
              <w:rPr>
                <w:rFonts w:cs="Arial"/>
                <w:sz w:val="22"/>
                <w:szCs w:val="22"/>
              </w:rPr>
              <w:t xml:space="preserve"> es posible centralizar los ejercicios de consulta pública de los proyectos normativos y agendas regulatorias de las entidades de la </w:t>
            </w:r>
            <w:r>
              <w:rPr>
                <w:rFonts w:cs="Arial"/>
                <w:sz w:val="22"/>
                <w:szCs w:val="22"/>
              </w:rPr>
              <w:t>R</w:t>
            </w:r>
            <w:r w:rsidRPr="01DC77A8">
              <w:rPr>
                <w:rFonts w:cs="Arial"/>
                <w:sz w:val="22"/>
                <w:szCs w:val="22"/>
              </w:rPr>
              <w:t xml:space="preserve">ama </w:t>
            </w:r>
            <w:r>
              <w:rPr>
                <w:rFonts w:cs="Arial"/>
                <w:sz w:val="22"/>
                <w:szCs w:val="22"/>
              </w:rPr>
              <w:t>E</w:t>
            </w:r>
            <w:r w:rsidRPr="01DC77A8">
              <w:rPr>
                <w:rFonts w:cs="Arial"/>
                <w:sz w:val="22"/>
                <w:szCs w:val="22"/>
              </w:rPr>
              <w:t>jecutiva del nivel nacional.</w:t>
            </w:r>
          </w:p>
          <w:p w14:paraId="5E371A75" w14:textId="392318DB" w:rsidR="00302A7B" w:rsidRPr="00AC1C6D" w:rsidRDefault="00302A7B" w:rsidP="01DC77A8">
            <w:pPr>
              <w:jc w:val="both"/>
              <w:rPr>
                <w:rFonts w:cs="Arial"/>
                <w:sz w:val="22"/>
                <w:szCs w:val="22"/>
              </w:rPr>
            </w:pPr>
          </w:p>
          <w:p w14:paraId="3C103171" w14:textId="67DF2D6A" w:rsidR="00FD5C84" w:rsidRDefault="000550CE" w:rsidP="01DC77A8">
            <w:pPr>
              <w:jc w:val="both"/>
              <w:rPr>
                <w:rFonts w:cs="Arial"/>
                <w:sz w:val="22"/>
                <w:szCs w:val="22"/>
              </w:rPr>
            </w:pPr>
            <w:r>
              <w:rPr>
                <w:rFonts w:cs="Arial"/>
                <w:sz w:val="22"/>
                <w:szCs w:val="22"/>
              </w:rPr>
              <w:t>E</w:t>
            </w:r>
            <w:r w:rsidRPr="01DC77A8">
              <w:rPr>
                <w:rFonts w:cs="Arial"/>
                <w:sz w:val="22"/>
                <w:szCs w:val="22"/>
              </w:rPr>
              <w:t>ntre mayo de 2019 y mayo de 2022</w:t>
            </w:r>
            <w:r w:rsidR="01DC77A8" w:rsidRPr="01DC77A8">
              <w:rPr>
                <w:rFonts w:cs="Arial"/>
                <w:sz w:val="22"/>
                <w:szCs w:val="22"/>
              </w:rPr>
              <w:t>, a través de</w:t>
            </w:r>
            <w:r>
              <w:rPr>
                <w:rFonts w:cs="Arial"/>
                <w:sz w:val="22"/>
                <w:szCs w:val="22"/>
              </w:rPr>
              <w:t>l SUCOP</w:t>
            </w:r>
            <w:r w:rsidR="01DC77A8" w:rsidRPr="01DC77A8">
              <w:rPr>
                <w:rFonts w:cs="Arial"/>
                <w:sz w:val="22"/>
                <w:szCs w:val="22"/>
              </w:rPr>
              <w:t>, se han realizado 109 consultas públicas con más de 21 entidades de</w:t>
            </w:r>
            <w:r w:rsidR="00FD5C84">
              <w:rPr>
                <w:rFonts w:cs="Arial"/>
                <w:sz w:val="22"/>
                <w:szCs w:val="22"/>
              </w:rPr>
              <w:t>l</w:t>
            </w:r>
            <w:r w:rsidR="01DC77A8" w:rsidRPr="01DC77A8">
              <w:rPr>
                <w:rFonts w:cs="Arial"/>
                <w:sz w:val="22"/>
                <w:szCs w:val="22"/>
              </w:rPr>
              <w:t xml:space="preserve"> orden nacional y territorial, contando con la interacción de cerca de 12.761 usuarios en la consulta de agendas regulatorias, proyectos normativos, AIN ex ante y ex post, ejercicios de depuración normativa y documentos CONPES. </w:t>
            </w:r>
          </w:p>
          <w:p w14:paraId="6EEDEAF2" w14:textId="77777777" w:rsidR="00FD5C84" w:rsidRDefault="00FD5C84" w:rsidP="01DC77A8">
            <w:pPr>
              <w:jc w:val="both"/>
              <w:rPr>
                <w:rFonts w:cs="Arial"/>
                <w:sz w:val="22"/>
                <w:szCs w:val="22"/>
              </w:rPr>
            </w:pPr>
          </w:p>
          <w:p w14:paraId="0EAE1EC3" w14:textId="0950FCF1" w:rsidR="00302A7B" w:rsidRPr="00AC1C6D" w:rsidRDefault="00FD5C84" w:rsidP="01DC77A8">
            <w:pPr>
              <w:jc w:val="both"/>
              <w:rPr>
                <w:rFonts w:cs="Arial"/>
                <w:sz w:val="22"/>
                <w:szCs w:val="22"/>
              </w:rPr>
            </w:pPr>
            <w:r>
              <w:rPr>
                <w:rFonts w:cs="Arial"/>
                <w:sz w:val="22"/>
                <w:szCs w:val="22"/>
              </w:rPr>
              <w:t xml:space="preserve">De este modo, </w:t>
            </w:r>
            <w:r w:rsidR="00A074E1">
              <w:rPr>
                <w:rFonts w:cs="Arial"/>
                <w:sz w:val="22"/>
                <w:szCs w:val="22"/>
              </w:rPr>
              <w:t>es posible evidenciar que e</w:t>
            </w:r>
            <w:r w:rsidR="01DC77A8" w:rsidRPr="01DC77A8">
              <w:rPr>
                <w:rFonts w:cs="Arial"/>
                <w:sz w:val="22"/>
                <w:szCs w:val="22"/>
              </w:rPr>
              <w:t>l SUCOP ha permitido promover la estandarización, trazabilidad y transparencia de la participación ciudadana en el proceso de producción normativa de entidades de la Rama Ejecutiva a nivel nacional y territorial</w:t>
            </w:r>
            <w:r w:rsidR="00A074E1">
              <w:rPr>
                <w:rFonts w:cs="Arial"/>
                <w:sz w:val="22"/>
                <w:szCs w:val="22"/>
              </w:rPr>
              <w:t>, que de manera facultat</w:t>
            </w:r>
            <w:r w:rsidR="003813DE">
              <w:rPr>
                <w:rFonts w:cs="Arial"/>
                <w:sz w:val="22"/>
                <w:szCs w:val="22"/>
              </w:rPr>
              <w:t>iva han implementado esta plataforma</w:t>
            </w:r>
            <w:r w:rsidR="00B10CA9">
              <w:rPr>
                <w:rFonts w:cs="Arial"/>
                <w:sz w:val="22"/>
                <w:szCs w:val="22"/>
              </w:rPr>
              <w:t>, con el acompañamiento del DNP</w:t>
            </w:r>
            <w:r w:rsidR="01DC77A8" w:rsidRPr="01DC77A8">
              <w:rPr>
                <w:rFonts w:cs="Arial"/>
                <w:sz w:val="22"/>
                <w:szCs w:val="22"/>
              </w:rPr>
              <w:t>.</w:t>
            </w:r>
          </w:p>
          <w:p w14:paraId="5B6C5CE4" w14:textId="0156A994" w:rsidR="00302A7B" w:rsidRPr="00AC1C6D" w:rsidRDefault="00302A7B" w:rsidP="01DC77A8">
            <w:pPr>
              <w:jc w:val="both"/>
              <w:rPr>
                <w:rFonts w:cs="Arial"/>
                <w:sz w:val="22"/>
                <w:szCs w:val="22"/>
                <w:lang w:val="es"/>
              </w:rPr>
            </w:pPr>
          </w:p>
          <w:p w14:paraId="0ABAE739" w14:textId="746A3B1C" w:rsidR="00302A7B" w:rsidRPr="00AC1C6D" w:rsidRDefault="01DC77A8" w:rsidP="01DC77A8">
            <w:pPr>
              <w:jc w:val="both"/>
              <w:rPr>
                <w:rFonts w:cs="Arial"/>
                <w:sz w:val="22"/>
                <w:szCs w:val="22"/>
              </w:rPr>
            </w:pPr>
            <w:r w:rsidRPr="01DC77A8">
              <w:rPr>
                <w:rFonts w:cs="Arial"/>
                <w:sz w:val="22"/>
                <w:szCs w:val="22"/>
                <w:lang w:val="es"/>
              </w:rPr>
              <w:t>A pesar de lo anterior, el SUCOP no cuenta aún con un uso efectivo y homogéneo de parte de</w:t>
            </w:r>
            <w:r w:rsidR="00B10CA9">
              <w:rPr>
                <w:rFonts w:cs="Arial"/>
                <w:sz w:val="22"/>
                <w:szCs w:val="22"/>
                <w:lang w:val="es"/>
              </w:rPr>
              <w:t xml:space="preserve"> la totalidad de</w:t>
            </w:r>
            <w:r w:rsidRPr="01DC77A8">
              <w:rPr>
                <w:rFonts w:cs="Arial"/>
                <w:sz w:val="22"/>
                <w:szCs w:val="22"/>
                <w:lang w:val="es"/>
              </w:rPr>
              <w:t xml:space="preserve"> entidades de la </w:t>
            </w:r>
            <w:r w:rsidR="00A074E1">
              <w:rPr>
                <w:rFonts w:cs="Arial"/>
                <w:sz w:val="22"/>
                <w:szCs w:val="22"/>
                <w:lang w:val="es"/>
              </w:rPr>
              <w:t>R</w:t>
            </w:r>
            <w:r w:rsidRPr="01DC77A8">
              <w:rPr>
                <w:rFonts w:cs="Arial"/>
                <w:sz w:val="22"/>
                <w:szCs w:val="22"/>
                <w:lang w:val="es"/>
              </w:rPr>
              <w:t xml:space="preserve">ama </w:t>
            </w:r>
            <w:r w:rsidR="00A074E1">
              <w:rPr>
                <w:rFonts w:cs="Arial"/>
                <w:sz w:val="22"/>
                <w:szCs w:val="22"/>
                <w:lang w:val="es"/>
              </w:rPr>
              <w:t>E</w:t>
            </w:r>
            <w:r w:rsidRPr="01DC77A8">
              <w:rPr>
                <w:rFonts w:cs="Arial"/>
                <w:sz w:val="22"/>
                <w:szCs w:val="22"/>
                <w:lang w:val="es"/>
              </w:rPr>
              <w:t xml:space="preserve">jecutiva del nivel nacional, el cual garantice la consulta y participación de los actores involucrados en el proceso regulatorio. Por lo tanto, </w:t>
            </w:r>
            <w:r w:rsidRPr="01DC77A8">
              <w:rPr>
                <w:rFonts w:cs="Arial"/>
                <w:sz w:val="22"/>
                <w:szCs w:val="22"/>
              </w:rPr>
              <w:t xml:space="preserve">resulta necesario </w:t>
            </w:r>
            <w:r w:rsidRPr="01DC77A8">
              <w:rPr>
                <w:rFonts w:cs="Arial"/>
                <w:sz w:val="22"/>
                <w:szCs w:val="22"/>
                <w:lang w:val="es-ES"/>
              </w:rPr>
              <w:t>institucionalizar el</w:t>
            </w:r>
            <w:r w:rsidR="0062397C">
              <w:rPr>
                <w:rFonts w:cs="Arial"/>
                <w:sz w:val="22"/>
                <w:szCs w:val="22"/>
                <w:lang w:val="es-ES"/>
              </w:rPr>
              <w:t xml:space="preserve"> uso de este</w:t>
            </w:r>
            <w:r w:rsidRPr="01DC77A8">
              <w:rPr>
                <w:rFonts w:cs="Arial"/>
                <w:sz w:val="22"/>
                <w:szCs w:val="22"/>
                <w:lang w:val="es-ES"/>
              </w:rPr>
              <w:t xml:space="preserve"> Sistema en el ordenamiento jurídico</w:t>
            </w:r>
            <w:r w:rsidR="0062397C">
              <w:rPr>
                <w:rFonts w:cs="Arial"/>
                <w:sz w:val="22"/>
                <w:szCs w:val="22"/>
                <w:lang w:val="es-ES"/>
              </w:rPr>
              <w:t>,</w:t>
            </w:r>
            <w:r w:rsidRPr="01DC77A8">
              <w:rPr>
                <w:rFonts w:cs="Arial"/>
                <w:sz w:val="22"/>
                <w:szCs w:val="22"/>
                <w:lang w:val="es-ES"/>
              </w:rPr>
              <w:t xml:space="preserve"> en cumplimiento del Plan Nacional de Desarrollo </w:t>
            </w:r>
            <w:r w:rsidR="0062397C">
              <w:rPr>
                <w:rFonts w:cs="Arial"/>
                <w:sz w:val="22"/>
                <w:szCs w:val="22"/>
                <w:lang w:val="es-ES"/>
              </w:rPr>
              <w:t xml:space="preserve">2018-2022 </w:t>
            </w:r>
            <w:r w:rsidRPr="01DC77A8">
              <w:rPr>
                <w:rFonts w:cs="Arial"/>
                <w:sz w:val="22"/>
                <w:szCs w:val="22"/>
                <w:lang w:val="es-ES"/>
              </w:rPr>
              <w:t xml:space="preserve">y los compromisos post acceso a la OCDE y, en consecuencia, actualizar las Directrices Generales de Técnica Normativa previstas en el </w:t>
            </w:r>
            <w:r w:rsidR="006546D1" w:rsidRPr="01DC77A8">
              <w:rPr>
                <w:rFonts w:cs="Arial"/>
                <w:sz w:val="22"/>
                <w:szCs w:val="22"/>
              </w:rPr>
              <w:t xml:space="preserve">Decreto 1081 de 2015, Reglamentario </w:t>
            </w:r>
            <w:r w:rsidR="006A0692" w:rsidRPr="01DC77A8">
              <w:rPr>
                <w:rFonts w:cs="Arial"/>
                <w:sz w:val="22"/>
                <w:szCs w:val="22"/>
              </w:rPr>
              <w:t>Único </w:t>
            </w:r>
            <w:r w:rsidR="006546D1" w:rsidRPr="01DC77A8">
              <w:rPr>
                <w:rFonts w:cs="Arial"/>
                <w:sz w:val="22"/>
                <w:szCs w:val="22"/>
              </w:rPr>
              <w:t>del</w:t>
            </w:r>
            <w:r w:rsidR="006A0692">
              <w:rPr>
                <w:rFonts w:cs="Arial"/>
                <w:sz w:val="22"/>
                <w:szCs w:val="22"/>
              </w:rPr>
              <w:t xml:space="preserve"> Sector</w:t>
            </w:r>
            <w:r w:rsidR="006546D1" w:rsidRPr="01DC77A8">
              <w:rPr>
                <w:rFonts w:cs="Arial"/>
                <w:sz w:val="22"/>
                <w:szCs w:val="22"/>
              </w:rPr>
              <w:t xml:space="preserve"> Presidencia de la República</w:t>
            </w:r>
            <w:r w:rsidR="002149F6">
              <w:rPr>
                <w:rFonts w:cs="Arial"/>
                <w:sz w:val="22"/>
                <w:szCs w:val="22"/>
              </w:rPr>
              <w:t>, en lo aplicable</w:t>
            </w:r>
            <w:r w:rsidR="006546D1" w:rsidRPr="01DC77A8">
              <w:rPr>
                <w:rFonts w:cs="Arial"/>
                <w:sz w:val="22"/>
                <w:szCs w:val="22"/>
              </w:rPr>
              <w:t>.</w:t>
            </w:r>
          </w:p>
        </w:tc>
      </w:tr>
      <w:tr w:rsidR="00DF60FD" w:rsidRPr="008E004C" w14:paraId="1E648C85" w14:textId="77777777" w:rsidTr="2BFD1533">
        <w:trPr>
          <w:trHeight w:val="47"/>
        </w:trPr>
        <w:tc>
          <w:tcPr>
            <w:tcW w:w="10774" w:type="dxa"/>
            <w:gridSpan w:val="3"/>
            <w:shd w:val="clear" w:color="auto" w:fill="FFFFFF" w:themeFill="background1"/>
            <w:vAlign w:val="center"/>
          </w:tcPr>
          <w:p w14:paraId="58F3DCA5" w14:textId="77777777" w:rsidR="00251FCE" w:rsidRPr="008E004C" w:rsidRDefault="00251FCE" w:rsidP="0075705D">
            <w:pPr>
              <w:jc w:val="both"/>
              <w:rPr>
                <w:rFonts w:cs="Arial"/>
                <w:sz w:val="22"/>
                <w:szCs w:val="22"/>
                <w:lang w:eastAsia="es-CO"/>
              </w:rPr>
            </w:pPr>
          </w:p>
        </w:tc>
      </w:tr>
      <w:tr w:rsidR="00DF60FD" w:rsidRPr="008E004C" w14:paraId="63991DB5" w14:textId="77777777" w:rsidTr="2BFD1533">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126F9759" w14:textId="77777777" w:rsidR="00A31C03" w:rsidRPr="008E004C" w:rsidRDefault="00DF60FD" w:rsidP="00A31C03">
            <w:pPr>
              <w:numPr>
                <w:ilvl w:val="0"/>
                <w:numId w:val="44"/>
              </w:numPr>
              <w:ind w:left="494"/>
              <w:rPr>
                <w:rFonts w:cs="Arial"/>
                <w:b/>
                <w:color w:val="000000"/>
                <w:sz w:val="22"/>
                <w:szCs w:val="22"/>
              </w:rPr>
            </w:pPr>
            <w:r w:rsidRPr="01DC77A8">
              <w:rPr>
                <w:rFonts w:cs="Arial"/>
                <w:b/>
                <w:bCs/>
                <w:color w:val="000000" w:themeColor="text1"/>
                <w:sz w:val="22"/>
                <w:szCs w:val="22"/>
              </w:rPr>
              <w:t>AMBITO DE APLICACIÓN Y SUJETO</w:t>
            </w:r>
            <w:r w:rsidR="00795C6B" w:rsidRPr="01DC77A8">
              <w:rPr>
                <w:rFonts w:cs="Arial"/>
                <w:b/>
                <w:bCs/>
                <w:color w:val="000000" w:themeColor="text1"/>
                <w:sz w:val="22"/>
                <w:szCs w:val="22"/>
              </w:rPr>
              <w:t>S</w:t>
            </w:r>
            <w:r w:rsidRPr="01DC77A8">
              <w:rPr>
                <w:rFonts w:cs="Arial"/>
                <w:b/>
                <w:bCs/>
                <w:color w:val="000000" w:themeColor="text1"/>
                <w:sz w:val="22"/>
                <w:szCs w:val="22"/>
              </w:rPr>
              <w:t xml:space="preserve"> A QUIEN</w:t>
            </w:r>
            <w:r w:rsidR="00795C6B" w:rsidRPr="01DC77A8">
              <w:rPr>
                <w:rFonts w:cs="Arial"/>
                <w:b/>
                <w:bCs/>
                <w:color w:val="000000" w:themeColor="text1"/>
                <w:sz w:val="22"/>
                <w:szCs w:val="22"/>
              </w:rPr>
              <w:t>ES</w:t>
            </w:r>
            <w:r w:rsidRPr="01DC77A8">
              <w:rPr>
                <w:rFonts w:cs="Arial"/>
                <w:b/>
                <w:bCs/>
                <w:color w:val="000000" w:themeColor="text1"/>
                <w:sz w:val="22"/>
                <w:szCs w:val="22"/>
              </w:rPr>
              <w:t xml:space="preserve"> VA DIRIGIDO</w:t>
            </w:r>
          </w:p>
          <w:p w14:paraId="5E0DDA51" w14:textId="77777777" w:rsidR="00A31C03" w:rsidRPr="008E004C" w:rsidRDefault="00A31C03" w:rsidP="01DC77A8">
            <w:pPr>
              <w:ind w:left="64"/>
              <w:rPr>
                <w:rFonts w:cs="Arial"/>
                <w:b/>
                <w:bCs/>
                <w:color w:val="000000"/>
                <w:sz w:val="22"/>
                <w:szCs w:val="22"/>
              </w:rPr>
            </w:pPr>
          </w:p>
          <w:p w14:paraId="4B6C8817" w14:textId="077279D9" w:rsidR="00795C6B" w:rsidRPr="008E004C" w:rsidRDefault="01DC77A8" w:rsidP="01DC77A8">
            <w:pPr>
              <w:jc w:val="both"/>
              <w:rPr>
                <w:rFonts w:eastAsia="Arial" w:cs="Arial"/>
                <w:color w:val="000000" w:themeColor="text1"/>
              </w:rPr>
            </w:pPr>
            <w:r w:rsidRPr="01DC77A8">
              <w:rPr>
                <w:rFonts w:eastAsia="Arial" w:cs="Arial"/>
                <w:sz w:val="22"/>
                <w:szCs w:val="22"/>
              </w:rPr>
              <w:t xml:space="preserve">Las disposiciones del presente proyecto de Decreto tienen aplicación en las entidades </w:t>
            </w:r>
            <w:r w:rsidRPr="01DC77A8">
              <w:rPr>
                <w:rFonts w:eastAsia="Arial" w:cs="Arial"/>
                <w:sz w:val="22"/>
                <w:szCs w:val="22"/>
                <w:lang w:val="es-ES"/>
              </w:rPr>
              <w:t>de la Rama Ejecutiva del orden nacional del sector central y descentralizado que</w:t>
            </w:r>
            <w:r w:rsidR="002149F6">
              <w:rPr>
                <w:rFonts w:eastAsia="Arial" w:cs="Arial"/>
                <w:sz w:val="22"/>
                <w:szCs w:val="22"/>
                <w:lang w:val="es-ES"/>
              </w:rPr>
              <w:t>,</w:t>
            </w:r>
            <w:r w:rsidRPr="01DC77A8">
              <w:rPr>
                <w:rFonts w:eastAsia="Arial" w:cs="Arial"/>
                <w:sz w:val="22"/>
                <w:szCs w:val="22"/>
                <w:lang w:val="es-ES"/>
              </w:rPr>
              <w:t xml:space="preserve"> </w:t>
            </w:r>
            <w:proofErr w:type="gramStart"/>
            <w:r w:rsidRPr="01DC77A8">
              <w:rPr>
                <w:rFonts w:eastAsia="Arial" w:cs="Arial"/>
                <w:sz w:val="22"/>
                <w:szCs w:val="22"/>
                <w:lang w:val="es-ES"/>
              </w:rPr>
              <w:t>en razón de</w:t>
            </w:r>
            <w:proofErr w:type="gramEnd"/>
            <w:r w:rsidRPr="01DC77A8">
              <w:rPr>
                <w:rFonts w:eastAsia="Arial" w:cs="Arial"/>
                <w:sz w:val="22"/>
                <w:szCs w:val="22"/>
                <w:lang w:val="es-ES"/>
              </w:rPr>
              <w:t xml:space="preserve"> sus funciones</w:t>
            </w:r>
            <w:r w:rsidR="002149F6">
              <w:rPr>
                <w:rFonts w:eastAsia="Arial" w:cs="Arial"/>
                <w:sz w:val="22"/>
                <w:szCs w:val="22"/>
                <w:lang w:val="es-ES"/>
              </w:rPr>
              <w:t>,</w:t>
            </w:r>
            <w:r w:rsidRPr="01DC77A8">
              <w:rPr>
                <w:rFonts w:eastAsia="Arial" w:cs="Arial"/>
                <w:sz w:val="22"/>
                <w:szCs w:val="22"/>
                <w:lang w:val="es-ES"/>
              </w:rPr>
              <w:t xml:space="preserve"> deban elaborar proyectos específicos de regulación, incluidos aquellos que requieran la firma del Presidente de la República.</w:t>
            </w:r>
          </w:p>
          <w:p w14:paraId="547D3CFA" w14:textId="2D6B8F9C" w:rsidR="00795C6B" w:rsidRPr="008E004C" w:rsidRDefault="00795C6B" w:rsidP="01DC77A8">
            <w:pPr>
              <w:jc w:val="both"/>
              <w:rPr>
                <w:rFonts w:eastAsia="Arial" w:cs="Arial"/>
                <w:color w:val="000000" w:themeColor="text1"/>
                <w:lang w:val="es-ES"/>
              </w:rPr>
            </w:pPr>
          </w:p>
        </w:tc>
      </w:tr>
      <w:tr w:rsidR="00DF60FD" w:rsidRPr="008E004C" w14:paraId="210C16D6" w14:textId="77777777" w:rsidTr="2BFD1533">
        <w:trPr>
          <w:trHeight w:val="278"/>
        </w:trPr>
        <w:tc>
          <w:tcPr>
            <w:tcW w:w="10774" w:type="dxa"/>
            <w:gridSpan w:val="3"/>
            <w:tcBorders>
              <w:bottom w:val="single" w:sz="4" w:space="0" w:color="auto"/>
            </w:tcBorders>
            <w:shd w:val="clear" w:color="auto" w:fill="FFFFFF" w:themeFill="background1"/>
            <w:vAlign w:val="center"/>
          </w:tcPr>
          <w:p w14:paraId="04158F43" w14:textId="77777777" w:rsidR="00D05B67" w:rsidRPr="008E004C" w:rsidRDefault="00795C6B" w:rsidP="00A72E3D">
            <w:pPr>
              <w:ind w:left="494" w:hanging="283"/>
              <w:rPr>
                <w:rFonts w:cs="Arial"/>
                <w:b/>
                <w:color w:val="000000"/>
                <w:sz w:val="22"/>
                <w:szCs w:val="22"/>
              </w:rPr>
            </w:pPr>
            <w:r w:rsidRPr="008E004C">
              <w:rPr>
                <w:rFonts w:cs="Arial"/>
                <w:b/>
                <w:color w:val="000000"/>
                <w:sz w:val="22"/>
                <w:szCs w:val="22"/>
              </w:rPr>
              <w:t xml:space="preserve">3. </w:t>
            </w:r>
            <w:r w:rsidR="00DF60FD" w:rsidRPr="008E004C">
              <w:rPr>
                <w:rFonts w:cs="Arial"/>
                <w:b/>
                <w:color w:val="000000"/>
                <w:sz w:val="22"/>
                <w:szCs w:val="22"/>
              </w:rPr>
              <w:t>VIABILIDAD JURÍDICA</w:t>
            </w:r>
          </w:p>
          <w:p w14:paraId="4A259D09" w14:textId="77777777" w:rsidR="00D05B67" w:rsidRPr="008E004C" w:rsidRDefault="00D05B67" w:rsidP="0075705D">
            <w:pPr>
              <w:ind w:left="494" w:hanging="283"/>
              <w:rPr>
                <w:rFonts w:cs="Arial"/>
                <w:i/>
                <w:color w:val="808080"/>
                <w:sz w:val="22"/>
                <w:szCs w:val="22"/>
              </w:rPr>
            </w:pPr>
          </w:p>
          <w:p w14:paraId="200635BE" w14:textId="77777777" w:rsidR="00795C6B" w:rsidRPr="008E004C" w:rsidRDefault="00795C6B" w:rsidP="0075705D">
            <w:pPr>
              <w:ind w:left="494" w:hanging="283"/>
              <w:jc w:val="both"/>
              <w:rPr>
                <w:rFonts w:cs="Arial"/>
                <w:b/>
                <w:bCs/>
                <w:sz w:val="22"/>
                <w:szCs w:val="22"/>
                <w:lang w:eastAsia="es-CO"/>
              </w:rPr>
            </w:pPr>
            <w:r w:rsidRPr="008E004C">
              <w:rPr>
                <w:rFonts w:cs="Arial"/>
                <w:b/>
                <w:bCs/>
                <w:sz w:val="22"/>
                <w:szCs w:val="22"/>
                <w:lang w:eastAsia="es-CO"/>
              </w:rPr>
              <w:t>3.1 Análisis de las normas que otorgan la competencia para la expedición del proyecto normativo</w:t>
            </w:r>
          </w:p>
          <w:p w14:paraId="29487AD7" w14:textId="77777777" w:rsidR="00795C6B" w:rsidRPr="008E004C" w:rsidRDefault="00795C6B" w:rsidP="00A31C03">
            <w:pPr>
              <w:jc w:val="both"/>
              <w:rPr>
                <w:rFonts w:cs="Arial"/>
                <w:sz w:val="22"/>
                <w:szCs w:val="22"/>
                <w:lang w:eastAsia="es-CO"/>
              </w:rPr>
            </w:pPr>
          </w:p>
          <w:p w14:paraId="098B3585" w14:textId="47673731" w:rsidR="00C31BC7" w:rsidRDefault="01DC77A8" w:rsidP="00A31C03">
            <w:pPr>
              <w:jc w:val="both"/>
              <w:rPr>
                <w:rFonts w:eastAsia="Arial" w:cs="Arial"/>
                <w:sz w:val="22"/>
                <w:szCs w:val="22"/>
              </w:rPr>
            </w:pPr>
            <w:r w:rsidRPr="2BFD1533">
              <w:rPr>
                <w:rFonts w:eastAsia="Arial" w:cs="Arial"/>
                <w:sz w:val="22"/>
                <w:szCs w:val="22"/>
              </w:rPr>
              <w:t>Conforme al numeral 11 del artículo 189 de la Constitución Política</w:t>
            </w:r>
            <w:r w:rsidR="004D1E38" w:rsidRPr="2BFD1533">
              <w:rPr>
                <w:rFonts w:eastAsia="Arial" w:cs="Arial"/>
                <w:sz w:val="22"/>
                <w:szCs w:val="22"/>
              </w:rPr>
              <w:t xml:space="preserve"> y el artículo 56 de la Ley 489 de 1998</w:t>
            </w:r>
            <w:r w:rsidRPr="2BFD1533">
              <w:rPr>
                <w:rFonts w:eastAsia="Arial" w:cs="Arial"/>
                <w:sz w:val="22"/>
                <w:szCs w:val="22"/>
              </w:rPr>
              <w:t>, corresponde al Presidente de la República como Jefe de Estado, Jefe del Gobierno y Suprema Autoridad Administrativa “(…) ejercer la potestad reglamentaria, mediante la expedición de los decretos, resoluciones y órdenes necesarios para la cumplida ejecución de las leyes”</w:t>
            </w:r>
            <w:r w:rsidR="004D1E38" w:rsidRPr="2BFD1533">
              <w:rPr>
                <w:rFonts w:eastAsia="Arial" w:cs="Arial"/>
                <w:sz w:val="22"/>
                <w:szCs w:val="22"/>
              </w:rPr>
              <w:t>, así como “la suprema dirección y la coordinación y control de la actividad de los organismos y entidades administrativos, al tenor del artículo 189 de la Constitución Política”</w:t>
            </w:r>
            <w:r w:rsidR="00B3434A">
              <w:rPr>
                <w:rFonts w:eastAsia="Arial" w:cs="Arial"/>
                <w:sz w:val="22"/>
                <w:szCs w:val="22"/>
              </w:rPr>
              <w:t>.</w:t>
            </w:r>
          </w:p>
          <w:p w14:paraId="5DBD2F1C" w14:textId="3DC53CFC" w:rsidR="00B3434A" w:rsidRDefault="00B3434A" w:rsidP="00A31C03">
            <w:pPr>
              <w:jc w:val="both"/>
              <w:rPr>
                <w:rFonts w:eastAsia="Arial" w:cs="Arial"/>
                <w:sz w:val="22"/>
                <w:szCs w:val="22"/>
              </w:rPr>
            </w:pPr>
          </w:p>
          <w:p w14:paraId="52C15408" w14:textId="4FCB6F06" w:rsidR="00B3434A" w:rsidRDefault="00B3434A" w:rsidP="00A31C03">
            <w:pPr>
              <w:jc w:val="both"/>
              <w:rPr>
                <w:rFonts w:eastAsia="Arial" w:cs="Arial"/>
                <w:sz w:val="22"/>
                <w:szCs w:val="22"/>
              </w:rPr>
            </w:pPr>
            <w:r>
              <w:rPr>
                <w:rFonts w:eastAsia="Arial" w:cs="Arial"/>
                <w:sz w:val="22"/>
                <w:szCs w:val="22"/>
              </w:rPr>
              <w:lastRenderedPageBreak/>
              <w:t>Por su parte, el artículo 56 de la Ley 489 de 1998 dispone que le c</w:t>
            </w:r>
            <w:r w:rsidRPr="00B3434A">
              <w:rPr>
                <w:rFonts w:eastAsia="Arial" w:cs="Arial"/>
                <w:sz w:val="22"/>
                <w:szCs w:val="22"/>
              </w:rPr>
              <w:t>orresponde al Presidente de la República la suprema dirección y la coordinación y control de la actividad de los organismos y entidades administrativos, al tenor del artículo 189 de la Constitución Política.</w:t>
            </w:r>
          </w:p>
          <w:p w14:paraId="16437558" w14:textId="295BCB9A" w:rsidR="004D1E38" w:rsidRDefault="004D1E38" w:rsidP="004D1E38">
            <w:pPr>
              <w:rPr>
                <w:rFonts w:ascii="Work Sans" w:hAnsi="Work Sans"/>
                <w:color w:val="333333"/>
                <w:sz w:val="25"/>
                <w:szCs w:val="25"/>
                <w:shd w:val="clear" w:color="auto" w:fill="FFFFFF"/>
              </w:rPr>
            </w:pPr>
          </w:p>
          <w:p w14:paraId="14D86564" w14:textId="7D34549B" w:rsidR="004D1E38" w:rsidRDefault="004D1E38" w:rsidP="004D1E38">
            <w:pPr>
              <w:jc w:val="both"/>
              <w:rPr>
                <w:rFonts w:eastAsia="Arial" w:cs="Arial"/>
                <w:sz w:val="22"/>
                <w:szCs w:val="22"/>
              </w:rPr>
            </w:pPr>
            <w:r w:rsidRPr="004D1E38">
              <w:rPr>
                <w:rFonts w:eastAsia="Arial" w:cs="Arial"/>
                <w:sz w:val="22"/>
                <w:szCs w:val="22"/>
              </w:rPr>
              <w:t>Asimismo, el artículo 8 de la Ley 1437 de 2011</w:t>
            </w:r>
            <w:r>
              <w:rPr>
                <w:rFonts w:eastAsia="Arial" w:cs="Arial"/>
                <w:sz w:val="22"/>
                <w:szCs w:val="22"/>
              </w:rPr>
              <w:t xml:space="preserve"> </w:t>
            </w:r>
            <w:r w:rsidRPr="004D1E38">
              <w:rPr>
                <w:rFonts w:eastAsia="Arial" w:cs="Arial"/>
                <w:sz w:val="22"/>
                <w:szCs w:val="22"/>
              </w:rPr>
              <w:t>señala</w:t>
            </w:r>
            <w:r>
              <w:rPr>
                <w:rFonts w:eastAsia="Arial" w:cs="Arial"/>
                <w:sz w:val="22"/>
                <w:szCs w:val="22"/>
              </w:rPr>
              <w:t xml:space="preserve"> </w:t>
            </w:r>
            <w:r w:rsidRPr="004D1E38">
              <w:rPr>
                <w:rFonts w:eastAsia="Arial" w:cs="Arial"/>
                <w:sz w:val="22"/>
                <w:szCs w:val="22"/>
              </w:rPr>
              <w:t xml:space="preserve">que </w:t>
            </w:r>
            <w:r>
              <w:rPr>
                <w:rFonts w:eastAsia="Arial" w:cs="Arial"/>
                <w:sz w:val="22"/>
                <w:szCs w:val="22"/>
              </w:rPr>
              <w:t>la</w:t>
            </w:r>
            <w:r w:rsidRPr="004D1E38">
              <w:rPr>
                <w:rFonts w:eastAsia="Arial" w:cs="Arial"/>
                <w:sz w:val="22"/>
                <w:szCs w:val="22"/>
              </w:rPr>
              <w:t xml:space="preserve">s autoridades deberán mantener a disposición de toda persona información completa y actualizada, en el sitio de atención y en la página electrónica, y suministrarla a través de los medios impresos y electrónicos de que disponga, y por medio telefónico o por correo, entre otros, </w:t>
            </w:r>
            <w:r>
              <w:rPr>
                <w:rFonts w:eastAsia="Arial" w:cs="Arial"/>
                <w:sz w:val="22"/>
                <w:szCs w:val="22"/>
              </w:rPr>
              <w:t xml:space="preserve">sobre </w:t>
            </w:r>
            <w:r w:rsidRPr="004D1E38">
              <w:rPr>
                <w:rFonts w:eastAsia="Arial" w:cs="Arial"/>
                <w:sz w:val="22"/>
                <w:szCs w:val="22"/>
              </w:rPr>
              <w:t>los siguientes aspectos:</w:t>
            </w:r>
          </w:p>
          <w:p w14:paraId="5B9EA855" w14:textId="77777777" w:rsidR="004D1E38" w:rsidRPr="004D1E38" w:rsidRDefault="004D1E38" w:rsidP="004D1E38">
            <w:pPr>
              <w:jc w:val="both"/>
              <w:rPr>
                <w:rFonts w:eastAsia="Arial" w:cs="Arial"/>
                <w:sz w:val="22"/>
                <w:szCs w:val="22"/>
              </w:rPr>
            </w:pPr>
          </w:p>
          <w:p w14:paraId="17BCECC6" w14:textId="1195DAB6" w:rsidR="004D1E38" w:rsidRPr="004D1E38" w:rsidRDefault="004D1E38" w:rsidP="004D1E38">
            <w:pPr>
              <w:shd w:val="clear" w:color="auto" w:fill="FFFFFF"/>
              <w:spacing w:after="100" w:afterAutospacing="1"/>
              <w:ind w:left="286" w:right="288"/>
              <w:jc w:val="both"/>
              <w:rPr>
                <w:rFonts w:eastAsia="Arial" w:cs="Arial"/>
                <w:sz w:val="22"/>
                <w:szCs w:val="22"/>
              </w:rPr>
            </w:pPr>
            <w:r w:rsidRPr="004D1E38">
              <w:rPr>
                <w:rFonts w:eastAsia="Arial" w:cs="Arial"/>
                <w:sz w:val="22"/>
                <w:szCs w:val="22"/>
              </w:rPr>
              <w:t>“3. Las regulaciones, procedimientos, trámites y términos a que están sujetas las actuaciones de los particulares frente al respectivo organismo o entidad.</w:t>
            </w:r>
          </w:p>
          <w:p w14:paraId="45D427EB" w14:textId="77777777" w:rsidR="004D1E38" w:rsidRPr="004D1E38" w:rsidRDefault="004D1E38" w:rsidP="004D1E38">
            <w:pPr>
              <w:shd w:val="clear" w:color="auto" w:fill="FFFFFF"/>
              <w:spacing w:after="100" w:afterAutospacing="1"/>
              <w:ind w:left="286" w:right="288"/>
              <w:jc w:val="both"/>
              <w:rPr>
                <w:rFonts w:eastAsia="Arial" w:cs="Arial"/>
                <w:sz w:val="22"/>
                <w:szCs w:val="22"/>
              </w:rPr>
            </w:pPr>
            <w:r w:rsidRPr="004D1E38">
              <w:rPr>
                <w:rFonts w:eastAsia="Arial" w:cs="Arial"/>
                <w:sz w:val="22"/>
                <w:szCs w:val="22"/>
              </w:rPr>
              <w:t>4. Los actos administrativos de carácter general que expidan y los documentos de interés público relativos a cada uno de ellos.</w:t>
            </w:r>
          </w:p>
          <w:p w14:paraId="04CB553E" w14:textId="3ACA1D71" w:rsidR="00C31BC7" w:rsidRPr="004D1E38" w:rsidRDefault="004D1E38" w:rsidP="004D1E38">
            <w:pPr>
              <w:shd w:val="clear" w:color="auto" w:fill="FFFFFF"/>
              <w:spacing w:after="100" w:afterAutospacing="1"/>
              <w:ind w:left="286" w:right="288"/>
              <w:jc w:val="both"/>
              <w:rPr>
                <w:rFonts w:eastAsia="Arial" w:cs="Arial"/>
                <w:sz w:val="22"/>
                <w:szCs w:val="22"/>
              </w:rPr>
            </w:pPr>
            <w:bookmarkStart w:id="0" w:name="8.8"/>
            <w:bookmarkEnd w:id="0"/>
            <w:r w:rsidRPr="004D1E38">
              <w:rPr>
                <w:rFonts w:eastAsia="Arial" w:cs="Arial"/>
                <w:sz w:val="22"/>
                <w:szCs w:val="22"/>
              </w:rPr>
              <w:t>8.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14:paraId="0791E539" w14:textId="77777777" w:rsidR="00795C6B" w:rsidRPr="004D1E38" w:rsidRDefault="00795C6B" w:rsidP="01DC77A8">
            <w:pPr>
              <w:ind w:left="494" w:hanging="283"/>
              <w:jc w:val="both"/>
              <w:rPr>
                <w:rFonts w:cs="Arial"/>
                <w:b/>
                <w:bCs/>
                <w:sz w:val="22"/>
                <w:szCs w:val="22"/>
                <w:lang w:eastAsia="es-CO"/>
              </w:rPr>
            </w:pPr>
            <w:r w:rsidRPr="004D1E38">
              <w:rPr>
                <w:rFonts w:cs="Arial"/>
                <w:b/>
                <w:bCs/>
                <w:sz w:val="22"/>
                <w:szCs w:val="22"/>
                <w:lang w:eastAsia="es-CO"/>
              </w:rPr>
              <w:t>3.2 Vigencia de la ley o norma reglamentada o desarrollada</w:t>
            </w:r>
          </w:p>
          <w:p w14:paraId="23F58564" w14:textId="77777777" w:rsidR="00091841" w:rsidRDefault="00091841" w:rsidP="00A72E3D">
            <w:pPr>
              <w:jc w:val="both"/>
              <w:rPr>
                <w:rFonts w:cs="Arial"/>
                <w:sz w:val="22"/>
                <w:szCs w:val="22"/>
                <w:lang w:eastAsia="es-CO"/>
              </w:rPr>
            </w:pPr>
          </w:p>
          <w:p w14:paraId="031369F1" w14:textId="1F64A86F" w:rsidR="00795C6B" w:rsidRPr="008E004C" w:rsidRDefault="00091841" w:rsidP="00A72E3D">
            <w:pPr>
              <w:jc w:val="both"/>
              <w:rPr>
                <w:rFonts w:cs="Arial"/>
                <w:sz w:val="22"/>
                <w:szCs w:val="22"/>
                <w:lang w:eastAsia="es-CO"/>
              </w:rPr>
            </w:pPr>
            <w:r>
              <w:rPr>
                <w:rFonts w:cs="Arial"/>
                <w:sz w:val="22"/>
                <w:szCs w:val="22"/>
                <w:lang w:eastAsia="es-CO"/>
              </w:rPr>
              <w:t>L</w:t>
            </w:r>
            <w:r w:rsidRPr="00091841">
              <w:rPr>
                <w:rFonts w:cs="Arial"/>
                <w:sz w:val="22"/>
                <w:szCs w:val="22"/>
                <w:lang w:eastAsia="es-CO"/>
              </w:rPr>
              <w:t>os artículos 56 de la Ley 489 de 1998 y 8 de la Ley 1437 de 2011</w:t>
            </w:r>
            <w:r>
              <w:rPr>
                <w:rFonts w:cs="Arial"/>
                <w:sz w:val="22"/>
                <w:szCs w:val="22"/>
                <w:lang w:eastAsia="es-CO"/>
              </w:rPr>
              <w:t xml:space="preserve"> se encuentran vigentes.</w:t>
            </w:r>
          </w:p>
          <w:p w14:paraId="50FC976E" w14:textId="77777777" w:rsidR="00A72E3D" w:rsidRPr="008E004C" w:rsidRDefault="00A72E3D" w:rsidP="00A72E3D">
            <w:pPr>
              <w:jc w:val="both"/>
              <w:rPr>
                <w:rFonts w:cs="Arial"/>
                <w:sz w:val="22"/>
                <w:szCs w:val="22"/>
                <w:lang w:eastAsia="es-CO"/>
              </w:rPr>
            </w:pPr>
          </w:p>
          <w:p w14:paraId="054A4855" w14:textId="77777777" w:rsidR="00795C6B" w:rsidRPr="008E004C" w:rsidRDefault="00795C6B" w:rsidP="0075705D">
            <w:pPr>
              <w:ind w:left="494" w:hanging="283"/>
              <w:jc w:val="both"/>
              <w:rPr>
                <w:rFonts w:cs="Arial"/>
                <w:b/>
                <w:bCs/>
                <w:sz w:val="22"/>
                <w:szCs w:val="22"/>
                <w:lang w:eastAsia="es-CO"/>
              </w:rPr>
            </w:pPr>
            <w:r w:rsidRPr="008E004C">
              <w:rPr>
                <w:rFonts w:cs="Arial"/>
                <w:b/>
                <w:bCs/>
                <w:sz w:val="22"/>
                <w:szCs w:val="22"/>
                <w:lang w:eastAsia="es-CO"/>
              </w:rPr>
              <w:t>3.3. Disposiciones derogas, subrogadas, modificadas, adicionadas</w:t>
            </w:r>
            <w:r w:rsidR="00D05B67" w:rsidRPr="008E004C">
              <w:rPr>
                <w:rFonts w:cs="Arial"/>
                <w:b/>
                <w:bCs/>
                <w:sz w:val="22"/>
                <w:szCs w:val="22"/>
                <w:lang w:eastAsia="es-CO"/>
              </w:rPr>
              <w:t xml:space="preserve"> o sustituidas </w:t>
            </w:r>
          </w:p>
          <w:p w14:paraId="0DC5918A" w14:textId="77777777" w:rsidR="00302A7B" w:rsidRPr="008E004C" w:rsidRDefault="00302A7B" w:rsidP="00302A7B">
            <w:pPr>
              <w:jc w:val="both"/>
              <w:rPr>
                <w:rFonts w:cs="Arial"/>
                <w:sz w:val="22"/>
                <w:szCs w:val="22"/>
                <w:lang w:eastAsia="es-CO"/>
              </w:rPr>
            </w:pPr>
          </w:p>
          <w:p w14:paraId="77E07801" w14:textId="3EC9D3ED" w:rsidR="01DC77A8" w:rsidRDefault="01DC77A8" w:rsidP="01DC77A8">
            <w:pPr>
              <w:spacing w:line="259" w:lineRule="auto"/>
              <w:ind w:left="64"/>
              <w:jc w:val="both"/>
              <w:rPr>
                <w:rFonts w:cs="Arial"/>
                <w:color w:val="000000" w:themeColor="text1"/>
                <w:sz w:val="22"/>
                <w:szCs w:val="22"/>
                <w:lang w:val="es-ES"/>
              </w:rPr>
            </w:pPr>
            <w:r w:rsidRPr="01DC77A8">
              <w:rPr>
                <w:rFonts w:cs="Arial"/>
                <w:color w:val="000000" w:themeColor="text1"/>
                <w:sz w:val="22"/>
                <w:szCs w:val="22"/>
                <w:lang w:val="es-ES"/>
              </w:rPr>
              <w:t xml:space="preserve">El presente Decreto modifica los artículos </w:t>
            </w:r>
            <w:r w:rsidRPr="01DC77A8">
              <w:rPr>
                <w:rFonts w:cs="Arial"/>
                <w:color w:val="000000" w:themeColor="text1"/>
                <w:sz w:val="22"/>
                <w:szCs w:val="22"/>
              </w:rPr>
              <w:t xml:space="preserve">2.1.2.1.3, 2.1.2.1.14., 2.1.2.1.20, </w:t>
            </w:r>
            <w:r w:rsidRPr="01DC77A8">
              <w:rPr>
                <w:rFonts w:cs="Arial"/>
                <w:color w:val="000000" w:themeColor="text1"/>
                <w:sz w:val="22"/>
                <w:szCs w:val="22"/>
                <w:lang w:val="es-ES"/>
              </w:rPr>
              <w:t>2.1.2.1.21 y 2.1.2.1.23</w:t>
            </w:r>
            <w:r w:rsidR="00091841">
              <w:rPr>
                <w:rFonts w:cs="Arial"/>
                <w:color w:val="000000" w:themeColor="text1"/>
                <w:sz w:val="22"/>
                <w:szCs w:val="22"/>
                <w:lang w:val="es-ES"/>
              </w:rPr>
              <w:t>,</w:t>
            </w:r>
            <w:r w:rsidRPr="01DC77A8">
              <w:rPr>
                <w:rFonts w:cs="Arial"/>
                <w:color w:val="000000" w:themeColor="text1"/>
                <w:sz w:val="22"/>
                <w:szCs w:val="22"/>
                <w:lang w:val="es-ES"/>
              </w:rPr>
              <w:t xml:space="preserve"> y </w:t>
            </w:r>
            <w:r w:rsidRPr="01DC77A8">
              <w:rPr>
                <w:rFonts w:cs="Arial"/>
                <w:color w:val="000000" w:themeColor="text1"/>
                <w:sz w:val="22"/>
                <w:szCs w:val="22"/>
              </w:rPr>
              <w:t xml:space="preserve">adiciona </w:t>
            </w:r>
            <w:r w:rsidR="00091841">
              <w:rPr>
                <w:rFonts w:cs="Arial"/>
                <w:color w:val="000000" w:themeColor="text1"/>
                <w:sz w:val="22"/>
                <w:szCs w:val="22"/>
              </w:rPr>
              <w:t>un</w:t>
            </w:r>
            <w:r w:rsidRPr="01DC77A8">
              <w:rPr>
                <w:rFonts w:cs="Arial"/>
                <w:color w:val="000000" w:themeColor="text1"/>
                <w:sz w:val="22"/>
                <w:szCs w:val="22"/>
              </w:rPr>
              <w:t xml:space="preserve"> Capítulo 4 al Título 2 del Capítulo 2 del Decreto 1081 de 2015</w:t>
            </w:r>
            <w:r w:rsidR="00091841">
              <w:rPr>
                <w:rFonts w:cs="Arial"/>
                <w:color w:val="000000" w:themeColor="text1"/>
                <w:sz w:val="22"/>
                <w:szCs w:val="22"/>
              </w:rPr>
              <w:t>,</w:t>
            </w:r>
            <w:r w:rsidR="00091841">
              <w:t xml:space="preserve"> </w:t>
            </w:r>
            <w:r w:rsidR="00091841" w:rsidRPr="00091841">
              <w:rPr>
                <w:rFonts w:cs="Arial"/>
                <w:color w:val="000000" w:themeColor="text1"/>
                <w:sz w:val="22"/>
                <w:szCs w:val="22"/>
              </w:rPr>
              <w:t>Reglamentario Único del Sector Presidencia de la República</w:t>
            </w:r>
            <w:r w:rsidRPr="01DC77A8">
              <w:rPr>
                <w:rFonts w:cs="Arial"/>
                <w:color w:val="000000" w:themeColor="text1"/>
                <w:sz w:val="22"/>
                <w:szCs w:val="22"/>
                <w:lang w:val="es-ES"/>
              </w:rPr>
              <w:t>.</w:t>
            </w:r>
          </w:p>
          <w:p w14:paraId="4751B746" w14:textId="77777777" w:rsidR="00D05B67" w:rsidRPr="008E004C" w:rsidRDefault="00D05B67" w:rsidP="0075705D">
            <w:pPr>
              <w:ind w:left="494" w:hanging="283"/>
              <w:jc w:val="both"/>
              <w:rPr>
                <w:rFonts w:cs="Arial"/>
                <w:sz w:val="22"/>
                <w:szCs w:val="22"/>
                <w:lang w:eastAsia="es-CO"/>
              </w:rPr>
            </w:pPr>
          </w:p>
          <w:p w14:paraId="24F0CB14" w14:textId="77777777" w:rsidR="00A72E3D" w:rsidRPr="008E004C" w:rsidRDefault="00D05B67" w:rsidP="00A72E3D">
            <w:pPr>
              <w:ind w:left="494" w:hanging="283"/>
              <w:jc w:val="both"/>
              <w:rPr>
                <w:rFonts w:cs="Arial"/>
                <w:b/>
                <w:bCs/>
                <w:sz w:val="22"/>
                <w:szCs w:val="22"/>
                <w:lang w:eastAsia="es-CO"/>
              </w:rPr>
            </w:pPr>
            <w:r w:rsidRPr="008E004C">
              <w:rPr>
                <w:rFonts w:cs="Arial"/>
                <w:b/>
                <w:bCs/>
                <w:sz w:val="22"/>
                <w:szCs w:val="22"/>
                <w:lang w:eastAsia="es-CO"/>
              </w:rPr>
              <w:t>3.4 Revisión y análisis de la jurisprudencia que tenga impacto o sea relevante para la expedición del proyecto normativo (órganos de cierre de cada jurisdicción)</w:t>
            </w:r>
          </w:p>
          <w:p w14:paraId="44AB7F27" w14:textId="77777777" w:rsidR="00A72E3D" w:rsidRPr="008E004C" w:rsidRDefault="00A72E3D" w:rsidP="00A72E3D">
            <w:pPr>
              <w:jc w:val="both"/>
              <w:rPr>
                <w:rFonts w:cs="Arial"/>
                <w:sz w:val="22"/>
                <w:szCs w:val="22"/>
                <w:lang w:eastAsia="es-CO"/>
              </w:rPr>
            </w:pPr>
          </w:p>
          <w:p w14:paraId="0239E08D" w14:textId="1805720E" w:rsidR="00A72E3D" w:rsidRPr="008E004C" w:rsidRDefault="00A72E3D" w:rsidP="00A72E3D">
            <w:pPr>
              <w:jc w:val="both"/>
              <w:rPr>
                <w:rFonts w:eastAsia="Arial" w:cs="Arial"/>
                <w:bCs/>
                <w:sz w:val="22"/>
                <w:szCs w:val="22"/>
                <w:lang w:eastAsia="en-US"/>
              </w:rPr>
            </w:pPr>
            <w:r w:rsidRPr="008E004C">
              <w:rPr>
                <w:rFonts w:eastAsia="Arial" w:cs="Arial"/>
                <w:bCs/>
                <w:sz w:val="22"/>
                <w:szCs w:val="22"/>
                <w:lang w:eastAsia="en-US"/>
              </w:rPr>
              <w:t>N</w:t>
            </w:r>
            <w:r w:rsidR="006901A1">
              <w:rPr>
                <w:rFonts w:eastAsia="Arial" w:cs="Arial"/>
                <w:bCs/>
                <w:sz w:val="22"/>
                <w:szCs w:val="22"/>
                <w:lang w:eastAsia="en-US"/>
              </w:rPr>
              <w:t>/</w:t>
            </w:r>
            <w:r w:rsidR="00F55E93">
              <w:rPr>
                <w:rFonts w:eastAsia="Arial" w:cs="Arial"/>
                <w:bCs/>
                <w:sz w:val="22"/>
                <w:szCs w:val="22"/>
                <w:lang w:eastAsia="en-US"/>
              </w:rPr>
              <w:t>A</w:t>
            </w:r>
          </w:p>
          <w:p w14:paraId="01682B7D" w14:textId="77777777" w:rsidR="00A72E3D" w:rsidRPr="008E004C" w:rsidRDefault="00A72E3D" w:rsidP="00A72E3D">
            <w:pPr>
              <w:jc w:val="both"/>
              <w:rPr>
                <w:rFonts w:cs="Arial"/>
                <w:sz w:val="22"/>
                <w:szCs w:val="22"/>
                <w:lang w:eastAsia="es-CO"/>
              </w:rPr>
            </w:pPr>
          </w:p>
          <w:p w14:paraId="1458F89D" w14:textId="77777777" w:rsidR="00795C6B" w:rsidRPr="008E004C" w:rsidRDefault="00D05B67" w:rsidP="00302A7B">
            <w:pPr>
              <w:ind w:left="494" w:hanging="283"/>
              <w:jc w:val="both"/>
              <w:rPr>
                <w:rFonts w:cs="Arial"/>
                <w:b/>
                <w:bCs/>
                <w:sz w:val="22"/>
                <w:szCs w:val="22"/>
                <w:lang w:eastAsia="es-CO"/>
              </w:rPr>
            </w:pPr>
            <w:r w:rsidRPr="008E004C">
              <w:rPr>
                <w:rFonts w:cs="Arial"/>
                <w:b/>
                <w:bCs/>
                <w:sz w:val="22"/>
                <w:szCs w:val="22"/>
                <w:lang w:eastAsia="es-CO"/>
              </w:rPr>
              <w:t xml:space="preserve">3.5 Circunstancias jurídicas adicionales </w:t>
            </w:r>
          </w:p>
          <w:p w14:paraId="34464ADD" w14:textId="77777777" w:rsidR="00A72E3D" w:rsidRPr="008E004C" w:rsidRDefault="00A72E3D" w:rsidP="00A72E3D">
            <w:pPr>
              <w:jc w:val="both"/>
              <w:rPr>
                <w:rFonts w:eastAsia="Arial" w:cs="Arial"/>
                <w:bCs/>
                <w:sz w:val="22"/>
                <w:szCs w:val="22"/>
                <w:lang w:eastAsia="en-US"/>
              </w:rPr>
            </w:pPr>
          </w:p>
          <w:p w14:paraId="07B2D0F8" w14:textId="77777777" w:rsidR="00795C6B" w:rsidRDefault="00A72E3D" w:rsidP="00904FCE">
            <w:pPr>
              <w:jc w:val="both"/>
              <w:rPr>
                <w:rFonts w:eastAsia="Arial" w:cs="Arial"/>
                <w:bCs/>
                <w:sz w:val="22"/>
                <w:szCs w:val="22"/>
                <w:lang w:eastAsia="en-US"/>
              </w:rPr>
            </w:pPr>
            <w:r w:rsidRPr="008E004C">
              <w:rPr>
                <w:rFonts w:eastAsia="Arial" w:cs="Arial"/>
                <w:bCs/>
                <w:sz w:val="22"/>
                <w:szCs w:val="22"/>
                <w:lang w:eastAsia="en-US"/>
              </w:rPr>
              <w:t>N</w:t>
            </w:r>
            <w:r w:rsidR="006901A1">
              <w:rPr>
                <w:rFonts w:eastAsia="Arial" w:cs="Arial"/>
                <w:bCs/>
                <w:sz w:val="22"/>
                <w:szCs w:val="22"/>
                <w:lang w:eastAsia="en-US"/>
              </w:rPr>
              <w:t>/A</w:t>
            </w:r>
          </w:p>
          <w:p w14:paraId="7207671F" w14:textId="77777777" w:rsidR="00904FCE" w:rsidRPr="00904FCE" w:rsidRDefault="00904FCE" w:rsidP="00904FCE">
            <w:pPr>
              <w:jc w:val="both"/>
              <w:rPr>
                <w:rFonts w:eastAsia="Arial" w:cs="Arial"/>
                <w:bCs/>
                <w:sz w:val="22"/>
                <w:szCs w:val="22"/>
                <w:lang w:eastAsia="en-US"/>
              </w:rPr>
            </w:pPr>
          </w:p>
        </w:tc>
      </w:tr>
      <w:tr w:rsidR="00DF60FD" w:rsidRPr="008E004C" w14:paraId="731820FE" w14:textId="77777777" w:rsidTr="2BFD1533">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4CBE8" w14:textId="77777777" w:rsidR="00843EFF" w:rsidRPr="008E004C" w:rsidRDefault="00843EFF" w:rsidP="00A161B9">
            <w:pPr>
              <w:rPr>
                <w:rFonts w:cs="Arial"/>
                <w:b/>
                <w:color w:val="000000"/>
                <w:sz w:val="22"/>
                <w:szCs w:val="22"/>
              </w:rPr>
            </w:pPr>
          </w:p>
          <w:p w14:paraId="699F7E03" w14:textId="1F722E62" w:rsidR="00DF60FD" w:rsidRPr="009453C9" w:rsidRDefault="00DF60FD" w:rsidP="00904FCE">
            <w:pPr>
              <w:numPr>
                <w:ilvl w:val="0"/>
                <w:numId w:val="45"/>
              </w:numPr>
              <w:rPr>
                <w:rFonts w:cs="Arial"/>
                <w:b/>
                <w:color w:val="000000"/>
                <w:sz w:val="22"/>
                <w:szCs w:val="22"/>
              </w:rPr>
            </w:pPr>
            <w:r w:rsidRPr="008E004C">
              <w:rPr>
                <w:rFonts w:cs="Arial"/>
                <w:b/>
                <w:color w:val="000000"/>
                <w:sz w:val="22"/>
                <w:szCs w:val="22"/>
              </w:rPr>
              <w:t xml:space="preserve">IMPACTO ECONÓMICO </w:t>
            </w:r>
            <w:r w:rsidR="00D05B67" w:rsidRPr="008E004C">
              <w:rPr>
                <w:rFonts w:cs="Arial"/>
                <w:color w:val="000000"/>
                <w:sz w:val="22"/>
                <w:szCs w:val="22"/>
              </w:rPr>
              <w:t>(Si se requiere)</w:t>
            </w:r>
          </w:p>
          <w:p w14:paraId="7A6A3A44" w14:textId="77777777" w:rsidR="009453C9" w:rsidRPr="008E004C" w:rsidRDefault="009453C9" w:rsidP="009453C9">
            <w:pPr>
              <w:ind w:left="720"/>
              <w:rPr>
                <w:rFonts w:cs="Arial"/>
                <w:b/>
                <w:color w:val="000000"/>
                <w:sz w:val="22"/>
                <w:szCs w:val="22"/>
              </w:rPr>
            </w:pPr>
          </w:p>
          <w:p w14:paraId="61454DF8" w14:textId="2E4F7CDD" w:rsidR="009453C9" w:rsidRDefault="004018EF" w:rsidP="009453C9">
            <w:pPr>
              <w:pStyle w:val="Listavistosa-nfasis11"/>
              <w:spacing w:after="0" w:line="240" w:lineRule="auto"/>
              <w:ind w:left="0"/>
              <w:jc w:val="both"/>
              <w:rPr>
                <w:rFonts w:ascii="Times New Roman" w:hAnsi="Times New Roman" w:cs="Arial"/>
                <w:color w:val="000000" w:themeColor="text1"/>
                <w:lang w:eastAsia="es-MX"/>
              </w:rPr>
            </w:pPr>
            <w:r w:rsidRPr="004018EF">
              <w:rPr>
                <w:rFonts w:ascii="Times New Roman" w:hAnsi="Times New Roman" w:cs="Arial"/>
                <w:color w:val="000000" w:themeColor="text1"/>
                <w:lang w:eastAsia="es-MX"/>
              </w:rPr>
              <w:t xml:space="preserve">Con la expedición del acto administrativo, se espera que las entidades de la Rama Ejecutiva del orden nacional reduzcan el tiempo empleado para la recopilación y análisis de los comentarios </w:t>
            </w:r>
            <w:r>
              <w:rPr>
                <w:rFonts w:ascii="Times New Roman" w:hAnsi="Times New Roman" w:cs="Arial"/>
                <w:color w:val="000000" w:themeColor="text1"/>
                <w:lang w:eastAsia="es-MX"/>
              </w:rPr>
              <w:t xml:space="preserve">recibidos por parte de la ciudadanía, así como la </w:t>
            </w:r>
            <w:r>
              <w:rPr>
                <w:rFonts w:ascii="Times New Roman" w:hAnsi="Times New Roman" w:cs="Arial"/>
                <w:color w:val="000000" w:themeColor="text1"/>
                <w:lang w:eastAsia="es-MX"/>
              </w:rPr>
              <w:lastRenderedPageBreak/>
              <w:t xml:space="preserve">consolidación </w:t>
            </w:r>
            <w:r w:rsidR="009453C9">
              <w:rPr>
                <w:rFonts w:ascii="Times New Roman" w:hAnsi="Times New Roman" w:cs="Arial"/>
                <w:color w:val="000000" w:themeColor="text1"/>
                <w:lang w:eastAsia="es-MX"/>
              </w:rPr>
              <w:t xml:space="preserve">de la información para realizar futuras consultas públicas, en cumplimiento del numeral 1º del artículo </w:t>
            </w:r>
            <w:r w:rsidR="009453C9" w:rsidRPr="009453C9">
              <w:rPr>
                <w:rFonts w:ascii="Times New Roman" w:hAnsi="Times New Roman" w:cs="Arial"/>
                <w:color w:val="000000" w:themeColor="text1"/>
                <w:lang w:eastAsia="es-MX"/>
              </w:rPr>
              <w:t>2.1.2.1.25.</w:t>
            </w:r>
            <w:r w:rsidR="009453C9">
              <w:rPr>
                <w:rFonts w:ascii="Times New Roman" w:hAnsi="Times New Roman" w:cs="Arial"/>
                <w:color w:val="000000" w:themeColor="text1"/>
                <w:lang w:eastAsia="es-MX"/>
              </w:rPr>
              <w:t xml:space="preserve"> del Decreto 1081 de 2015</w:t>
            </w:r>
            <w:r w:rsidR="009453C9">
              <w:rPr>
                <w:rStyle w:val="Refdenotaalpie"/>
                <w:rFonts w:ascii="Times New Roman" w:hAnsi="Times New Roman" w:cs="Arial"/>
                <w:color w:val="000000" w:themeColor="text1"/>
                <w:lang w:eastAsia="es-MX"/>
              </w:rPr>
              <w:footnoteReference w:id="4"/>
            </w:r>
            <w:r w:rsidR="009453C9">
              <w:rPr>
                <w:rFonts w:ascii="Times New Roman" w:hAnsi="Times New Roman" w:cs="Arial"/>
                <w:color w:val="000000" w:themeColor="text1"/>
                <w:lang w:eastAsia="es-MX"/>
              </w:rPr>
              <w:t xml:space="preserve">. </w:t>
            </w:r>
          </w:p>
          <w:p w14:paraId="3A75FFEE" w14:textId="5BE8188A" w:rsidR="009453C9" w:rsidRDefault="009453C9" w:rsidP="009453C9">
            <w:pPr>
              <w:pStyle w:val="Listavistosa-nfasis11"/>
              <w:spacing w:after="0" w:line="240" w:lineRule="auto"/>
              <w:ind w:left="0"/>
              <w:jc w:val="both"/>
              <w:rPr>
                <w:rFonts w:ascii="Times New Roman" w:hAnsi="Times New Roman" w:cs="Arial"/>
                <w:color w:val="000000" w:themeColor="text1"/>
                <w:lang w:eastAsia="es-MX"/>
              </w:rPr>
            </w:pPr>
          </w:p>
          <w:p w14:paraId="23D1A620" w14:textId="77777777" w:rsidR="00904FCE" w:rsidRDefault="009453C9" w:rsidP="009453C9">
            <w:pPr>
              <w:pStyle w:val="Listavistosa-nfasis11"/>
              <w:spacing w:after="0" w:line="240" w:lineRule="auto"/>
              <w:ind w:left="0"/>
              <w:jc w:val="both"/>
              <w:rPr>
                <w:rFonts w:ascii="Times New Roman" w:hAnsi="Times New Roman" w:cs="Arial"/>
                <w:color w:val="000000" w:themeColor="text1"/>
                <w:lang w:eastAsia="es-MX"/>
              </w:rPr>
            </w:pPr>
            <w:r>
              <w:rPr>
                <w:rFonts w:ascii="Times New Roman" w:hAnsi="Times New Roman" w:cs="Arial"/>
                <w:color w:val="000000" w:themeColor="text1"/>
                <w:lang w:eastAsia="es-MX"/>
              </w:rPr>
              <w:t xml:space="preserve">Adicionalmente, los actores interesados podrán reducir el tiempo empleado en la búsqueda de los proyectos de regulación sometidos a consulta pública, teniendo en cuenta que el SUCOP centraliza la participación </w:t>
            </w:r>
            <w:r w:rsidRPr="009453C9">
              <w:rPr>
                <w:rFonts w:ascii="Times New Roman" w:hAnsi="Times New Roman" w:cs="Arial"/>
                <w:color w:val="000000" w:themeColor="text1"/>
                <w:lang w:eastAsia="es-MX"/>
              </w:rPr>
              <w:t>ciudadana en el proceso de producción normativa de las entidades de la Rama Ejecutiva</w:t>
            </w:r>
            <w:r>
              <w:rPr>
                <w:rFonts w:ascii="Times New Roman" w:hAnsi="Times New Roman" w:cs="Arial"/>
                <w:color w:val="000000" w:themeColor="text1"/>
                <w:lang w:eastAsia="es-MX"/>
              </w:rPr>
              <w:t>.</w:t>
            </w:r>
          </w:p>
          <w:p w14:paraId="4374CE38" w14:textId="4A6F1DA9" w:rsidR="00B3434A" w:rsidRPr="009453C9" w:rsidRDefault="00B3434A" w:rsidP="009453C9">
            <w:pPr>
              <w:pStyle w:val="Listavistosa-nfasis11"/>
              <w:spacing w:after="0" w:line="240" w:lineRule="auto"/>
              <w:ind w:left="0"/>
              <w:jc w:val="both"/>
              <w:rPr>
                <w:rFonts w:ascii="Times New Roman" w:hAnsi="Times New Roman" w:cs="Arial"/>
                <w:color w:val="000000" w:themeColor="text1"/>
                <w:lang w:eastAsia="es-MX"/>
              </w:rPr>
            </w:pPr>
          </w:p>
        </w:tc>
      </w:tr>
      <w:tr w:rsidR="00DF60FD" w:rsidRPr="008E004C" w14:paraId="0E4C939D" w14:textId="77777777" w:rsidTr="2BFD1533">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6AAA1" w14:textId="77777777" w:rsidR="00843EFF" w:rsidRPr="008E004C" w:rsidRDefault="00843EFF" w:rsidP="00A161B9">
            <w:pPr>
              <w:rPr>
                <w:rFonts w:cs="Arial"/>
                <w:b/>
                <w:color w:val="000000"/>
                <w:sz w:val="22"/>
                <w:szCs w:val="22"/>
              </w:rPr>
            </w:pPr>
          </w:p>
          <w:p w14:paraId="1DBCD428" w14:textId="3CDEE946" w:rsidR="00DF60FD" w:rsidRPr="00B3434A" w:rsidRDefault="00795C6B" w:rsidP="00904FCE">
            <w:pPr>
              <w:numPr>
                <w:ilvl w:val="0"/>
                <w:numId w:val="45"/>
              </w:numPr>
              <w:rPr>
                <w:rFonts w:cs="Arial"/>
                <w:b/>
                <w:color w:val="000000"/>
                <w:sz w:val="22"/>
                <w:szCs w:val="22"/>
              </w:rPr>
            </w:pPr>
            <w:r w:rsidRPr="008E004C">
              <w:rPr>
                <w:rFonts w:cs="Arial"/>
                <w:b/>
                <w:color w:val="000000"/>
                <w:sz w:val="22"/>
                <w:szCs w:val="22"/>
              </w:rPr>
              <w:t xml:space="preserve">VIABILIDAD O </w:t>
            </w:r>
            <w:r w:rsidR="00DF60FD" w:rsidRPr="008E004C">
              <w:rPr>
                <w:rFonts w:cs="Arial"/>
                <w:b/>
                <w:color w:val="000000"/>
                <w:sz w:val="22"/>
                <w:szCs w:val="22"/>
              </w:rPr>
              <w:t xml:space="preserve">DISPONIBILIDAD PRESUPUESTAL </w:t>
            </w:r>
            <w:r w:rsidR="00D05B67" w:rsidRPr="008E004C">
              <w:rPr>
                <w:rFonts w:cs="Arial"/>
                <w:color w:val="000000"/>
                <w:sz w:val="22"/>
                <w:szCs w:val="22"/>
              </w:rPr>
              <w:t>(Si se requiere)</w:t>
            </w:r>
          </w:p>
          <w:p w14:paraId="4EA7FF7D" w14:textId="77777777" w:rsidR="00B3434A" w:rsidRPr="008E004C" w:rsidRDefault="00B3434A" w:rsidP="00B3434A">
            <w:pPr>
              <w:ind w:left="720"/>
              <w:rPr>
                <w:rFonts w:cs="Arial"/>
                <w:b/>
                <w:color w:val="000000"/>
                <w:sz w:val="22"/>
                <w:szCs w:val="22"/>
              </w:rPr>
            </w:pPr>
          </w:p>
          <w:p w14:paraId="7023CB22" w14:textId="313669DD" w:rsidR="00904FCE" w:rsidRPr="00F65865" w:rsidRDefault="00F65865" w:rsidP="00F65865">
            <w:pPr>
              <w:contextualSpacing/>
              <w:jc w:val="both"/>
              <w:rPr>
                <w:rFonts w:cs="Arial"/>
                <w:color w:val="000000" w:themeColor="text1"/>
                <w:sz w:val="22"/>
                <w:szCs w:val="22"/>
              </w:rPr>
            </w:pPr>
            <w:r w:rsidRPr="2C730FC2">
              <w:rPr>
                <w:rFonts w:cs="Arial"/>
                <w:color w:val="000000" w:themeColor="text1"/>
                <w:sz w:val="22"/>
                <w:szCs w:val="22"/>
              </w:rPr>
              <w:t xml:space="preserve">La administración y funcionamiento del SUCOP está financiado </w:t>
            </w:r>
            <w:r w:rsidR="00B3434A">
              <w:rPr>
                <w:rFonts w:cs="Arial"/>
                <w:color w:val="000000" w:themeColor="text1"/>
                <w:sz w:val="22"/>
                <w:szCs w:val="22"/>
              </w:rPr>
              <w:t xml:space="preserve">con </w:t>
            </w:r>
            <w:r w:rsidRPr="2C730FC2">
              <w:rPr>
                <w:rFonts w:cs="Arial"/>
                <w:color w:val="000000" w:themeColor="text1"/>
                <w:sz w:val="22"/>
                <w:szCs w:val="22"/>
              </w:rPr>
              <w:t>recursos asignados a la Subdirección de Gobierno y Asuntos Internacionales del Departamento Nacional de Planeación.</w:t>
            </w:r>
          </w:p>
          <w:p w14:paraId="2834D7EE" w14:textId="23F54B78" w:rsidR="00904FCE" w:rsidRPr="008E004C" w:rsidRDefault="00904FCE" w:rsidP="00904FCE">
            <w:pPr>
              <w:spacing w:line="276" w:lineRule="auto"/>
              <w:contextualSpacing/>
              <w:jc w:val="both"/>
              <w:rPr>
                <w:rFonts w:cs="Arial"/>
                <w:sz w:val="22"/>
                <w:szCs w:val="22"/>
                <w:lang w:eastAsia="es-CO"/>
              </w:rPr>
            </w:pPr>
          </w:p>
        </w:tc>
      </w:tr>
      <w:tr w:rsidR="00DF60FD" w:rsidRPr="008E004C" w14:paraId="144D35E3" w14:textId="77777777" w:rsidTr="2BFD1533">
        <w:trPr>
          <w:trHeight w:val="1295"/>
        </w:trPr>
        <w:tc>
          <w:tcPr>
            <w:tcW w:w="10774" w:type="dxa"/>
            <w:gridSpan w:val="3"/>
            <w:tcBorders>
              <w:top w:val="single" w:sz="4" w:space="0" w:color="auto"/>
              <w:bottom w:val="single" w:sz="4" w:space="0" w:color="auto"/>
            </w:tcBorders>
            <w:shd w:val="clear" w:color="auto" w:fill="FFFFFF" w:themeFill="background1"/>
            <w:vAlign w:val="center"/>
          </w:tcPr>
          <w:p w14:paraId="2AC7B2D2" w14:textId="77777777" w:rsidR="00DF60FD" w:rsidRPr="008E004C" w:rsidRDefault="00DF60FD" w:rsidP="00904FCE">
            <w:pPr>
              <w:numPr>
                <w:ilvl w:val="0"/>
                <w:numId w:val="45"/>
              </w:numPr>
              <w:jc w:val="both"/>
              <w:rPr>
                <w:rFonts w:cs="Arial"/>
                <w:b/>
                <w:color w:val="000000"/>
                <w:sz w:val="22"/>
                <w:szCs w:val="22"/>
              </w:rPr>
            </w:pPr>
            <w:r w:rsidRPr="008E004C">
              <w:rPr>
                <w:rFonts w:cs="Arial"/>
                <w:b/>
                <w:color w:val="000000"/>
                <w:sz w:val="22"/>
                <w:szCs w:val="22"/>
              </w:rPr>
              <w:t xml:space="preserve"> IMPACTO MEDIOAMBIENTAL O SOBRE EL PATRIMONIO CULTURAL DE LA NACIÓN </w:t>
            </w:r>
            <w:r w:rsidR="00D05B67" w:rsidRPr="008E004C">
              <w:rPr>
                <w:rFonts w:cs="Arial"/>
                <w:color w:val="000000"/>
                <w:sz w:val="22"/>
                <w:szCs w:val="22"/>
              </w:rPr>
              <w:t>(Si se requiere)</w:t>
            </w:r>
          </w:p>
          <w:p w14:paraId="05243360" w14:textId="77777777" w:rsidR="00904FCE" w:rsidRDefault="00904FCE" w:rsidP="00F55E93">
            <w:pPr>
              <w:spacing w:line="276" w:lineRule="auto"/>
              <w:contextualSpacing/>
              <w:jc w:val="both"/>
              <w:rPr>
                <w:rFonts w:cs="Arial"/>
                <w:b/>
                <w:color w:val="000000"/>
                <w:sz w:val="22"/>
                <w:szCs w:val="22"/>
              </w:rPr>
            </w:pPr>
          </w:p>
          <w:p w14:paraId="5F1719FF" w14:textId="2F6D6CE9" w:rsidR="004D1E38" w:rsidRPr="008E004C" w:rsidRDefault="00B3434A" w:rsidP="00F55E93">
            <w:pPr>
              <w:spacing w:line="276" w:lineRule="auto"/>
              <w:contextualSpacing/>
              <w:jc w:val="both"/>
              <w:rPr>
                <w:rFonts w:cs="Arial"/>
                <w:b/>
                <w:color w:val="000000"/>
                <w:sz w:val="22"/>
                <w:szCs w:val="22"/>
              </w:rPr>
            </w:pPr>
            <w:r>
              <w:rPr>
                <w:rFonts w:cs="Arial"/>
                <w:sz w:val="22"/>
                <w:szCs w:val="22"/>
              </w:rPr>
              <w:t>El presente proyecto de Decreto no tiene impacto medioambiental, ni sobre el patrimonio cultural de la Nación.</w:t>
            </w:r>
          </w:p>
        </w:tc>
      </w:tr>
      <w:tr w:rsidR="00DF60FD" w:rsidRPr="008E004C" w14:paraId="6954A1B7" w14:textId="77777777" w:rsidTr="2BFD1533">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71190EAB" w14:textId="77777777" w:rsidR="00D05B67" w:rsidRPr="008E004C" w:rsidRDefault="00D05B67" w:rsidP="00696582">
            <w:pPr>
              <w:numPr>
                <w:ilvl w:val="0"/>
                <w:numId w:val="45"/>
              </w:numPr>
              <w:jc w:val="both"/>
              <w:rPr>
                <w:rFonts w:cs="Arial"/>
                <w:sz w:val="22"/>
                <w:szCs w:val="22"/>
              </w:rPr>
            </w:pPr>
            <w:r w:rsidRPr="008E004C">
              <w:rPr>
                <w:rFonts w:cs="Arial"/>
                <w:b/>
                <w:sz w:val="22"/>
                <w:szCs w:val="22"/>
              </w:rPr>
              <w:t>ESTUDIOS TÉCNICOS QUE SUSTENTEN EL PROYECTO NORMATIVO</w:t>
            </w:r>
            <w:r w:rsidRPr="008E004C">
              <w:rPr>
                <w:rFonts w:cs="Arial"/>
                <w:sz w:val="22"/>
                <w:szCs w:val="22"/>
              </w:rPr>
              <w:t xml:space="preserve"> (Si cuenta con ellos)</w:t>
            </w:r>
            <w:r w:rsidR="00696582" w:rsidRPr="008E004C">
              <w:rPr>
                <w:rFonts w:cs="Arial"/>
                <w:sz w:val="22"/>
                <w:szCs w:val="22"/>
              </w:rPr>
              <w:t xml:space="preserve"> </w:t>
            </w:r>
          </w:p>
        </w:tc>
      </w:tr>
      <w:tr w:rsidR="00904FCE" w:rsidRPr="008E004C" w14:paraId="453C3B1C" w14:textId="77777777" w:rsidTr="2BFD1533">
        <w:trPr>
          <w:trHeight w:val="769"/>
        </w:trPr>
        <w:tc>
          <w:tcPr>
            <w:tcW w:w="10774" w:type="dxa"/>
            <w:gridSpan w:val="3"/>
            <w:tcBorders>
              <w:top w:val="single" w:sz="4" w:space="0" w:color="auto"/>
            </w:tcBorders>
            <w:shd w:val="clear" w:color="auto" w:fill="FFFFFF" w:themeFill="background1"/>
            <w:vAlign w:val="center"/>
          </w:tcPr>
          <w:p w14:paraId="6ECCE363" w14:textId="77777777" w:rsidR="00904FCE" w:rsidRPr="008E004C" w:rsidRDefault="00904FCE" w:rsidP="00904FCE">
            <w:pPr>
              <w:rPr>
                <w:rFonts w:cs="Arial"/>
                <w:sz w:val="22"/>
                <w:szCs w:val="22"/>
              </w:rPr>
            </w:pPr>
            <w:r>
              <w:rPr>
                <w:rFonts w:cs="Arial"/>
                <w:sz w:val="22"/>
                <w:szCs w:val="22"/>
              </w:rPr>
              <w:t>N/A</w:t>
            </w:r>
          </w:p>
        </w:tc>
      </w:tr>
      <w:tr w:rsidR="00DF60FD" w:rsidRPr="008E004C" w14:paraId="50F6F2BA" w14:textId="77777777" w:rsidTr="2BFD1533">
        <w:trPr>
          <w:trHeight w:val="416"/>
        </w:trPr>
        <w:tc>
          <w:tcPr>
            <w:tcW w:w="10774" w:type="dxa"/>
            <w:gridSpan w:val="3"/>
            <w:tcBorders>
              <w:top w:val="single" w:sz="4" w:space="0" w:color="auto"/>
              <w:bottom w:val="single" w:sz="4" w:space="0" w:color="auto"/>
            </w:tcBorders>
            <w:shd w:val="clear" w:color="auto" w:fill="5B8AFF"/>
            <w:vAlign w:val="center"/>
          </w:tcPr>
          <w:p w14:paraId="32B47B9D" w14:textId="77777777" w:rsidR="00F55DC4" w:rsidRPr="008E004C" w:rsidRDefault="00DF60FD" w:rsidP="00696582">
            <w:pPr>
              <w:jc w:val="center"/>
              <w:rPr>
                <w:rFonts w:cs="Arial"/>
                <w:color w:val="FFFFFF"/>
                <w:sz w:val="22"/>
                <w:szCs w:val="22"/>
              </w:rPr>
            </w:pPr>
            <w:r w:rsidRPr="008E004C">
              <w:rPr>
                <w:rFonts w:cs="Arial"/>
                <w:b/>
                <w:color w:val="FFFFFF"/>
                <w:sz w:val="22"/>
                <w:szCs w:val="22"/>
              </w:rPr>
              <w:t>ANEXOS</w:t>
            </w:r>
            <w:r w:rsidR="00D05B67" w:rsidRPr="008E004C">
              <w:rPr>
                <w:rFonts w:cs="Arial"/>
                <w:b/>
                <w:color w:val="FFFFFF"/>
                <w:sz w:val="22"/>
                <w:szCs w:val="22"/>
              </w:rPr>
              <w:t>:</w:t>
            </w:r>
            <w:r w:rsidR="00696582" w:rsidRPr="008E004C">
              <w:rPr>
                <w:rFonts w:cs="Arial"/>
                <w:color w:val="FFFFFF"/>
                <w:sz w:val="22"/>
                <w:szCs w:val="22"/>
              </w:rPr>
              <w:t xml:space="preserve"> </w:t>
            </w:r>
          </w:p>
        </w:tc>
      </w:tr>
      <w:tr w:rsidR="00D05B67" w:rsidRPr="008E004C" w14:paraId="7B04221B" w14:textId="77777777" w:rsidTr="2BFD153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CCAA85B" w14:textId="77777777" w:rsidR="00D05B67" w:rsidRPr="008E004C" w:rsidRDefault="00D05B67" w:rsidP="00D05B67">
            <w:pPr>
              <w:jc w:val="both"/>
              <w:rPr>
                <w:rFonts w:cs="Arial"/>
                <w:sz w:val="22"/>
                <w:szCs w:val="22"/>
              </w:rPr>
            </w:pPr>
            <w:r w:rsidRPr="008E004C">
              <w:rPr>
                <w:rFonts w:cs="Arial"/>
                <w:sz w:val="22"/>
                <w:szCs w:val="22"/>
              </w:rPr>
              <w:t xml:space="preserve">Certificación de cumplimiento de requisitos de consulta, publicidad y de incorporación en la agenda regulatoria </w:t>
            </w:r>
          </w:p>
          <w:p w14:paraId="75A97C47" w14:textId="77777777" w:rsidR="00D05B67" w:rsidRPr="008E004C" w:rsidRDefault="00D05B67" w:rsidP="00D05B67">
            <w:pPr>
              <w:jc w:val="both"/>
              <w:rPr>
                <w:rFonts w:cs="Arial"/>
                <w:i/>
                <w:color w:val="808080"/>
                <w:sz w:val="22"/>
                <w:szCs w:val="22"/>
              </w:rPr>
            </w:pPr>
            <w:r w:rsidRPr="008E004C">
              <w:rPr>
                <w:rFonts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211AC1A" w14:textId="77777777" w:rsidR="00D05B67" w:rsidRPr="008E004C" w:rsidRDefault="00142DFE" w:rsidP="00142DFE">
            <w:pPr>
              <w:jc w:val="center"/>
              <w:rPr>
                <w:rFonts w:cs="Arial"/>
                <w:i/>
                <w:color w:val="808080"/>
                <w:sz w:val="22"/>
                <w:szCs w:val="22"/>
              </w:rPr>
            </w:pPr>
            <w:r>
              <w:rPr>
                <w:rFonts w:cs="Arial"/>
                <w:i/>
                <w:color w:val="808080"/>
                <w:sz w:val="22"/>
                <w:szCs w:val="22"/>
              </w:rPr>
              <w:t>X</w:t>
            </w:r>
          </w:p>
        </w:tc>
      </w:tr>
      <w:tr w:rsidR="00D05B67" w:rsidRPr="008E004C" w14:paraId="21DFCEA4" w14:textId="77777777" w:rsidTr="2BFD153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689D5CA5" w14:textId="77777777" w:rsidR="00D05B67" w:rsidRPr="008E004C" w:rsidRDefault="00D05B67" w:rsidP="00D05B67">
            <w:pPr>
              <w:jc w:val="both"/>
              <w:rPr>
                <w:rFonts w:cs="Arial"/>
                <w:sz w:val="22"/>
                <w:szCs w:val="22"/>
              </w:rPr>
            </w:pPr>
            <w:r w:rsidRPr="008E004C">
              <w:rPr>
                <w:rFonts w:cs="Arial"/>
                <w:sz w:val="22"/>
                <w:szCs w:val="22"/>
              </w:rPr>
              <w:t>Concepto</w:t>
            </w:r>
            <w:r w:rsidR="005F30C3" w:rsidRPr="008E004C">
              <w:rPr>
                <w:rFonts w:cs="Arial"/>
                <w:sz w:val="22"/>
                <w:szCs w:val="22"/>
              </w:rPr>
              <w:t>(s)</w:t>
            </w:r>
            <w:r w:rsidRPr="008E004C">
              <w:rPr>
                <w:rFonts w:cs="Arial"/>
                <w:sz w:val="22"/>
                <w:szCs w:val="22"/>
              </w:rPr>
              <w:t xml:space="preserve"> de Min</w:t>
            </w:r>
            <w:r w:rsidR="005F30C3" w:rsidRPr="008E004C">
              <w:rPr>
                <w:rFonts w:cs="Arial"/>
                <w:sz w:val="22"/>
                <w:szCs w:val="22"/>
              </w:rPr>
              <w:t>isterio de</w:t>
            </w:r>
            <w:r w:rsidRPr="008E004C">
              <w:rPr>
                <w:rFonts w:cs="Arial"/>
                <w:sz w:val="22"/>
                <w:szCs w:val="22"/>
              </w:rPr>
              <w:t xml:space="preserve"> Comercio</w:t>
            </w:r>
            <w:r w:rsidR="005F30C3" w:rsidRPr="008E004C">
              <w:rPr>
                <w:rFonts w:cs="Arial"/>
                <w:sz w:val="22"/>
                <w:szCs w:val="22"/>
              </w:rPr>
              <w:t>, Industria y Turismo</w:t>
            </w:r>
          </w:p>
          <w:p w14:paraId="77F81A01" w14:textId="77777777" w:rsidR="00D05B67" w:rsidRPr="008E004C" w:rsidRDefault="005F30C3" w:rsidP="00D05B67">
            <w:pPr>
              <w:jc w:val="both"/>
              <w:rPr>
                <w:rFonts w:cs="Arial"/>
                <w:i/>
                <w:color w:val="808080"/>
                <w:sz w:val="22"/>
                <w:szCs w:val="22"/>
              </w:rPr>
            </w:pPr>
            <w:r w:rsidRPr="008E004C">
              <w:rPr>
                <w:rFonts w:cs="Arial"/>
                <w:i/>
                <w:color w:val="808080"/>
                <w:sz w:val="22"/>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40A8011" w14:textId="77777777" w:rsidR="00D05B67" w:rsidRPr="008E004C" w:rsidRDefault="006B4921" w:rsidP="00142DFE">
            <w:pPr>
              <w:jc w:val="center"/>
              <w:rPr>
                <w:rFonts w:cs="Arial"/>
                <w:sz w:val="22"/>
                <w:szCs w:val="22"/>
              </w:rPr>
            </w:pPr>
            <w:r>
              <w:rPr>
                <w:rFonts w:cs="Arial"/>
                <w:i/>
                <w:color w:val="808080"/>
                <w:sz w:val="22"/>
                <w:szCs w:val="22"/>
              </w:rPr>
              <w:t>N</w:t>
            </w:r>
            <w:r w:rsidR="00904FCE">
              <w:rPr>
                <w:rFonts w:cs="Arial"/>
                <w:i/>
                <w:color w:val="808080"/>
                <w:sz w:val="22"/>
                <w:szCs w:val="22"/>
              </w:rPr>
              <w:t>/</w:t>
            </w:r>
            <w:r>
              <w:rPr>
                <w:rFonts w:cs="Arial"/>
                <w:i/>
                <w:color w:val="808080"/>
                <w:sz w:val="22"/>
                <w:szCs w:val="22"/>
              </w:rPr>
              <w:t>A</w:t>
            </w:r>
          </w:p>
        </w:tc>
      </w:tr>
      <w:tr w:rsidR="005F30C3" w:rsidRPr="008E004C" w14:paraId="6C2438D6" w14:textId="77777777" w:rsidTr="2BFD153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207217A" w14:textId="77777777" w:rsidR="005F30C3" w:rsidRPr="008E004C" w:rsidRDefault="005F30C3" w:rsidP="00D05B67">
            <w:pPr>
              <w:jc w:val="both"/>
              <w:rPr>
                <w:rFonts w:cs="Arial"/>
                <w:sz w:val="22"/>
                <w:szCs w:val="22"/>
              </w:rPr>
            </w:pPr>
            <w:r w:rsidRPr="008E004C">
              <w:rPr>
                <w:rFonts w:cs="Arial"/>
                <w:sz w:val="22"/>
                <w:szCs w:val="22"/>
              </w:rPr>
              <w:t xml:space="preserve">Informe de observaciones y respuestas </w:t>
            </w:r>
          </w:p>
          <w:p w14:paraId="069C0C22" w14:textId="77777777" w:rsidR="005F30C3" w:rsidRPr="008E004C" w:rsidRDefault="005F30C3" w:rsidP="00D05B67">
            <w:pPr>
              <w:jc w:val="both"/>
              <w:rPr>
                <w:rFonts w:cs="Arial"/>
                <w:i/>
                <w:color w:val="808080"/>
                <w:sz w:val="22"/>
                <w:szCs w:val="22"/>
              </w:rPr>
            </w:pPr>
            <w:r w:rsidRPr="008E004C">
              <w:rPr>
                <w:rFonts w:cs="Arial"/>
                <w:i/>
                <w:color w:val="808080"/>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2B8A1A6B" w14:textId="77777777" w:rsidR="005F30C3" w:rsidRPr="008E004C" w:rsidRDefault="00142DFE" w:rsidP="00142DFE">
            <w:pPr>
              <w:jc w:val="center"/>
              <w:rPr>
                <w:rFonts w:cs="Arial"/>
                <w:sz w:val="22"/>
                <w:szCs w:val="22"/>
              </w:rPr>
            </w:pPr>
            <w:r>
              <w:rPr>
                <w:rFonts w:cs="Arial"/>
                <w:i/>
                <w:color w:val="808080"/>
                <w:sz w:val="22"/>
                <w:szCs w:val="22"/>
              </w:rPr>
              <w:t>X</w:t>
            </w:r>
          </w:p>
        </w:tc>
      </w:tr>
      <w:tr w:rsidR="005F30C3" w:rsidRPr="008E004C" w14:paraId="44A68FCC" w14:textId="77777777" w:rsidTr="2BFD153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4A54BE6" w14:textId="77777777" w:rsidR="005F30C3" w:rsidRPr="008E004C" w:rsidRDefault="005F30C3" w:rsidP="00D05B67">
            <w:pPr>
              <w:jc w:val="both"/>
              <w:rPr>
                <w:rFonts w:cs="Arial"/>
                <w:sz w:val="22"/>
                <w:szCs w:val="22"/>
              </w:rPr>
            </w:pPr>
            <w:r w:rsidRPr="008E004C">
              <w:rPr>
                <w:rFonts w:cs="Arial"/>
                <w:sz w:val="22"/>
                <w:szCs w:val="22"/>
              </w:rPr>
              <w:t>Concepto de Abogacía de la Competencia de la Superintendencia de Industria y Comercio</w:t>
            </w:r>
          </w:p>
          <w:p w14:paraId="145D8E99" w14:textId="77777777" w:rsidR="005F30C3" w:rsidRPr="008E004C" w:rsidRDefault="005F30C3" w:rsidP="00D05B67">
            <w:pPr>
              <w:jc w:val="both"/>
              <w:rPr>
                <w:rFonts w:cs="Arial"/>
                <w:i/>
                <w:color w:val="808080"/>
                <w:sz w:val="22"/>
                <w:szCs w:val="22"/>
              </w:rPr>
            </w:pPr>
            <w:r w:rsidRPr="008E004C">
              <w:rPr>
                <w:rFonts w:cs="Arial"/>
                <w:i/>
                <w:color w:val="808080"/>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64344777" w14:textId="77777777" w:rsidR="005F30C3" w:rsidRPr="008E004C" w:rsidRDefault="006B4921" w:rsidP="00142DFE">
            <w:pPr>
              <w:jc w:val="center"/>
              <w:rPr>
                <w:rFonts w:cs="Arial"/>
                <w:sz w:val="22"/>
                <w:szCs w:val="22"/>
              </w:rPr>
            </w:pPr>
            <w:r>
              <w:rPr>
                <w:rFonts w:cs="Arial"/>
                <w:i/>
                <w:color w:val="808080"/>
                <w:sz w:val="22"/>
                <w:szCs w:val="22"/>
              </w:rPr>
              <w:t>N</w:t>
            </w:r>
            <w:r w:rsidR="00904FCE">
              <w:rPr>
                <w:rFonts w:cs="Arial"/>
                <w:i/>
                <w:color w:val="808080"/>
                <w:sz w:val="22"/>
                <w:szCs w:val="22"/>
              </w:rPr>
              <w:t>/</w:t>
            </w:r>
            <w:r>
              <w:rPr>
                <w:rFonts w:cs="Arial"/>
                <w:i/>
                <w:color w:val="808080"/>
                <w:sz w:val="22"/>
                <w:szCs w:val="22"/>
              </w:rPr>
              <w:t>A</w:t>
            </w:r>
          </w:p>
        </w:tc>
      </w:tr>
      <w:tr w:rsidR="005F30C3" w:rsidRPr="008E004C" w14:paraId="24CF2E8E" w14:textId="77777777" w:rsidTr="2BFD153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4E770B5" w14:textId="77777777" w:rsidR="005F30C3" w:rsidRPr="008E004C" w:rsidRDefault="005F30C3" w:rsidP="00D05B67">
            <w:pPr>
              <w:jc w:val="both"/>
              <w:rPr>
                <w:rFonts w:cs="Arial"/>
                <w:sz w:val="22"/>
                <w:szCs w:val="22"/>
              </w:rPr>
            </w:pPr>
            <w:r w:rsidRPr="008E004C">
              <w:rPr>
                <w:rFonts w:cs="Arial"/>
                <w:sz w:val="22"/>
                <w:szCs w:val="22"/>
              </w:rPr>
              <w:t>Concepto de aprobación nuevos trámites del Departamento Administrativo de la Función Pública</w:t>
            </w:r>
          </w:p>
          <w:p w14:paraId="7DDBA34C" w14:textId="77777777" w:rsidR="005F30C3" w:rsidRPr="008E004C" w:rsidRDefault="005F30C3" w:rsidP="00D05B67">
            <w:pPr>
              <w:jc w:val="both"/>
              <w:rPr>
                <w:rFonts w:cs="Arial"/>
                <w:sz w:val="22"/>
                <w:szCs w:val="22"/>
              </w:rPr>
            </w:pPr>
            <w:r w:rsidRPr="008E004C">
              <w:rPr>
                <w:rFonts w:cs="Arial"/>
                <w:i/>
                <w:color w:val="808080"/>
                <w:sz w:val="22"/>
                <w:szCs w:val="22"/>
              </w:rPr>
              <w:lastRenderedPageBreak/>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6E1488C0" w14:textId="77777777" w:rsidR="005F30C3" w:rsidRPr="008E004C" w:rsidRDefault="006B4921" w:rsidP="00142DFE">
            <w:pPr>
              <w:jc w:val="center"/>
              <w:rPr>
                <w:rFonts w:cs="Arial"/>
                <w:sz w:val="22"/>
                <w:szCs w:val="22"/>
              </w:rPr>
            </w:pPr>
            <w:r>
              <w:rPr>
                <w:rFonts w:cs="Arial"/>
                <w:i/>
                <w:color w:val="808080"/>
                <w:sz w:val="22"/>
                <w:szCs w:val="22"/>
              </w:rPr>
              <w:lastRenderedPageBreak/>
              <w:t>N</w:t>
            </w:r>
            <w:r w:rsidR="00904FCE">
              <w:rPr>
                <w:rFonts w:cs="Arial"/>
                <w:i/>
                <w:color w:val="808080"/>
                <w:sz w:val="22"/>
                <w:szCs w:val="22"/>
              </w:rPr>
              <w:t>/</w:t>
            </w:r>
            <w:r>
              <w:rPr>
                <w:rFonts w:cs="Arial"/>
                <w:i/>
                <w:color w:val="808080"/>
                <w:sz w:val="22"/>
                <w:szCs w:val="22"/>
              </w:rPr>
              <w:t>A</w:t>
            </w:r>
          </w:p>
        </w:tc>
      </w:tr>
      <w:tr w:rsidR="005F30C3" w:rsidRPr="008E004C" w14:paraId="59C90A0E" w14:textId="77777777" w:rsidTr="2BFD1533">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3B39BA5A" w14:textId="77777777" w:rsidR="005F30C3" w:rsidRPr="008E004C" w:rsidRDefault="005F30C3" w:rsidP="00084B49">
            <w:pPr>
              <w:jc w:val="both"/>
              <w:rPr>
                <w:rFonts w:cs="Arial"/>
                <w:sz w:val="22"/>
                <w:szCs w:val="22"/>
              </w:rPr>
            </w:pPr>
            <w:r w:rsidRPr="008E004C">
              <w:rPr>
                <w:rFonts w:cs="Arial"/>
                <w:sz w:val="22"/>
                <w:szCs w:val="22"/>
              </w:rPr>
              <w:t xml:space="preserve">Otro </w:t>
            </w:r>
          </w:p>
          <w:p w14:paraId="30AEF473" w14:textId="77777777" w:rsidR="005F30C3" w:rsidRPr="008E004C" w:rsidRDefault="005F30C3" w:rsidP="00084B49">
            <w:pPr>
              <w:jc w:val="both"/>
              <w:rPr>
                <w:rFonts w:cs="Arial"/>
                <w:sz w:val="22"/>
                <w:szCs w:val="22"/>
              </w:rPr>
            </w:pPr>
            <w:r w:rsidRPr="008E004C">
              <w:rPr>
                <w:rFonts w:cs="Arial"/>
                <w:i/>
                <w:color w:val="808080"/>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42E4ACE1" w14:textId="77777777" w:rsidR="005F30C3" w:rsidRPr="008E004C" w:rsidRDefault="006B4921" w:rsidP="00142DFE">
            <w:pPr>
              <w:jc w:val="center"/>
              <w:rPr>
                <w:rFonts w:cs="Arial"/>
                <w:sz w:val="22"/>
                <w:szCs w:val="22"/>
              </w:rPr>
            </w:pPr>
            <w:r>
              <w:rPr>
                <w:rFonts w:cs="Arial"/>
                <w:i/>
                <w:color w:val="808080"/>
                <w:sz w:val="22"/>
                <w:szCs w:val="22"/>
              </w:rPr>
              <w:t>N</w:t>
            </w:r>
            <w:r w:rsidR="00904FCE">
              <w:rPr>
                <w:rFonts w:cs="Arial"/>
                <w:i/>
                <w:color w:val="808080"/>
                <w:sz w:val="22"/>
                <w:szCs w:val="22"/>
              </w:rPr>
              <w:t>/</w:t>
            </w:r>
            <w:r>
              <w:rPr>
                <w:rFonts w:cs="Arial"/>
                <w:i/>
                <w:color w:val="808080"/>
                <w:sz w:val="22"/>
                <w:szCs w:val="22"/>
              </w:rPr>
              <w:t>A</w:t>
            </w:r>
          </w:p>
        </w:tc>
      </w:tr>
    </w:tbl>
    <w:p w14:paraId="10939E85" w14:textId="77777777" w:rsidR="00301DC2" w:rsidRPr="008E004C" w:rsidRDefault="00301DC2" w:rsidP="00587695">
      <w:pPr>
        <w:ind w:right="-377"/>
        <w:jc w:val="both"/>
        <w:rPr>
          <w:rFonts w:cs="Arial"/>
          <w:sz w:val="22"/>
          <w:szCs w:val="22"/>
        </w:rPr>
      </w:pPr>
    </w:p>
    <w:p w14:paraId="0A350938" w14:textId="77777777" w:rsidR="00B66D03" w:rsidRPr="008E004C" w:rsidRDefault="000B30A6" w:rsidP="00696582">
      <w:pPr>
        <w:ind w:left="-1276" w:right="-377" w:firstLine="283"/>
        <w:jc w:val="both"/>
        <w:rPr>
          <w:rFonts w:cs="Arial"/>
          <w:b/>
          <w:sz w:val="22"/>
          <w:szCs w:val="22"/>
        </w:rPr>
      </w:pPr>
      <w:r w:rsidRPr="008E004C">
        <w:rPr>
          <w:rFonts w:cs="Arial"/>
          <w:b/>
          <w:sz w:val="22"/>
          <w:szCs w:val="22"/>
        </w:rPr>
        <w:t>Aprobó</w:t>
      </w:r>
      <w:r w:rsidR="00CB4D37" w:rsidRPr="008E004C">
        <w:rPr>
          <w:rFonts w:cs="Arial"/>
          <w:b/>
          <w:sz w:val="22"/>
          <w:szCs w:val="22"/>
        </w:rPr>
        <w:t>:</w:t>
      </w:r>
    </w:p>
    <w:p w14:paraId="2FAF65F6" w14:textId="77777777" w:rsidR="00B66D03" w:rsidRPr="008E004C" w:rsidRDefault="00B66D03" w:rsidP="00086B16">
      <w:pPr>
        <w:ind w:left="-1276" w:right="-377"/>
        <w:jc w:val="both"/>
        <w:rPr>
          <w:rFonts w:cs="Arial"/>
          <w:sz w:val="22"/>
          <w:szCs w:val="22"/>
        </w:rPr>
      </w:pPr>
    </w:p>
    <w:p w14:paraId="76E7662E" w14:textId="77777777" w:rsidR="007E4CE3" w:rsidRPr="008E004C" w:rsidRDefault="007E4CE3" w:rsidP="00086B16">
      <w:pPr>
        <w:ind w:left="-1276" w:right="-377"/>
        <w:jc w:val="both"/>
        <w:rPr>
          <w:rFonts w:cs="Arial"/>
          <w:sz w:val="22"/>
          <w:szCs w:val="22"/>
        </w:rPr>
      </w:pPr>
    </w:p>
    <w:p w14:paraId="2647EE6B" w14:textId="77777777" w:rsidR="008E004C" w:rsidRDefault="008E004C" w:rsidP="008E004C">
      <w:pPr>
        <w:pStyle w:val="Listavistosa-nfasis11"/>
        <w:ind w:left="0"/>
        <w:rPr>
          <w:rFonts w:ascii="Arial" w:hAnsi="Arial" w:cs="Arial"/>
          <w:b/>
        </w:rPr>
      </w:pPr>
    </w:p>
    <w:p w14:paraId="0D57A3AB" w14:textId="77777777" w:rsidR="00DD67A6" w:rsidRPr="00340F69" w:rsidRDefault="00DD67A6" w:rsidP="00721860">
      <w:pPr>
        <w:ind w:right="-377"/>
        <w:jc w:val="both"/>
        <w:rPr>
          <w:rFonts w:ascii="Arial Narrow" w:hAnsi="Arial Narrow" w:cs="Arial"/>
          <w:sz w:val="18"/>
          <w:szCs w:val="18"/>
        </w:rPr>
      </w:pPr>
    </w:p>
    <w:sectPr w:rsidR="00DD67A6" w:rsidRPr="00340F69" w:rsidSect="006F4ABA">
      <w:headerReference w:type="default" r:id="rId11"/>
      <w:footerReference w:type="default" r:id="rId12"/>
      <w:headerReference w:type="first" r:id="rId13"/>
      <w:type w:val="continuous"/>
      <w:pgSz w:w="12240" w:h="15840" w:code="1"/>
      <w:pgMar w:top="1616" w:right="900" w:bottom="1115"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9A2D" w14:textId="77777777" w:rsidR="00880709" w:rsidRDefault="00880709">
      <w:r>
        <w:separator/>
      </w:r>
    </w:p>
  </w:endnote>
  <w:endnote w:type="continuationSeparator" w:id="0">
    <w:p w14:paraId="3E6052A2" w14:textId="77777777" w:rsidR="00880709" w:rsidRDefault="00880709">
      <w:r>
        <w:continuationSeparator/>
      </w:r>
    </w:p>
  </w:endnote>
  <w:endnote w:type="continuationNotice" w:id="1">
    <w:p w14:paraId="3D69272A" w14:textId="77777777" w:rsidR="00880709" w:rsidRDefault="0088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6F34" w14:textId="77777777" w:rsidR="00836C6A" w:rsidRDefault="00836C6A">
    <w:pPr>
      <w:pStyle w:val="Piedepgina"/>
      <w:jc w:val="right"/>
    </w:pPr>
    <w:r>
      <w:rPr>
        <w:color w:val="2B579A"/>
        <w:shd w:val="clear" w:color="auto" w:fill="E6E6E6"/>
      </w:rPr>
      <w:fldChar w:fldCharType="begin"/>
    </w:r>
    <w:r w:rsidR="000C5964">
      <w:instrText>PAGE</w:instrText>
    </w:r>
    <w:r>
      <w:instrText xml:space="preserve">   \* MERGEFORMAT</w:instrText>
    </w:r>
    <w:r>
      <w:rPr>
        <w:color w:val="2B579A"/>
        <w:shd w:val="clear" w:color="auto" w:fill="E6E6E6"/>
      </w:rPr>
      <w:fldChar w:fldCharType="separate"/>
    </w:r>
    <w:r w:rsidR="00C7145D">
      <w:rPr>
        <w:noProof/>
      </w:rPr>
      <w:t>2</w:t>
    </w:r>
    <w:r>
      <w:rPr>
        <w:color w:val="2B579A"/>
        <w:shd w:val="clear" w:color="auto" w:fill="E6E6E6"/>
      </w:rPr>
      <w:fldChar w:fldCharType="end"/>
    </w:r>
  </w:p>
  <w:p w14:paraId="101DC12F" w14:textId="77777777" w:rsidR="00F07A7D" w:rsidRPr="0084294E" w:rsidRDefault="00F07A7D" w:rsidP="00FA4A9E">
    <w:pPr>
      <w:pStyle w:val="Piedep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79C3" w14:textId="77777777" w:rsidR="00880709" w:rsidRDefault="00880709">
      <w:r>
        <w:separator/>
      </w:r>
    </w:p>
  </w:footnote>
  <w:footnote w:type="continuationSeparator" w:id="0">
    <w:p w14:paraId="5A22475D" w14:textId="77777777" w:rsidR="00880709" w:rsidRDefault="00880709">
      <w:r>
        <w:continuationSeparator/>
      </w:r>
    </w:p>
  </w:footnote>
  <w:footnote w:type="continuationNotice" w:id="1">
    <w:p w14:paraId="7A74EB02" w14:textId="77777777" w:rsidR="00880709" w:rsidRDefault="00880709"/>
  </w:footnote>
  <w:footnote w:id="2">
    <w:p w14:paraId="2A63681E" w14:textId="37F0BE28" w:rsidR="009552CF" w:rsidRPr="009453C9" w:rsidRDefault="009552CF" w:rsidP="004D1E38">
      <w:pPr>
        <w:jc w:val="both"/>
        <w:rPr>
          <w:sz w:val="20"/>
          <w:szCs w:val="20"/>
        </w:rPr>
      </w:pPr>
      <w:r w:rsidRPr="009453C9">
        <w:rPr>
          <w:rStyle w:val="Refdenotaalpie"/>
          <w:sz w:val="20"/>
          <w:szCs w:val="20"/>
        </w:rPr>
        <w:footnoteRef/>
      </w:r>
      <w:r w:rsidRPr="009453C9">
        <w:rPr>
          <w:sz w:val="20"/>
          <w:szCs w:val="20"/>
        </w:rPr>
        <w:t xml:space="preserve"> </w:t>
      </w:r>
      <w:r w:rsidR="005F524C" w:rsidRPr="009453C9">
        <w:rPr>
          <w:rFonts w:eastAsia="Times"/>
          <w:sz w:val="20"/>
          <w:szCs w:val="20"/>
        </w:rPr>
        <w:t>Por medio del cual se modifica el Decreto número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p>
  </w:footnote>
  <w:footnote w:id="3">
    <w:p w14:paraId="356ECF3C" w14:textId="603B7B6D" w:rsidR="001119D1" w:rsidRPr="00294694" w:rsidRDefault="001119D1">
      <w:pPr>
        <w:pStyle w:val="Textonotapie"/>
        <w:rPr>
          <w:lang w:val="es-CO"/>
        </w:rPr>
      </w:pPr>
      <w:r>
        <w:rPr>
          <w:rStyle w:val="Refdenotaalpie"/>
        </w:rPr>
        <w:footnoteRef/>
      </w:r>
      <w:r w:rsidR="00844AD9">
        <w:rPr>
          <w:lang w:val="es-CO"/>
        </w:rPr>
        <w:t xml:space="preserve"> </w:t>
      </w:r>
      <w:r w:rsidR="00844AD9" w:rsidRPr="000320D4">
        <w:rPr>
          <w:rFonts w:ascii="Times New Roman" w:hAnsi="Times New Roman"/>
          <w:sz w:val="20"/>
          <w:szCs w:val="20"/>
          <w:lang w:val="es-CO"/>
        </w:rPr>
        <w:t>El Comité de Política Regulatoria recomendó al país en documento</w:t>
      </w:r>
      <w:r w:rsidR="004A1DE0" w:rsidRPr="000320D4">
        <w:rPr>
          <w:rFonts w:ascii="Times New Roman" w:hAnsi="Times New Roman"/>
          <w:sz w:val="20"/>
          <w:szCs w:val="20"/>
          <w:lang w:val="es-CO"/>
        </w:rPr>
        <w:t xml:space="preserve"> </w:t>
      </w:r>
      <w:r w:rsidR="000320D4" w:rsidRPr="000320D4">
        <w:rPr>
          <w:rFonts w:ascii="Times New Roman" w:hAnsi="Times New Roman"/>
          <w:sz w:val="20"/>
          <w:szCs w:val="20"/>
          <w:lang w:val="es-CO"/>
        </w:rPr>
        <w:t>“</w:t>
      </w:r>
      <w:r w:rsidR="004A1DE0" w:rsidRPr="000320D4">
        <w:rPr>
          <w:rFonts w:ascii="Times New Roman" w:hAnsi="Times New Roman"/>
          <w:sz w:val="20"/>
          <w:szCs w:val="20"/>
          <w:lang w:val="es-CO"/>
        </w:rPr>
        <w:t xml:space="preserve">Formal </w:t>
      </w:r>
      <w:proofErr w:type="spellStart"/>
      <w:r w:rsidR="004A1DE0" w:rsidRPr="000320D4">
        <w:rPr>
          <w:rFonts w:ascii="Times New Roman" w:hAnsi="Times New Roman"/>
          <w:sz w:val="20"/>
          <w:szCs w:val="20"/>
          <w:lang w:val="es-CO"/>
        </w:rPr>
        <w:t>Opinions</w:t>
      </w:r>
      <w:proofErr w:type="spellEnd"/>
      <w:r w:rsidR="004A1DE0" w:rsidRPr="000320D4">
        <w:rPr>
          <w:rFonts w:ascii="Times New Roman" w:hAnsi="Times New Roman"/>
          <w:sz w:val="20"/>
          <w:szCs w:val="20"/>
          <w:lang w:val="es-CO"/>
        </w:rPr>
        <w:t xml:space="preserve"> </w:t>
      </w:r>
      <w:r w:rsidR="005D73A9" w:rsidRPr="000320D4">
        <w:rPr>
          <w:rFonts w:ascii="Times New Roman" w:hAnsi="Times New Roman"/>
          <w:sz w:val="20"/>
          <w:szCs w:val="20"/>
          <w:lang w:val="es-CO"/>
        </w:rPr>
        <w:t xml:space="preserve">of OECD </w:t>
      </w:r>
      <w:proofErr w:type="spellStart"/>
      <w:r w:rsidR="005D73A9" w:rsidRPr="000320D4">
        <w:rPr>
          <w:rFonts w:ascii="Times New Roman" w:hAnsi="Times New Roman"/>
          <w:sz w:val="20"/>
          <w:szCs w:val="20"/>
          <w:lang w:val="es-CO"/>
        </w:rPr>
        <w:t>Bodies</w:t>
      </w:r>
      <w:proofErr w:type="spellEnd"/>
      <w:r w:rsidR="000320D4" w:rsidRPr="000320D4">
        <w:rPr>
          <w:rFonts w:ascii="Times New Roman" w:hAnsi="Times New Roman"/>
          <w:sz w:val="20"/>
          <w:szCs w:val="20"/>
          <w:lang w:val="es-CO"/>
        </w:rPr>
        <w:t>”</w:t>
      </w:r>
      <w:r w:rsidR="00844AD9" w:rsidRPr="000320D4">
        <w:rPr>
          <w:rFonts w:ascii="Times New Roman" w:hAnsi="Times New Roman"/>
          <w:sz w:val="20"/>
          <w:szCs w:val="20"/>
          <w:lang w:val="es-CO"/>
        </w:rPr>
        <w:t xml:space="preserve"> </w:t>
      </w:r>
      <w:r w:rsidR="000320D4" w:rsidRPr="000320D4">
        <w:rPr>
          <w:rFonts w:ascii="Times New Roman" w:hAnsi="Times New Roman"/>
          <w:sz w:val="20"/>
          <w:szCs w:val="20"/>
          <w:lang w:val="es-CO"/>
        </w:rPr>
        <w:t>(</w:t>
      </w:r>
      <w:r w:rsidR="006B7A4A" w:rsidRPr="000320D4">
        <w:rPr>
          <w:rFonts w:ascii="Times New Roman" w:hAnsi="Times New Roman"/>
          <w:sz w:val="20"/>
          <w:szCs w:val="20"/>
          <w:lang w:val="es-CO"/>
        </w:rPr>
        <w:t>C(2018)78</w:t>
      </w:r>
      <w:r w:rsidR="000320D4" w:rsidRPr="000320D4">
        <w:rPr>
          <w:rFonts w:ascii="Times New Roman" w:hAnsi="Times New Roman"/>
          <w:sz w:val="20"/>
          <w:szCs w:val="20"/>
          <w:lang w:val="es-CO"/>
        </w:rPr>
        <w:t>)</w:t>
      </w:r>
      <w:r w:rsidR="006B7A4A" w:rsidRPr="000320D4">
        <w:rPr>
          <w:rFonts w:ascii="Times New Roman" w:hAnsi="Times New Roman"/>
          <w:sz w:val="20"/>
          <w:szCs w:val="20"/>
          <w:lang w:val="es-CO"/>
        </w:rPr>
        <w:t xml:space="preserve"> </w:t>
      </w:r>
      <w:r w:rsidR="00A035B2" w:rsidRPr="000320D4">
        <w:rPr>
          <w:rFonts w:ascii="Times New Roman" w:hAnsi="Times New Roman"/>
          <w:sz w:val="20"/>
          <w:szCs w:val="20"/>
          <w:lang w:val="es-CO"/>
        </w:rPr>
        <w:t>realizar modificaciones a la política regulatoria</w:t>
      </w:r>
      <w:r w:rsidR="000320D4" w:rsidRPr="000320D4">
        <w:rPr>
          <w:rFonts w:ascii="Times New Roman" w:hAnsi="Times New Roman"/>
          <w:sz w:val="20"/>
          <w:szCs w:val="20"/>
          <w:lang w:val="es-CO"/>
        </w:rPr>
        <w:t>. Para ello se apoyó</w:t>
      </w:r>
      <w:r w:rsidR="00A035B2" w:rsidRPr="000320D4">
        <w:rPr>
          <w:rFonts w:ascii="Times New Roman" w:hAnsi="Times New Roman"/>
          <w:sz w:val="20"/>
          <w:szCs w:val="20"/>
          <w:lang w:val="es-CO"/>
        </w:rPr>
        <w:t xml:space="preserve"> en el </w:t>
      </w:r>
      <w:proofErr w:type="spellStart"/>
      <w:r w:rsidR="00292138" w:rsidRPr="000320D4">
        <w:rPr>
          <w:rFonts w:ascii="Times New Roman" w:hAnsi="Times New Roman"/>
          <w:sz w:val="20"/>
          <w:szCs w:val="20"/>
          <w:lang w:val="es-CO"/>
        </w:rPr>
        <w:t>Accession</w:t>
      </w:r>
      <w:proofErr w:type="spellEnd"/>
      <w:r w:rsidR="00292138" w:rsidRPr="000320D4">
        <w:rPr>
          <w:rFonts w:ascii="Times New Roman" w:hAnsi="Times New Roman"/>
          <w:sz w:val="20"/>
          <w:szCs w:val="20"/>
          <w:lang w:val="es-CO"/>
        </w:rPr>
        <w:t xml:space="preserve"> </w:t>
      </w:r>
      <w:proofErr w:type="spellStart"/>
      <w:r w:rsidR="00292138" w:rsidRPr="000320D4">
        <w:rPr>
          <w:rFonts w:ascii="Times New Roman" w:hAnsi="Times New Roman"/>
          <w:sz w:val="20"/>
          <w:szCs w:val="20"/>
          <w:lang w:val="es-CO"/>
        </w:rPr>
        <w:t>Review</w:t>
      </w:r>
      <w:proofErr w:type="spellEnd"/>
      <w:r w:rsidR="00292138" w:rsidRPr="000320D4">
        <w:rPr>
          <w:rFonts w:ascii="Times New Roman" w:hAnsi="Times New Roman"/>
          <w:sz w:val="20"/>
          <w:szCs w:val="20"/>
          <w:lang w:val="es-CO"/>
        </w:rPr>
        <w:t xml:space="preserve"> </w:t>
      </w:r>
      <w:proofErr w:type="spellStart"/>
      <w:r w:rsidR="00292138" w:rsidRPr="000320D4">
        <w:rPr>
          <w:rFonts w:ascii="Times New Roman" w:hAnsi="Times New Roman"/>
          <w:sz w:val="20"/>
          <w:szCs w:val="20"/>
          <w:lang w:val="es-CO"/>
        </w:rPr>
        <w:t>Report</w:t>
      </w:r>
      <w:proofErr w:type="spellEnd"/>
      <w:r w:rsidR="00292138" w:rsidRPr="000320D4">
        <w:rPr>
          <w:rFonts w:ascii="Times New Roman" w:hAnsi="Times New Roman"/>
          <w:sz w:val="20"/>
          <w:szCs w:val="20"/>
          <w:lang w:val="es-CO"/>
        </w:rPr>
        <w:t xml:space="preserve"> of Colombia de 2015 y</w:t>
      </w:r>
      <w:r w:rsidR="00294694" w:rsidRPr="000320D4">
        <w:rPr>
          <w:rFonts w:ascii="Times New Roman" w:hAnsi="Times New Roman"/>
          <w:sz w:val="20"/>
          <w:szCs w:val="20"/>
          <w:lang w:val="es-CO"/>
        </w:rPr>
        <w:t xml:space="preserve"> en el</w:t>
      </w:r>
      <w:r w:rsidR="00292138" w:rsidRPr="000320D4">
        <w:rPr>
          <w:rFonts w:ascii="Times New Roman" w:hAnsi="Times New Roman"/>
          <w:sz w:val="20"/>
          <w:szCs w:val="20"/>
          <w:lang w:val="es-CO"/>
        </w:rPr>
        <w:t xml:space="preserve"> </w:t>
      </w:r>
      <w:r w:rsidR="00294694" w:rsidRPr="000320D4">
        <w:rPr>
          <w:rFonts w:ascii="Times New Roman" w:hAnsi="Times New Roman"/>
          <w:sz w:val="20"/>
          <w:szCs w:val="20"/>
          <w:lang w:val="es-CO"/>
        </w:rPr>
        <w:t>Estudio de la OCDE sobre la política regulatoria en Colombia de 2014.</w:t>
      </w:r>
      <w:r w:rsidR="00294694">
        <w:rPr>
          <w:lang w:val="es-CO"/>
        </w:rPr>
        <w:t xml:space="preserve"> </w:t>
      </w:r>
    </w:p>
  </w:footnote>
  <w:footnote w:id="4">
    <w:p w14:paraId="7AB00307" w14:textId="77777777" w:rsidR="009453C9" w:rsidRPr="009453C9" w:rsidRDefault="009453C9" w:rsidP="009453C9">
      <w:pPr>
        <w:pStyle w:val="NormalWeb"/>
        <w:shd w:val="clear" w:color="auto" w:fill="FFFFFF"/>
        <w:spacing w:before="0" w:beforeAutospacing="0"/>
        <w:jc w:val="both"/>
        <w:rPr>
          <w:rFonts w:ascii="Times New Roman" w:eastAsia="Times New Roman" w:hAnsi="Times New Roman" w:cs="Times New Roman"/>
          <w:color w:val="000000" w:themeColor="text1"/>
          <w:sz w:val="20"/>
          <w:szCs w:val="20"/>
        </w:rPr>
      </w:pPr>
      <w:r w:rsidRPr="009453C9">
        <w:rPr>
          <w:rStyle w:val="Refdenotaalpie"/>
          <w:rFonts w:ascii="Times New Roman" w:hAnsi="Times New Roman" w:cs="Times New Roman"/>
          <w:color w:val="000000" w:themeColor="text1"/>
          <w:sz w:val="20"/>
          <w:szCs w:val="20"/>
        </w:rPr>
        <w:footnoteRef/>
      </w:r>
      <w:r w:rsidRPr="009453C9">
        <w:rPr>
          <w:rFonts w:ascii="Times New Roman" w:hAnsi="Times New Roman" w:cs="Times New Roman"/>
          <w:color w:val="000000" w:themeColor="text1"/>
          <w:sz w:val="20"/>
          <w:szCs w:val="20"/>
        </w:rPr>
        <w:t xml:space="preserve"> </w:t>
      </w:r>
      <w:proofErr w:type="gramStart"/>
      <w:r w:rsidRPr="009453C9">
        <w:rPr>
          <w:rFonts w:ascii="Times New Roman" w:eastAsia="Times New Roman" w:hAnsi="Times New Roman" w:cs="Times New Roman"/>
          <w:b/>
          <w:bCs/>
          <w:color w:val="000000" w:themeColor="text1"/>
          <w:sz w:val="20"/>
          <w:szCs w:val="20"/>
        </w:rPr>
        <w:t>ARTÍCULO</w:t>
      </w:r>
      <w:bookmarkStart w:id="1" w:name="2.1.2.1.25"/>
      <w:r w:rsidRPr="009453C9">
        <w:rPr>
          <w:rFonts w:ascii="Times New Roman" w:eastAsia="Times New Roman" w:hAnsi="Times New Roman" w:cs="Times New Roman"/>
          <w:b/>
          <w:bCs/>
          <w:color w:val="000000" w:themeColor="text1"/>
          <w:sz w:val="20"/>
          <w:szCs w:val="20"/>
        </w:rPr>
        <w:t> </w:t>
      </w:r>
      <w:bookmarkEnd w:id="1"/>
      <w:r w:rsidRPr="009453C9">
        <w:rPr>
          <w:rFonts w:ascii="Times New Roman" w:eastAsia="Times New Roman" w:hAnsi="Times New Roman" w:cs="Times New Roman"/>
          <w:b/>
          <w:bCs/>
          <w:color w:val="000000" w:themeColor="text1"/>
          <w:sz w:val="20"/>
          <w:szCs w:val="20"/>
        </w:rPr>
        <w:t> 2.1.2.1.25.</w:t>
      </w:r>
      <w:proofErr w:type="gramEnd"/>
      <w:r w:rsidRPr="009453C9">
        <w:rPr>
          <w:rFonts w:ascii="Times New Roman" w:eastAsia="Times New Roman" w:hAnsi="Times New Roman" w:cs="Times New Roman"/>
          <w:b/>
          <w:bCs/>
          <w:color w:val="000000" w:themeColor="text1"/>
          <w:sz w:val="20"/>
          <w:szCs w:val="20"/>
        </w:rPr>
        <w:t xml:space="preserve"> Promoción de la participación ciudadana.</w:t>
      </w:r>
      <w:r w:rsidRPr="009453C9">
        <w:rPr>
          <w:rFonts w:ascii="Times New Roman" w:eastAsia="Times New Roman" w:hAnsi="Times New Roman" w:cs="Times New Roman"/>
          <w:color w:val="000000" w:themeColor="text1"/>
          <w:sz w:val="20"/>
          <w:szCs w:val="20"/>
        </w:rPr>
        <w:t> Con el fin de que los ciudadanos y grupos de interés participen en la elaboración de los proyectos específicos de regulación de carácter general, la entidad que lidere la elaboración realizará, entre otras, las siguientes acciones:</w:t>
      </w:r>
    </w:p>
    <w:p w14:paraId="622378AF" w14:textId="208A5F4F" w:rsidR="009453C9" w:rsidRPr="009453C9" w:rsidRDefault="009453C9" w:rsidP="009453C9">
      <w:pPr>
        <w:shd w:val="clear" w:color="auto" w:fill="FFFFFF"/>
        <w:spacing w:after="100" w:afterAutospacing="1"/>
        <w:jc w:val="both"/>
        <w:rPr>
          <w:color w:val="333333"/>
          <w:sz w:val="28"/>
          <w:szCs w:val="28"/>
        </w:rPr>
      </w:pPr>
      <w:bookmarkStart w:id="2" w:name="2.1.2.1.25.1"/>
      <w:bookmarkEnd w:id="2"/>
      <w:r w:rsidRPr="009453C9">
        <w:rPr>
          <w:color w:val="000000" w:themeColor="text1"/>
          <w:sz w:val="20"/>
          <w:szCs w:val="20"/>
        </w:rPr>
        <w:t>1. […] definirán e indicarán los medios electrónicos a través de los cuales los ciudadanos y grupos de interés podrán inscribirse para recibir información automática respecto de los proyectos específicos de regulación que pretendan expedirse.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C9DC"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6542"/>
    </w:tblGrid>
    <w:tr w:rsidR="00696582" w14:paraId="5025DCC1" w14:textId="77777777" w:rsidTr="001447C1">
      <w:tc>
        <w:tcPr>
          <w:tcW w:w="4253" w:type="dxa"/>
          <w:shd w:val="clear" w:color="auto" w:fill="auto"/>
        </w:tcPr>
        <w:p w14:paraId="0EA9F363" w14:textId="04E799AB" w:rsidR="00696582" w:rsidRDefault="00F55E93" w:rsidP="001447C1">
          <w:pPr>
            <w:pStyle w:val="Encabezado"/>
          </w:pPr>
          <w:r w:rsidRPr="00D965B1">
            <w:rPr>
              <w:noProof/>
              <w:color w:val="2B579A"/>
              <w:shd w:val="clear" w:color="auto" w:fill="E6E6E6"/>
              <w:lang w:val="es-ES_tradnl" w:eastAsia="es-ES_tradnl"/>
            </w:rPr>
            <w:drawing>
              <wp:inline distT="0" distB="0" distL="0" distR="0" wp14:anchorId="2D9AB3E7" wp14:editId="4E8950A5">
                <wp:extent cx="2565400" cy="5397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539750"/>
                        </a:xfrm>
                        <a:prstGeom prst="rect">
                          <a:avLst/>
                        </a:prstGeom>
                        <a:noFill/>
                        <a:ln>
                          <a:noFill/>
                        </a:ln>
                      </pic:spPr>
                    </pic:pic>
                  </a:graphicData>
                </a:graphic>
              </wp:inline>
            </w:drawing>
          </w:r>
        </w:p>
      </w:tc>
      <w:tc>
        <w:tcPr>
          <w:tcW w:w="6545" w:type="dxa"/>
          <w:shd w:val="clear" w:color="auto" w:fill="auto"/>
          <w:vAlign w:val="center"/>
        </w:tcPr>
        <w:p w14:paraId="28EAD730" w14:textId="77777777" w:rsidR="00696582" w:rsidRDefault="00696582" w:rsidP="001447C1">
          <w:pPr>
            <w:pStyle w:val="Ttulo2"/>
            <w:ind w:left="72" w:right="72"/>
            <w:rPr>
              <w:rFonts w:cs="Arial"/>
              <w:bCs/>
              <w:color w:val="000000"/>
            </w:rPr>
          </w:pPr>
          <w:r w:rsidRPr="00FD3D04">
            <w:rPr>
              <w:rFonts w:cs="Arial"/>
              <w:bCs/>
              <w:color w:val="000000"/>
            </w:rPr>
            <w:t>FORMATO MEMORIA JUSTIFICATIVA</w:t>
          </w:r>
        </w:p>
        <w:p w14:paraId="544E0515" w14:textId="77777777" w:rsidR="00904FCE" w:rsidRPr="00904FCE" w:rsidRDefault="00904FCE" w:rsidP="00904FCE">
          <w:pPr>
            <w:jc w:val="center"/>
          </w:pPr>
          <w:r w:rsidRPr="00916D20">
            <w:rPr>
              <w:b/>
              <w:bCs/>
              <w:i/>
              <w:iCs/>
            </w:rPr>
            <w:t>[VERSIÓN PRELIMINAR PARA PUBLICACIÓN]</w:t>
          </w:r>
        </w:p>
      </w:tc>
    </w:tr>
  </w:tbl>
  <w:p w14:paraId="5792C80E"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6542"/>
    </w:tblGrid>
    <w:tr w:rsidR="00350767" w14:paraId="35B8B4CF" w14:textId="77777777" w:rsidTr="00FD3D04">
      <w:tc>
        <w:tcPr>
          <w:tcW w:w="4253" w:type="dxa"/>
          <w:shd w:val="clear" w:color="auto" w:fill="auto"/>
        </w:tcPr>
        <w:p w14:paraId="008908CD" w14:textId="48C4235D" w:rsidR="00350767" w:rsidRDefault="00F55E93">
          <w:pPr>
            <w:pStyle w:val="Encabezado"/>
          </w:pPr>
          <w:r w:rsidRPr="00D965B1">
            <w:rPr>
              <w:noProof/>
              <w:color w:val="2B579A"/>
              <w:shd w:val="clear" w:color="auto" w:fill="E6E6E6"/>
              <w:lang w:val="es-ES_tradnl" w:eastAsia="es-ES_tradnl"/>
            </w:rPr>
            <w:drawing>
              <wp:inline distT="0" distB="0" distL="0" distR="0" wp14:anchorId="22F47551" wp14:editId="77C48235">
                <wp:extent cx="2565400" cy="539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539750"/>
                        </a:xfrm>
                        <a:prstGeom prst="rect">
                          <a:avLst/>
                        </a:prstGeom>
                        <a:noFill/>
                        <a:ln>
                          <a:noFill/>
                        </a:ln>
                      </pic:spPr>
                    </pic:pic>
                  </a:graphicData>
                </a:graphic>
              </wp:inline>
            </w:drawing>
          </w:r>
        </w:p>
      </w:tc>
      <w:tc>
        <w:tcPr>
          <w:tcW w:w="6545" w:type="dxa"/>
          <w:shd w:val="clear" w:color="auto" w:fill="auto"/>
          <w:vAlign w:val="center"/>
        </w:tcPr>
        <w:p w14:paraId="242352D4" w14:textId="77777777" w:rsidR="00350767" w:rsidRDefault="00350767" w:rsidP="00FD3D04">
          <w:pPr>
            <w:pStyle w:val="Ttulo2"/>
            <w:ind w:left="72" w:right="72"/>
            <w:rPr>
              <w:rFonts w:cs="Arial"/>
              <w:bCs/>
              <w:color w:val="000000"/>
            </w:rPr>
          </w:pPr>
          <w:r w:rsidRPr="00FD3D04">
            <w:rPr>
              <w:rFonts w:cs="Arial"/>
              <w:bCs/>
              <w:color w:val="000000"/>
            </w:rPr>
            <w:t>FORMATO MEMORIA JUSTIFICATIVA</w:t>
          </w:r>
        </w:p>
        <w:p w14:paraId="7A2D44E3" w14:textId="77777777" w:rsidR="002624CC" w:rsidRPr="002624CC" w:rsidRDefault="002624CC" w:rsidP="002624CC">
          <w:pPr>
            <w:jc w:val="center"/>
          </w:pPr>
          <w:r w:rsidRPr="00916D20">
            <w:rPr>
              <w:b/>
              <w:bCs/>
              <w:i/>
              <w:iCs/>
            </w:rPr>
            <w:t>[VERSIÓN PRELIMINAR PARA PUBLICACIÓN]</w:t>
          </w:r>
        </w:p>
      </w:tc>
    </w:tr>
  </w:tbl>
  <w:p w14:paraId="09FD407F"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DDF"/>
    <w:multiLevelType w:val="hybridMultilevel"/>
    <w:tmpl w:val="09C07620"/>
    <w:lvl w:ilvl="0" w:tplc="22BE3DAA">
      <w:start w:val="1"/>
      <w:numFmt w:val="lowerRoman"/>
      <w:lvlText w:val="(%1)"/>
      <w:lvlJc w:val="left"/>
      <w:pPr>
        <w:ind w:left="863" w:hanging="720"/>
      </w:pPr>
      <w:rPr>
        <w:rFonts w:hint="default"/>
      </w:rPr>
    </w:lvl>
    <w:lvl w:ilvl="1" w:tplc="240A0019" w:tentative="1">
      <w:start w:val="1"/>
      <w:numFmt w:val="lowerLetter"/>
      <w:lvlText w:val="%2."/>
      <w:lvlJc w:val="left"/>
      <w:pPr>
        <w:ind w:left="1223" w:hanging="360"/>
      </w:pPr>
    </w:lvl>
    <w:lvl w:ilvl="2" w:tplc="240A001B" w:tentative="1">
      <w:start w:val="1"/>
      <w:numFmt w:val="lowerRoman"/>
      <w:lvlText w:val="%3."/>
      <w:lvlJc w:val="right"/>
      <w:pPr>
        <w:ind w:left="1943" w:hanging="180"/>
      </w:pPr>
    </w:lvl>
    <w:lvl w:ilvl="3" w:tplc="240A000F" w:tentative="1">
      <w:start w:val="1"/>
      <w:numFmt w:val="decimal"/>
      <w:lvlText w:val="%4."/>
      <w:lvlJc w:val="left"/>
      <w:pPr>
        <w:ind w:left="2663" w:hanging="360"/>
      </w:pPr>
    </w:lvl>
    <w:lvl w:ilvl="4" w:tplc="240A0019" w:tentative="1">
      <w:start w:val="1"/>
      <w:numFmt w:val="lowerLetter"/>
      <w:lvlText w:val="%5."/>
      <w:lvlJc w:val="left"/>
      <w:pPr>
        <w:ind w:left="3383" w:hanging="360"/>
      </w:pPr>
    </w:lvl>
    <w:lvl w:ilvl="5" w:tplc="240A001B" w:tentative="1">
      <w:start w:val="1"/>
      <w:numFmt w:val="lowerRoman"/>
      <w:lvlText w:val="%6."/>
      <w:lvlJc w:val="right"/>
      <w:pPr>
        <w:ind w:left="4103" w:hanging="180"/>
      </w:pPr>
    </w:lvl>
    <w:lvl w:ilvl="6" w:tplc="240A000F" w:tentative="1">
      <w:start w:val="1"/>
      <w:numFmt w:val="decimal"/>
      <w:lvlText w:val="%7."/>
      <w:lvlJc w:val="left"/>
      <w:pPr>
        <w:ind w:left="4823" w:hanging="360"/>
      </w:pPr>
    </w:lvl>
    <w:lvl w:ilvl="7" w:tplc="240A0019" w:tentative="1">
      <w:start w:val="1"/>
      <w:numFmt w:val="lowerLetter"/>
      <w:lvlText w:val="%8."/>
      <w:lvlJc w:val="left"/>
      <w:pPr>
        <w:ind w:left="5543" w:hanging="360"/>
      </w:pPr>
    </w:lvl>
    <w:lvl w:ilvl="8" w:tplc="240A001B" w:tentative="1">
      <w:start w:val="1"/>
      <w:numFmt w:val="lowerRoman"/>
      <w:lvlText w:val="%9."/>
      <w:lvlJc w:val="right"/>
      <w:pPr>
        <w:ind w:left="6263" w:hanging="180"/>
      </w:pPr>
    </w:lvl>
  </w:abstractNum>
  <w:abstractNum w:abstractNumId="1"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AA91864"/>
    <w:multiLevelType w:val="multilevel"/>
    <w:tmpl w:val="EE1AEA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98005BC"/>
    <w:multiLevelType w:val="multilevel"/>
    <w:tmpl w:val="FEF83264"/>
    <w:lvl w:ilvl="0">
      <w:start w:val="1"/>
      <w:numFmt w:val="decimal"/>
      <w:lvlText w:val="%1."/>
      <w:lvlJc w:val="left"/>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F41F6D"/>
    <w:multiLevelType w:val="hybridMultilevel"/>
    <w:tmpl w:val="A15008E0"/>
    <w:lvl w:ilvl="0" w:tplc="240A0001">
      <w:start w:val="1"/>
      <w:numFmt w:val="bullet"/>
      <w:lvlText w:val=""/>
      <w:lvlJc w:val="left"/>
      <w:pPr>
        <w:ind w:left="863" w:hanging="360"/>
      </w:pPr>
      <w:rPr>
        <w:rFonts w:ascii="Symbol" w:hAnsi="Symbol" w:hint="default"/>
      </w:rPr>
    </w:lvl>
    <w:lvl w:ilvl="1" w:tplc="240A0003" w:tentative="1">
      <w:start w:val="1"/>
      <w:numFmt w:val="bullet"/>
      <w:lvlText w:val="o"/>
      <w:lvlJc w:val="left"/>
      <w:pPr>
        <w:ind w:left="1583" w:hanging="360"/>
      </w:pPr>
      <w:rPr>
        <w:rFonts w:ascii="Courier New" w:hAnsi="Courier New" w:cs="Courier New" w:hint="default"/>
      </w:rPr>
    </w:lvl>
    <w:lvl w:ilvl="2" w:tplc="240A0005" w:tentative="1">
      <w:start w:val="1"/>
      <w:numFmt w:val="bullet"/>
      <w:lvlText w:val=""/>
      <w:lvlJc w:val="left"/>
      <w:pPr>
        <w:ind w:left="2303" w:hanging="360"/>
      </w:pPr>
      <w:rPr>
        <w:rFonts w:ascii="Wingdings" w:hAnsi="Wingdings" w:hint="default"/>
      </w:rPr>
    </w:lvl>
    <w:lvl w:ilvl="3" w:tplc="240A0001" w:tentative="1">
      <w:start w:val="1"/>
      <w:numFmt w:val="bullet"/>
      <w:lvlText w:val=""/>
      <w:lvlJc w:val="left"/>
      <w:pPr>
        <w:ind w:left="3023" w:hanging="360"/>
      </w:pPr>
      <w:rPr>
        <w:rFonts w:ascii="Symbol" w:hAnsi="Symbol" w:hint="default"/>
      </w:rPr>
    </w:lvl>
    <w:lvl w:ilvl="4" w:tplc="240A0003" w:tentative="1">
      <w:start w:val="1"/>
      <w:numFmt w:val="bullet"/>
      <w:lvlText w:val="o"/>
      <w:lvlJc w:val="left"/>
      <w:pPr>
        <w:ind w:left="3743" w:hanging="360"/>
      </w:pPr>
      <w:rPr>
        <w:rFonts w:ascii="Courier New" w:hAnsi="Courier New" w:cs="Courier New" w:hint="default"/>
      </w:rPr>
    </w:lvl>
    <w:lvl w:ilvl="5" w:tplc="240A0005" w:tentative="1">
      <w:start w:val="1"/>
      <w:numFmt w:val="bullet"/>
      <w:lvlText w:val=""/>
      <w:lvlJc w:val="left"/>
      <w:pPr>
        <w:ind w:left="4463" w:hanging="360"/>
      </w:pPr>
      <w:rPr>
        <w:rFonts w:ascii="Wingdings" w:hAnsi="Wingdings" w:hint="default"/>
      </w:rPr>
    </w:lvl>
    <w:lvl w:ilvl="6" w:tplc="240A0001" w:tentative="1">
      <w:start w:val="1"/>
      <w:numFmt w:val="bullet"/>
      <w:lvlText w:val=""/>
      <w:lvlJc w:val="left"/>
      <w:pPr>
        <w:ind w:left="5183" w:hanging="360"/>
      </w:pPr>
      <w:rPr>
        <w:rFonts w:ascii="Symbol" w:hAnsi="Symbol" w:hint="default"/>
      </w:rPr>
    </w:lvl>
    <w:lvl w:ilvl="7" w:tplc="240A0003" w:tentative="1">
      <w:start w:val="1"/>
      <w:numFmt w:val="bullet"/>
      <w:lvlText w:val="o"/>
      <w:lvlJc w:val="left"/>
      <w:pPr>
        <w:ind w:left="5903" w:hanging="360"/>
      </w:pPr>
      <w:rPr>
        <w:rFonts w:ascii="Courier New" w:hAnsi="Courier New" w:cs="Courier New" w:hint="default"/>
      </w:rPr>
    </w:lvl>
    <w:lvl w:ilvl="8" w:tplc="240A0005" w:tentative="1">
      <w:start w:val="1"/>
      <w:numFmt w:val="bullet"/>
      <w:lvlText w:val=""/>
      <w:lvlJc w:val="left"/>
      <w:pPr>
        <w:ind w:left="6623" w:hanging="360"/>
      </w:pPr>
      <w:rPr>
        <w:rFonts w:ascii="Wingdings" w:hAnsi="Wingdings" w:hint="default"/>
      </w:rPr>
    </w:lvl>
  </w:abstractNum>
  <w:abstractNum w:abstractNumId="28"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9"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8"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9"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1"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5"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1"/>
  </w:num>
  <w:num w:numId="4">
    <w:abstractNumId w:val="11"/>
  </w:num>
  <w:num w:numId="5">
    <w:abstractNumId w:val="19"/>
  </w:num>
  <w:num w:numId="6">
    <w:abstractNumId w:val="35"/>
  </w:num>
  <w:num w:numId="7">
    <w:abstractNumId w:val="12"/>
  </w:num>
  <w:num w:numId="8">
    <w:abstractNumId w:val="20"/>
  </w:num>
  <w:num w:numId="9">
    <w:abstractNumId w:val="9"/>
  </w:num>
  <w:num w:numId="10">
    <w:abstractNumId w:val="24"/>
  </w:num>
  <w:num w:numId="11">
    <w:abstractNumId w:val="16"/>
  </w:num>
  <w:num w:numId="12">
    <w:abstractNumId w:val="36"/>
  </w:num>
  <w:num w:numId="13">
    <w:abstractNumId w:val="42"/>
  </w:num>
  <w:num w:numId="14">
    <w:abstractNumId w:val="43"/>
  </w:num>
  <w:num w:numId="15">
    <w:abstractNumId w:val="2"/>
  </w:num>
  <w:num w:numId="16">
    <w:abstractNumId w:val="25"/>
  </w:num>
  <w:num w:numId="17">
    <w:abstractNumId w:val="6"/>
  </w:num>
  <w:num w:numId="18">
    <w:abstractNumId w:val="28"/>
  </w:num>
  <w:num w:numId="19">
    <w:abstractNumId w:val="31"/>
  </w:num>
  <w:num w:numId="20">
    <w:abstractNumId w:val="1"/>
  </w:num>
  <w:num w:numId="21">
    <w:abstractNumId w:val="13"/>
  </w:num>
  <w:num w:numId="22">
    <w:abstractNumId w:val="22"/>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4"/>
  </w:num>
  <w:num w:numId="26">
    <w:abstractNumId w:val="33"/>
  </w:num>
  <w:num w:numId="27">
    <w:abstractNumId w:val="30"/>
  </w:num>
  <w:num w:numId="28">
    <w:abstractNumId w:val="44"/>
  </w:num>
  <w:num w:numId="29">
    <w:abstractNumId w:val="2"/>
  </w:num>
  <w:num w:numId="30">
    <w:abstractNumId w:val="46"/>
  </w:num>
  <w:num w:numId="31">
    <w:abstractNumId w:val="26"/>
  </w:num>
  <w:num w:numId="32">
    <w:abstractNumId w:val="39"/>
  </w:num>
  <w:num w:numId="33">
    <w:abstractNumId w:val="29"/>
  </w:num>
  <w:num w:numId="34">
    <w:abstractNumId w:val="38"/>
  </w:num>
  <w:num w:numId="35">
    <w:abstractNumId w:val="17"/>
  </w:num>
  <w:num w:numId="36">
    <w:abstractNumId w:val="7"/>
  </w:num>
  <w:num w:numId="37">
    <w:abstractNumId w:val="4"/>
  </w:num>
  <w:num w:numId="38">
    <w:abstractNumId w:val="32"/>
  </w:num>
  <w:num w:numId="39">
    <w:abstractNumId w:val="37"/>
  </w:num>
  <w:num w:numId="40">
    <w:abstractNumId w:val="18"/>
  </w:num>
  <w:num w:numId="41">
    <w:abstractNumId w:val="45"/>
  </w:num>
  <w:num w:numId="42">
    <w:abstractNumId w:val="21"/>
  </w:num>
  <w:num w:numId="43">
    <w:abstractNumId w:val="5"/>
  </w:num>
  <w:num w:numId="44">
    <w:abstractNumId w:val="15"/>
  </w:num>
  <w:num w:numId="45">
    <w:abstractNumId w:val="23"/>
  </w:num>
  <w:num w:numId="46">
    <w:abstractNumId w:val="0"/>
  </w:num>
  <w:num w:numId="47">
    <w:abstractNumId w:val="3"/>
  </w:num>
  <w:num w:numId="48">
    <w:abstractNumId w:val="27"/>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D67"/>
    <w:rsid w:val="00016A94"/>
    <w:rsid w:val="00021FCC"/>
    <w:rsid w:val="00023641"/>
    <w:rsid w:val="00024F34"/>
    <w:rsid w:val="0002546A"/>
    <w:rsid w:val="000320D4"/>
    <w:rsid w:val="00032CBF"/>
    <w:rsid w:val="0004205E"/>
    <w:rsid w:val="00047A6E"/>
    <w:rsid w:val="00050524"/>
    <w:rsid w:val="000550CE"/>
    <w:rsid w:val="00066463"/>
    <w:rsid w:val="0007636F"/>
    <w:rsid w:val="00081CEE"/>
    <w:rsid w:val="00084B49"/>
    <w:rsid w:val="00086B16"/>
    <w:rsid w:val="00091841"/>
    <w:rsid w:val="00092C0A"/>
    <w:rsid w:val="00094D9F"/>
    <w:rsid w:val="000A35DA"/>
    <w:rsid w:val="000A3E34"/>
    <w:rsid w:val="000B30A6"/>
    <w:rsid w:val="000B39C5"/>
    <w:rsid w:val="000B434A"/>
    <w:rsid w:val="000B50F1"/>
    <w:rsid w:val="000C41BE"/>
    <w:rsid w:val="000C5964"/>
    <w:rsid w:val="000C614C"/>
    <w:rsid w:val="000C6504"/>
    <w:rsid w:val="000C6C52"/>
    <w:rsid w:val="000D1904"/>
    <w:rsid w:val="000D2DA8"/>
    <w:rsid w:val="000D512E"/>
    <w:rsid w:val="000E0152"/>
    <w:rsid w:val="000E370D"/>
    <w:rsid w:val="000E3E9C"/>
    <w:rsid w:val="000E65A4"/>
    <w:rsid w:val="00105533"/>
    <w:rsid w:val="001072FB"/>
    <w:rsid w:val="001119D1"/>
    <w:rsid w:val="00116659"/>
    <w:rsid w:val="001175AA"/>
    <w:rsid w:val="00125A3A"/>
    <w:rsid w:val="00126916"/>
    <w:rsid w:val="00126980"/>
    <w:rsid w:val="001303DD"/>
    <w:rsid w:val="001348DA"/>
    <w:rsid w:val="00135F0C"/>
    <w:rsid w:val="001365B5"/>
    <w:rsid w:val="00136CD0"/>
    <w:rsid w:val="0013737F"/>
    <w:rsid w:val="00142BF2"/>
    <w:rsid w:val="00142DFE"/>
    <w:rsid w:val="001447C1"/>
    <w:rsid w:val="00145BCA"/>
    <w:rsid w:val="0015216F"/>
    <w:rsid w:val="00153523"/>
    <w:rsid w:val="00157729"/>
    <w:rsid w:val="00164587"/>
    <w:rsid w:val="001665A3"/>
    <w:rsid w:val="0016735D"/>
    <w:rsid w:val="001743EF"/>
    <w:rsid w:val="00174A31"/>
    <w:rsid w:val="00174F43"/>
    <w:rsid w:val="00177232"/>
    <w:rsid w:val="00187186"/>
    <w:rsid w:val="001978EB"/>
    <w:rsid w:val="001A2AF1"/>
    <w:rsid w:val="001C013E"/>
    <w:rsid w:val="001C0353"/>
    <w:rsid w:val="001C0C01"/>
    <w:rsid w:val="001C2BBD"/>
    <w:rsid w:val="001D1743"/>
    <w:rsid w:val="001D17CF"/>
    <w:rsid w:val="001E2543"/>
    <w:rsid w:val="001E326E"/>
    <w:rsid w:val="001E69CE"/>
    <w:rsid w:val="001E6C60"/>
    <w:rsid w:val="001F238A"/>
    <w:rsid w:val="002020CC"/>
    <w:rsid w:val="002149F6"/>
    <w:rsid w:val="00216FFA"/>
    <w:rsid w:val="002171A2"/>
    <w:rsid w:val="0021780C"/>
    <w:rsid w:val="002217D1"/>
    <w:rsid w:val="002264B8"/>
    <w:rsid w:val="002345C7"/>
    <w:rsid w:val="00235361"/>
    <w:rsid w:val="00236F62"/>
    <w:rsid w:val="00237D76"/>
    <w:rsid w:val="002422AF"/>
    <w:rsid w:val="00251FCE"/>
    <w:rsid w:val="00252F13"/>
    <w:rsid w:val="00254313"/>
    <w:rsid w:val="00261729"/>
    <w:rsid w:val="002624CC"/>
    <w:rsid w:val="0026513E"/>
    <w:rsid w:val="00267D42"/>
    <w:rsid w:val="002729A5"/>
    <w:rsid w:val="002862C1"/>
    <w:rsid w:val="00286449"/>
    <w:rsid w:val="00287EC3"/>
    <w:rsid w:val="00292138"/>
    <w:rsid w:val="00293F29"/>
    <w:rsid w:val="002941D1"/>
    <w:rsid w:val="00294597"/>
    <w:rsid w:val="00294694"/>
    <w:rsid w:val="00295E70"/>
    <w:rsid w:val="002A2A12"/>
    <w:rsid w:val="002B160A"/>
    <w:rsid w:val="002B7667"/>
    <w:rsid w:val="002C05D0"/>
    <w:rsid w:val="002C6429"/>
    <w:rsid w:val="002D096D"/>
    <w:rsid w:val="002D11FE"/>
    <w:rsid w:val="002D2CB2"/>
    <w:rsid w:val="002D35EC"/>
    <w:rsid w:val="002D3FE3"/>
    <w:rsid w:val="002D5E8B"/>
    <w:rsid w:val="002E4A97"/>
    <w:rsid w:val="002E71C4"/>
    <w:rsid w:val="002F226A"/>
    <w:rsid w:val="00301DC2"/>
    <w:rsid w:val="00302A7B"/>
    <w:rsid w:val="00307A30"/>
    <w:rsid w:val="00315C8C"/>
    <w:rsid w:val="003175E1"/>
    <w:rsid w:val="003227FD"/>
    <w:rsid w:val="00325A55"/>
    <w:rsid w:val="003343DB"/>
    <w:rsid w:val="00335664"/>
    <w:rsid w:val="00336655"/>
    <w:rsid w:val="00340F69"/>
    <w:rsid w:val="00342B3C"/>
    <w:rsid w:val="00346554"/>
    <w:rsid w:val="003503EB"/>
    <w:rsid w:val="00350767"/>
    <w:rsid w:val="00350E4B"/>
    <w:rsid w:val="003533A1"/>
    <w:rsid w:val="003651DE"/>
    <w:rsid w:val="00367CB8"/>
    <w:rsid w:val="003711C0"/>
    <w:rsid w:val="00373197"/>
    <w:rsid w:val="00376C2B"/>
    <w:rsid w:val="003813DE"/>
    <w:rsid w:val="0038390A"/>
    <w:rsid w:val="003843E9"/>
    <w:rsid w:val="003A0BBF"/>
    <w:rsid w:val="003A3C08"/>
    <w:rsid w:val="003A6449"/>
    <w:rsid w:val="003A73D2"/>
    <w:rsid w:val="003B3F46"/>
    <w:rsid w:val="003B4DDE"/>
    <w:rsid w:val="003B625C"/>
    <w:rsid w:val="003C0C28"/>
    <w:rsid w:val="003C0F32"/>
    <w:rsid w:val="003C5FE6"/>
    <w:rsid w:val="003C6CAC"/>
    <w:rsid w:val="003D3516"/>
    <w:rsid w:val="003D4BB0"/>
    <w:rsid w:val="003D56C2"/>
    <w:rsid w:val="003E1394"/>
    <w:rsid w:val="003E582F"/>
    <w:rsid w:val="004018EF"/>
    <w:rsid w:val="00401B59"/>
    <w:rsid w:val="00405CE5"/>
    <w:rsid w:val="0041604F"/>
    <w:rsid w:val="00427DD9"/>
    <w:rsid w:val="004317DB"/>
    <w:rsid w:val="00432C5C"/>
    <w:rsid w:val="00435CCC"/>
    <w:rsid w:val="004377A5"/>
    <w:rsid w:val="00437C19"/>
    <w:rsid w:val="00444DF4"/>
    <w:rsid w:val="004518DE"/>
    <w:rsid w:val="00461D1F"/>
    <w:rsid w:val="00463E9A"/>
    <w:rsid w:val="0046504B"/>
    <w:rsid w:val="00470148"/>
    <w:rsid w:val="00470526"/>
    <w:rsid w:val="004848A4"/>
    <w:rsid w:val="00484E44"/>
    <w:rsid w:val="004A0755"/>
    <w:rsid w:val="004A1DE0"/>
    <w:rsid w:val="004A6BE3"/>
    <w:rsid w:val="004B078F"/>
    <w:rsid w:val="004C4371"/>
    <w:rsid w:val="004C7D38"/>
    <w:rsid w:val="004D0D86"/>
    <w:rsid w:val="004D10C6"/>
    <w:rsid w:val="004D1751"/>
    <w:rsid w:val="004D1E38"/>
    <w:rsid w:val="004D2643"/>
    <w:rsid w:val="004D294E"/>
    <w:rsid w:val="004D3D03"/>
    <w:rsid w:val="004D4586"/>
    <w:rsid w:val="004D6329"/>
    <w:rsid w:val="004E034B"/>
    <w:rsid w:val="004E17FC"/>
    <w:rsid w:val="004E274E"/>
    <w:rsid w:val="004E517F"/>
    <w:rsid w:val="004F2CBD"/>
    <w:rsid w:val="004F778E"/>
    <w:rsid w:val="004F7A38"/>
    <w:rsid w:val="0050148F"/>
    <w:rsid w:val="00502F91"/>
    <w:rsid w:val="005056A3"/>
    <w:rsid w:val="005130EA"/>
    <w:rsid w:val="00520AAA"/>
    <w:rsid w:val="00520B2A"/>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B1600"/>
    <w:rsid w:val="005C19CA"/>
    <w:rsid w:val="005C4522"/>
    <w:rsid w:val="005D49BF"/>
    <w:rsid w:val="005D6523"/>
    <w:rsid w:val="005D73A9"/>
    <w:rsid w:val="005F30C3"/>
    <w:rsid w:val="005F524C"/>
    <w:rsid w:val="005F7863"/>
    <w:rsid w:val="0060095F"/>
    <w:rsid w:val="0060353B"/>
    <w:rsid w:val="00603A53"/>
    <w:rsid w:val="00607A7E"/>
    <w:rsid w:val="00620876"/>
    <w:rsid w:val="0062397C"/>
    <w:rsid w:val="00624FD0"/>
    <w:rsid w:val="00625A30"/>
    <w:rsid w:val="00630C5E"/>
    <w:rsid w:val="006315B4"/>
    <w:rsid w:val="00634FE7"/>
    <w:rsid w:val="00635AC3"/>
    <w:rsid w:val="00636FFB"/>
    <w:rsid w:val="006513F7"/>
    <w:rsid w:val="006546D1"/>
    <w:rsid w:val="00654CCF"/>
    <w:rsid w:val="00665F82"/>
    <w:rsid w:val="0067186C"/>
    <w:rsid w:val="00671E11"/>
    <w:rsid w:val="006779DA"/>
    <w:rsid w:val="0068666E"/>
    <w:rsid w:val="00687EB3"/>
    <w:rsid w:val="006901A1"/>
    <w:rsid w:val="00692980"/>
    <w:rsid w:val="00693246"/>
    <w:rsid w:val="0069506F"/>
    <w:rsid w:val="00696582"/>
    <w:rsid w:val="006A0692"/>
    <w:rsid w:val="006A1DBB"/>
    <w:rsid w:val="006B4921"/>
    <w:rsid w:val="006B4E40"/>
    <w:rsid w:val="006B7A4A"/>
    <w:rsid w:val="006C103A"/>
    <w:rsid w:val="006C4D34"/>
    <w:rsid w:val="006C4E6A"/>
    <w:rsid w:val="006C50E8"/>
    <w:rsid w:val="006D464D"/>
    <w:rsid w:val="006E08EB"/>
    <w:rsid w:val="006E6F11"/>
    <w:rsid w:val="006F0B6B"/>
    <w:rsid w:val="006F144D"/>
    <w:rsid w:val="006F461B"/>
    <w:rsid w:val="006F4ABA"/>
    <w:rsid w:val="006F622C"/>
    <w:rsid w:val="00700FF6"/>
    <w:rsid w:val="00704D44"/>
    <w:rsid w:val="00715A68"/>
    <w:rsid w:val="00715DD5"/>
    <w:rsid w:val="00715ECF"/>
    <w:rsid w:val="00717A04"/>
    <w:rsid w:val="00717BFE"/>
    <w:rsid w:val="007208C5"/>
    <w:rsid w:val="00721860"/>
    <w:rsid w:val="00725BB4"/>
    <w:rsid w:val="0073180A"/>
    <w:rsid w:val="00732997"/>
    <w:rsid w:val="007336C3"/>
    <w:rsid w:val="00735033"/>
    <w:rsid w:val="00751BA7"/>
    <w:rsid w:val="00754C17"/>
    <w:rsid w:val="00756485"/>
    <w:rsid w:val="0075705D"/>
    <w:rsid w:val="007626E1"/>
    <w:rsid w:val="00767F65"/>
    <w:rsid w:val="00770D6C"/>
    <w:rsid w:val="00772C7E"/>
    <w:rsid w:val="00783515"/>
    <w:rsid w:val="00787C94"/>
    <w:rsid w:val="00791BCB"/>
    <w:rsid w:val="007921BD"/>
    <w:rsid w:val="00793A02"/>
    <w:rsid w:val="00793D9E"/>
    <w:rsid w:val="00795C6B"/>
    <w:rsid w:val="00795CBA"/>
    <w:rsid w:val="00797129"/>
    <w:rsid w:val="007A1566"/>
    <w:rsid w:val="007A3995"/>
    <w:rsid w:val="007A5AC5"/>
    <w:rsid w:val="007B622D"/>
    <w:rsid w:val="007C4288"/>
    <w:rsid w:val="007C484E"/>
    <w:rsid w:val="007C7422"/>
    <w:rsid w:val="007D4853"/>
    <w:rsid w:val="007D57C4"/>
    <w:rsid w:val="007D7F4C"/>
    <w:rsid w:val="007E0429"/>
    <w:rsid w:val="007E41DE"/>
    <w:rsid w:val="007E4CE3"/>
    <w:rsid w:val="007F2B1F"/>
    <w:rsid w:val="00802F7A"/>
    <w:rsid w:val="00806A1C"/>
    <w:rsid w:val="0080773A"/>
    <w:rsid w:val="008173F3"/>
    <w:rsid w:val="0082117C"/>
    <w:rsid w:val="008227E9"/>
    <w:rsid w:val="008252C5"/>
    <w:rsid w:val="00831860"/>
    <w:rsid w:val="00832F2D"/>
    <w:rsid w:val="00836C6A"/>
    <w:rsid w:val="008414A6"/>
    <w:rsid w:val="00841C9F"/>
    <w:rsid w:val="0084294E"/>
    <w:rsid w:val="00843EFF"/>
    <w:rsid w:val="008442A5"/>
    <w:rsid w:val="00844AD9"/>
    <w:rsid w:val="008477A9"/>
    <w:rsid w:val="00853BCD"/>
    <w:rsid w:val="0085416A"/>
    <w:rsid w:val="00856B0F"/>
    <w:rsid w:val="00866DB9"/>
    <w:rsid w:val="008713D9"/>
    <w:rsid w:val="0087186A"/>
    <w:rsid w:val="00872C56"/>
    <w:rsid w:val="00874F67"/>
    <w:rsid w:val="00876AC2"/>
    <w:rsid w:val="00880709"/>
    <w:rsid w:val="00883F43"/>
    <w:rsid w:val="00884C98"/>
    <w:rsid w:val="00884CE2"/>
    <w:rsid w:val="00885E7D"/>
    <w:rsid w:val="00885F77"/>
    <w:rsid w:val="0089363F"/>
    <w:rsid w:val="00894D05"/>
    <w:rsid w:val="00896ED8"/>
    <w:rsid w:val="008A209D"/>
    <w:rsid w:val="008A2436"/>
    <w:rsid w:val="008A4E8C"/>
    <w:rsid w:val="008A563D"/>
    <w:rsid w:val="008B3B0A"/>
    <w:rsid w:val="008C2BA0"/>
    <w:rsid w:val="008C69F2"/>
    <w:rsid w:val="008D3E6C"/>
    <w:rsid w:val="008E004C"/>
    <w:rsid w:val="008E04EC"/>
    <w:rsid w:val="008E43F4"/>
    <w:rsid w:val="008F42F6"/>
    <w:rsid w:val="008F5282"/>
    <w:rsid w:val="00904FCE"/>
    <w:rsid w:val="00912BAC"/>
    <w:rsid w:val="00925058"/>
    <w:rsid w:val="00926CDB"/>
    <w:rsid w:val="00930113"/>
    <w:rsid w:val="009356EC"/>
    <w:rsid w:val="00937FB2"/>
    <w:rsid w:val="0094114F"/>
    <w:rsid w:val="009431D0"/>
    <w:rsid w:val="009453C9"/>
    <w:rsid w:val="009552CF"/>
    <w:rsid w:val="00955507"/>
    <w:rsid w:val="0095690D"/>
    <w:rsid w:val="009606D0"/>
    <w:rsid w:val="009609C5"/>
    <w:rsid w:val="00965B1A"/>
    <w:rsid w:val="00971B57"/>
    <w:rsid w:val="00976933"/>
    <w:rsid w:val="00981893"/>
    <w:rsid w:val="00984974"/>
    <w:rsid w:val="00986438"/>
    <w:rsid w:val="00987DBF"/>
    <w:rsid w:val="00990E3E"/>
    <w:rsid w:val="009970F9"/>
    <w:rsid w:val="00997BD1"/>
    <w:rsid w:val="009A5409"/>
    <w:rsid w:val="009A5590"/>
    <w:rsid w:val="009B1DED"/>
    <w:rsid w:val="009C3837"/>
    <w:rsid w:val="009C44BD"/>
    <w:rsid w:val="009C537F"/>
    <w:rsid w:val="009D0585"/>
    <w:rsid w:val="009D2BB3"/>
    <w:rsid w:val="009E0846"/>
    <w:rsid w:val="009E1EF4"/>
    <w:rsid w:val="009E1F32"/>
    <w:rsid w:val="009E4BD5"/>
    <w:rsid w:val="009F1BE0"/>
    <w:rsid w:val="009F7CED"/>
    <w:rsid w:val="00A035B2"/>
    <w:rsid w:val="00A04569"/>
    <w:rsid w:val="00A0736A"/>
    <w:rsid w:val="00A074E1"/>
    <w:rsid w:val="00A07DE7"/>
    <w:rsid w:val="00A1301A"/>
    <w:rsid w:val="00A14C37"/>
    <w:rsid w:val="00A1500B"/>
    <w:rsid w:val="00A161B9"/>
    <w:rsid w:val="00A219D7"/>
    <w:rsid w:val="00A2785C"/>
    <w:rsid w:val="00A31C03"/>
    <w:rsid w:val="00A33526"/>
    <w:rsid w:val="00A33DCF"/>
    <w:rsid w:val="00A377FE"/>
    <w:rsid w:val="00A4128C"/>
    <w:rsid w:val="00A41AEF"/>
    <w:rsid w:val="00A447B3"/>
    <w:rsid w:val="00A500DD"/>
    <w:rsid w:val="00A52C3F"/>
    <w:rsid w:val="00A55DB6"/>
    <w:rsid w:val="00A61784"/>
    <w:rsid w:val="00A64120"/>
    <w:rsid w:val="00A7195C"/>
    <w:rsid w:val="00A72973"/>
    <w:rsid w:val="00A72E3D"/>
    <w:rsid w:val="00A74AFD"/>
    <w:rsid w:val="00A80613"/>
    <w:rsid w:val="00A81547"/>
    <w:rsid w:val="00A83A98"/>
    <w:rsid w:val="00A85AEA"/>
    <w:rsid w:val="00A903F2"/>
    <w:rsid w:val="00A94019"/>
    <w:rsid w:val="00A96311"/>
    <w:rsid w:val="00AA2698"/>
    <w:rsid w:val="00AA28E8"/>
    <w:rsid w:val="00AA760E"/>
    <w:rsid w:val="00AB0708"/>
    <w:rsid w:val="00AB0C45"/>
    <w:rsid w:val="00AB6652"/>
    <w:rsid w:val="00AC1AF8"/>
    <w:rsid w:val="00AC1C6D"/>
    <w:rsid w:val="00AC447D"/>
    <w:rsid w:val="00AC7C3A"/>
    <w:rsid w:val="00AD3942"/>
    <w:rsid w:val="00AD5446"/>
    <w:rsid w:val="00AD623F"/>
    <w:rsid w:val="00AE03F3"/>
    <w:rsid w:val="00AF5E71"/>
    <w:rsid w:val="00B05CE4"/>
    <w:rsid w:val="00B10CA9"/>
    <w:rsid w:val="00B13AE3"/>
    <w:rsid w:val="00B14F90"/>
    <w:rsid w:val="00B25550"/>
    <w:rsid w:val="00B30DCD"/>
    <w:rsid w:val="00B3434A"/>
    <w:rsid w:val="00B377D3"/>
    <w:rsid w:val="00B4178F"/>
    <w:rsid w:val="00B4216E"/>
    <w:rsid w:val="00B448DC"/>
    <w:rsid w:val="00B463AC"/>
    <w:rsid w:val="00B51095"/>
    <w:rsid w:val="00B6123C"/>
    <w:rsid w:val="00B61CA6"/>
    <w:rsid w:val="00B65F1B"/>
    <w:rsid w:val="00B66D03"/>
    <w:rsid w:val="00B7000F"/>
    <w:rsid w:val="00B729FC"/>
    <w:rsid w:val="00B73EC6"/>
    <w:rsid w:val="00B766E4"/>
    <w:rsid w:val="00B8306E"/>
    <w:rsid w:val="00B8326D"/>
    <w:rsid w:val="00B84AF8"/>
    <w:rsid w:val="00B937B6"/>
    <w:rsid w:val="00BA450F"/>
    <w:rsid w:val="00BB545F"/>
    <w:rsid w:val="00BD10B0"/>
    <w:rsid w:val="00BD1F9B"/>
    <w:rsid w:val="00BD4B65"/>
    <w:rsid w:val="00BD6F91"/>
    <w:rsid w:val="00BE0D46"/>
    <w:rsid w:val="00BE280C"/>
    <w:rsid w:val="00BF054E"/>
    <w:rsid w:val="00BF0DB9"/>
    <w:rsid w:val="00C034A9"/>
    <w:rsid w:val="00C12B93"/>
    <w:rsid w:val="00C134C3"/>
    <w:rsid w:val="00C23374"/>
    <w:rsid w:val="00C26C14"/>
    <w:rsid w:val="00C27D76"/>
    <w:rsid w:val="00C3190F"/>
    <w:rsid w:val="00C31BC7"/>
    <w:rsid w:val="00C31D59"/>
    <w:rsid w:val="00C36892"/>
    <w:rsid w:val="00C4009A"/>
    <w:rsid w:val="00C401C2"/>
    <w:rsid w:val="00C43E26"/>
    <w:rsid w:val="00C46330"/>
    <w:rsid w:val="00C47BBD"/>
    <w:rsid w:val="00C47F73"/>
    <w:rsid w:val="00C52E86"/>
    <w:rsid w:val="00C6077B"/>
    <w:rsid w:val="00C61441"/>
    <w:rsid w:val="00C63C9D"/>
    <w:rsid w:val="00C7145D"/>
    <w:rsid w:val="00C7294E"/>
    <w:rsid w:val="00C82859"/>
    <w:rsid w:val="00C91F90"/>
    <w:rsid w:val="00CA05B8"/>
    <w:rsid w:val="00CA57DF"/>
    <w:rsid w:val="00CB0063"/>
    <w:rsid w:val="00CB1449"/>
    <w:rsid w:val="00CB4D37"/>
    <w:rsid w:val="00CB66F7"/>
    <w:rsid w:val="00CC0C62"/>
    <w:rsid w:val="00CC11E0"/>
    <w:rsid w:val="00CC11F2"/>
    <w:rsid w:val="00CC259C"/>
    <w:rsid w:val="00CC42D1"/>
    <w:rsid w:val="00CC5B3E"/>
    <w:rsid w:val="00CD1A1F"/>
    <w:rsid w:val="00CE1A87"/>
    <w:rsid w:val="00CF25EF"/>
    <w:rsid w:val="00CF4B62"/>
    <w:rsid w:val="00D04A96"/>
    <w:rsid w:val="00D05B67"/>
    <w:rsid w:val="00D05D52"/>
    <w:rsid w:val="00D16DE7"/>
    <w:rsid w:val="00D17DD1"/>
    <w:rsid w:val="00D24980"/>
    <w:rsid w:val="00D26D53"/>
    <w:rsid w:val="00D31F43"/>
    <w:rsid w:val="00D40E59"/>
    <w:rsid w:val="00D415E6"/>
    <w:rsid w:val="00D444C5"/>
    <w:rsid w:val="00D530DC"/>
    <w:rsid w:val="00D55C1D"/>
    <w:rsid w:val="00D62023"/>
    <w:rsid w:val="00D64F1A"/>
    <w:rsid w:val="00D7070F"/>
    <w:rsid w:val="00D709DD"/>
    <w:rsid w:val="00D74073"/>
    <w:rsid w:val="00D81F0E"/>
    <w:rsid w:val="00D8294A"/>
    <w:rsid w:val="00D83F98"/>
    <w:rsid w:val="00D84A75"/>
    <w:rsid w:val="00D85F90"/>
    <w:rsid w:val="00D90649"/>
    <w:rsid w:val="00D90F47"/>
    <w:rsid w:val="00D91E89"/>
    <w:rsid w:val="00D9213D"/>
    <w:rsid w:val="00D965B1"/>
    <w:rsid w:val="00D97DF9"/>
    <w:rsid w:val="00DA6526"/>
    <w:rsid w:val="00DA6C54"/>
    <w:rsid w:val="00DB1AE6"/>
    <w:rsid w:val="00DC54A3"/>
    <w:rsid w:val="00DD181C"/>
    <w:rsid w:val="00DD2F2C"/>
    <w:rsid w:val="00DD48D9"/>
    <w:rsid w:val="00DD67A6"/>
    <w:rsid w:val="00DE1540"/>
    <w:rsid w:val="00DE520C"/>
    <w:rsid w:val="00DF1E66"/>
    <w:rsid w:val="00DF24E1"/>
    <w:rsid w:val="00DF4F6D"/>
    <w:rsid w:val="00DF60FD"/>
    <w:rsid w:val="00DF6410"/>
    <w:rsid w:val="00E007F7"/>
    <w:rsid w:val="00E05F18"/>
    <w:rsid w:val="00E06A27"/>
    <w:rsid w:val="00E12202"/>
    <w:rsid w:val="00E242C5"/>
    <w:rsid w:val="00E24673"/>
    <w:rsid w:val="00E24F26"/>
    <w:rsid w:val="00E261B4"/>
    <w:rsid w:val="00E31E85"/>
    <w:rsid w:val="00E34E07"/>
    <w:rsid w:val="00E407FF"/>
    <w:rsid w:val="00E40C34"/>
    <w:rsid w:val="00E41E2C"/>
    <w:rsid w:val="00E44207"/>
    <w:rsid w:val="00E62171"/>
    <w:rsid w:val="00E66C57"/>
    <w:rsid w:val="00E66D00"/>
    <w:rsid w:val="00E7224C"/>
    <w:rsid w:val="00E729F2"/>
    <w:rsid w:val="00E72D45"/>
    <w:rsid w:val="00E74616"/>
    <w:rsid w:val="00E75DBD"/>
    <w:rsid w:val="00E805D3"/>
    <w:rsid w:val="00E80826"/>
    <w:rsid w:val="00E84DA1"/>
    <w:rsid w:val="00E91332"/>
    <w:rsid w:val="00EA3045"/>
    <w:rsid w:val="00EA41C3"/>
    <w:rsid w:val="00EA4331"/>
    <w:rsid w:val="00EC1DE8"/>
    <w:rsid w:val="00EC35AE"/>
    <w:rsid w:val="00ED4708"/>
    <w:rsid w:val="00EE0D69"/>
    <w:rsid w:val="00EE0F26"/>
    <w:rsid w:val="00EE2ABB"/>
    <w:rsid w:val="00EF192B"/>
    <w:rsid w:val="00F06B8A"/>
    <w:rsid w:val="00F076B4"/>
    <w:rsid w:val="00F07A7D"/>
    <w:rsid w:val="00F153C1"/>
    <w:rsid w:val="00F16839"/>
    <w:rsid w:val="00F211E7"/>
    <w:rsid w:val="00F21D37"/>
    <w:rsid w:val="00F221F0"/>
    <w:rsid w:val="00F26136"/>
    <w:rsid w:val="00F2713B"/>
    <w:rsid w:val="00F305D8"/>
    <w:rsid w:val="00F37106"/>
    <w:rsid w:val="00F44A2E"/>
    <w:rsid w:val="00F47D57"/>
    <w:rsid w:val="00F55DC4"/>
    <w:rsid w:val="00F55E93"/>
    <w:rsid w:val="00F576B3"/>
    <w:rsid w:val="00F60967"/>
    <w:rsid w:val="00F65865"/>
    <w:rsid w:val="00F745E1"/>
    <w:rsid w:val="00F75A79"/>
    <w:rsid w:val="00F7620E"/>
    <w:rsid w:val="00F775AD"/>
    <w:rsid w:val="00F80E07"/>
    <w:rsid w:val="00F90326"/>
    <w:rsid w:val="00F90F86"/>
    <w:rsid w:val="00F92DF0"/>
    <w:rsid w:val="00FA0454"/>
    <w:rsid w:val="00FA4A9E"/>
    <w:rsid w:val="00FA5DE5"/>
    <w:rsid w:val="00FB1248"/>
    <w:rsid w:val="00FB217D"/>
    <w:rsid w:val="00FB29CC"/>
    <w:rsid w:val="00FB2B47"/>
    <w:rsid w:val="00FB3BEF"/>
    <w:rsid w:val="00FC0522"/>
    <w:rsid w:val="00FC2DE3"/>
    <w:rsid w:val="00FD0BA4"/>
    <w:rsid w:val="00FD3D04"/>
    <w:rsid w:val="00FD49A0"/>
    <w:rsid w:val="00FD5C84"/>
    <w:rsid w:val="00FE27DE"/>
    <w:rsid w:val="00FF3014"/>
    <w:rsid w:val="00FF66CA"/>
    <w:rsid w:val="01DC77A8"/>
    <w:rsid w:val="01F7F5A9"/>
    <w:rsid w:val="02133A2B"/>
    <w:rsid w:val="02886AFA"/>
    <w:rsid w:val="0359856E"/>
    <w:rsid w:val="04243B5B"/>
    <w:rsid w:val="04AF30EB"/>
    <w:rsid w:val="05021257"/>
    <w:rsid w:val="05ECB2F8"/>
    <w:rsid w:val="067541F6"/>
    <w:rsid w:val="0838B304"/>
    <w:rsid w:val="08DCF185"/>
    <w:rsid w:val="0AE59C9A"/>
    <w:rsid w:val="0B1E726F"/>
    <w:rsid w:val="0C149247"/>
    <w:rsid w:val="0CA9731B"/>
    <w:rsid w:val="0F330AAC"/>
    <w:rsid w:val="10D53AAB"/>
    <w:rsid w:val="121A749F"/>
    <w:rsid w:val="12606103"/>
    <w:rsid w:val="137D9B52"/>
    <w:rsid w:val="14CAAA49"/>
    <w:rsid w:val="16612516"/>
    <w:rsid w:val="17B2F6AA"/>
    <w:rsid w:val="1B785E38"/>
    <w:rsid w:val="1FF4C8B4"/>
    <w:rsid w:val="210CE29C"/>
    <w:rsid w:val="22D5FA47"/>
    <w:rsid w:val="251F407E"/>
    <w:rsid w:val="275C2DE1"/>
    <w:rsid w:val="27CE4990"/>
    <w:rsid w:val="27D4651B"/>
    <w:rsid w:val="28EDB3D7"/>
    <w:rsid w:val="2A705BDB"/>
    <w:rsid w:val="2BFD1533"/>
    <w:rsid w:val="2C730FC2"/>
    <w:rsid w:val="2CBA235F"/>
    <w:rsid w:val="2DB22579"/>
    <w:rsid w:val="2DEBC49C"/>
    <w:rsid w:val="2EB4E7ED"/>
    <w:rsid w:val="30EF6CD8"/>
    <w:rsid w:val="30F8C5BC"/>
    <w:rsid w:val="322966BD"/>
    <w:rsid w:val="37CF84F0"/>
    <w:rsid w:val="386604EE"/>
    <w:rsid w:val="3934FBC7"/>
    <w:rsid w:val="393664C9"/>
    <w:rsid w:val="3A2FBA30"/>
    <w:rsid w:val="3ADAC2D2"/>
    <w:rsid w:val="3EB1E35A"/>
    <w:rsid w:val="3EBC2DC5"/>
    <w:rsid w:val="40F5C129"/>
    <w:rsid w:val="428D3F35"/>
    <w:rsid w:val="438B4189"/>
    <w:rsid w:val="452124DE"/>
    <w:rsid w:val="45252A92"/>
    <w:rsid w:val="46C0FAF3"/>
    <w:rsid w:val="46C73FAA"/>
    <w:rsid w:val="498B4239"/>
    <w:rsid w:val="4ADE2712"/>
    <w:rsid w:val="4B3A0594"/>
    <w:rsid w:val="4B906662"/>
    <w:rsid w:val="4C6B00F8"/>
    <w:rsid w:val="4E3048B5"/>
    <w:rsid w:val="50529CAE"/>
    <w:rsid w:val="51189095"/>
    <w:rsid w:val="51579A78"/>
    <w:rsid w:val="5192A10B"/>
    <w:rsid w:val="56B097C8"/>
    <w:rsid w:val="57D42C06"/>
    <w:rsid w:val="5978F39F"/>
    <w:rsid w:val="59A95389"/>
    <w:rsid w:val="59E8388A"/>
    <w:rsid w:val="5C852A76"/>
    <w:rsid w:val="5CBA7A25"/>
    <w:rsid w:val="5E84D4C8"/>
    <w:rsid w:val="5E941A42"/>
    <w:rsid w:val="622813E8"/>
    <w:rsid w:val="62340078"/>
    <w:rsid w:val="62915185"/>
    <w:rsid w:val="63EB4535"/>
    <w:rsid w:val="6616CC31"/>
    <w:rsid w:val="66BED99F"/>
    <w:rsid w:val="670CEC09"/>
    <w:rsid w:val="674F271B"/>
    <w:rsid w:val="67B29C92"/>
    <w:rsid w:val="6AEA3D54"/>
    <w:rsid w:val="6BE05D2C"/>
    <w:rsid w:val="6D3DEA9C"/>
    <w:rsid w:val="6D67B140"/>
    <w:rsid w:val="6D7C2D8D"/>
    <w:rsid w:val="6EA3D3D6"/>
    <w:rsid w:val="70533CEE"/>
    <w:rsid w:val="705454E7"/>
    <w:rsid w:val="7163C943"/>
    <w:rsid w:val="76E7355A"/>
    <w:rsid w:val="7B19897B"/>
    <w:rsid w:val="7F96CF5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4A462"/>
  <w15:chartTrackingRefBased/>
  <w15:docId w15:val="{55603BEE-1327-4012-A2F0-1F452733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E38"/>
    <w:rPr>
      <w:sz w:val="24"/>
      <w:szCs w:val="24"/>
      <w:lang w:eastAsia="es-MX"/>
    </w:rPr>
  </w:style>
  <w:style w:type="paragraph" w:styleId="Ttulo1">
    <w:name w:val="heading 1"/>
    <w:basedOn w:val="Normal"/>
    <w:next w:val="Normal"/>
    <w:qFormat/>
    <w:pPr>
      <w:keepNext/>
      <w:spacing w:before="240" w:after="60"/>
      <w:outlineLvl w:val="0"/>
    </w:pPr>
    <w:rPr>
      <w:b/>
      <w:color w:val="000080"/>
      <w:spacing w:val="-8"/>
      <w:kern w:val="28"/>
      <w:sz w:val="28"/>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lang w:eastAsia="es-CO"/>
    </w:rPr>
  </w:style>
  <w:style w:type="paragraph" w:customStyle="1" w:styleId="xmsolistparagraph">
    <w:name w:val="x_msolistparagraph"/>
    <w:basedOn w:val="Normal"/>
    <w:rsid w:val="00715DD5"/>
    <w:pPr>
      <w:spacing w:before="100" w:beforeAutospacing="1" w:after="100" w:afterAutospacing="1"/>
    </w:pPr>
    <w:rPr>
      <w:lang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lang w:eastAsia="es-CO"/>
    </w:rPr>
  </w:style>
  <w:style w:type="paragraph" w:styleId="Textonotapie">
    <w:name w:val="footnote text"/>
    <w:aliases w:val="Footnote Text Char Char Char Char Char,Footnote Text Char Char Char Char,Ref. de nota al pie1,FA Fu,texto de nota al pie"/>
    <w:basedOn w:val="Normal"/>
    <w:link w:val="TextonotapieCar"/>
    <w:uiPriority w:val="99"/>
    <w:rsid w:val="00925058"/>
    <w:rPr>
      <w:rFonts w:ascii="Times" w:eastAsia="Times" w:hAnsi="Times"/>
      <w:lang w:val="en-US"/>
    </w:rPr>
  </w:style>
  <w:style w:type="character" w:customStyle="1" w:styleId="TextonotapieCar">
    <w:name w:val="Texto nota pie Car"/>
    <w:aliases w:val="Footnote Text Char Char Char Char Char Car,Footnote Text Char Char Char Char Car,Ref. de nota al pie1 Car,FA Fu Car,texto de nota al pie Car"/>
    <w:link w:val="Textonotapie"/>
    <w:uiPriority w:val="99"/>
    <w:rsid w:val="00925058"/>
    <w:rPr>
      <w:rFonts w:ascii="Times" w:eastAsia="Times" w:hAnsi="Times"/>
      <w:lang w:val="en-US" w:eastAsia="es-ES"/>
    </w:rPr>
  </w:style>
  <w:style w:type="character" w:styleId="Refdenotaalpie">
    <w:name w:val="footnote reference"/>
    <w:aliases w:val="referencia nota al pie,Texto de nota al pie,Ref. de nota al pie2,Nota de pie,Texto nota al pie,Texto nota pie Car2,Car Car Car1,Car Car2,Footnote Text Char Char Char Char Char Car1,Footnote Text Char Char Char Char Car1,FA Fu Car1,FC"/>
    <w:link w:val="Char2"/>
    <w:qFormat/>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Refdenotaalpie"/>
    <w:rsid w:val="002B7667"/>
    <w:pPr>
      <w:spacing w:after="160" w:line="240" w:lineRule="exact"/>
      <w:jc w:val="both"/>
    </w:pPr>
    <w:rPr>
      <w:vertAlign w:val="superscript"/>
      <w:lang w:eastAsia="es-CO"/>
    </w:rPr>
  </w:style>
  <w:style w:type="paragraph" w:styleId="Textonotaalfinal">
    <w:name w:val="endnote text"/>
    <w:basedOn w:val="Normal"/>
    <w:link w:val="TextonotaalfinalCar"/>
    <w:rsid w:val="006F4ABA"/>
  </w:style>
  <w:style w:type="character" w:customStyle="1" w:styleId="TextonotaalfinalCar">
    <w:name w:val="Texto nota al final Car"/>
    <w:link w:val="Textonotaalfinal"/>
    <w:rsid w:val="006F4ABA"/>
    <w:rPr>
      <w:rFonts w:ascii="Arial" w:hAnsi="Arial"/>
      <w:lang w:val="es-ES" w:eastAsia="es-ES"/>
    </w:rPr>
  </w:style>
  <w:style w:type="character" w:styleId="Refdenotaalfinal">
    <w:name w:val="endnote reference"/>
    <w:rsid w:val="006F4ABA"/>
    <w:rPr>
      <w:vertAlign w:val="superscript"/>
    </w:rPr>
  </w:style>
  <w:style w:type="paragraph" w:customStyle="1" w:styleId="centrado">
    <w:name w:val="centrado"/>
    <w:basedOn w:val="Normal"/>
    <w:rsid w:val="006F4ABA"/>
    <w:pPr>
      <w:spacing w:before="100" w:beforeAutospacing="1" w:after="100" w:afterAutospacing="1"/>
    </w:pPr>
    <w:rPr>
      <w:lang w:eastAsia="es-CO"/>
    </w:rPr>
  </w:style>
  <w:style w:type="character" w:customStyle="1" w:styleId="baj">
    <w:name w:val="b_aj"/>
    <w:basedOn w:val="Fuentedeprrafopredeter"/>
    <w:rsid w:val="006F4ABA"/>
  </w:style>
  <w:style w:type="paragraph" w:styleId="Sinespaciado">
    <w:name w:val="No Spacing"/>
    <w:uiPriority w:val="99"/>
    <w:qFormat/>
    <w:rsid w:val="006F4ABA"/>
    <w:rPr>
      <w:rFonts w:ascii="Arial" w:hAnsi="Arial"/>
      <w:lang w:val="es-ES" w:eastAsia="es-ES"/>
    </w:rPr>
  </w:style>
  <w:style w:type="paragraph" w:styleId="Prrafodelista">
    <w:name w:val="List Paragraph"/>
    <w:aliases w:val="List,titulo 3,Bullet,Párrafo de lista1,HOJA,Bolita,Párrafo de lista4,BOLADEF,Párrafo de lista2,Párrafo de lista3,Párrafo de lista21,BOLA,Nivel 1 OS,Colorful List Accent 1,Colorful List - Accent 11,List1,Bullet List,Imagen,body 2"/>
    <w:basedOn w:val="Normal"/>
    <w:link w:val="PrrafodelistaCar"/>
    <w:uiPriority w:val="34"/>
    <w:qFormat/>
    <w:rsid w:val="008713D9"/>
    <w:pPr>
      <w:ind w:left="708"/>
    </w:pPr>
  </w:style>
  <w:style w:type="character" w:styleId="nfasis">
    <w:name w:val="Emphasis"/>
    <w:uiPriority w:val="20"/>
    <w:qFormat/>
    <w:rsid w:val="00A72E3D"/>
    <w:rPr>
      <w:i/>
      <w:iCs/>
    </w:rPr>
  </w:style>
  <w:style w:type="character" w:customStyle="1" w:styleId="PrrafodelistaCar">
    <w:name w:val="Párrafo de lista Car"/>
    <w:aliases w:val="List Car,titulo 3 Car,Bullet Car,Párrafo de lista1 Car,HOJA Car,Bolita Car,Párrafo de lista4 Car,BOLADEF Car,Párrafo de lista2 Car,Párrafo de lista3 Car,Párrafo de lista21 Car,BOLA Car,Nivel 1 OS Car,Colorful List Accent 1 Car"/>
    <w:link w:val="Prrafodelista"/>
    <w:uiPriority w:val="34"/>
    <w:qFormat/>
    <w:locked/>
    <w:rsid w:val="00A72E3D"/>
    <w:rPr>
      <w:rFonts w:ascii="Arial" w:hAnsi="Arial"/>
      <w:lang w:eastAsia="es-ES"/>
    </w:rPr>
  </w:style>
  <w:style w:type="paragraph" w:customStyle="1" w:styleId="paragraph">
    <w:name w:val="paragraph"/>
    <w:basedOn w:val="Normal"/>
    <w:rsid w:val="006546D1"/>
    <w:pPr>
      <w:spacing w:before="100" w:beforeAutospacing="1" w:after="100" w:afterAutospacing="1"/>
    </w:pPr>
  </w:style>
  <w:style w:type="character" w:customStyle="1" w:styleId="normaltextrun">
    <w:name w:val="normaltextrun"/>
    <w:basedOn w:val="Fuentedeprrafopredeter"/>
    <w:rsid w:val="006546D1"/>
  </w:style>
  <w:style w:type="character" w:customStyle="1" w:styleId="eop">
    <w:name w:val="eop"/>
    <w:basedOn w:val="Fuentedeprrafopredeter"/>
    <w:rsid w:val="006546D1"/>
  </w:style>
  <w:style w:type="paragraph" w:customStyle="1" w:styleId="CONPESTexto">
    <w:name w:val="CONPES Texto"/>
    <w:basedOn w:val="Normal"/>
    <w:uiPriority w:val="1"/>
    <w:qFormat/>
    <w:rsid w:val="01DC77A8"/>
    <w:pPr>
      <w:spacing w:before="120" w:after="120" w:line="276" w:lineRule="auto"/>
      <w:ind w:firstLine="567"/>
      <w:jc w:val="both"/>
    </w:pPr>
    <w:rPr>
      <w:rFonts w:eastAsia="Calibri"/>
      <w:color w:val="000000" w:themeColor="text1"/>
      <w:sz w:val="22"/>
      <w:szCs w:val="22"/>
      <w:lang w:eastAsia="en-US"/>
    </w:rPr>
  </w:style>
  <w:style w:type="character" w:styleId="Mencionar">
    <w:name w:val="Mention"/>
    <w:basedOn w:val="Fuentedeprrafopredeter"/>
    <w:uiPriority w:val="99"/>
    <w:unhideWhenUsed/>
    <w:rPr>
      <w:color w:val="2B579A"/>
      <w:shd w:val="clear" w:color="auto" w:fill="E6E6E6"/>
    </w:rPr>
  </w:style>
  <w:style w:type="paragraph" w:styleId="Revisin">
    <w:name w:val="Revision"/>
    <w:hidden/>
    <w:uiPriority w:val="71"/>
    <w:rsid w:val="0021780C"/>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546">
      <w:bodyDiv w:val="1"/>
      <w:marLeft w:val="0"/>
      <w:marRight w:val="0"/>
      <w:marTop w:val="0"/>
      <w:marBottom w:val="0"/>
      <w:divBdr>
        <w:top w:val="none" w:sz="0" w:space="0" w:color="auto"/>
        <w:left w:val="none" w:sz="0" w:space="0" w:color="auto"/>
        <w:bottom w:val="none" w:sz="0" w:space="0" w:color="auto"/>
        <w:right w:val="none" w:sz="0" w:space="0" w:color="auto"/>
      </w:divBdr>
    </w:div>
    <w:div w:id="311258311">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616565599">
      <w:bodyDiv w:val="1"/>
      <w:marLeft w:val="0"/>
      <w:marRight w:val="0"/>
      <w:marTop w:val="0"/>
      <w:marBottom w:val="0"/>
      <w:divBdr>
        <w:top w:val="none" w:sz="0" w:space="0" w:color="auto"/>
        <w:left w:val="none" w:sz="0" w:space="0" w:color="auto"/>
        <w:bottom w:val="none" w:sz="0" w:space="0" w:color="auto"/>
        <w:right w:val="none" w:sz="0" w:space="0" w:color="auto"/>
      </w:divBdr>
    </w:div>
    <w:div w:id="698816905">
      <w:bodyDiv w:val="1"/>
      <w:marLeft w:val="0"/>
      <w:marRight w:val="0"/>
      <w:marTop w:val="0"/>
      <w:marBottom w:val="0"/>
      <w:divBdr>
        <w:top w:val="none" w:sz="0" w:space="0" w:color="auto"/>
        <w:left w:val="none" w:sz="0" w:space="0" w:color="auto"/>
        <w:bottom w:val="none" w:sz="0" w:space="0" w:color="auto"/>
        <w:right w:val="none" w:sz="0" w:space="0" w:color="auto"/>
      </w:divBdr>
      <w:divsChild>
        <w:div w:id="733159541">
          <w:marLeft w:val="0"/>
          <w:marRight w:val="0"/>
          <w:marTop w:val="0"/>
          <w:marBottom w:val="0"/>
          <w:divBdr>
            <w:top w:val="none" w:sz="0" w:space="0" w:color="auto"/>
            <w:left w:val="none" w:sz="0" w:space="0" w:color="auto"/>
            <w:bottom w:val="none" w:sz="0" w:space="0" w:color="auto"/>
            <w:right w:val="none" w:sz="0" w:space="0" w:color="auto"/>
          </w:divBdr>
        </w:div>
        <w:div w:id="1230266052">
          <w:marLeft w:val="0"/>
          <w:marRight w:val="0"/>
          <w:marTop w:val="0"/>
          <w:marBottom w:val="0"/>
          <w:divBdr>
            <w:top w:val="none" w:sz="0" w:space="0" w:color="auto"/>
            <w:left w:val="none" w:sz="0" w:space="0" w:color="auto"/>
            <w:bottom w:val="none" w:sz="0" w:space="0" w:color="auto"/>
            <w:right w:val="none" w:sz="0" w:space="0" w:color="auto"/>
          </w:divBdr>
        </w:div>
      </w:divsChild>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79861609">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165435113">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695956101">
      <w:bodyDiv w:val="1"/>
      <w:marLeft w:val="0"/>
      <w:marRight w:val="0"/>
      <w:marTop w:val="0"/>
      <w:marBottom w:val="0"/>
      <w:divBdr>
        <w:top w:val="none" w:sz="0" w:space="0" w:color="auto"/>
        <w:left w:val="none" w:sz="0" w:space="0" w:color="auto"/>
        <w:bottom w:val="none" w:sz="0" w:space="0" w:color="auto"/>
        <w:right w:val="none" w:sz="0" w:space="0" w:color="auto"/>
      </w:divBdr>
      <w:divsChild>
        <w:div w:id="605816969">
          <w:marLeft w:val="0"/>
          <w:marRight w:val="0"/>
          <w:marTop w:val="0"/>
          <w:marBottom w:val="0"/>
          <w:divBdr>
            <w:top w:val="none" w:sz="0" w:space="0" w:color="auto"/>
            <w:left w:val="none" w:sz="0" w:space="0" w:color="auto"/>
            <w:bottom w:val="none" w:sz="0" w:space="0" w:color="auto"/>
            <w:right w:val="none" w:sz="0" w:space="0" w:color="auto"/>
          </w:divBdr>
        </w:div>
        <w:div w:id="1971933202">
          <w:marLeft w:val="0"/>
          <w:marRight w:val="0"/>
          <w:marTop w:val="0"/>
          <w:marBottom w:val="0"/>
          <w:divBdr>
            <w:top w:val="none" w:sz="0" w:space="0" w:color="auto"/>
            <w:left w:val="none" w:sz="0" w:space="0" w:color="auto"/>
            <w:bottom w:val="none" w:sz="0" w:space="0" w:color="auto"/>
            <w:right w:val="none" w:sz="0" w:space="0" w:color="auto"/>
          </w:divBdr>
        </w:div>
      </w:divsChild>
    </w:div>
    <w:div w:id="1781955170">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052141F-7D81-415E-8C9B-1F79AA72BC88}">
    <t:Anchor>
      <t:Comment id="693021272"/>
    </t:Anchor>
    <t:History>
      <t:Event id="{1EAAFCAD-CD35-4301-A949-8ECFCCCF9F54}" time="2022-06-15T20:42:07.822Z">
        <t:Attribution userId="S::lvillarraga@dnp.gov.co::3d1b3a85-0af8-4890-83c2-d131c3708531" userProvider="AD" userName="Laura Villarraga Albino"/>
        <t:Anchor>
          <t:Comment id="693021272"/>
        </t:Anchor>
        <t:Create/>
      </t:Event>
      <t:Event id="{85D0D0E1-D26C-48C7-9E75-BAC93D22FDC9}" time="2022-06-15T20:42:07.822Z">
        <t:Attribution userId="S::lvillarraga@dnp.gov.co::3d1b3a85-0af8-4890-83c2-d131c3708531" userProvider="AD" userName="Laura Villarraga Albino"/>
        <t:Anchor>
          <t:Comment id="693021272"/>
        </t:Anchor>
        <t:Assign userId="S::andsaavedra@dnp.gov.co::ef0e7645-c500-4c55-9044-a50c568d1cc5" userProvider="AD" userName="Andres Felipe Saavedra Reyes"/>
      </t:Event>
      <t:Event id="{3BBED66F-F16F-42C2-BDEB-88F7C3E12A0C}" time="2022-06-15T20:42:07.822Z">
        <t:Attribution userId="S::lvillarraga@dnp.gov.co::3d1b3a85-0af8-4890-83c2-d131c3708531" userProvider="AD" userName="Laura Villarraga Albino"/>
        <t:Anchor>
          <t:Comment id="693021272"/>
        </t:Anchor>
        <t:SetTitle title="@Andres Felipe Saavedra Reyes"/>
      </t:Event>
    </t:History>
  </t:Task>
  <t:Task id="{44BDE365-7205-4211-BC6C-F80D857FBD59}">
    <t:Anchor>
      <t:Comment id="643584455"/>
    </t:Anchor>
    <t:History>
      <t:Event id="{D7DBB0C8-1724-453F-9B6E-509797FFA6F7}" time="2022-06-21T22:19:45.404Z">
        <t:Attribution userId="S::lvillarraga@dnp.gov.co::3d1b3a85-0af8-4890-83c2-d131c3708531" userProvider="AD" userName="Laura Villarraga Albino"/>
        <t:Anchor>
          <t:Comment id="862664364"/>
        </t:Anchor>
        <t:Create/>
      </t:Event>
      <t:Event id="{B4FDFA46-ECF5-4803-89C2-BC86C17DCF2C}" time="2022-06-21T22:19:45.404Z">
        <t:Attribution userId="S::lvillarraga@dnp.gov.co::3d1b3a85-0af8-4890-83c2-d131c3708531" userProvider="AD" userName="Laura Villarraga Albino"/>
        <t:Anchor>
          <t:Comment id="862664364"/>
        </t:Anchor>
        <t:Assign userId="S::andsaavedra@dnp.gov.co::ef0e7645-c500-4c55-9044-a50c568d1cc5" userProvider="AD" userName="Andres Felipe Saavedra Reyes"/>
      </t:Event>
      <t:Event id="{0DDDE8CE-E4CE-4CC5-B4BB-14048D58864D}" time="2022-06-21T22:19:45.404Z">
        <t:Attribution userId="S::lvillarraga@dnp.gov.co::3d1b3a85-0af8-4890-83c2-d131c3708531" userProvider="AD" userName="Laura Villarraga Albino"/>
        <t:Anchor>
          <t:Comment id="862664364"/>
        </t:Anchor>
        <t:SetTitle title="@Andres Felipe Saavedra Reyes Feli nos ayudas a verificar esto? Gracia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367EB27CE2B604A920E104B29FD87F6" ma:contentTypeVersion="2" ma:contentTypeDescription="Crear nuevo documento." ma:contentTypeScope="" ma:versionID="8d0a2eb40ecfb6e418ec2ba488bc2c3d">
  <xsd:schema xmlns:xsd="http://www.w3.org/2001/XMLSchema" xmlns:xs="http://www.w3.org/2001/XMLSchema" xmlns:p="http://schemas.microsoft.com/office/2006/metadata/properties" xmlns:ns1="http://schemas.microsoft.com/sharepoint/v3" xmlns:ns2="492d60cf-1631-4884-9cb2-1f7f2f1b9a0a" targetNamespace="http://schemas.microsoft.com/office/2006/metadata/properties" ma:root="true" ma:fieldsID="6aab3f19936f0ac44d301d1d9070c7a4" ns1:_="" ns2:_="">
    <xsd:import namespace="http://schemas.microsoft.com/sharepoint/v3"/>
    <xsd:import namespace="492d60cf-1631-4884-9cb2-1f7f2f1b9a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d60cf-1631-4884-9cb2-1f7f2f1b9a0a"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7F672-73C1-4CCF-B16E-030BD8D41C1F}">
  <ds:schemaRefs>
    <ds:schemaRef ds:uri="http://schemas.microsoft.com/office/2006/metadata/properties"/>
    <ds:schemaRef ds:uri="http://schemas.microsoft.com/office/infopath/2007/PartnerControls"/>
    <ds:schemaRef ds:uri="b95b0bac-0eca-4c61-ace7-07a307ce3b32"/>
    <ds:schemaRef ds:uri="8467e1bb-82de-4cd8-933b-13f982642238"/>
    <ds:schemaRef ds:uri="http://schemas.microsoft.com/sharepoint/v3"/>
  </ds:schemaRefs>
</ds:datastoreItem>
</file>

<file path=customXml/itemProps2.xml><?xml version="1.0" encoding="utf-8"?>
<ds:datastoreItem xmlns:ds="http://schemas.openxmlformats.org/officeDocument/2006/customXml" ds:itemID="{7404F738-E417-4A02-8A19-38DA793CF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2d60cf-1631-4884-9cb2-1f7f2f1b9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FCFA8-2108-48E0-8136-E06D72C9397E}">
  <ds:schemaRefs>
    <ds:schemaRef ds:uri="http://schemas.openxmlformats.org/officeDocument/2006/bibliography"/>
  </ds:schemaRefs>
</ds:datastoreItem>
</file>

<file path=customXml/itemProps4.xml><?xml version="1.0" encoding="utf-8"?>
<ds:datastoreItem xmlns:ds="http://schemas.openxmlformats.org/officeDocument/2006/customXml" ds:itemID="{94BDDBF0-CDE5-46F6-82C8-1ADBA1308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10102</Characters>
  <Application>Microsoft Office Word</Application>
  <DocSecurity>0</DocSecurity>
  <Lines>84</Lines>
  <Paragraphs>23</Paragraphs>
  <ScaleCrop>false</ScaleCrop>
  <Company>dafp</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Memoria Justificativa</dc:title>
  <dc:subject/>
  <dc:creator>Andres Felipe Saavedra Reyes</dc:creator>
  <cp:keywords/>
  <dc:description/>
  <cp:lastModifiedBy>Juan Pablo Zapata Cruz</cp:lastModifiedBy>
  <cp:revision>2</cp:revision>
  <cp:lastPrinted>2019-07-09T00:30:00Z</cp:lastPrinted>
  <dcterms:created xsi:type="dcterms:W3CDTF">2022-07-05T21:15:00Z</dcterms:created>
  <dcterms:modified xsi:type="dcterms:W3CDTF">2022-07-05T21:15:00Z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0x010100D367EB27CE2B604A920E104B29FD87F6</vt:lpwstr>
  </property>
  <property fmtid="{D5CDD505-2E9C-101B-9397-08002B2CF9AE}" pid="3" name="MediaServiceImageTags">
    <vt:lpwstr/>
  </property>
</Properties>
</file>